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50.xml" ContentType="application/vnd.openxmlformats-officedocument.wordprocessingml.header+xml"/>
  <Override PartName="/word/footer150.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3.xml" ContentType="application/vnd.openxmlformats-officedocument.wordprocessingml.header+xml"/>
  <Override PartName="/word/footer153.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footer154.xml" ContentType="application/vnd.openxmlformats-officedocument.wordprocessingml.footer+xml"/>
  <Override PartName="/word/footer155.xml" ContentType="application/vnd.openxmlformats-officedocument.wordprocessingml.footer+xml"/>
  <Override PartName="/word/header156.xml" ContentType="application/vnd.openxmlformats-officedocument.wordprocessingml.header+xml"/>
  <Override PartName="/word/footer156.xml" ContentType="application/vnd.openxmlformats-officedocument.wordprocessingml.footer+xml"/>
  <Override PartName="/word/header157.xml" ContentType="application/vnd.openxmlformats-officedocument.wordprocessingml.header+xml"/>
  <Override PartName="/word/header158.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59.xml" ContentType="application/vnd.openxmlformats-officedocument.wordprocessingml.header+xml"/>
  <Override PartName="/word/footer159.xml" ContentType="application/vnd.openxmlformats-officedocument.wordprocessingml.footer+xml"/>
  <Override PartName="/word/header160.xml" ContentType="application/vnd.openxmlformats-officedocument.wordprocessingml.header+xml"/>
  <Override PartName="/word/header161.xml" ContentType="application/vnd.openxmlformats-officedocument.wordprocessingml.header+xml"/>
  <Override PartName="/word/footer160.xml" ContentType="application/vnd.openxmlformats-officedocument.wordprocessingml.footer+xml"/>
  <Override PartName="/word/footer161.xml" ContentType="application/vnd.openxmlformats-officedocument.wordprocessingml.footer+xml"/>
  <Override PartName="/word/header162.xml" ContentType="application/vnd.openxmlformats-officedocument.wordprocessingml.header+xml"/>
  <Override PartName="/word/footer162.xml" ContentType="application/vnd.openxmlformats-officedocument.wordprocessingml.footer+xml"/>
  <Override PartName="/word/header163.xml" ContentType="application/vnd.openxmlformats-officedocument.wordprocessingml.header+xml"/>
  <Override PartName="/word/header164.xml" ContentType="application/vnd.openxmlformats-officedocument.wordprocessingml.header+xml"/>
  <Override PartName="/word/footer163.xml" ContentType="application/vnd.openxmlformats-officedocument.wordprocessingml.footer+xml"/>
  <Override PartName="/word/footer164.xml" ContentType="application/vnd.openxmlformats-officedocument.wordprocessingml.footer+xml"/>
  <Override PartName="/word/header165.xml" ContentType="application/vnd.openxmlformats-officedocument.wordprocessingml.header+xml"/>
  <Override PartName="/word/footer165.xml" ContentType="application/vnd.openxmlformats-officedocument.wordprocessingml.footer+xml"/>
  <Override PartName="/word/header166.xml" ContentType="application/vnd.openxmlformats-officedocument.wordprocessingml.header+xml"/>
  <Override PartName="/word/header167.xml" ContentType="application/vnd.openxmlformats-officedocument.wordprocessingml.header+xml"/>
  <Override PartName="/word/footer166.xml" ContentType="application/vnd.openxmlformats-officedocument.wordprocessingml.footer+xml"/>
  <Override PartName="/word/footer167.xml" ContentType="application/vnd.openxmlformats-officedocument.wordprocessingml.footer+xml"/>
  <Override PartName="/word/header168.xml" ContentType="application/vnd.openxmlformats-officedocument.wordprocessingml.header+xml"/>
  <Override PartName="/word/footer168.xml" ContentType="application/vnd.openxmlformats-officedocument.wordprocessingml.footer+xml"/>
  <Override PartName="/word/header169.xml" ContentType="application/vnd.openxmlformats-officedocument.wordprocessingml.header+xml"/>
  <Override PartName="/word/header170.xml" ContentType="application/vnd.openxmlformats-officedocument.wordprocessingml.header+xml"/>
  <Override PartName="/word/footer169.xml" ContentType="application/vnd.openxmlformats-officedocument.wordprocessingml.footer+xml"/>
  <Override PartName="/word/footer170.xml" ContentType="application/vnd.openxmlformats-officedocument.wordprocessingml.footer+xml"/>
  <Override PartName="/word/header171.xml" ContentType="application/vnd.openxmlformats-officedocument.wordprocessingml.header+xml"/>
  <Override PartName="/word/footer171.xml" ContentType="application/vnd.openxmlformats-officedocument.wordprocessingml.footer+xml"/>
  <Override PartName="/word/header172.xml" ContentType="application/vnd.openxmlformats-officedocument.wordprocessingml.header+xml"/>
  <Override PartName="/word/header173.xml" ContentType="application/vnd.openxmlformats-officedocument.wordprocessingml.header+xml"/>
  <Override PartName="/word/footer172.xml" ContentType="application/vnd.openxmlformats-officedocument.wordprocessingml.footer+xml"/>
  <Override PartName="/word/footer173.xml" ContentType="application/vnd.openxmlformats-officedocument.wordprocessingml.footer+xml"/>
  <Override PartName="/word/header174.xml" ContentType="application/vnd.openxmlformats-officedocument.wordprocessingml.header+xml"/>
  <Override PartName="/word/footer174.xml" ContentType="application/vnd.openxmlformats-officedocument.wordprocessingml.footer+xml"/>
  <Override PartName="/word/header175.xml" ContentType="application/vnd.openxmlformats-officedocument.wordprocessingml.header+xml"/>
  <Override PartName="/word/header176.xml" ContentType="application/vnd.openxmlformats-officedocument.wordprocessingml.header+xml"/>
  <Override PartName="/word/footer175.xml" ContentType="application/vnd.openxmlformats-officedocument.wordprocessingml.footer+xml"/>
  <Override PartName="/word/footer176.xml" ContentType="application/vnd.openxmlformats-officedocument.wordprocessingml.footer+xml"/>
  <Override PartName="/word/header177.xml" ContentType="application/vnd.openxmlformats-officedocument.wordprocessingml.header+xml"/>
  <Override PartName="/word/footer177.xml" ContentType="application/vnd.openxmlformats-officedocument.wordprocessingml.footer+xml"/>
  <Override PartName="/word/header178.xml" ContentType="application/vnd.openxmlformats-officedocument.wordprocessingml.header+xml"/>
  <Override PartName="/word/header179.xml" ContentType="application/vnd.openxmlformats-officedocument.wordprocessingml.header+xml"/>
  <Override PartName="/word/footer178.xml" ContentType="application/vnd.openxmlformats-officedocument.wordprocessingml.footer+xml"/>
  <Override PartName="/word/footer179.xml" ContentType="application/vnd.openxmlformats-officedocument.wordprocessingml.footer+xml"/>
  <Override PartName="/word/header180.xml" ContentType="application/vnd.openxmlformats-officedocument.wordprocessingml.header+xml"/>
  <Override PartName="/word/footer180.xml" ContentType="application/vnd.openxmlformats-officedocument.wordprocessingml.footer+xml"/>
  <Override PartName="/word/header181.xml" ContentType="application/vnd.openxmlformats-officedocument.wordprocessingml.header+xml"/>
  <Override PartName="/word/header182.xml" ContentType="application/vnd.openxmlformats-officedocument.wordprocessingml.header+xml"/>
  <Override PartName="/word/footer181.xml" ContentType="application/vnd.openxmlformats-officedocument.wordprocessingml.footer+xml"/>
  <Override PartName="/word/footer182.xml" ContentType="application/vnd.openxmlformats-officedocument.wordprocessingml.footer+xml"/>
  <Override PartName="/word/header183.xml" ContentType="application/vnd.openxmlformats-officedocument.wordprocessingml.header+xml"/>
  <Override PartName="/word/footer183.xml" ContentType="application/vnd.openxmlformats-officedocument.wordprocessingml.footer+xml"/>
  <Override PartName="/word/header184.xml" ContentType="application/vnd.openxmlformats-officedocument.wordprocessingml.header+xml"/>
  <Override PartName="/word/header185.xml" ContentType="application/vnd.openxmlformats-officedocument.wordprocessingml.header+xml"/>
  <Override PartName="/word/footer184.xml" ContentType="application/vnd.openxmlformats-officedocument.wordprocessingml.footer+xml"/>
  <Override PartName="/word/footer185.xml" ContentType="application/vnd.openxmlformats-officedocument.wordprocessingml.footer+xml"/>
  <Override PartName="/word/header186.xml" ContentType="application/vnd.openxmlformats-officedocument.wordprocessingml.header+xml"/>
  <Override PartName="/word/footer18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C51DA15C-3223-4CBF-9123-0B1478949D8D" style="width:455.25pt;height:383.25pt">
            <v:imagedata r:id="rId12" o:title=""/>
          </v:shape>
        </w:pict>
      </w:r>
    </w:p>
    <w:bookmarkEnd w:id="0"/>
    <w:p>
      <w:pPr>
        <w:rPr>
          <w:rFonts w:ascii="Times New Roman" w:hAnsi="Times New Roman" w:cs="Times New Roman"/>
          <w:noProof/>
          <w:lang w:val="en-IE"/>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pPr>
        <w:spacing w:before="120" w:after="120" w:line="240" w:lineRule="auto"/>
        <w:jc w:val="center"/>
        <w:rPr>
          <w:rFonts w:ascii="Times New Roman" w:hAnsi="Times New Roman" w:cs="Times New Roman"/>
          <w:b/>
          <w:bCs/>
          <w:noProof/>
          <w:sz w:val="28"/>
          <w:szCs w:val="28"/>
        </w:rPr>
      </w:pPr>
      <w:bookmarkStart w:id="1" w:name="_GoBack"/>
      <w:bookmarkEnd w:id="1"/>
      <w:r>
        <w:rPr>
          <w:rFonts w:ascii="Times New Roman" w:hAnsi="Times New Roman"/>
          <w:b/>
          <w:bCs/>
          <w:noProof/>
          <w:sz w:val="28"/>
          <w:szCs w:val="28"/>
        </w:rPr>
        <w:lastRenderedPageBreak/>
        <w:t>ANEXA</w:t>
      </w:r>
      <w:r>
        <w:rPr>
          <w:rFonts w:ascii="Times New Roman" w:hAnsi="Times New Roman"/>
          <w:b/>
          <w:bCs/>
          <w:noProof/>
          <w:sz w:val="28"/>
          <w:szCs w:val="28"/>
        </w:rPr>
        <w:br/>
      </w:r>
    </w:p>
    <w:p>
      <w:pPr>
        <w:spacing w:before="120" w:after="120" w:line="240" w:lineRule="auto"/>
        <w:jc w:val="both"/>
        <w:rPr>
          <w:rFonts w:ascii="Times New Roman" w:hAnsi="Times New Roman" w:cs="Times New Roman"/>
          <w:b/>
          <w:noProof/>
          <w:sz w:val="28"/>
          <w:szCs w:val="28"/>
        </w:rPr>
      </w:pPr>
      <w:r>
        <w:rPr>
          <w:rFonts w:ascii="Times New Roman" w:hAnsi="Times New Roman"/>
          <w:b/>
          <w:bCs/>
          <w:noProof/>
          <w:sz w:val="28"/>
          <w:szCs w:val="28"/>
        </w:rPr>
        <w:t>SECȚIUNEA 1: REFORME ȘI INVESTIȚII INCLUSE ÎN PLANUL DE REDRESARE ȘI REZILIENȚĂ</w:t>
      </w:r>
    </w:p>
    <w:p>
      <w:pPr>
        <w:spacing w:before="120" w:after="120" w:line="240" w:lineRule="auto"/>
        <w:jc w:val="both"/>
        <w:rPr>
          <w:rFonts w:ascii="Times New Roman" w:hAnsi="Times New Roman" w:cs="Times New Roman"/>
          <w:noProof/>
          <w:sz w:val="28"/>
          <w:szCs w:val="28"/>
          <w:lang w:val="en-IE"/>
        </w:rPr>
      </w:pPr>
    </w:p>
    <w:p>
      <w:pPr>
        <w:numPr>
          <w:ilvl w:val="0"/>
          <w:numId w:val="147"/>
        </w:numPr>
        <w:spacing w:before="120" w:after="120" w:line="240" w:lineRule="auto"/>
        <w:jc w:val="both"/>
        <w:rPr>
          <w:rFonts w:ascii="Times New Roman" w:hAnsi="Times New Roman" w:cs="Times New Roman"/>
          <w:b/>
          <w:noProof/>
          <w:sz w:val="28"/>
          <w:szCs w:val="28"/>
        </w:rPr>
      </w:pPr>
      <w:r>
        <w:rPr>
          <w:rFonts w:ascii="Times New Roman" w:hAnsi="Times New Roman"/>
          <w:b/>
          <w:noProof/>
          <w:sz w:val="28"/>
          <w:szCs w:val="28"/>
        </w:rPr>
        <w:t xml:space="preserve">Descrierea reformelor și a investițiilor </w:t>
      </w:r>
    </w:p>
    <w:p>
      <w:pPr>
        <w:pStyle w:val="Heading1"/>
        <w:rPr>
          <w:noProof/>
        </w:rPr>
      </w:pPr>
      <w:r>
        <w:rPr>
          <w:noProof/>
        </w:rPr>
        <w:t xml:space="preserve">A. COMPONENTA 01: PLAN DE ȘOC PENTRU O MOBILITATE DURABILĂ, SIGURĂ ȘI CONECTATĂ ÎN MEDIILE URBANE ȘI METROPOLITANE </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Această componentă a planului spaniol de redresare și reziliență abordează provocările legate de calitatea aerului, care afectează în principal zonele metropolitane majore, și au dus la peste 20 000 de decese premature în Spania în 2018. Obiectivul general al reformelor și al investițiilor în această componentă este tranziția către o mobilitate urbană curată, sigură și inteligentă. Obiectivele specifice urmărite de această componentă sunt următoarele:</w:t>
      </w:r>
    </w:p>
    <w:p>
      <w:pPr>
        <w:numPr>
          <w:ilvl w:val="0"/>
          <w:numId w:val="21"/>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să accelereze punerea în aplicare a zonelor cu emisii scăzute în toate municipalitățile cu peste 50 000 de locuitori și capitalele provinciilor, precum și pătrunderea mobilității electrice;</w:t>
      </w:r>
    </w:p>
    <w:p>
      <w:pPr>
        <w:numPr>
          <w:ilvl w:val="0"/>
          <w:numId w:val="21"/>
        </w:numPr>
        <w:spacing w:before="120" w:after="160" w:line="259" w:lineRule="auto"/>
        <w:contextualSpacing/>
        <w:jc w:val="both"/>
        <w:rPr>
          <w:rFonts w:ascii="Times New Roman" w:hAnsi="Times New Roman" w:cs="Times New Roman"/>
          <w:noProof/>
        </w:rPr>
      </w:pPr>
      <w:r>
        <w:rPr>
          <w:rFonts w:ascii="Times New Roman" w:hAnsi="Times New Roman"/>
          <w:noProof/>
          <w:sz w:val="24"/>
        </w:rPr>
        <w:t>promovarea mobilității active, precum și a altor măsuri care să contribuie la reducerea utilizării autoturismelor personale;</w:t>
      </w:r>
      <w:r>
        <w:rPr>
          <w:rFonts w:ascii="Times New Roman" w:hAnsi="Times New Roman"/>
          <w:noProof/>
        </w:rPr>
        <w:t xml:space="preserve"> </w:t>
      </w:r>
    </w:p>
    <w:p>
      <w:pPr>
        <w:numPr>
          <w:ilvl w:val="0"/>
          <w:numId w:val="21"/>
        </w:numPr>
        <w:spacing w:before="120" w:after="120" w:line="240" w:lineRule="auto"/>
        <w:jc w:val="both"/>
        <w:rPr>
          <w:rFonts w:ascii="Times New Roman" w:hAnsi="Times New Roman" w:cs="Times New Roman"/>
          <w:noProof/>
          <w:sz w:val="24"/>
        </w:rPr>
      </w:pPr>
      <w:r>
        <w:rPr>
          <w:rFonts w:ascii="Times New Roman" w:hAnsi="Times New Roman"/>
          <w:noProof/>
          <w:sz w:val="24"/>
        </w:rPr>
        <w:t>transformarea digitală și durabilă a sectorului transportului public ca alternativă reală la utilizarea vehiculelor private;</w:t>
      </w:r>
    </w:p>
    <w:p>
      <w:pPr>
        <w:numPr>
          <w:ilvl w:val="0"/>
          <w:numId w:val="21"/>
        </w:numPr>
        <w:spacing w:before="120" w:after="120" w:line="240" w:lineRule="auto"/>
        <w:jc w:val="both"/>
        <w:rPr>
          <w:rFonts w:ascii="Times New Roman" w:hAnsi="Times New Roman" w:cs="Times New Roman"/>
          <w:noProof/>
          <w:sz w:val="24"/>
        </w:rPr>
      </w:pPr>
      <w:r>
        <w:rPr>
          <w:rFonts w:ascii="Times New Roman" w:hAnsi="Times New Roman"/>
          <w:noProof/>
          <w:sz w:val="24"/>
        </w:rPr>
        <w:t>îmbunătățirea calității și fiabilității serviciilor de transport feroviar pe distanțe scurte pentru a spori utilizarea eficientă a acestora în mediile metropolitane, în detrimentul vehiculului privat;</w:t>
      </w:r>
    </w:p>
    <w:p>
      <w:pPr>
        <w:numPr>
          <w:ilvl w:val="0"/>
          <w:numId w:val="21"/>
        </w:numPr>
        <w:spacing w:before="120" w:after="120" w:line="240" w:lineRule="auto"/>
        <w:jc w:val="both"/>
        <w:rPr>
          <w:rFonts w:ascii="Times New Roman" w:hAnsi="Times New Roman" w:cs="Times New Roman"/>
          <w:noProof/>
          <w:sz w:val="24"/>
        </w:rPr>
      </w:pPr>
      <w:r>
        <w:rPr>
          <w:rFonts w:ascii="Times New Roman" w:hAnsi="Times New Roman"/>
          <w:noProof/>
          <w:sz w:val="24"/>
        </w:rPr>
        <w:t>optimizarea gestionării traficului și facilitarea procesului decizional pentru a promova o mobilitate mai curată.</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Componenta abordează recomandările specifice fiecărei țări privind promovarea investițiilor publice și private și promovarea tranziției verzi (recomandarea specifică țării 3 din 2020), promovarea investițiilor în inovare și în eficiența energetică (recomandarea specifică țării 3 din 2019), precum și consolidarea cooperării la toate nivelurile de guvernare (recomandarea specifică țării 4 din 2019). </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Se preconizează că nicio măsură din cadrul acestei componente nu aduce prejudicii semnificative obiectivelor de mediu în sensul articolului 17 din Regulamentul (UE) 2020/852, ținând seama de descrierea măsurilor și a măsurilor de atenuare stabilite în planul de redresare și reziliență în conformitate cu Orientările tehnice privind principiul „de a nu prejudicia în mod semnificativ” („DNSH”) (2021/C58/01).  </w:t>
      </w:r>
    </w:p>
    <w:p>
      <w:pPr>
        <w:spacing w:before="120" w:after="120" w:line="240" w:lineRule="auto"/>
        <w:ind w:left="709"/>
        <w:jc w:val="both"/>
        <w:rPr>
          <w:rFonts w:ascii="Times New Roman" w:hAnsi="Times New Roman" w:cs="Times New Roman"/>
          <w:b/>
          <w:i/>
          <w:noProof/>
          <w:color w:val="000000" w:themeColor="text1"/>
          <w:sz w:val="24"/>
        </w:rPr>
      </w:pPr>
      <w:r>
        <w:rPr>
          <w:rFonts w:ascii="Times New Roman" w:hAnsi="Times New Roman"/>
          <w:b/>
          <w:bCs/>
          <w:noProof/>
          <w:color w:val="000000" w:themeColor="text1"/>
          <w:sz w:val="24"/>
          <w:u w:val="single"/>
        </w:rPr>
        <w:t xml:space="preserve">A.1. </w:t>
      </w:r>
      <w:r>
        <w:rPr>
          <w:rFonts w:ascii="Times New Roman" w:hAnsi="Times New Roman"/>
          <w:b/>
          <w:noProof/>
          <w:color w:val="000000" w:themeColor="text1"/>
          <w:sz w:val="24"/>
          <w:u w:val="single"/>
        </w:rPr>
        <w:tab/>
      </w:r>
      <w:r>
        <w:rPr>
          <w:rFonts w:ascii="Times New Roman" w:hAnsi="Times New Roman"/>
          <w:b/>
          <w:bCs/>
          <w:noProof/>
          <w:color w:val="000000" w:themeColor="text1"/>
          <w:sz w:val="24"/>
          <w:u w:val="single"/>
        </w:rPr>
        <w:t>Descrierea reformelor și a investițiilor pentru care se prevede acordarea sprijinului financiar nerambursabil</w:t>
      </w:r>
    </w:p>
    <w:p>
      <w:pPr>
        <w:spacing w:before="120" w:after="120" w:line="240" w:lineRule="auto"/>
        <w:jc w:val="both"/>
        <w:rPr>
          <w:rFonts w:ascii="Times New Roman" w:hAnsi="Times New Roman" w:cs="Times New Roman"/>
          <w:iCs/>
          <w:noProof/>
          <w:color w:val="000000" w:themeColor="text1"/>
          <w:sz w:val="24"/>
          <w:u w:val="single"/>
        </w:rPr>
      </w:pPr>
      <w:r>
        <w:rPr>
          <w:rFonts w:ascii="Times New Roman" w:hAnsi="Times New Roman"/>
          <w:iCs/>
          <w:noProof/>
          <w:color w:val="000000" w:themeColor="text1"/>
          <w:sz w:val="24"/>
          <w:u w:val="single"/>
        </w:rPr>
        <w:t xml:space="preserve">Reforma 1 (C1.R1) - Plan de dezvoltare a infrastructurii de reîncărcare și promovare a vehiculelor electrice </w:t>
      </w:r>
    </w:p>
    <w:p>
      <w:pPr>
        <w:spacing w:before="120" w:after="120" w:line="240" w:lineRule="auto"/>
        <w:jc w:val="both"/>
        <w:rPr>
          <w:rFonts w:ascii="Times New Roman" w:hAnsi="Times New Roman" w:cs="Times New Roman"/>
          <w:iCs/>
          <w:noProof/>
          <w:color w:val="000000" w:themeColor="text1"/>
          <w:sz w:val="24"/>
        </w:rPr>
      </w:pPr>
      <w:r>
        <w:rPr>
          <w:rFonts w:ascii="Times New Roman" w:hAnsi="Times New Roman"/>
          <w:iCs/>
          <w:noProof/>
          <w:color w:val="000000" w:themeColor="text1"/>
          <w:sz w:val="24"/>
        </w:rPr>
        <w:lastRenderedPageBreak/>
        <w:t xml:space="preserve">Obiectivul acestei măsuri este de a consolida cadrul operațional și de reglementare care facilitează instalarea infrastructurii de reîncărcare pentru a stimula utilizarea vehiculelor electrice. </w:t>
      </w:r>
    </w:p>
    <w:p>
      <w:pPr>
        <w:spacing w:before="120" w:after="120" w:line="240" w:lineRule="auto"/>
        <w:jc w:val="both"/>
        <w:rPr>
          <w:rFonts w:ascii="Times New Roman" w:hAnsi="Times New Roman" w:cs="Times New Roman"/>
          <w:iCs/>
          <w:noProof/>
          <w:color w:val="000000" w:themeColor="text1"/>
          <w:sz w:val="24"/>
        </w:rPr>
      </w:pPr>
      <w:r>
        <w:rPr>
          <w:rFonts w:ascii="Times New Roman" w:hAnsi="Times New Roman"/>
          <w:iCs/>
          <w:noProof/>
          <w:color w:val="000000" w:themeColor="text1"/>
          <w:sz w:val="24"/>
        </w:rPr>
        <w:t xml:space="preserve">Reforma constă în adoptarea următorului cadru de reglementare care vizează eliminarea barierelor care împiedică în prezent difuzarea punctelor de încărcare: </w:t>
      </w:r>
    </w:p>
    <w:p>
      <w:pPr>
        <w:numPr>
          <w:ilvl w:val="0"/>
          <w:numId w:val="20"/>
        </w:numPr>
        <w:spacing w:before="120" w:after="120" w:line="240" w:lineRule="auto"/>
        <w:jc w:val="both"/>
        <w:rPr>
          <w:rFonts w:ascii="Times New Roman" w:hAnsi="Times New Roman" w:cs="Times New Roman"/>
          <w:iCs/>
          <w:noProof/>
          <w:color w:val="000000" w:themeColor="text1"/>
          <w:sz w:val="24"/>
        </w:rPr>
      </w:pPr>
      <w:r>
        <w:rPr>
          <w:rFonts w:ascii="Times New Roman" w:hAnsi="Times New Roman"/>
          <w:iCs/>
          <w:noProof/>
          <w:color w:val="000000" w:themeColor="text1"/>
          <w:sz w:val="24"/>
        </w:rPr>
        <w:t>Decretul regal de reglementare a serviciilor de încărcare accesibile publicului și de asigurare a funcționării corespunzătoare și fiabile a punctelor instalate;</w:t>
      </w:r>
    </w:p>
    <w:p>
      <w:pPr>
        <w:numPr>
          <w:ilvl w:val="0"/>
          <w:numId w:val="20"/>
        </w:numPr>
        <w:spacing w:before="120" w:after="120" w:line="240" w:lineRule="auto"/>
        <w:jc w:val="both"/>
        <w:rPr>
          <w:rFonts w:ascii="Times New Roman" w:hAnsi="Times New Roman" w:cs="Times New Roman"/>
          <w:iCs/>
          <w:noProof/>
          <w:color w:val="000000" w:themeColor="text1"/>
          <w:sz w:val="24"/>
        </w:rPr>
      </w:pPr>
      <w:r>
        <w:rPr>
          <w:rFonts w:ascii="Times New Roman" w:hAnsi="Times New Roman"/>
          <w:iCs/>
          <w:noProof/>
          <w:color w:val="000000" w:themeColor="text1"/>
          <w:sz w:val="24"/>
        </w:rPr>
        <w:t xml:space="preserve">Decretul-lege regal nr. 23/2020 din 23 iunie 2020, care contribuie la accelerarea prelucrării infrastructurii de reîncărcare prin declararea instalațiilor de încărcare cu o putere de peste 250 kW ca fiind de utilitate publică; </w:t>
      </w:r>
    </w:p>
    <w:p>
      <w:pPr>
        <w:numPr>
          <w:ilvl w:val="0"/>
          <w:numId w:val="20"/>
        </w:numPr>
        <w:spacing w:before="120" w:after="120" w:line="240" w:lineRule="auto"/>
        <w:jc w:val="both"/>
        <w:rPr>
          <w:rFonts w:ascii="Times New Roman" w:eastAsia="Arial" w:hAnsi="Times New Roman" w:cs="Times New Roman"/>
          <w:noProof/>
          <w:color w:val="000000" w:themeColor="text1"/>
          <w:sz w:val="24"/>
          <w:szCs w:val="24"/>
        </w:rPr>
      </w:pPr>
      <w:r>
        <w:rPr>
          <w:rFonts w:ascii="Times New Roman" w:hAnsi="Times New Roman"/>
          <w:noProof/>
          <w:color w:val="000000" w:themeColor="text1"/>
          <w:sz w:val="24"/>
        </w:rPr>
        <w:t>Ordinul TMA/178/2020 de reducere a sarcinii administrative pentru aprobarea și instalarea instalațiilor de încărcare cu energie electrică în stațiile de alimentare cu combustibil;</w:t>
      </w:r>
    </w:p>
    <w:p>
      <w:pPr>
        <w:numPr>
          <w:ilvl w:val="0"/>
          <w:numId w:val="20"/>
        </w:numPr>
        <w:spacing w:before="120" w:after="120" w:line="240" w:lineRule="auto"/>
        <w:jc w:val="both"/>
        <w:rPr>
          <w:rFonts w:ascii="Times New Roman" w:hAnsi="Times New Roman" w:cs="Times New Roman"/>
          <w:iCs/>
          <w:noProof/>
          <w:color w:val="000000" w:themeColor="text1"/>
          <w:sz w:val="24"/>
        </w:rPr>
      </w:pPr>
      <w:r>
        <w:rPr>
          <w:rFonts w:ascii="Times New Roman" w:hAnsi="Times New Roman"/>
          <w:noProof/>
          <w:color w:val="000000" w:themeColor="text1"/>
          <w:sz w:val="24"/>
        </w:rPr>
        <w:t>Codul tehnic al clădirilor modificat, care mărește cantitățile minime de infrastructură de încărcare a vehiculelor electrice atât în parcările rezidențiale, cât și în cele terțiare, depășind cerințele minime ale Directivei privind eficiența energetică a clădirilor;</w:t>
      </w:r>
      <w:r>
        <w:rPr>
          <w:rFonts w:ascii="Times New Roman" w:hAnsi="Times New Roman"/>
          <w:iCs/>
          <w:noProof/>
          <w:color w:val="000000" w:themeColor="text1"/>
          <w:sz w:val="24"/>
        </w:rPr>
        <w:t xml:space="preserve"> și</w:t>
      </w:r>
    </w:p>
    <w:p>
      <w:pPr>
        <w:numPr>
          <w:ilvl w:val="0"/>
          <w:numId w:val="20"/>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Regulamentul modificat privind electrotehnica joasă, care include obligații privind încărcarea infrastructurii din parcări, care nu sunt legate de o clădire.</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themeColor="text1"/>
          <w:sz w:val="24"/>
          <w:szCs w:val="24"/>
        </w:rPr>
        <w:t>Punerea în aplicare a reformei se finalizează până la joi, 30 iunie 2022.</w:t>
      </w:r>
    </w:p>
    <w:p>
      <w:pPr>
        <w:spacing w:before="120" w:after="120" w:line="240" w:lineRule="auto"/>
        <w:jc w:val="both"/>
        <w:rPr>
          <w:rFonts w:ascii="Times New Roman" w:hAnsi="Times New Roman" w:cs="Times New Roman"/>
          <w:iCs/>
          <w:noProof/>
          <w:color w:val="000000" w:themeColor="text1"/>
          <w:sz w:val="24"/>
          <w:u w:val="single"/>
        </w:rPr>
      </w:pPr>
      <w:r>
        <w:rPr>
          <w:rFonts w:ascii="Times New Roman" w:hAnsi="Times New Roman"/>
          <w:iCs/>
          <w:noProof/>
          <w:color w:val="000000" w:themeColor="text1"/>
          <w:sz w:val="24"/>
          <w:u w:val="single"/>
        </w:rPr>
        <w:t>Reforma 2 (C1.R2) - Legea privind mobilitatea și finanțarea transporturilor</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Obiectivul acestei măsuri, pus în aplicare prin intermediul unei legi, este de a oferi cadrul de reglementare care stă la baza noii politici de mobilitate din Spania, bazată pe o mai bună sustenabilitate și pe o dimensiune digitală îmbunătățită.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Legea prevede cel puțin:</w:t>
      </w:r>
    </w:p>
    <w:p>
      <w:pPr>
        <w:numPr>
          <w:ilvl w:val="0"/>
          <w:numId w:val="23"/>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instituirea unui mecanism de plată pentru utilizarea drumurilor statului, care urmează să fie introdus începând cu 2024, în conformitate cu principiul „poluatorul plătește”. </w:t>
      </w:r>
      <w:r>
        <w:rPr>
          <w:rFonts w:ascii="Times New Roman" w:hAnsi="Times New Roman"/>
          <w:noProof/>
          <w:sz w:val="24"/>
        </w:rPr>
        <w:t>Scopul acestei măsuri este internalizarea costurilor externe ale transportului rutier, creând astfel stimulente pentru o mai mare eficiență în acest sector și conducând la o reducere a emisiilor de gaze cu efect de seră.</w:t>
      </w:r>
    </w:p>
    <w:p>
      <w:pPr>
        <w:numPr>
          <w:ilvl w:val="0"/>
          <w:numId w:val="23"/>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o serie de obligații și ghiduri metodologice aplicabile municipalităților și întreprinderilor de o anumită dimensiune pentru a stimula punerea în aplicare a unui plan de mobilitate urbană durabilă și, respectiv, a unor programe de mobilitate profesională durabile; </w:t>
      </w:r>
    </w:p>
    <w:p>
      <w:pPr>
        <w:numPr>
          <w:ilvl w:val="0"/>
          <w:numId w:val="23"/>
        </w:num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sz w:val="24"/>
          <w:szCs w:val="24"/>
        </w:rPr>
        <w:t>instituirea unui mecanism de creștere a rigurozității în planificarea infrastructurii, în conformitate cu recomandările emise de autoritatea fiscală independentă (</w:t>
      </w:r>
      <w:r>
        <w:rPr>
          <w:rFonts w:ascii="Times New Roman" w:hAnsi="Times New Roman"/>
          <w:i/>
          <w:noProof/>
          <w:sz w:val="24"/>
          <w:szCs w:val="24"/>
        </w:rPr>
        <w:t>Autoridad Independiente de Responsabilidad Fiscal, AIReF</w:t>
      </w:r>
      <w:r>
        <w:rPr>
          <w:rFonts w:ascii="Times New Roman" w:hAnsi="Times New Roman"/>
          <w:noProof/>
          <w:sz w:val="24"/>
          <w:szCs w:val="24"/>
        </w:rPr>
        <w:t>), incluzând considerații privind sustenabilitatea și analiza cost-beneficiu socială;</w:t>
      </w:r>
      <w:r>
        <w:rPr>
          <w:rFonts w:ascii="Times New Roman" w:hAnsi="Times New Roman"/>
          <w:noProof/>
          <w:color w:val="000000" w:themeColor="text1"/>
          <w:sz w:val="24"/>
          <w:szCs w:val="24"/>
        </w:rPr>
        <w:t xml:space="preserve"> </w:t>
      </w:r>
    </w:p>
    <w:p>
      <w:pPr>
        <w:numPr>
          <w:ilvl w:val="0"/>
          <w:numId w:val="23"/>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instituirea unui sistem previzibil de finanțare a transportului urban în toate localitățile țării, pe baza unor criterii uniforme de distribuire a fondurilor de stat; </w:t>
      </w:r>
    </w:p>
    <w:p>
      <w:pPr>
        <w:numPr>
          <w:ilvl w:val="0"/>
          <w:numId w:val="23"/>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introducerea unui spațiu de testare în materie de reglementare care să faciliteze inovațiile în sectorul mobilității și al transporturilor și intrarea acestora pe piață;</w:t>
      </w:r>
    </w:p>
    <w:p>
      <w:pPr>
        <w:numPr>
          <w:ilvl w:val="0"/>
          <w:numId w:val="23"/>
        </w:num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îmbunătățirea guvernanței în conformitate cu recomandările AIReF prin stabilirea: (i) un sistem național de mobilitate care să promoveze coordonarea și cooperarea între cele trei administrații teritoriale responsabile cu transporturile și mobilitatea; </w:t>
      </w:r>
      <w:r>
        <w:rPr>
          <w:rFonts w:ascii="Times New Roman" w:hAnsi="Times New Roman"/>
          <w:noProof/>
          <w:sz w:val="24"/>
          <w:szCs w:val="24"/>
        </w:rPr>
        <w:t>(ii) un Consiliu superior pentru transporturi și mobilitate, ca organism de consiliere, dezbatere și implicare a sectoarelor productive, a mediului academic și a societății civile în definirea politicilor de transport și mobilitate; și (iii) o platformă integrată de informare privind transporturile și mobilitatea pentru a integra informații din diferite administrații și surse externe privind transportul și mobilitatea. Acest lucru va permite administrațiilor să optimizeze conceperea politicilor publice și să își îmbunătățească capacitatea de a răspunde la crize și situații de urgență.</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Măsura se publică în Jurnalul Oficial până la 31 decembrie 2023. </w:t>
      </w:r>
    </w:p>
    <w:p>
      <w:pPr>
        <w:keepNext/>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Investiția 1 (C1.I1) - Zone cu emisii scăzute și transformarea transportului urban și metropolitan</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Obiectivul acestei măsuri este de a promova transformarea durabilă și digitală a serviciilor de transport, cu scopul de a contribui la reducerea cu 35 % a utilizării vehiculelor private în mediul urban până în 2030. Măsura acoperă, de asemenea, stimulentele pentru tranziția către flote de transport de călători și mărfuri mai curate ale întreprinderilor care furnizează servicii de transport. Această investiție este pusă în aplicare de autoritățile locale, comunitățile autonome și Ministerul Transporturilor, Mobilității și Agendei urbane (MITMA). </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themeColor="text1"/>
          <w:sz w:val="24"/>
          <w:szCs w:val="24"/>
        </w:rPr>
        <w:t xml:space="preserve">Proiectele de investiții pe care comunitățile autonome urmează să le realizeze se pot referi la: </w:t>
      </w:r>
      <w:r>
        <w:rPr>
          <w:rFonts w:ascii="Times New Roman" w:hAnsi="Times New Roman"/>
          <w:noProof/>
        </w:rPr>
        <w:t>(a) conversia parcurilor de vehicule de transport public în vederea atingerii obiectivelor Directivei privind vehiculele nepoluante și în conformitate cu Orientările tehnice privind principiul „de a nu prejudicia în mod semnificativ” (2021/C58/01);</w:t>
      </w:r>
      <w:r>
        <w:rPr>
          <w:rFonts w:ascii="Times New Roman" w:hAnsi="Times New Roman"/>
          <w:noProof/>
          <w:color w:val="000000" w:themeColor="text1"/>
          <w:sz w:val="24"/>
          <w:szCs w:val="24"/>
        </w:rPr>
        <w:t xml:space="preserve"> (b) punerea în aplicare și gestionarea zonelor cu emisii scăzute (ZEE); (c) digitalizarea transportului public, gestionarea sa administrativă și îmbunătățirea accesibilității acestuia; (d) măsuri de prioritizare a transportului în comun și a mobilității active, inclusiv a infrastructurii pentru biciclete și a benzilor pietonale; (e) stimularea pătrunderii în Spania a noilor tehnologii cu emisii zero în domeniul transporturilor; </w:t>
      </w:r>
      <w:r>
        <w:rPr>
          <w:rFonts w:ascii="Times New Roman" w:hAnsi="Times New Roman"/>
          <w:noProof/>
        </w:rPr>
        <w:t>(f) parcările cu scop disuasiv situate în afara acestor comune și capitale ale provinciei pentru a reduce traficul care intră în centrul urban și (g) extinderea sau modernizarea sistemului de transport feroviar (de exemplu, metrouri sau căi ferate);</w:t>
      </w:r>
      <w:r>
        <w:rPr>
          <w:rFonts w:ascii="Times New Roman" w:hAnsi="Times New Roman"/>
          <w:noProof/>
          <w:sz w:val="24"/>
          <w:szCs w:val="24"/>
        </w:rPr>
        <w:t xml:space="preserve"> (h) proiecte de digitalizare care completează măsurile de sprijinire a mobilității durabile, inclusiv sisteme de informare în timp real cu privire la serviciile de transport public, mobilitate ca serviciu, proiecte de îmbunătățire a biletelor intermodale sau interservicii, proiecte de sprijinire a gestionării traficului și mobilității și analiza informațiilor în vederea creșterii eficienței sistemului de transport și (i) orice alt proiect care: i. să contribuie la îmbunătățirea calității aerului, în special în zonele urbane, ii. să stimuleze reducerea utilizării transportului privat în zonele urbane și metropolitane, iii. să stimuleze utilizarea transportului public sau stimulând mobilitatea activă și sănătoasă.</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Proiectele autorităților locale vor consta, de exemplu, în: (a) conversia parcurilor de vehicule de transport public în vederea atingerii obiectivelor Directivei privind vehiculele nepoluante și în conformitate cu Orientările tehnice privind principiul „de a nu prejudicia în mod semnificativ” (2021/C58/01); (b) punerea în aplicare și gestionarea zonelor cu emisii scăzute (ZEE); (c) digitalizarea transportului public, gestionarea sa administrativă și îmbunătățirea accesibilității acestuia; și (d) măsuri de stimulare și prioritizare a transportului în comun și a mobilității active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Acest ajutor se alocă municipalităților cu peste 50 000 de locuitori și capitalelor provinciilor și, în anumite condiții, poate fi alocat și municipalităților cu o populație cuprinsă între 20 000 și 50 000 de locuitori. </w:t>
      </w:r>
    </w:p>
    <w:p>
      <w:pPr>
        <w:spacing w:after="160" w:line="259" w:lineRule="auto"/>
        <w:ind w:left="2"/>
        <w:jc w:val="both"/>
        <w:rPr>
          <w:rFonts w:ascii="Times New Roman" w:hAnsi="Times New Roman" w:cs="Times New Roman"/>
          <w:noProof/>
          <w:color w:val="000000" w:themeColor="text1"/>
        </w:rPr>
      </w:pPr>
      <w:r>
        <w:rPr>
          <w:rFonts w:ascii="Times New Roman" w:hAnsi="Times New Roman"/>
          <w:noProof/>
          <w:color w:val="000000" w:themeColor="text1"/>
          <w:sz w:val="24"/>
        </w:rPr>
        <w:t xml:space="preserve">Proiectele de investiții MITMA vor viza umanizarea și organizarea traficului pe drumurile urbane aflate în responsabilitatea sa. Investițiile contribuie la promovarea mobilității pietonilor și a cicliștilor și a altor forme noi de mobilitate (scutere) sau la reducerea spațiilor pentru automobile și la reducerea vitezei vehiculelor, cu scopul de a reduce atât emisiile atmosferice, cât și poluarea fonică. </w:t>
      </w:r>
    </w:p>
    <w:p>
      <w:pPr>
        <w:spacing w:after="160" w:line="259" w:lineRule="auto"/>
        <w:ind w:left="2"/>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Stimulentele pentru transformarea flotelor de pasageri și de marfă ale întreprinderilor de transport constau în următoarele linii de ajutor: (a) ajutoarele pentru achiziționarea de vehicule pentru transportul de pasageri și de marfă cu emisii zero sau scăzute; (b) ajutoare pentru instalarea infrastructurii de realimentare pentru vehiculele comerciale cu combustibili alternativi (electrică, GNL, GNC și biometan); (c) ajutoarele acordate întreprinderilor pentru achiziționarea sau adaptarea remorcilor și semiremorcilor la transportul intermodal; și (d) ajutoare acordate întreprinderilor pentru dezmembrarea vehiculelor vechi. </w:t>
      </w:r>
    </w:p>
    <w:p>
      <w:pPr>
        <w:spacing w:after="160" w:line="259" w:lineRule="auto"/>
        <w:ind w:left="2"/>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Se preconizează că această măsură nu aduce prejudicii semnificative obiectivelor de mediu în sensul articolului 17 din Regulamentul (UE) 2020/852, ținând seama de descrierea măsurii și de măsurile de atenuare stabilite în planul de redresare și reziliență în conformitate cu Orientările tehnice DNSH (2021/C58/01). În special, sprijinul pentru linia de ajutor (a) acoperă numai autobuzele electrice și cu „podea joasă” pe bază de hidrogen (categoriile M2 și M3, de obicei autobuzele urbane și suburbane); autobuze „cu etaj superior”, inclusiv GNL/GNC, hibride, electrice și hidrogen (categoriile M2 și M3, de obicei autocare interurbane) conforme cu EURO VI-E (categoriile M2 și M3, de obicei autocare interurbane); și camioane cu emisii zero</w:t>
      </w:r>
      <w:r>
        <w:rPr>
          <w:rFonts w:ascii="Times New Roman" w:hAnsi="Times New Roman" w:cs="Times New Roman"/>
          <w:noProof/>
          <w:color w:val="000000" w:themeColor="text1"/>
          <w:sz w:val="24"/>
          <w:szCs w:val="24"/>
          <w:vertAlign w:val="superscript"/>
          <w:lang w:val="en-IE"/>
        </w:rPr>
        <w:footnoteReference w:id="2"/>
      </w:r>
      <w:r>
        <w:rPr>
          <w:rFonts w:ascii="Times New Roman" w:hAnsi="Times New Roman"/>
          <w:noProof/>
          <w:color w:val="000000" w:themeColor="text1"/>
          <w:sz w:val="24"/>
          <w:szCs w:val="24"/>
        </w:rPr>
        <w:t>, cu emisii scăzute</w:t>
      </w:r>
      <w:r>
        <w:rPr>
          <w:rFonts w:ascii="Times New Roman" w:hAnsi="Times New Roman" w:cs="Times New Roman"/>
          <w:noProof/>
          <w:color w:val="000000" w:themeColor="text1"/>
          <w:sz w:val="24"/>
          <w:szCs w:val="24"/>
          <w:vertAlign w:val="superscript"/>
          <w:lang w:val="en-IE"/>
        </w:rPr>
        <w:footnoteReference w:id="3"/>
      </w:r>
      <w:r>
        <w:rPr>
          <w:rFonts w:ascii="Times New Roman" w:hAnsi="Times New Roman"/>
          <w:noProof/>
          <w:color w:val="000000" w:themeColor="text1"/>
          <w:sz w:val="24"/>
          <w:szCs w:val="24"/>
        </w:rPr>
        <w:t xml:space="preserve"> și cu GNL/GNC care funcționează cu biocombustibili, biolichide și combustibili din biomasă</w:t>
      </w:r>
      <w:r>
        <w:rPr>
          <w:rFonts w:ascii="Times New Roman" w:hAnsi="Times New Roman" w:cs="Times New Roman"/>
          <w:noProof/>
          <w:color w:val="000000" w:themeColor="text1"/>
          <w:sz w:val="24"/>
          <w:szCs w:val="24"/>
          <w:vertAlign w:val="superscript"/>
          <w:lang w:val="en-IE"/>
        </w:rPr>
        <w:footnoteReference w:id="4"/>
      </w:r>
      <w:r>
        <w:rPr>
          <w:rFonts w:ascii="Times New Roman" w:hAnsi="Times New Roman"/>
          <w:noProof/>
          <w:color w:val="000000" w:themeColor="text1"/>
          <w:sz w:val="24"/>
          <w:szCs w:val="24"/>
        </w:rPr>
        <w:t>. În ceea ce privește linia de ajutor (b), infrastructura de realimentare pentru vehiculele comerciale respectă condițiile pentru biocombustibili, biolichide și combustibilii din biomasă</w:t>
      </w:r>
      <w:r>
        <w:rPr>
          <w:rFonts w:ascii="Times New Roman" w:hAnsi="Times New Roman" w:cs="Times New Roman"/>
          <w:noProof/>
          <w:color w:val="000000" w:themeColor="text1"/>
          <w:sz w:val="24"/>
          <w:szCs w:val="24"/>
          <w:vertAlign w:val="superscript"/>
          <w:lang w:val="en-IE"/>
        </w:rPr>
        <w:footnoteReference w:id="5"/>
      </w:r>
      <w:r>
        <w:rPr>
          <w:rFonts w:ascii="Times New Roman" w:hAnsi="Times New Roman"/>
          <w:noProof/>
          <w:color w:val="000000" w:themeColor="text1"/>
          <w:sz w:val="24"/>
          <w:szCs w:val="24"/>
        </w:rPr>
        <w:t>.</w:t>
      </w:r>
    </w:p>
    <w:p>
      <w:pPr>
        <w:spacing w:after="160" w:line="259" w:lineRule="auto"/>
        <w:ind w:left="2"/>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Criteriile de selecție asigură faptul că cel puțin 310 000 000 EUR contribuie la obiectivele legate de schimbările climatice cu un coeficient climatic de 100 % și cel puțin 2 195 000 000 EUR cu un coeficient climatic de 40 %, în conformitate cu anexa VI la Regulamentul (UE) 2021/241 privind Mecanismul de redresare și reziliență. </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Investițiile din cadrul acestei măsuri sunt puse în aplicare până la 31 decembrie 2025.</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Investiția 2 (C1.I2) - Schemă de stimulare pentru instalarea de puncte de reîncărcare, achiziționarea de vehicule electrice și cu pilă de combustie și inovarea în domeniul electromobilității, reîncărcării și hidrogenului verde</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Această măsură vizează sprijinirea respectării cadrului național spaniol pentru energia alternativă în transporturi, accelerarea punerii în aplicare a Planului național integrat privind energia și clima și sprijinirea coeziunii teritoriale prin electrificarea mobilității în zonele rurale. Investiția este articulată în diferite scheme de ajutoare care stimulează introducerea vehiculelor electrice și a vehiculelor cu pilă de combustie, încurajând în același timp proiectele individuale de inovare legate de electromobilitate, lanțul valoric și reînnoirea parcului de vehicule la scară largă, inclusiv prin exploatarea tehnologiei pe bază de hidrogen ecologic. Investiția include, de asemenea, instalarea de stații de încărcare publice în zonele rezidențiale, precum și pe rețeaua rutieră națională. Criteriile de selecție utilizate în cererile de propuneri pentru alocarea schemelor de ajutoare includ: i) reducerea impactului asupra mediului, ii) viabilitatea tehnico-economică, iii) nivelul de dezvoltare tehnologică și de inovare, iv) reproductibilitatea și scalabilitatea, v) generarea de locuri de muncă asociate proiectului, directe și indirecte și vi) impactul asupra lanțului valoric și sinergia cu alte sectoare, în principal cu cele industriale.</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Această investiție este pusă în aplicare până la 31 august 2025. </w:t>
      </w:r>
    </w:p>
    <w:p>
      <w:pPr>
        <w:keepNext/>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u w:val="single"/>
        </w:rPr>
        <w:t xml:space="preserve">Investiția 3 (C1.I3) - Măsuri de îmbunătățire a calității și a fiabilității serviciilor de transport feroviar </w:t>
      </w:r>
    </w:p>
    <w:p>
      <w:pPr>
        <w:keepNext/>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Obiectivul acestei măsuri este îmbunătățirea atractivității și accesibilității rețelei feroviare publice pe distanțe scurte (așa-numita Cercanías), astfel încât aceasta să devină coloana vertebrală a mobilității în zonele urbane și să înlocuiască utilizarea vehiculelor private în zonele metropolitane. </w:t>
      </w:r>
      <w:r>
        <w:rPr>
          <w:rFonts w:ascii="Times New Roman" w:hAnsi="Times New Roman"/>
          <w:noProof/>
          <w:sz w:val="24"/>
          <w:szCs w:val="24"/>
        </w:rPr>
        <w:t>Proiectele sunt executate de ADIF (administratorul infrastructurii feroviare) și RENFE (operatorul de servicii feroviare cu obligații de serviciu public).</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ADIF implementează investiții în infrastructură în căile ferate Cercanías, inclusiv reînnoirea liniilor, modernizarea stațiilor și îmbunătățirea sistemului de electrificare și semnalizare.</w:t>
      </w:r>
      <w:r>
        <w:rPr>
          <w:rFonts w:ascii="Times New Roman" w:hAnsi="Times New Roman"/>
          <w:noProof/>
          <w:color w:val="000000" w:themeColor="text1"/>
          <w:sz w:val="24"/>
          <w:szCs w:val="24"/>
        </w:rPr>
        <w:t xml:space="preserve"> </w:t>
      </w:r>
      <w:r>
        <w:rPr>
          <w:rFonts w:ascii="Times New Roman" w:hAnsi="Times New Roman"/>
          <w:noProof/>
          <w:sz w:val="24"/>
          <w:szCs w:val="24"/>
        </w:rPr>
        <w:t xml:space="preserve">În plus, RENFE este responsabilă de punerea în aplicare a investițiilor pentru modernizarea gestionării transportului feroviar public. Investițiile se împart, în principal, în cinci dimensiuni: (a) digitalizarea sistemelor de securitate din stații; (b) sistemele de informare a pasagerilor; (c) îmbunătățirea controlului accesului; (d) adaptarea mașinilor de autovânzare la noile tehnologii; și (e) amenajarea instalațiilor din stațiile rețelei Cercanías.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Investiția se finalizează până la 30 iunie 2026. </w:t>
      </w:r>
    </w:p>
    <w:p>
      <w:pPr>
        <w:spacing w:before="120" w:after="120" w:line="240" w:lineRule="auto"/>
        <w:jc w:val="both"/>
        <w:rPr>
          <w:rFonts w:ascii="Times New Roman" w:hAnsi="Times New Roman" w:cs="Times New Roman"/>
          <w:b/>
          <w:bCs/>
          <w:noProof/>
          <w:color w:val="000000" w:themeColor="text1"/>
          <w:sz w:val="24"/>
          <w:u w:val="single"/>
        </w:rPr>
      </w:pPr>
      <w:r>
        <w:rPr>
          <w:rFonts w:ascii="Times New Roman" w:hAnsi="Times New Roman"/>
          <w:b/>
          <w:bCs/>
          <w:noProof/>
          <w:color w:val="000000" w:themeColor="text1"/>
          <w:sz w:val="24"/>
          <w:u w:val="single"/>
        </w:rPr>
        <w:t xml:space="preserve">A.2. </w:t>
      </w:r>
      <w:r>
        <w:rPr>
          <w:rFonts w:ascii="Times New Roman" w:hAnsi="Times New Roman"/>
          <w:b/>
          <w:bCs/>
          <w:noProof/>
          <w:color w:val="000000" w:themeColor="text1"/>
          <w:sz w:val="24"/>
          <w:u w:val="single"/>
        </w:rPr>
        <w:tab/>
        <w:t>Jaloane, ținte, indicatori și calendarul de monitorizare și implementare aplicabile sprijinului financiar nerambursabil</w:t>
      </w:r>
    </w:p>
    <w:p>
      <w:pPr>
        <w:spacing w:before="120" w:after="120" w:line="240" w:lineRule="auto"/>
        <w:jc w:val="both"/>
        <w:rPr>
          <w:rFonts w:ascii="Times New Roman" w:hAnsi="Times New Roman" w:cs="Times New Roman"/>
          <w:noProof/>
          <w:color w:val="1F497D"/>
        </w:rPr>
      </w:pPr>
      <w:r>
        <w:rPr>
          <w:rFonts w:ascii="Times New Roman" w:hAnsi="Times New Roman"/>
          <w:i/>
          <w:iCs/>
          <w:noProof/>
          <w:color w:val="000000"/>
          <w:sz w:val="24"/>
        </w:rPr>
        <w:t>Tabelul de mai jos.</w:t>
      </w:r>
      <w:r>
        <w:rPr>
          <w:rFonts w:ascii="Times New Roman" w:hAnsi="Times New Roman"/>
          <w:noProof/>
          <w:color w:val="1F497D"/>
          <w:sz w:val="24"/>
        </w:rPr>
        <w:t xml:space="preserve"> </w:t>
      </w:r>
      <w:r>
        <w:rPr>
          <w:rFonts w:ascii="Times New Roman" w:hAnsi="Times New Roman"/>
          <w:i/>
          <w:noProof/>
          <w:color w:val="000000"/>
          <w:sz w:val="24"/>
        </w:rPr>
        <w:t>Data de referință pentru toți indicatorii este 1 februarie 2020, cu excepția cazului în care se indică altfel în descrierea acțiunii.</w:t>
      </w:r>
      <w:r>
        <w:rPr>
          <w:rFonts w:ascii="Times New Roman" w:hAnsi="Times New Roman"/>
          <w:i/>
          <w:iCs/>
          <w:noProof/>
          <w:color w:val="000000"/>
          <w:sz w:val="24"/>
        </w:rPr>
        <w:t xml:space="preserve"> Sumele din tabel nu includ TVA.</w:t>
      </w:r>
    </w:p>
    <w:p>
      <w:pPr>
        <w:spacing w:before="120" w:after="120" w:line="240" w:lineRule="auto"/>
        <w:jc w:val="both"/>
        <w:rPr>
          <w:rFonts w:ascii="Times New Roman" w:hAnsi="Times New Roman" w:cs="Times New Roman"/>
          <w:noProof/>
          <w:sz w:val="24"/>
          <w:lang w:val="en-IE"/>
        </w:rPr>
      </w:pPr>
    </w:p>
    <w:p>
      <w:pPr>
        <w:spacing w:before="120" w:after="120" w:line="240" w:lineRule="auto"/>
        <w:jc w:val="both"/>
        <w:rPr>
          <w:rFonts w:ascii="Times New Roman" w:hAnsi="Times New Roman" w:cs="Times New Roman"/>
          <w:noProof/>
          <w:sz w:val="24"/>
          <w:lang w:val="en-IE"/>
        </w:rPr>
        <w:sectPr>
          <w:headerReference w:type="even" r:id="rId19"/>
          <w:headerReference w:type="default" r:id="rId20"/>
          <w:footerReference w:type="even" r:id="rId21"/>
          <w:footerReference w:type="default" r:id="rId22"/>
          <w:headerReference w:type="first" r:id="rId23"/>
          <w:footerReference w:type="first" r:id="rId24"/>
          <w:pgSz w:w="11907" w:h="16839"/>
          <w:pgMar w:top="1134" w:right="1417" w:bottom="1134" w:left="1417" w:header="709" w:footer="709" w:gutter="0"/>
          <w:pgNumType w:start="1"/>
          <w:cols w:space="720"/>
          <w:docGrid w:linePitch="360"/>
        </w:sectPr>
      </w:pPr>
    </w:p>
    <w:tbl>
      <w:tblPr>
        <w:tblW w:w="1516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2977"/>
        <w:gridCol w:w="1134"/>
        <w:gridCol w:w="851"/>
        <w:gridCol w:w="567"/>
        <w:gridCol w:w="850"/>
        <w:gridCol w:w="425"/>
        <w:gridCol w:w="567"/>
        <w:gridCol w:w="5387"/>
      </w:tblGrid>
      <w:tr>
        <w:trPr>
          <w:trHeight w:val="309"/>
          <w:tblHeader/>
        </w:trPr>
        <w:tc>
          <w:tcPr>
            <w:tcW w:w="709"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Număr</w:t>
            </w:r>
          </w:p>
        </w:tc>
        <w:tc>
          <w:tcPr>
            <w:tcW w:w="851"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Măsură</w:t>
            </w:r>
          </w:p>
        </w:tc>
        <w:tc>
          <w:tcPr>
            <w:tcW w:w="850"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Jalon</w:t>
            </w:r>
            <w:r>
              <w:rPr>
                <w:rFonts w:ascii="Times New Roman" w:hAnsi="Times New Roman"/>
                <w:b/>
                <w:noProof/>
                <w:color w:val="000000"/>
                <w:sz w:val="18"/>
                <w:szCs w:val="18"/>
              </w:rPr>
              <w:br/>
              <w:t xml:space="preserve"> /Țintă</w:t>
            </w:r>
          </w:p>
        </w:tc>
        <w:tc>
          <w:tcPr>
            <w:tcW w:w="2977"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Denumire</w:t>
            </w:r>
          </w:p>
        </w:tc>
        <w:tc>
          <w:tcPr>
            <w:tcW w:w="1134"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Indicator calitativ pentru obiectivele de etapă</w:t>
            </w:r>
          </w:p>
        </w:tc>
        <w:tc>
          <w:tcPr>
            <w:tcW w:w="2268" w:type="dxa"/>
            <w:gridSpan w:val="3"/>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Indicator cantitativ pentru obiectiv</w:t>
            </w:r>
          </w:p>
        </w:tc>
        <w:tc>
          <w:tcPr>
            <w:tcW w:w="992" w:type="dxa"/>
            <w:gridSpan w:val="2"/>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Timp</w:t>
            </w:r>
          </w:p>
        </w:tc>
        <w:tc>
          <w:tcPr>
            <w:tcW w:w="5387"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bCs/>
                <w:noProof/>
                <w:sz w:val="18"/>
                <w:szCs w:val="18"/>
              </w:rPr>
              <w:t>Descrierea fiecărui jalon și a fiecărei ținte</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2977"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134"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Unitate</w:t>
            </w:r>
          </w:p>
        </w:tc>
        <w:tc>
          <w:tcPr>
            <w:tcW w:w="567"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Scenariu de bază</w:t>
            </w:r>
          </w:p>
        </w:tc>
        <w:tc>
          <w:tcPr>
            <w:tcW w:w="850"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Obiectiv</w:t>
            </w:r>
          </w:p>
        </w:tc>
        <w:tc>
          <w:tcPr>
            <w:tcW w:w="425"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Q</w:t>
            </w:r>
          </w:p>
        </w:tc>
        <w:tc>
          <w:tcPr>
            <w:tcW w:w="567"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An</w:t>
            </w:r>
          </w:p>
        </w:tc>
        <w:tc>
          <w:tcPr>
            <w:tcW w:w="5387"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lang w:val="en-IE"/>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Ordinul TMA/178/2020 și Decretul-lege regal nr. 23/2020</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Dispoziție din ordin și din Decretul-lege Royal-care indică intrarea lor în vigoare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2020</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i) Ordinului TMA/178/2020 privind reducerea sarcinii administrative pentru instalarea instalațiilor de reîncărcare electrică în stațiile de alimentare cu combustibil și definirea timpului necesar pentru depozitarea definitivă a infrastructurii; (ii) Decretul-lege regal nr. 23/2020 din iunie 23, prin care infrastructura de reîncărcare cu putere mai mare de 250 kW a fost declarată de utilitate publică pentru a accelera implementarea acestui tip de instalații.</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Modificări aduse Codului tehnic al clădirii (de confirmat), Regulamentului privind electrotehnia joasă (lver) și aprobării unui decret regal de reglementare a serviciilor publice de reîncărcare</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Dispoziție din cod, regulament și decret regal care indică intrarea lor în vigoare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Data intrării în vigoare a:</w:t>
            </w:r>
            <w:r>
              <w:rPr>
                <w:rFonts w:ascii="Times New Roman" w:hAnsi="Times New Roman"/>
                <w:noProof/>
                <w:color w:val="000000"/>
                <w:sz w:val="18"/>
                <w:szCs w:val="18"/>
              </w:rPr>
              <w:br/>
              <w:t>i) modificărilor aduse Codului tehnic al clădirii (de confirmat) pentru a prevedea a) obligația de a asigura preinstalarea punctelor de încărcare în 100 % din noile locuri de parcare din clădirile rezidențiale și 20 % din noile spații de parcare din clădirile comerciale și din alte clădiri, b) de a instala un punct de încărcare pentru fiecare 40 de locuri de parcare noi (și câte unul la fiecare 20 de locuri de parcare în clădirile administrației generale a statului) și c) obligația pentru parcările nerezidențiale anterior de peste 20 de locuri de parcare de a se adapta la cerința de mai sus (și anume, 40 pentru fiecare punct de încărcare) până în 2023;</w:t>
            </w:r>
            <w:r>
              <w:rPr>
                <w:rFonts w:ascii="Times New Roman" w:hAnsi="Times New Roman"/>
                <w:noProof/>
                <w:color w:val="000000"/>
                <w:sz w:val="18"/>
                <w:szCs w:val="18"/>
              </w:rPr>
              <w:br/>
              <w:t>ii) amendamentelor la Regulamentul electrotehnic de joasă tensiune (LVER) pentru a include obligații privind infrastructura de încărcare a parcurilor auto care nu sunt legate de o clădire și</w:t>
            </w:r>
            <w:r>
              <w:rPr>
                <w:rFonts w:ascii="Times New Roman" w:hAnsi="Times New Roman"/>
                <w:noProof/>
                <w:color w:val="000000"/>
                <w:sz w:val="18"/>
                <w:szCs w:val="18"/>
              </w:rPr>
              <w:br/>
              <w:t>Decretul regal de reglementare a serviciilor publice de reîncărcare, inclusiv relația dintre subiecții care participă la prestarea serviciului (operatori de puncte de încărcare, furnizori de servicii de mobilitate electrică) și stabilirea drepturilor și obligațiilor acestora</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C1.R2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Adoptarea unei legi privind mobilitatea durabilă și finanțarea transporturilor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Dispoziție din lege care indică intrarea în vigoare a legii</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adoptării unei legi privind mobilitatea durabilă și finanțarea transporturilor, îmbunătățind planificarea, coordonarea și eficiența politicilor de transport public, sprijinind digitalizarea transporturilor și utilizarea transportului public și instituind un sistem de finanțare pentru conservarea și întreținerea infrastructurilor publice care internalizează costurile de mediu</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Bugetul cheltuit pentru achiziții sau acordat de municipalități cu scopul de a promova mobilitatea durabilă</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Milioane EUR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400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Publicarea atribuirii proiectului sau a subvențiilor în JO sau pe platforma de achiziții publice sau execuția cheltuielilor aferente achizițiilor efectuate de municipalități care contribuie la promovarea mobilității durabile în localitățile cu peste 50 000 de locuitori și capitale din provincie și, în anumite condiții, pot fi alocate și municipalităților cu între 20 000 și 50 000 de locuitori. Proiectele sprijină de exemplu: (a) conversia parcurilor de vehicule de transport public în vederea atingerii obiectivelor Directivei privind vehiculele nepoluante și în conformitate cu Orientările tehnice privind principiul „de a nu prejudicia în mod semnificativ” (2021/C58/01); (b) punerea în aplicare și gestionarea zonelor cu emisii scăzute (ZEE); (c) digitalizarea transportului public, gestionarea sa administrativă și îmbunătățirea accesibilității acestuia; (d) măsuri de stimulare și prioritizare a transportului în comun și a mobilității active.</w:t>
            </w:r>
            <w:r>
              <w:rPr>
                <w:rFonts w:ascii="Times New Roman" w:hAnsi="Times New Roman"/>
                <w:noProof/>
                <w:color w:val="000000"/>
                <w:sz w:val="18"/>
                <w:szCs w:val="18"/>
              </w:rPr>
              <w:br/>
              <w:t xml:space="preserve">Criteriile de selecție garantează că, din bugetul final total de 1 500 000 000 EUR, cel puțin 310 000 000 EUR contribuie la obiectivele legate de schimbările climatice cu un coeficient climatic de 100 % și cel puțin 1 190 000 000 EUR cu un coeficient climatic de 40 %, în conformitate cu anexa VI la Regulamentul (UE) 2021/241 privind Mecanismul de redresare și reziliență.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Buget cheltuit pentru achiziții sau acordat de comunitățile autonome de cel puțin 900 milioane EUR pentru promovarea mobilității durabile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lang w:val="fr-BE" w:eastAsia="en-GB"/>
              </w:rPr>
            </w:pP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Milioane EUR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900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Publicarea atribuirii de proiecte sau subvenții în JO sau pe platforma de achiziții publice sau execuția cheltuielilor legate de achizițiile comunităților autonome. Proiectele și subvențiile acordate și achizițiile efectuate de comunitățile autonome:</w:t>
            </w:r>
            <w:r>
              <w:rPr>
                <w:rFonts w:ascii="Times New Roman" w:hAnsi="Times New Roman"/>
                <w:noProof/>
                <w:color w:val="000000"/>
                <w:sz w:val="18"/>
                <w:szCs w:val="18"/>
              </w:rPr>
              <w:br/>
              <w:t xml:space="preserve">1) să contribuie la promovarea mobilității durabile prin acordarea de subvenții întreprinderilor private pentru (a) casarea vehiculelor grele vechi, (b) reînnoirea parcurilor lor grele de pasageri și de marfă cu vehicule mai puțin poluante, (c) achiziționarea sau adaptarea remorcilor sau semiremorcilor lor pentru transportul intermodal sau (d) instalarea de puncte de reîncărcare și de realimentare cu combustibili alternativi (electrice, GNL, GNC și biometan); Subvențiile ar trebui acordate în conformitate cu Orientările tehnice privind principiul „de a nu prejudicia în mod semnificativ” (2021/C58/01); </w:t>
            </w:r>
            <w:r>
              <w:rPr>
                <w:rFonts w:ascii="Times New Roman" w:hAnsi="Times New Roman"/>
                <w:noProof/>
                <w:color w:val="000000"/>
                <w:sz w:val="18"/>
                <w:szCs w:val="18"/>
              </w:rPr>
              <w:br/>
              <w:t>sau</w:t>
            </w:r>
            <w:r>
              <w:rPr>
                <w:rFonts w:ascii="Times New Roman" w:hAnsi="Times New Roman"/>
                <w:noProof/>
                <w:color w:val="000000"/>
                <w:sz w:val="18"/>
                <w:szCs w:val="18"/>
              </w:rPr>
              <w:br/>
              <w:t xml:space="preserve">2) să contribuie la promovarea mobilității durabile în municipalitățile cu peste 50 000 de locuitori și capitale din provincie prin sprijinirea în cazuri (a) a transformării parcurilor de vehicule publice în vederea atingerii obiectivelor Directivei privind vehiculele nepoluante și în conformitate cu Orientările tehnice privind principiul „de a nu prejudicia în mod semnificativ” (2021/C58/01); (b) punerea în aplicare și gestionarea zonelor cu emisii scăzute (ZEE); (c) digitalizarea transportului public, gestionarea sa administrativă și îmbunătățirea accesibilității acestuia; (d) măsuri de prioritizare a transportului în comun și a mobilității active, inclusiv a infrastructurii pentru biciclete și a benzilor pietonale; (e) stimularea pătrunderii în Spania a noilor tehnologii cu emisii zero în domeniul transporturilor; (f) parcarea în scop disuasiv situată în afara acestor comune și capitale ale provinciei, pentru a reduce traficul care intră în centrul urban; (g) extinderea sau modernizarea sistemului de transport feroviar, cum ar fi metrourile sau căile ferate; (h) proiecte de digitalizare care completează măsurile de sprijinire a mobilității durabile, inclusiv sisteme de informare în timp real privind serviciile de transport public, mobilitate ca serviciu, proiecte de îmbunătățire a biletelor intermodale sau interservicii, proiecte de sprijinire a gestionării traficului și a mobilității și analiza informațiilor în vederea creșterii eficienței sistemului de transport și (i) alte proiecte care: i. să contribuie la îmbunătățirea calității aerului, în special în zonele urbane, ii. să stimuleze reducerea utilizării transportului privat în zonele urbane și metropolitane, iii. să stimuleze utilizarea transportului public sau iv. să stimuleze mobilitatea activă și sănătoasă.  </w:t>
            </w:r>
            <w:r>
              <w:rPr>
                <w:rFonts w:ascii="Times New Roman" w:hAnsi="Times New Roman"/>
                <w:noProof/>
                <w:color w:val="000000"/>
                <w:sz w:val="18"/>
                <w:szCs w:val="18"/>
              </w:rPr>
              <w:br/>
              <w:t>Criteriile de selecție asigură faptul că cel puțin 900 000 000 EUR contribuie la obiectivele legate de schimbările climatice cu un coeficient climatic de 40 %, în conformitate cu anexa VI la Regulamentul (UE) 2021/241 privind Mecanismul de redresare și reziliență.</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Proiecte finalizate care promovează mobilitatea durabilă, inclusiv în zonele urbane și metropolitane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lang w:val="en-IE" w:eastAsia="en-GB"/>
              </w:rPr>
            </w:pP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25</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Au fost finalizate cel puțin 25 de proiecte de promovare a mobilității durabile, în 150 de zone urbane și metropolitane cu peste 50 000 de locuitori și, în anumite condiții, în zonele urbane cu o populație cuprinsă între 20 000 și 50 000 de locuitori.</w:t>
            </w:r>
            <w:r>
              <w:rPr>
                <w:rFonts w:ascii="Times New Roman" w:hAnsi="Times New Roman"/>
                <w:noProof/>
                <w:color w:val="000000"/>
                <w:sz w:val="18"/>
                <w:szCs w:val="18"/>
              </w:rPr>
              <w:br/>
              <w:t>Proiectele care promovează mobilitatea durabilă sunt următoarele:</w:t>
            </w:r>
            <w:r>
              <w:rPr>
                <w:rFonts w:ascii="Times New Roman" w:hAnsi="Times New Roman"/>
                <w:noProof/>
                <w:color w:val="000000"/>
                <w:sz w:val="18"/>
                <w:szCs w:val="18"/>
              </w:rPr>
              <w:br/>
              <w:t>i. Proiecte elaborate de municipalități care contribuie la promovarea mobilității durabile în localitățile cu peste 50 000 de locuitori și capitale din provincie și care, în anumite condiții, pot fi alocate și municipalităților cu o populație cuprinsă între 20 000 și 50 000 de locuitori. Proiectele sprijină de exemplu: (a) conversia parcurilor de vehicule de transport public în vederea atingerii obiectivelor Directivei privind vehiculele nepoluante și în conformitate cu Orientările tehnice privind principiul „de a nu prejudicia în mod semnificativ” (2021/C58/01); (b) punerea în aplicare și gestionarea zonelor cu emisii scăzute (ZEE); (c) digitalizarea transportului public, gestionarea sa administrativă și îmbunătățirea accesibilității acestuia; (d) măsuri de stimulare și prioritizare a transportului în comun și a mobilității active. Un proiect este un set de activități definite, interconectate și coordonate, desfășurate cu un obiectiv comun în anumite termene și limite bugetare, pentru care se solicită o subvenție. O municipalitate poate dezvolta mai multe proiecte.</w:t>
            </w:r>
            <w:r>
              <w:rPr>
                <w:rFonts w:ascii="Times New Roman" w:hAnsi="Times New Roman"/>
                <w:noProof/>
                <w:color w:val="000000"/>
                <w:sz w:val="18"/>
                <w:szCs w:val="18"/>
              </w:rPr>
              <w:br/>
              <w:t>Proiecte de promovare a mobilității durabile în zonele urbane și metropolitane dezvoltate de comunitățile autonome. Aceasta se referă la tipologiile a) - i) specificate în investiția C1.I1. Zonele urbane și metropolitane sunt definite ca municipalități cu peste 50 000 de locuitori, capitale în provincii și, în anumite condiții, municipalități cu peste 20 000 de locuitori. Fiecare comunitate autonomă poate dezvolta mai multe proiecte.</w:t>
            </w:r>
            <w:r>
              <w:rPr>
                <w:rFonts w:ascii="Times New Roman" w:hAnsi="Times New Roman"/>
                <w:noProof/>
                <w:color w:val="000000"/>
                <w:sz w:val="18"/>
                <w:szCs w:val="18"/>
              </w:rPr>
              <w:br/>
              <w:t>Proiecte care acordă subvenții întreprinderilor private pentru (a) dezmembrarea vehiculelor grele vechi, (b) reînnoirea parcurilor lor grele de pasageri și de marfă cu vehicule mai puțin poluante, (c) achiziționarea sau adaptarea remorcilor sau semiremorcilor lor pentru transportul intermodal sau (d) instalarea de puncte de realimentare cu combustibili alternativi (electrice, GNL, GNC și biometan). Cel puțin 8 500 de vehicule grele sau puncte de realimentare trebuie subvenționate astfel încât să se considere că a fost finalizat un proiect de promovare a mobilității durabile. Subvențiile ar trebui acordate în conformitate cu Orientările tehnice privind principiul „de a nu prejudicia în mod semnificativ” (2021/C58/01).</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Bugetul cheltuit pentru achiziții sau acordat de municipalități cu scopul de a promova mobilitatea durabilă</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Milioane EUR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400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1 500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5387"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Publicarea atribuirii proiectului sau a subvențiilor în JO sau pe platforma de achiziții publice sau execuția cheltuielilor aferente achizițiilor efectuate de municipalități care contribuie la promovarea mobilității durabile în localitățile cu peste 50 000 de locuitori și capitale din provincie și, în anumite condiții, pot fi alocate și municipalităților cu între 20 000 și 50 000 de locuitori. Proiectele sprijină de exemplu: (a) conversia parcurilor de vehicule de transport public în vederea atingerii obiectivelor Directivei privind vehiculele nepoluante și în conformitate cu Orientările tehnice privind principiul „de a nu prejudicia în mod semnificativ” (2021/C58/01); (b) punerea în aplicare și gestionarea zonelor cu emisii scăzute (ZEE); (c) digitalizarea transportului public, gestionarea sa administrativă și îmbunătățirea accesibilității acestuia; (d) măsuri de stimulare și prioritizare a transportului în comun și a mobilității active.</w:t>
            </w:r>
            <w:r>
              <w:rPr>
                <w:rFonts w:ascii="Times New Roman" w:hAnsi="Times New Roman"/>
                <w:noProof/>
                <w:color w:val="000000"/>
                <w:sz w:val="18"/>
                <w:szCs w:val="18"/>
              </w:rPr>
              <w:br/>
              <w:t>Criteriile de selecție asigură faptul că cel puțin 310 000 000 EUR contribuie la obiectivele legate de schimbările climatice cu un coeficient climatic de 100 % și cel puțin 1 190 000 000 EUR cu un coeficient climatic de 40 %, în conformitate cu anexa VI la Regulamentul (UE) 2021/241 privind Mecanismul de redresare și reziliență.</w:t>
            </w:r>
          </w:p>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Valoare de referință 31 decembrie 2022)</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Atribuire de proiecte de îmbunătățire a noilor forme de mobilitate pe drumurile publice</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Milioane EUR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105</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Publicarea în JO sau pe platforma de achiziții publice a atribuirii de către Ministerul Transporturilor, Mobilității și Agendei urbane a cel puțin 105 milioane EUR pentru proiecte de îmbunătățire a drumurilor publice în zonele urbane. Proiectele vor consta în construirea de noi benzi pentru biciclete, extinderea zonelor pietonale, reducerea zonelor de parcare sau îmbunătățirea siguranței la treceri.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Proiecte finalizate care promovează mobilitatea durabilă, inclusiv în zonele urbane și metropolitane</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25</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280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2025</w:t>
            </w:r>
          </w:p>
        </w:tc>
        <w:tc>
          <w:tcPr>
            <w:tcW w:w="5387"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Au fost finalizate cel puțin 280 de proiecte de promovare a mobilității durabile, inclusiv în zonele urbane și metropolitane, pentru a contribui la mobilitatea durabilă în cele 150 de zone urbane cu peste 50 000 de locuitori și, în anumite condiții, în zonele urbane cu între 20 000 și 50 000 de locuitori.</w:t>
            </w:r>
            <w:r>
              <w:rPr>
                <w:rFonts w:ascii="Times New Roman" w:hAnsi="Times New Roman"/>
                <w:noProof/>
                <w:color w:val="000000"/>
                <w:sz w:val="18"/>
                <w:szCs w:val="18"/>
              </w:rPr>
              <w:br/>
              <w:t>Proiectele care promovează mobilitatea durabilă sunt următoarele:</w:t>
            </w:r>
            <w:r>
              <w:rPr>
                <w:rFonts w:ascii="Times New Roman" w:hAnsi="Times New Roman"/>
                <w:noProof/>
                <w:color w:val="000000"/>
                <w:sz w:val="18"/>
                <w:szCs w:val="18"/>
              </w:rPr>
              <w:br/>
              <w:t>i. Proiecte elaborate de municipalități care contribuie la promovarea mobilității durabile în localitățile cu peste 50 000 de locuitori și capitale din provincie și care, în anumite condiții, pot fi alocate și municipalităților cu o populație cuprinsă între 20 000 și 50 000 de locuitori. Proiectele sprijină de exemplu: (a) conversia parcurilor de vehicule de transport public în vederea atingerii obiectivelor Directivei privind vehiculele nepoluante și în conformitate cu Orientările tehnice privind principiul „de a nu prejudicia în mod semnificativ” (2021/C58/01); (b) punerea în aplicare și gestionarea zonelor cu emisii scăzute (ZEE); (c) digitalizarea transportului public, gestionarea sa administrativă și îmbunătățirea accesibilității acestuia; (d) măsuri de stimulare și prioritizare a transportului în comun și a mobilității active. Un proiect este un set de activități definite, interconectate și coordonate, desfășurate cu un obiectiv comun în anumite termene și limite bugetare, pentru care se solicită o subvenție. O municipalitate poate dezvolta mai multe proiecte.</w:t>
            </w:r>
            <w:r>
              <w:rPr>
                <w:rFonts w:ascii="Times New Roman" w:hAnsi="Times New Roman"/>
                <w:noProof/>
                <w:color w:val="000000"/>
                <w:sz w:val="18"/>
                <w:szCs w:val="18"/>
              </w:rPr>
              <w:br/>
              <w:t xml:space="preserve">Proiecte de promovare a mobilității durabile în zonele urbane și metropolitane dezvoltate de comunitățile autonome. Aceasta se referă la tipologiile a) - i) specificate în investiția C1.I1. Zonele urbane și metropolitane sunt definite ca municipalități cu peste 50 000 de locuitori, capitale din provincie și municipalități cu peste 20 000 de locuitori în anumite condiții. Fiecare comunitate autonomă poate dezvolta mai multe proiecte. </w:t>
            </w:r>
            <w:r>
              <w:rPr>
                <w:rFonts w:ascii="Times New Roman" w:hAnsi="Times New Roman"/>
                <w:noProof/>
                <w:color w:val="000000"/>
                <w:sz w:val="18"/>
                <w:szCs w:val="18"/>
              </w:rPr>
              <w:br/>
              <w:t>Proiecte care acordă subvenții întreprinderilor private pentru (a) dezmembrarea vehiculelor grele vechi, (b) reînnoirea parcurilor lor grele de pasageri și de marfă cu vehicule mai puțin poluante, (c) achiziționarea sau adaptarea remorcilor sau semiremorcilor lor pentru transportul intermodal sau (d) instalarea de puncte de realimentare cu combustibili alternativi (electrice, GNL, GNC și biometan). Cel puțin 3 000 de vehicule grele sau puncte de realimentare sau de reîncărcare sau puncte de realimentare trebuie subvenționate astfel încât să se considere că a fost finalizat un proiect de promovare a mobilității durabile. Subvențiile ar trebui acordate în conformitate cu Orientările tehnice privind principiul „de a nu prejudicia în mod semnificativ” (2021/C58/01).</w:t>
            </w:r>
          </w:p>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Valoare de referință 31 decembrie 2023)</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10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C1.I1</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Îmbunătățirea drumurilor de stat din zonele urbane pentru a promova noi forme de mobilitate</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Număr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34</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2025</w:t>
            </w:r>
          </w:p>
        </w:tc>
        <w:tc>
          <w:tcPr>
            <w:tcW w:w="538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Cel puțin 34 drumuri de stat din zonele urbane s-au îmbunătățit prin construirea de noi benzi pentru biciclete, extinderea zonelor pietonale, reducerea zonelor de parcare sau îmbunătățirea siguranței la treceri.</w:t>
            </w:r>
            <w:r>
              <w:rPr>
                <w:rFonts w:ascii="Times New Roman" w:hAnsi="Times New Roman"/>
                <w:noProof/>
                <w:color w:val="000000"/>
                <w:sz w:val="18"/>
                <w:szCs w:val="18"/>
              </w:rPr>
              <w:br/>
              <w:t>Această investiție va fi realizată de Ministerul Transporturilor, Mobilității și Agendei Urbane pe drumurile pe care le deține în zonele urbane.</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11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C1.I2</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Acordare de proiecte inovatoare de promovare a electromobilității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Milioane EUR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250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2023</w:t>
            </w:r>
          </w:p>
        </w:tc>
        <w:tc>
          <w:tcPr>
            <w:tcW w:w="538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Publicarea în JO a premiului de cel puțin 250 milioane EUR în cereri de propuneri de sprijinire a proiectelor inovatoare de promovare a electromobilității. Criteriile de selecție utilizate în cererile de propuneri pentru alocarea schemelor de ajutoare includ: i) reducerea impactului asupra mediului, ii) viabilitatea tehnico-economică, iii) nivelul de dezvoltare tehnologică și de inovare, iv) reproductibilitatea și scalabilitatea, v) generarea de locuri de muncă asociate proiectului, directe și indirecte și vi) impactul asupra lanțului valoric și sinergia cu alte sectoare, în principal cu cele industriale.</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12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C1.I2</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Vehicule electrice și puncte de reîncărcare instalate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238 000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2023</w:t>
            </w:r>
          </w:p>
        </w:tc>
        <w:tc>
          <w:tcPr>
            <w:tcW w:w="538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Cel puțin 238 000 vehicule electrice (BEV, REEV, PHEV, FCEV) și puncte de reîncărcare subvenționate </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13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C1.I2</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Finalizarea proiectelor inovatoare de promovare a electromobilității</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Număr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85</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2025</w:t>
            </w:r>
          </w:p>
        </w:tc>
        <w:tc>
          <w:tcPr>
            <w:tcW w:w="538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Finalizarea a cel puțin 85 proiecte implementate în cadrul programului de sprijin pentru proiecte de inovare în domeniul electromobilității (MOVES Singulares). </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14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C1.I3</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Linii de cale ferată pe distanțe scurte (Cercanías)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Număr (Km)</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200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2023</w:t>
            </w:r>
          </w:p>
        </w:tc>
        <w:tc>
          <w:tcPr>
            <w:tcW w:w="538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Cel puțin 200 km de linii de cale ferată pe distanțe scurte modernizate în oricare dintre subsisteme: instalații pentru peroane, căi ferate, electrificare, securitate și comunicații/semnalizare.</w:t>
            </w:r>
            <w:r>
              <w:rPr>
                <w:rFonts w:ascii="Times New Roman" w:hAnsi="Times New Roman"/>
                <w:noProof/>
                <w:color w:val="000000"/>
                <w:sz w:val="18"/>
                <w:szCs w:val="18"/>
              </w:rPr>
              <w:br/>
              <w:t xml:space="preserve">Lungimea liniilor de cale ferată pe distanțe scurte care sunt modernizate ar trebui interpretată în termeni de lungime situată în zonele urbane sau metropolitane în care a fost pusă în aplicare o intervenție semnificativă care nu reprezintă suma care trebuie efectuată sau reparată. Intervențiile ar putea include electrificarea, reînnoirea căii, îmbunătățirea sistemelor de semnalizare și de siguranță și îmbunătățirea stațiilor, care merg dincolo de întreținere și reparații și care sunt puse în aplicare de-a lungul teritoriului național în toate centrele de populație care beneficiază de servicii de la Cercanías Ferroviarias.  </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15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C1.I3</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Stații îmbunătățite cu ajutorul digitalizării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420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2023</w:t>
            </w:r>
          </w:p>
        </w:tc>
        <w:tc>
          <w:tcPr>
            <w:tcW w:w="538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Cel puțin 420 stații s-au îmbunătățit cu toate sau unele dintre proiectele dezvoltate de RENFE în calitate de operator SPO, enumerate în continuare: </w:t>
            </w:r>
            <w:r>
              <w:rPr>
                <w:rFonts w:ascii="Times New Roman" w:hAnsi="Times New Roman"/>
                <w:noProof/>
                <w:color w:val="000000"/>
                <w:sz w:val="18"/>
                <w:szCs w:val="18"/>
              </w:rPr>
              <w:br/>
              <w:t>• Digitalizarea sistemelor de securitate din stații (cum ar fi analiza video inteligentă, securitatea cibernetică și controlul fraudelor)</w:t>
            </w:r>
            <w:r>
              <w:rPr>
                <w:rFonts w:ascii="Times New Roman" w:hAnsi="Times New Roman"/>
                <w:noProof/>
                <w:color w:val="000000"/>
                <w:sz w:val="18"/>
                <w:szCs w:val="18"/>
              </w:rPr>
              <w:br/>
              <w:t>• Sistemele de informații despre pasageri</w:t>
            </w:r>
            <w:r>
              <w:rPr>
                <w:rFonts w:ascii="Times New Roman" w:hAnsi="Times New Roman"/>
                <w:noProof/>
                <w:color w:val="000000"/>
                <w:sz w:val="18"/>
                <w:szCs w:val="18"/>
              </w:rPr>
              <w:br/>
              <w:t>• Îmbunătățirea controlului accesului la stații</w:t>
            </w:r>
            <w:r>
              <w:rPr>
                <w:rFonts w:ascii="Times New Roman" w:hAnsi="Times New Roman"/>
                <w:noProof/>
                <w:color w:val="000000"/>
                <w:sz w:val="18"/>
                <w:szCs w:val="18"/>
              </w:rPr>
              <w:br/>
              <w:t>• Proiecte privind distribuitoare automate de bilete</w:t>
            </w:r>
            <w:r>
              <w:rPr>
                <w:rFonts w:ascii="Times New Roman" w:hAnsi="Times New Roman"/>
                <w:noProof/>
                <w:color w:val="000000"/>
                <w:sz w:val="18"/>
                <w:szCs w:val="18"/>
              </w:rPr>
              <w:br/>
              <w:t xml:space="preserve">• Adaptarea facilităților </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16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C1.I3</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Stații „Cercanías” îmbunătățite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2023</w:t>
            </w:r>
          </w:p>
        </w:tc>
        <w:tc>
          <w:tcPr>
            <w:tcW w:w="538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Cel puțin 20 de stații „Cercanías” au fost îmbunătățite de ADIF, în principal în ceea ce privește lucrările de accesibilitate și căile ferate noi sau renovate </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17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C1.I3</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Buget cumulat acordat pentru investiții în linii de cale ferată pe distanțe scurte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Milioane EUR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1 619</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2024</w:t>
            </w:r>
          </w:p>
        </w:tc>
        <w:tc>
          <w:tcPr>
            <w:tcW w:w="538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Publicarea în JO a bugetului cumulat acordat pentru investiții în linii de cale ferată pe distanțe scurte: cel puțin: 1 619 000 000 EUR. </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18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C1.I3</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Linii feroviare pe distanțe scurte (Cercanías) modernizate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Număr (km)</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200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700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2026</w:t>
            </w:r>
          </w:p>
        </w:tc>
        <w:tc>
          <w:tcPr>
            <w:tcW w:w="5387"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Cel puțin 700 km de linii de cale ferată pe distanțe scurte modernizate în oricare dintre subsisteme: instalații pentru peroane, căi ferate, electrificare, securitate și comunicații/semnalizare.</w:t>
            </w:r>
            <w:r>
              <w:rPr>
                <w:rFonts w:ascii="Times New Roman" w:hAnsi="Times New Roman"/>
                <w:noProof/>
                <w:color w:val="000000"/>
                <w:sz w:val="18"/>
                <w:szCs w:val="18"/>
              </w:rPr>
              <w:br/>
              <w:t xml:space="preserve">Lungimea liniilor de cale ferată pe distanțe scurte care sunt modernizate ar trebui interpretată în termeni de lungime situată în zonele urbane sau metropolitane în care a fost pusă în aplicare o intervenție semnificativă care nu reprezintă suma care trebuie efectuată sau reparată. Intervențiile ar putea include electrificarea, reînnoirea căii, îmbunătățirea sistemelor de semnalizare și de siguranță și îmbunătățirile stațiilor care depășesc întreținerea și reparațiile și care sunt puse în aplicare de-a lungul teritoriului național în toate centrele de populație care beneficiază de servicii din Cercanías Ferroviarias.  </w:t>
            </w:r>
          </w:p>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Valoare de referință 31 decembrie 2023)</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19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C1.I3</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Stații îmbunătățite cu ajutorul digitalizării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420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850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2026</w:t>
            </w:r>
          </w:p>
        </w:tc>
        <w:tc>
          <w:tcPr>
            <w:tcW w:w="5387"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Cel puțin 850 stații s-au îmbunătățit cu toate sau unele dintre proiectele dezvoltate de RENFE în calitate de operator SPO, enumerate în continuare: </w:t>
            </w:r>
            <w:r>
              <w:rPr>
                <w:rFonts w:ascii="Times New Roman" w:hAnsi="Times New Roman"/>
                <w:noProof/>
                <w:color w:val="000000"/>
                <w:sz w:val="18"/>
                <w:szCs w:val="18"/>
              </w:rPr>
              <w:br/>
              <w:t>• Digitalizarea sistemelor de securitate din stații (cum ar fi analiza video inteligentă, securitatea cibernetică și controlul fraudelor)</w:t>
            </w:r>
            <w:r>
              <w:rPr>
                <w:rFonts w:ascii="Times New Roman" w:hAnsi="Times New Roman"/>
                <w:noProof/>
                <w:color w:val="000000"/>
                <w:sz w:val="18"/>
                <w:szCs w:val="18"/>
              </w:rPr>
              <w:br/>
              <w:t>• Sistemele de informații despre pasageri</w:t>
            </w:r>
            <w:r>
              <w:rPr>
                <w:rFonts w:ascii="Times New Roman" w:hAnsi="Times New Roman"/>
                <w:noProof/>
                <w:color w:val="000000"/>
                <w:sz w:val="18"/>
                <w:szCs w:val="18"/>
              </w:rPr>
              <w:br/>
              <w:t>• Îmbunătățirea controlului accesului la stații</w:t>
            </w:r>
            <w:r>
              <w:rPr>
                <w:rFonts w:ascii="Times New Roman" w:hAnsi="Times New Roman"/>
                <w:noProof/>
                <w:color w:val="000000"/>
                <w:sz w:val="18"/>
                <w:szCs w:val="18"/>
              </w:rPr>
              <w:br/>
              <w:t>• Proiecte privind distribuitoare automate de bilete</w:t>
            </w:r>
            <w:r>
              <w:rPr>
                <w:rFonts w:ascii="Times New Roman" w:hAnsi="Times New Roman"/>
                <w:noProof/>
                <w:color w:val="000000"/>
                <w:sz w:val="18"/>
                <w:szCs w:val="18"/>
              </w:rPr>
              <w:br/>
              <w:t xml:space="preserve">• Adaptarea facilităților </w:t>
            </w:r>
          </w:p>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Valoare de referință 31 decembrie 2023)</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C1.I3</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Stații „Cercanías” îmbunătățite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70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2026</w:t>
            </w:r>
          </w:p>
        </w:tc>
        <w:tc>
          <w:tcPr>
            <w:tcW w:w="5387"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Cel puțin 70 de stații „Cercanías” au fost îmbunătățite de ADIF, în principal în ceea ce privește lucrările de accesibilitate și căile ferate noi sau renovate</w:t>
            </w:r>
          </w:p>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Valoare de referință 31 decembrie 2023)</w:t>
            </w:r>
          </w:p>
        </w:tc>
      </w:tr>
    </w:tbl>
    <w:p>
      <w:pPr>
        <w:rPr>
          <w:rFonts w:ascii="Times New Roman" w:hAnsi="Times New Roman" w:cs="Times New Roman"/>
          <w:noProof/>
          <w:sz w:val="24"/>
        </w:rPr>
        <w:sectPr>
          <w:headerReference w:type="even" r:id="rId25"/>
          <w:headerReference w:type="default" r:id="rId26"/>
          <w:footerReference w:type="even" r:id="rId27"/>
          <w:footerReference w:type="default" r:id="rId28"/>
          <w:headerReference w:type="first" r:id="rId29"/>
          <w:footerReference w:type="first" r:id="rId30"/>
          <w:pgSz w:w="16839" w:h="11907" w:orient="landscape"/>
          <w:pgMar w:top="1417" w:right="1134" w:bottom="1417" w:left="1134" w:header="709" w:footer="709" w:gutter="0"/>
          <w:cols w:space="720"/>
          <w:docGrid w:linePitch="360"/>
        </w:sectPr>
      </w:pPr>
      <w:r>
        <w:rPr>
          <w:noProof/>
        </w:rPr>
        <w:br w:type="page"/>
      </w:r>
    </w:p>
    <w:p>
      <w:pPr>
        <w:pStyle w:val="Heading1"/>
        <w:rPr>
          <w:noProof/>
        </w:rPr>
      </w:pPr>
      <w:r>
        <w:rPr>
          <w:noProof/>
        </w:rPr>
        <w:t>B. COMPONENTA 02: Punerea în aplicare a Agendei urbane spaniole: Planul de reabilitare și regenerare urbană</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Această componentă a planului spaniol de redresare și reziliență vizează reabilitarea energetică a clădirilor, decarbonizarea acestora și îmbunătățirea calității și a confortului acestora. Aceasta abordează, de asemenea, locuințele sociale de închiriat, mărindu-și stocul și asigurând o redresare mai echitabilă și mai favorabilă incluziunii. În plus, componenta urmărește să abordeze problema sărăciei energetice prin sprijinirea locuințelor sociale sau a locuințelor de închiriat la prețuri accesibile. Sunt incluse, de asemenea, activitățile de digitalizare. Această componentă a planului spaniol de redresare și reziliență sprijină punerea în aplicare a Planului național privind energia și clima (PNEC) al Spaniei, care prevede renovarea a 1 200 000 de clădiri rezidențiale până în 2030, precum și a sistemelor de încălzire și răcire a 300 000 de clădiri rezidențiale în medie pe an. În acest context, Spania propune:</w:t>
      </w:r>
    </w:p>
    <w:p>
      <w:pPr>
        <w:numPr>
          <w:ilvl w:val="0"/>
          <w:numId w:val="24"/>
        </w:numPr>
        <w:spacing w:before="120" w:after="0" w:line="240" w:lineRule="auto"/>
        <w:ind w:left="709" w:hanging="357"/>
        <w:contextualSpacing/>
        <w:jc w:val="both"/>
        <w:rPr>
          <w:rFonts w:ascii="Times New Roman" w:hAnsi="Times New Roman" w:cs="Times New Roman"/>
          <w:noProof/>
          <w:sz w:val="24"/>
        </w:rPr>
      </w:pPr>
      <w:r>
        <w:rPr>
          <w:rFonts w:ascii="Times New Roman" w:hAnsi="Times New Roman"/>
          <w:noProof/>
          <w:sz w:val="24"/>
        </w:rPr>
        <w:t>Să elaboreze și să pună în aplicare măsuri de reformă, inclusiv Agenda urbană spaniolă, strategia de renovare pe termen lung a Spaniei, o lege privind locuințele, o lege pentru îmbunătățirea peisajului arhitectural și crearea de „ghișee unice” pentru renovarea clădirilor;</w:t>
      </w:r>
    </w:p>
    <w:p>
      <w:pPr>
        <w:numPr>
          <w:ilvl w:val="0"/>
          <w:numId w:val="24"/>
        </w:numPr>
        <w:spacing w:before="120" w:after="0" w:line="240" w:lineRule="auto"/>
        <w:ind w:left="709" w:hanging="357"/>
        <w:contextualSpacing/>
        <w:jc w:val="both"/>
        <w:rPr>
          <w:rFonts w:ascii="Times New Roman" w:hAnsi="Times New Roman" w:cs="Times New Roman"/>
          <w:noProof/>
          <w:sz w:val="24"/>
          <w:szCs w:val="24"/>
        </w:rPr>
      </w:pPr>
      <w:r>
        <w:rPr>
          <w:rFonts w:ascii="Times New Roman" w:hAnsi="Times New Roman"/>
          <w:noProof/>
          <w:sz w:val="24"/>
          <w:szCs w:val="24"/>
        </w:rPr>
        <w:t>renovarea a cel puțin 355 000 de locuințe rezidențiale unice în cadrul a cel puțin 510 000 de acțiuni de renovare, cel puțin 600 hectare de zone urbane, echivalentul a cel puțin 40 000 de clădiri rezidențiale și 690 000 m² de clădiri nerezidențiale, cel puțin 26 000 de clădiri rezidențiale în municipalități și în zone urbane cu mai puțin de 5 000 de locuitori și cel puțin 1 230 000 m² de clădiri publice până în 2026, obținându-se, în medie, economii de energie primară de peste 30 %, inclusiv prin renovarea și modernizarea sistemelor de încălzire și răcire;</w:t>
      </w:r>
    </w:p>
    <w:p>
      <w:pPr>
        <w:numPr>
          <w:ilvl w:val="0"/>
          <w:numId w:val="24"/>
        </w:numPr>
        <w:spacing w:before="120" w:after="0" w:line="240" w:lineRule="auto"/>
        <w:ind w:left="709" w:hanging="357"/>
        <w:contextualSpacing/>
        <w:jc w:val="both"/>
        <w:rPr>
          <w:rFonts w:ascii="Times New Roman" w:hAnsi="Times New Roman" w:cs="Times New Roman"/>
          <w:noProof/>
          <w:sz w:val="24"/>
          <w:szCs w:val="24"/>
        </w:rPr>
      </w:pPr>
      <w:r>
        <w:rPr>
          <w:rFonts w:ascii="Times New Roman" w:hAnsi="Times New Roman"/>
          <w:noProof/>
          <w:sz w:val="24"/>
          <w:szCs w:val="24"/>
        </w:rPr>
        <w:t>construirea a cel puțin 20 000 de locuințe noi în scopul închirierii de locuințe sociale la prețuri accesibile, cu o cerere de energie primară cu cel puțin 20 % sub cerințele clădirilor al căror consum de energie este aproape egal cu zero; și</w:t>
      </w:r>
    </w:p>
    <w:p>
      <w:pPr>
        <w:numPr>
          <w:ilvl w:val="0"/>
          <w:numId w:val="24"/>
        </w:numPr>
        <w:spacing w:before="120" w:after="0" w:line="240" w:lineRule="auto"/>
        <w:ind w:left="709" w:hanging="357"/>
        <w:contextualSpacing/>
        <w:jc w:val="both"/>
        <w:rPr>
          <w:rFonts w:ascii="Times New Roman" w:hAnsi="Times New Roman" w:cs="Times New Roman"/>
          <w:noProof/>
          <w:sz w:val="24"/>
        </w:rPr>
      </w:pPr>
      <w:r>
        <w:rPr>
          <w:rFonts w:ascii="Times New Roman" w:hAnsi="Times New Roman"/>
          <w:noProof/>
          <w:sz w:val="24"/>
        </w:rPr>
        <w:t>să pună în aplicare cel puțin 100 proiecte-pilot la nivel local care să sprijine eficiența energetică și punerea în aplicare a Agendei urbane spaniole.</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Această componentă a planului spaniol de redresare și reziliență sprijină tranziția verde (recomandarea specifică țării 3 din 2019) și, în special, îmbunătățirea eficienței energetice (recomandarea specifică țării 3 din 2020). Acest lucru </w:t>
      </w:r>
      <w:r>
        <w:rPr>
          <w:rFonts w:ascii="Times New Roman" w:hAnsi="Times New Roman"/>
          <w:iCs/>
          <w:noProof/>
          <w:sz w:val="24"/>
        </w:rPr>
        <w:t>îmbunătățește, de asemenea, sprijinul acordat familiilor</w:t>
      </w:r>
      <w:r>
        <w:rPr>
          <w:rFonts w:ascii="Times New Roman" w:hAnsi="Times New Roman"/>
          <w:noProof/>
          <w:sz w:val="24"/>
        </w:rPr>
        <w:t xml:space="preserve"> (Recomandarea specifică țării 2 din 2019); Recomandarea specifică țării 2 din 2020) și contribuie la concentrarea la începutul perioadei a proiectelor de investiții publice mature și la promovarea investițiilor private pentru a stimula redresarea economică (Recomandarea specifică țării 3 din 2020).</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Se preconizează că nicio măsură din cadrul acestei componente nu aduce prejudicii semnificative obiectivelor de mediu în sensul articolului 17 din Regulamentul (UE) 2020/852, ținând seama de descrierea măsurilor și a măsurilor de atenuare stabilite în planul de redresare și reziliență în conformitate cu Orientările tehnice DNSH (2021/C58/01).  </w:t>
      </w:r>
    </w:p>
    <w:p>
      <w:pPr>
        <w:spacing w:before="120" w:after="120" w:line="240" w:lineRule="auto"/>
        <w:ind w:left="709"/>
        <w:jc w:val="both"/>
        <w:rPr>
          <w:rFonts w:ascii="Times New Roman" w:hAnsi="Times New Roman" w:cs="Times New Roman"/>
          <w:b/>
          <w:i/>
          <w:noProof/>
          <w:color w:val="4F81BD" w:themeColor="accent1"/>
          <w:sz w:val="24"/>
        </w:rPr>
      </w:pPr>
      <w:r>
        <w:rPr>
          <w:rFonts w:ascii="Times New Roman" w:hAnsi="Times New Roman"/>
          <w:b/>
          <w:bCs/>
          <w:noProof/>
          <w:sz w:val="24"/>
          <w:u w:val="single"/>
        </w:rPr>
        <w:t xml:space="preserve">B.1. </w:t>
      </w:r>
      <w:r>
        <w:rPr>
          <w:rFonts w:ascii="Times New Roman" w:hAnsi="Times New Roman"/>
          <w:b/>
          <w:noProof/>
          <w:sz w:val="24"/>
          <w:u w:val="single"/>
        </w:rPr>
        <w:tab/>
      </w:r>
      <w:r>
        <w:rPr>
          <w:rFonts w:ascii="Times New Roman" w:hAnsi="Times New Roman"/>
          <w:b/>
          <w:bCs/>
          <w:noProof/>
          <w:sz w:val="24"/>
          <w:u w:val="single"/>
        </w:rPr>
        <w:t>Descrierea reformelor și a investițiilor pentru care se prevede acordarea sprijinului financiar nerambursabil</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Reforma 1 (C2.R1) - Punerea în aplicare a Agendei urbane spaniole (și a planului de acțiune aferent)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Obiectivul acestei măsuri este pregătirea și aprobarea Agendei urbane spaniole, care va fi un document strategic fără caracter de reglementare care să integreze durabilitatea în domeniul politicii de dezvoltare urbană. Aceasta este, de asemenea, o metodă de lucru care ghidează toate părțile interesate din sectorul public și privat să realizeze o dezvoltare echitabilă, justă și durabilă în zonele lor specifice și să deservească administrația locală, orașele și satele, indiferent de dimensiunea populației lor, ca instrument cu o perspectivă strategică, integrată și cuprinzătoare, astfel cum se prevede în Agenda urbană a UE și în noua Cartă de la Leipzig.</w:t>
      </w:r>
      <w:r>
        <w:rPr>
          <w:rFonts w:ascii="Times New Roman" w:hAnsi="Times New Roman"/>
          <w:noProof/>
          <w:sz w:val="24"/>
          <w:szCs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Agenda urbană spaniolă este un proces de diagnosticare a punctelor slabe și a provocărilor cu care se confruntă orașele și satele Spaniei, pentru a realiza o dezvoltare urbană durabilă din punct de vedere ecologic, coezivă din punct de vedere social și fezabilă din punct de vedere economic. Acesta include un cadru strategic structurat în jurul următoarelor zece provocări strategice: demografică; mediu; economic și social; situația actuală a parcului imobiliar; vulnerabilitatea la efectele negative ale schimbărilor climatice; dependența (ridicată) de turism; și riscurile legate de poluare.</w:t>
      </w:r>
      <w:r>
        <w:rPr>
          <w:rFonts w:ascii="Times New Roman" w:hAnsi="Times New Roman"/>
          <w:noProof/>
          <w:sz w:val="24"/>
          <w:szCs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Agenda urbană include, de asemenea, un plan de acțiune specific pentru administrația națională și include orientări pentru sprijinirea entităților locale în elaborarea propriilor planuri de acțiune locală în conformitate cu metodologia propusă de administrația generală de stat, angajându-se să îmbunătățească guvernanța publică și public-privată. Investițiile 6 completează această reformă prin sprijinirea pregătirii a cel puțin 100 planuri de acțiune locale.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Ca parte a Agendei urbane spaniole și a necesității de a respecta Directiva (UE) 2018/844 privind performanța energetică a clădirilor și eficiența energetică, Spania a stabilit o strategie de renovare pe termen lung pentru a sprijini renovarea parcului național de clădiri rezidențiale și nerezidențiale. Aceasta include atât clădirile publice, cât și private și va realiza un parc imobiliar foarte eficient din punct de vedere energetic și decarbonizat până în 2050, facilitând transformarea eficientă din punctul de vedere al costurilor a clădirilor existente în clădiri al căror consum de energie este aproape egal cu zero.</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Punerea în aplicare a măsurii se finalizează până la 30 iunie 2020.</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 xml:space="preserve">Reforma 2 (C2.R2) - </w:t>
      </w:r>
      <w:r>
        <w:rPr>
          <w:rFonts w:ascii="Times New Roman" w:hAnsi="Times New Roman"/>
          <w:noProof/>
          <w:sz w:val="24"/>
          <w:szCs w:val="24"/>
          <w:u w:val="single"/>
        </w:rPr>
        <w:t>Actualizarea din 2020 a Strategiei Spaniei de renovare pe termen lung și a planului de acțiune aferent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Obiectivul acestei măsuri este punerea în aplicare a Strategiei Spaniei de renovare pe termen lung. Aceasta include acțiuni pentru pregătirea, discutarea în cadrul unor grupuri de lucru specifice, aprobarea și diseminarea documentului strategic al planului de acțiune privind strategia de renovare pe termen lung.</w:t>
      </w:r>
      <w:r>
        <w:rPr>
          <w:rFonts w:ascii="Times New Roman" w:hAnsi="Times New Roman"/>
          <w:bCs/>
          <w:noProof/>
          <w:sz w:val="24"/>
          <w:szCs w:val="24"/>
        </w:rPr>
        <w:t xml:space="preserve"> </w:t>
      </w:r>
      <w:r>
        <w:rPr>
          <w:rFonts w:ascii="Times New Roman" w:hAnsi="Times New Roman"/>
          <w:noProof/>
          <w:sz w:val="24"/>
          <w:szCs w:val="24"/>
        </w:rPr>
        <w:t xml:space="preserve">Planul de acțiune este în conformitate cu acțiunile incluse în ERESEE. </w:t>
      </w:r>
      <w:r>
        <w:rPr>
          <w:rFonts w:ascii="Times New Roman" w:hAnsi="Times New Roman"/>
          <w:bCs/>
          <w:noProof/>
          <w:sz w:val="24"/>
          <w:szCs w:val="24"/>
        </w:rPr>
        <w:t xml:space="preserve">În vederea punerii în aplicare a ERESEE, se creează mai multe grupuri de lucru pentru a elabora recomandări clare pentru punerea în aplicare a planului de acțiune pentru reabilitarea și regenerarea urbană. </w:t>
      </w:r>
      <w:r>
        <w:rPr>
          <w:rFonts w:ascii="Times New Roman" w:hAnsi="Times New Roman"/>
          <w:noProof/>
          <w:sz w:val="24"/>
          <w:szCs w:val="24"/>
        </w:rPr>
        <w:t>Rapoartele conținând recomandările grupurilor de lucru se publică.</w:t>
      </w:r>
    </w:p>
    <w:p>
      <w:pPr>
        <w:pStyle w:val="xmsonormal"/>
        <w:jc w:val="both"/>
        <w:rPr>
          <w:rFonts w:ascii="Times New Roman" w:hAnsi="Times New Roman" w:cs="Times New Roman"/>
          <w:noProof/>
          <w:sz w:val="24"/>
          <w:szCs w:val="24"/>
        </w:rPr>
      </w:pPr>
      <w:r>
        <w:rPr>
          <w:rFonts w:ascii="Times New Roman" w:hAnsi="Times New Roman"/>
          <w:noProof/>
          <w:sz w:val="24"/>
          <w:szCs w:val="24"/>
        </w:rPr>
        <w:t xml:space="preserve">În partea III a ERESEE, „Punerea în aplicare”, ERESEE include un set de acțiuni, printre care se prezintă un set de reforme ca parte a unei foi de parcurs care promovează reabilitarea și reînnoirea urbană, precum și promovarea tranziției verzi și a celei digitale. Foaia de parcurs este structurată în jurul a unsprezece axe și acțiuni menite să îmbunătățească guvernanța, reglementările și finanțarea. </w:t>
      </w:r>
      <w:r>
        <w:rPr>
          <w:rFonts w:ascii="Times New Roman" w:hAnsi="Times New Roman"/>
          <w:bCs/>
          <w:noProof/>
          <w:sz w:val="24"/>
          <w:szCs w:val="24"/>
        </w:rPr>
        <w:t>Această foaie de parcurs este inclusă în documentul strategic ca principal pas către punerea în aplicare a ERESEE. Printre cele mai relevante acțiuni se numără:</w:t>
      </w:r>
    </w:p>
    <w:p>
      <w:pPr>
        <w:numPr>
          <w:ilvl w:val="0"/>
          <w:numId w:val="27"/>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szCs w:val="24"/>
        </w:rPr>
        <w:t>Renovarea clădirilor administrației publice (în conformitate cu componenta 11 a planului spaniol de redresare și reziliență);</w:t>
      </w:r>
    </w:p>
    <w:p>
      <w:pPr>
        <w:numPr>
          <w:ilvl w:val="0"/>
          <w:numId w:val="27"/>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szCs w:val="24"/>
        </w:rPr>
        <w:t>să finanțeze domeniile identificate pentru îmbunătățire, inclusiv noua impozitare favorabilă renovării, atât în sectorul rezidențial, cât și în cel terțiar;</w:t>
      </w:r>
    </w:p>
    <w:p>
      <w:pPr>
        <w:numPr>
          <w:ilvl w:val="0"/>
          <w:numId w:val="27"/>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szCs w:val="24"/>
        </w:rPr>
        <w:t>promovarea și mobilizarea finanțării private;</w:t>
      </w:r>
    </w:p>
    <w:p>
      <w:pPr>
        <w:numPr>
          <w:ilvl w:val="0"/>
          <w:numId w:val="27"/>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szCs w:val="24"/>
        </w:rPr>
        <w:t>combaterea sărăciei energetice;</w:t>
      </w:r>
    </w:p>
    <w:p>
      <w:pPr>
        <w:numPr>
          <w:ilvl w:val="0"/>
          <w:numId w:val="27"/>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szCs w:val="24"/>
        </w:rPr>
        <w:t>implementarea unui nou model energetic în sectorul construcțiilor, pentru a încuraja consumul de energie din surse regenerabile în clădiri;</w:t>
      </w:r>
    </w:p>
    <w:p>
      <w:pPr>
        <w:numPr>
          <w:ilvl w:val="0"/>
          <w:numId w:val="27"/>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szCs w:val="24"/>
        </w:rPr>
        <w:t>activarea și cererea agregată de reabilitare;</w:t>
      </w:r>
    </w:p>
    <w:p>
      <w:pPr>
        <w:numPr>
          <w:ilvl w:val="0"/>
          <w:numId w:val="27"/>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szCs w:val="24"/>
        </w:rPr>
        <w:t>îmbunătățirea condițiilor din perspectiva ofertei, prin stimularea modernizării sectorului de reabilitare prin cercetare, dezvoltare și inovare, digitalizare și monitorizare, prin consolidarea competențelor și a formării;</w:t>
      </w:r>
    </w:p>
    <w:p>
      <w:pPr>
        <w:numPr>
          <w:ilvl w:val="0"/>
          <w:numId w:val="27"/>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szCs w:val="24"/>
        </w:rPr>
        <w:t>diseminarea informațiilor către cetățeni și întreprinderi și schimbul de bune practici între administrații; și</w:t>
      </w:r>
    </w:p>
    <w:p>
      <w:pPr>
        <w:numPr>
          <w:ilvl w:val="0"/>
          <w:numId w:val="27"/>
        </w:numPr>
        <w:spacing w:before="120" w:after="120" w:line="259" w:lineRule="auto"/>
        <w:ind w:left="714" w:hanging="357"/>
        <w:jc w:val="both"/>
        <w:rPr>
          <w:rFonts w:ascii="Times New Roman" w:eastAsia="Arial" w:hAnsi="Times New Roman" w:cs="Times New Roman"/>
          <w:noProof/>
          <w:sz w:val="24"/>
          <w:szCs w:val="24"/>
        </w:rPr>
      </w:pPr>
      <w:r>
        <w:rPr>
          <w:rFonts w:ascii="Times New Roman" w:hAnsi="Times New Roman"/>
          <w:noProof/>
          <w:sz w:val="24"/>
          <w:szCs w:val="24"/>
        </w:rPr>
        <w:t>elaborarea de statistici și indicatori pentru monitorizarea acțiunilor finanțate din fonduri publice, astfel încât politicile publice să poată fi evaluate în mod corespunzător.</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Acest document strategic va permite punerea în aplicare a ERESEE în cadrul Agendei urbane spaniole, integrând diferitele administrații (centrale, regionale și locale).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Punerea în aplicare a măsurii se finalizează până la 30 iunie 2023.</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Reforma 2 (C2.R3) - Legea privind locuințele</w:t>
      </w:r>
    </w:p>
    <w:p>
      <w:pPr>
        <w:spacing w:before="120" w:after="120" w:line="240" w:lineRule="auto"/>
        <w:jc w:val="both"/>
        <w:rPr>
          <w:rFonts w:ascii="Times New Roman" w:hAnsi="Times New Roman" w:cs="Times New Roman"/>
          <w:noProof/>
          <w:sz w:val="24"/>
        </w:rPr>
      </w:pPr>
      <w:r>
        <w:rPr>
          <w:rFonts w:ascii="Times New Roman" w:hAnsi="Times New Roman"/>
          <w:noProof/>
          <w:sz w:val="24"/>
        </w:rPr>
        <w:t>Obiectivul acestei măsuri este de a pune în aplicare, prin intermediul Legii privind locuințele, o primă reglementare de acest tip în Spania, pentru a aborda diferitele instrumente publice de planificare, programare și colaborare deja existente pentru a sprijini dreptul la o locuință decentă și adecvată. Aceasta abordează reabilitarea și îmbunătățirea fondului locativ existent, atât public, cât și privat, precum și reabilitarea și reînnoirea spațiilor rezidențiale în care sunt situate, pentru a îmbunătăți calitatea vieții. Legea abordează atingerea unui nivel suficient de fond locativ pentru închirierea de locuințe, disponibil la prețuri accesibile.</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Legislația abordează diverse instrumente de planificare, programare și colaborare pentru a asigura respectarea dreptului la o locuință decentă și adecvată, inclusiv, ca una dintre prioritățile sale, reabilitarea și îmbunătățirea fondului locativ existent, precum și regenerarea și renovarea spațiilor rezidențiale în care sunt situate.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În plus, legea încurajează creșterea ofertei de locuințe sociale și la prețuri accesibile prin asigurarea respectării cerințelor prevăzute în prezent pentru clădirile al căror consum de energie este aproape egal cu zero, în conformitate cu documentul de bază privind economisirea energiei (DB-HE) din Codul tehnic al construcțiilor (CTE) și evită măsurile care ar putea împiedica oferta de locuințe pe termen mediu.</w:t>
      </w:r>
    </w:p>
    <w:p>
      <w:pPr>
        <w:spacing w:before="120" w:after="120" w:line="240" w:lineRule="auto"/>
        <w:jc w:val="both"/>
        <w:rPr>
          <w:rFonts w:ascii="Times New Roman" w:hAnsi="Times New Roman" w:cs="Times New Roman"/>
          <w:noProof/>
          <w:sz w:val="24"/>
        </w:rPr>
      </w:pPr>
      <w:r>
        <w:rPr>
          <w:rFonts w:ascii="Times New Roman" w:hAnsi="Times New Roman"/>
          <w:noProof/>
          <w:sz w:val="24"/>
          <w:szCs w:val="24"/>
        </w:rPr>
        <w:t>Punerea în aplicare a reformei se finalizează până la 30 septembrie 2022.</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Reforma 3 (C2.R4) - Legea privind calitatea arhitecturii și a mediului construit și noua strategie națională de arhitectură</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Obiectivul acestei legi este de a declara calitatea arhitecturii și a clădirilor ca fiind un bun public, de a îmbunătăți calitatea vieții, de a promova rădăcinile sociale ale arhitecturii, de a promova dezvoltarea durabilă a zonelor și centrelor urbane, de a contribui la dezvoltarea economică și socială, precum și de a proteja și proteja patrimoniul cultural și natural.</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În acest scop, legea abordează diverse inițiative și acțiuni strâns legate de programele de reabilitare și regenerare din cadrul acestei componente a planului spaniol de redresare și reziliență. În special, legea reglementează: (i) măsuri de cooperare interadministrativă în domeniul achizițiilor de proiecte și lucrări de arhitectură, inginerie și urbanism; (ii) instrumente de diseminare a bunelor practici și de sprijin, formare și parteneriate public-privat; și (iii) promovarea reabilitării dintr-o perspectivă cuprinzătoare, precum cea descrisă mai sus. </w:t>
      </w:r>
    </w:p>
    <w:p>
      <w:pPr>
        <w:spacing w:before="120" w:after="120" w:line="240" w:lineRule="auto"/>
        <w:jc w:val="both"/>
        <w:rPr>
          <w:rFonts w:ascii="Times New Roman" w:hAnsi="Times New Roman" w:cs="Times New Roman"/>
          <w:noProof/>
          <w:sz w:val="24"/>
        </w:rPr>
      </w:pPr>
      <w:r>
        <w:rPr>
          <w:rFonts w:ascii="Times New Roman" w:hAnsi="Times New Roman"/>
          <w:noProof/>
          <w:sz w:val="24"/>
          <w:szCs w:val="24"/>
        </w:rPr>
        <w:t>Punerea în aplicare a reformei se finalizează până la 30 septembrie 2022.</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Reforma 4 (C2.R5) - Birouri de renovare („ghișeu unic”)</w:t>
      </w:r>
    </w:p>
    <w:p>
      <w:pPr>
        <w:spacing w:before="120" w:after="120" w:line="240" w:lineRule="auto"/>
        <w:jc w:val="both"/>
        <w:rPr>
          <w:rFonts w:ascii="Times New Roman" w:hAnsi="Times New Roman" w:cs="Times New Roman"/>
          <w:noProof/>
          <w:sz w:val="24"/>
        </w:rPr>
      </w:pPr>
      <w:r>
        <w:rPr>
          <w:rFonts w:ascii="Times New Roman" w:hAnsi="Times New Roman"/>
          <w:noProof/>
          <w:sz w:val="24"/>
        </w:rPr>
        <w:t>Obiectivul acestei măsuri este de a încuraja și de a extinde birourile locale de renovare înființate în unele municipalități pentru a însoți gospodăriile și comunitățile de proprietari în sarcinile extrem de complexe de reabilitare a unei clădiri rezidențiale.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În acest scop, această măsură încurajează și extinde în continuare această abordare prin instituirea unui proces care să asigure o colaborare și o cooperare eficace între administrațiile centrale, regionale și/sau locale. Aceasta include consolidarea coordonării întregului sprijin public (la nivel central, regional sau local). Toate nivelurile de guvernare sunt implicate în aceste ghișee unice pentru a maximiza eficacitatea acțiunilor de renovare.</w:t>
      </w:r>
    </w:p>
    <w:p>
      <w:pPr>
        <w:spacing w:before="120" w:after="120" w:line="240" w:lineRule="auto"/>
        <w:jc w:val="both"/>
        <w:rPr>
          <w:rFonts w:ascii="Times New Roman" w:hAnsi="Times New Roman" w:cs="Times New Roman"/>
          <w:noProof/>
          <w:sz w:val="24"/>
        </w:rPr>
      </w:pPr>
      <w:r>
        <w:rPr>
          <w:rFonts w:ascii="Times New Roman" w:hAnsi="Times New Roman"/>
          <w:noProof/>
          <w:sz w:val="24"/>
          <w:szCs w:val="24"/>
        </w:rPr>
        <w:t>Punerea în aplicare a reformei se finalizează până la 30 septembrie 2021.</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Reforma 5 (C2.R6) - Finanțare îmbunătățită pentru acțiunile de renovare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Obiectivul acestei măsuri este de a aborda unul dintre principalele obstacole în calea lansării activității de renovare, și anume accesul la finanțare în condiții favorabile. Pentru a obține aprobarea unui împrumut pentru renovare, este necesar, uneori, să se acorde un împrumut personal individual fiecărui proprietar dintr-o clădire. Acest lucru a reprezentat un obstacol în calea renovării aprofundate și integrate a clădirilor.</w:t>
      </w:r>
    </w:p>
    <w:p>
      <w:pPr>
        <w:spacing w:before="120" w:after="120" w:line="240" w:lineRule="auto"/>
        <w:jc w:val="both"/>
        <w:rPr>
          <w:rFonts w:ascii="Times New Roman" w:hAnsi="Times New Roman" w:cs="Times New Roman"/>
          <w:noProof/>
          <w:sz w:val="24"/>
        </w:rPr>
      </w:pPr>
      <w:r>
        <w:rPr>
          <w:rFonts w:ascii="Times New Roman" w:hAnsi="Times New Roman"/>
          <w:noProof/>
          <w:sz w:val="24"/>
        </w:rPr>
        <w:t>Pentru a aborda această problemă, măsura:</w:t>
      </w:r>
    </w:p>
    <w:p>
      <w:pPr>
        <w:numPr>
          <w:ilvl w:val="0"/>
          <w:numId w:val="28"/>
        </w:numPr>
        <w:autoSpaceDE w:val="0"/>
        <w:autoSpaceDN w:val="0"/>
        <w:adjustRightInd w:val="0"/>
        <w:spacing w:before="120" w:after="120" w:line="240" w:lineRule="auto"/>
        <w:ind w:left="714" w:hanging="357"/>
        <w:contextualSpacing/>
        <w:jc w:val="both"/>
        <w:rPr>
          <w:rFonts w:ascii="Times New Roman" w:eastAsia="Arial" w:hAnsi="Times New Roman" w:cs="Times New Roman"/>
          <w:noProof/>
          <w:sz w:val="24"/>
          <w:szCs w:val="24"/>
        </w:rPr>
      </w:pPr>
      <w:r>
        <w:rPr>
          <w:rFonts w:ascii="Times New Roman" w:hAnsi="Times New Roman"/>
          <w:noProof/>
          <w:sz w:val="24"/>
          <w:szCs w:val="24"/>
        </w:rPr>
        <w:t xml:space="preserve">Înființează o nouă linie de garantare </w:t>
      </w:r>
      <w:r>
        <w:rPr>
          <w:rFonts w:ascii="Times New Roman" w:hAnsi="Times New Roman"/>
          <w:i/>
          <w:noProof/>
          <w:sz w:val="24"/>
          <w:szCs w:val="24"/>
        </w:rPr>
        <w:t>Instituto de Crédito Oficial</w:t>
      </w:r>
      <w:r>
        <w:rPr>
          <w:rFonts w:ascii="Times New Roman" w:hAnsi="Times New Roman"/>
          <w:noProof/>
          <w:sz w:val="24"/>
          <w:szCs w:val="24"/>
        </w:rPr>
        <w:t xml:space="preserve"> (ICO) pentru a acoperi parțial riscul împrumuturilor acordate de instituții financiare private pentru renovarea clădirilor rezidențiale;</w:t>
      </w:r>
    </w:p>
    <w:p>
      <w:pPr>
        <w:numPr>
          <w:ilvl w:val="0"/>
          <w:numId w:val="28"/>
        </w:numPr>
        <w:autoSpaceDE w:val="0"/>
        <w:autoSpaceDN w:val="0"/>
        <w:adjustRightInd w:val="0"/>
        <w:spacing w:before="120" w:after="120" w:line="240" w:lineRule="auto"/>
        <w:ind w:left="714" w:hanging="357"/>
        <w:contextualSpacing/>
        <w:jc w:val="both"/>
        <w:rPr>
          <w:rFonts w:ascii="Times New Roman" w:eastAsia="Arial" w:hAnsi="Times New Roman" w:cs="Times New Roman"/>
          <w:noProof/>
          <w:sz w:val="24"/>
          <w:szCs w:val="24"/>
        </w:rPr>
      </w:pPr>
      <w:r>
        <w:rPr>
          <w:rFonts w:ascii="Times New Roman" w:hAnsi="Times New Roman"/>
          <w:noProof/>
          <w:sz w:val="24"/>
          <w:szCs w:val="24"/>
        </w:rPr>
        <w:t>promovează adoptarea unor dispoziții de reglementare specifice, inclusiv reforma Legii orizontale a proprietății, pentru a îmbunătăți accesul la finanțare al comunităților de proprietari; și</w:t>
      </w:r>
    </w:p>
    <w:p>
      <w:pPr>
        <w:numPr>
          <w:ilvl w:val="0"/>
          <w:numId w:val="28"/>
        </w:numPr>
        <w:autoSpaceDE w:val="0"/>
        <w:autoSpaceDN w:val="0"/>
        <w:adjustRightInd w:val="0"/>
        <w:spacing w:before="120" w:after="120" w:line="240" w:lineRule="auto"/>
        <w:jc w:val="both"/>
        <w:rPr>
          <w:rFonts w:ascii="Times New Roman" w:eastAsia="Arial" w:hAnsi="Times New Roman" w:cs="Times New Roman"/>
          <w:noProof/>
          <w:sz w:val="24"/>
          <w:szCs w:val="24"/>
        </w:rPr>
      </w:pPr>
      <w:r>
        <w:rPr>
          <w:rFonts w:ascii="Times New Roman" w:hAnsi="Times New Roman"/>
          <w:noProof/>
          <w:color w:val="000000"/>
          <w:sz w:val="24"/>
          <w:szCs w:val="24"/>
        </w:rPr>
        <w:t>încurajează utilizarea finanțării verzi de către instituțiile financiare.</w:t>
      </w:r>
    </w:p>
    <w:p>
      <w:pPr>
        <w:autoSpaceDE w:val="0"/>
        <w:autoSpaceDN w:val="0"/>
        <w:adjustRightInd w:val="0"/>
        <w:spacing w:before="120" w:after="120" w:line="240" w:lineRule="auto"/>
        <w:jc w:val="both"/>
        <w:rPr>
          <w:rFonts w:ascii="Times New Roman" w:eastAsia="Arial" w:hAnsi="Times New Roman" w:cs="Times New Roman"/>
          <w:noProof/>
          <w:sz w:val="24"/>
          <w:szCs w:val="24"/>
        </w:rPr>
      </w:pPr>
      <w:r>
        <w:rPr>
          <w:rFonts w:ascii="Times New Roman" w:hAnsi="Times New Roman"/>
          <w:noProof/>
          <w:sz w:val="24"/>
          <w:szCs w:val="24"/>
        </w:rPr>
        <w:t>Punerea în aplicare a reformei se finalizează până la vineri, 30 septembrie 2022.</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Investiția 1 (C2.I1) - Program de reabilitare pentru redresarea economică și socială în mediile rezidențiale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Obiectivul acestei măsuri este de a sprijini renovările vizând eficiența energetică a clădirilor rezidențiale și a cartierelor. Acțiunile din cadrul acestei măsuri trebuie să pună în aplicare cel puțin 510 000 de acțiuni de renovare în cel puțin 355 000 de locuințe unice, obținându-se, în medie, o reducere a cererii de energie primară de cel puțin 30 %, verificată prin certificate de performanță energetică. Se sprijină următoarele acțiuni:</w:t>
      </w:r>
    </w:p>
    <w:p>
      <w:pPr>
        <w:numPr>
          <w:ilvl w:val="0"/>
          <w:numId w:val="25"/>
        </w:numPr>
        <w:spacing w:before="120" w:after="120" w:line="240" w:lineRule="auto"/>
        <w:ind w:left="714" w:hanging="357"/>
        <w:contextualSpacing/>
        <w:jc w:val="both"/>
        <w:rPr>
          <w:rFonts w:ascii="Times New Roman" w:hAnsi="Times New Roman" w:cs="Times New Roman"/>
          <w:noProof/>
          <w:sz w:val="24"/>
          <w:szCs w:val="24"/>
        </w:rPr>
      </w:pPr>
      <w:r>
        <w:rPr>
          <w:rFonts w:ascii="Times New Roman" w:hAnsi="Times New Roman"/>
          <w:noProof/>
          <w:sz w:val="24"/>
          <w:szCs w:val="24"/>
        </w:rPr>
        <w:t xml:space="preserve">Un program de sprijinire a renovărilor energetice la nivel de cartier, prin acordarea de granturi și de alte tipuri de sprijin în valoare medie de 20 000 EUR per locuință. Programul renovează cel puțin 600 hectare de zone urbane, obținând, în medie, o reducere a cererii de energie primară de cel puțin 30 %, verificată prin certificate de performanță energetică. Acțiunile includ îmbunătățirea eficienței energetice, implementarea infrastructurii pentru mobilitatea electrică, îmbunătățirea accesibilității clădirilor și eliminarea substanțelor periculoase. Maximum 15 % din această măsură este dedicată îmbunătățirilor la nivelul cartierelor, cum ar fi îmbunătățirea iluminatului exterior, a pistelor ciclabile, a infrastructurii verzi și a sistemelor de drenaj, ținând seama de caracteristicile socio-economice ale cartierului. </w:t>
      </w:r>
    </w:p>
    <w:p>
      <w:pPr>
        <w:numPr>
          <w:ilvl w:val="0"/>
          <w:numId w:val="25"/>
        </w:numPr>
        <w:spacing w:before="120" w:after="120" w:line="240" w:lineRule="auto"/>
        <w:ind w:left="714" w:hanging="357"/>
        <w:contextualSpacing/>
        <w:jc w:val="both"/>
        <w:rPr>
          <w:rFonts w:ascii="Times New Roman" w:hAnsi="Times New Roman" w:cs="Times New Roman"/>
          <w:noProof/>
          <w:sz w:val="24"/>
          <w:szCs w:val="24"/>
        </w:rPr>
      </w:pPr>
      <w:r>
        <w:rPr>
          <w:rFonts w:ascii="Times New Roman" w:hAnsi="Times New Roman"/>
          <w:noProof/>
          <w:sz w:val="24"/>
          <w:szCs w:val="24"/>
        </w:rPr>
        <w:t>Un program de sprijinire a renovărilor energetice ale clădirilor rezidențiale prin acordarea de granturi în valoare medie de 15 000 EUR pe locuință. Nivelul de sprijin este mai ridicat pentru acele acțiuni pentru care reducerea cererii de energie primară este mai mare și pentru gospodăriile cu venituri mici. Acțiunile includ îmbunătățirea eficienței energetice, implementarea infrastructurii pentru mobilitatea electrică, îmbunătățirea accesibilității clădirilor și eliminarea substanțelor periculoase.</w:t>
      </w:r>
    </w:p>
    <w:p>
      <w:pPr>
        <w:numPr>
          <w:ilvl w:val="0"/>
          <w:numId w:val="25"/>
        </w:numPr>
        <w:spacing w:before="120" w:after="120" w:line="240" w:lineRule="auto"/>
        <w:ind w:left="709"/>
        <w:jc w:val="both"/>
        <w:rPr>
          <w:rFonts w:ascii="Times New Roman" w:hAnsi="Times New Roman" w:cs="Times New Roman"/>
          <w:noProof/>
          <w:sz w:val="24"/>
          <w:szCs w:val="24"/>
        </w:rPr>
      </w:pPr>
      <w:r>
        <w:rPr>
          <w:rFonts w:ascii="Times New Roman" w:hAnsi="Times New Roman"/>
          <w:noProof/>
          <w:sz w:val="24"/>
          <w:szCs w:val="24"/>
        </w:rPr>
        <w:t>Un set de activități abordează stimulentele pentru renovările energetice. Aceasta include, printre altele, (i) posibilitatea de a deduce renovările din impozitul pe venitul persoanelor fizice dacă se realizează o reducere de cel puțin 30 % a cererii de energie primară și (ii) îmbunătățirea cadrului de finanțare prin încurajarea parteneriatelor public-privat.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Un decret regal stabilește cerințele tehnice pentru a asigura respectarea reducerii medii de 30 % a cererii de energie primară. Modificările impozitului pe venitul persoanelor fizice sunt aprobate prin Decretul-lege regal și au ca obiectiv definirea stimulentelor fiscale pentru acțiunile de renovare a clădirilor în vederea îmbunătățirii eficienței energetice.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Punerea în aplicare a investiției se finalizează până la 30 iunie 2026.</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Investiția 2 (C2.I2) - Program pentru construirea de locuințe sociale închiriate în clădiri eficiente din punct de vedere energetic</w:t>
      </w:r>
    </w:p>
    <w:p>
      <w:pPr>
        <w:spacing w:before="120" w:after="120" w:line="240" w:lineRule="auto"/>
        <w:jc w:val="both"/>
        <w:rPr>
          <w:rFonts w:ascii="Times New Roman" w:hAnsi="Times New Roman" w:cs="Times New Roman"/>
          <w:noProof/>
          <w:sz w:val="24"/>
        </w:rPr>
      </w:pPr>
      <w:r>
        <w:rPr>
          <w:rFonts w:ascii="Times New Roman" w:hAnsi="Times New Roman"/>
          <w:noProof/>
          <w:sz w:val="24"/>
        </w:rPr>
        <w:t>Obiectivul acestei măsuri este de a construi cel puțin 20 000 de locuințe noi în scopul închirierii sociale la prețuri accesibile, în conformitate cu criteriile de eficiență energetică. Acestea sunt construite în special în zonele în care locuințele sociale sunt în prezent insuficiente și pe terenurile aflate în proprietate publică.</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Cererea de energie primară a locuințelor sociale trebuie să fie cu cel puțin 20 % sub nivelul cerințelor pentru clădirile al căror consum de energie este aproape egal cu zero. În acest scop, un decret regal stabilește cerințele tehnice pentru a limita valoarea cererii de energie primară la 80 % din limita stabilită în secțiunea HE 0 din documentul de bază privind economisirea energiei (DB-HE) din Codul tehnic al construcțiilor (CTE).</w:t>
      </w:r>
    </w:p>
    <w:p>
      <w:pPr>
        <w:spacing w:before="120" w:after="120" w:line="240" w:lineRule="auto"/>
        <w:jc w:val="both"/>
        <w:rPr>
          <w:rFonts w:ascii="Times New Roman" w:hAnsi="Times New Roman" w:cs="Times New Roman"/>
          <w:noProof/>
          <w:sz w:val="24"/>
        </w:rPr>
      </w:pPr>
      <w:r>
        <w:rPr>
          <w:rFonts w:ascii="Times New Roman" w:hAnsi="Times New Roman"/>
          <w:noProof/>
          <w:sz w:val="24"/>
        </w:rPr>
        <w:t>Punerea în aplicare a investiției se finalizează până la 30 iunie 2026.</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Investiția 3 (C2.I3) - Programul de reabilitare energetică a clădirilor</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Obiectivul acestei măsuri este de a sprijini renovările energetice ale unui echivalent de cel puțin 40 000 de clădiri rezidențiale și de 690 000 m² de clădiri nerezidențiale, precum și de a îmbunătăți eficiența energetică și integrarea energiei din surse regenerabile. Programul sprijină doar energia din surse regenerabile, cu excepția combustibililor fosili, oferă o intensitate mai mare a ajutorului pentru comunitățile energetice și permite prefinanțarea acțiunilor de renovare. Acțiunile specifice vizează îmbunătățirea eficienței energetice prin izolarea termică, utilizarea energiei din surse regenerabile în sistemele de încălzire și răcire și îmbunătățirea sistemului de iluminat. Se prevede un criteriu de eligibilitate conform căruia, în medie, o reducere a cererii de energie primară de cel puțin 30 % să fie verificată prin certificate de performanță energetică.</w:t>
      </w:r>
    </w:p>
    <w:p>
      <w:pPr>
        <w:spacing w:before="120" w:after="120" w:line="240" w:lineRule="auto"/>
        <w:jc w:val="both"/>
        <w:rPr>
          <w:rFonts w:ascii="Times New Roman" w:hAnsi="Times New Roman" w:cs="Times New Roman"/>
          <w:noProof/>
          <w:sz w:val="24"/>
        </w:rPr>
      </w:pPr>
      <w:r>
        <w:rPr>
          <w:rFonts w:ascii="Times New Roman" w:hAnsi="Times New Roman"/>
          <w:noProof/>
          <w:sz w:val="24"/>
        </w:rPr>
        <w:t>Punerea în aplicare a investiției se finalizează până la 30 iunie 2026.</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Investiția 4 (C2.I4) - Program de regenerare și provocarea demografică</w:t>
      </w:r>
    </w:p>
    <w:p>
      <w:pPr>
        <w:spacing w:before="120" w:after="120" w:line="240" w:lineRule="auto"/>
        <w:jc w:val="both"/>
        <w:rPr>
          <w:rFonts w:ascii="Times New Roman" w:hAnsi="Times New Roman" w:cs="Times New Roman"/>
          <w:noProof/>
          <w:sz w:val="24"/>
        </w:rPr>
      </w:pPr>
      <w:r>
        <w:rPr>
          <w:rFonts w:ascii="Times New Roman" w:hAnsi="Times New Roman"/>
          <w:noProof/>
          <w:sz w:val="24"/>
        </w:rPr>
        <w:t>Obiectivul acestei măsuri este de a sprijini renovarea clădirilor din municipalități și din zonele urbane cu mai puțin de 5 000 de locuitori. Acțiunile includ îmbunătățirea eficienței energetice a clădirilor, a echipamentelor și a infrastructurii publice, generarea și consumul de energie din surse regenerabile, autoconsumul și comunitățile energetice locale ale proprietarilor, precum și mobilitatea durabilă (cum ar fi stațiile de reîncărcare cu energie electrică). Au loc două tipuri de acțiuni:</w:t>
      </w:r>
    </w:p>
    <w:p>
      <w:pPr>
        <w:numPr>
          <w:ilvl w:val="0"/>
          <w:numId w:val="26"/>
        </w:numPr>
        <w:spacing w:before="120" w:after="120" w:line="240" w:lineRule="auto"/>
        <w:ind w:left="714" w:hanging="357"/>
        <w:contextualSpacing/>
        <w:jc w:val="both"/>
        <w:rPr>
          <w:rFonts w:ascii="Times New Roman" w:hAnsi="Times New Roman" w:cs="Times New Roman"/>
          <w:noProof/>
          <w:sz w:val="24"/>
          <w:szCs w:val="24"/>
        </w:rPr>
      </w:pPr>
      <w:r>
        <w:rPr>
          <w:rFonts w:ascii="Times New Roman" w:hAnsi="Times New Roman"/>
          <w:noProof/>
          <w:sz w:val="24"/>
          <w:szCs w:val="24"/>
        </w:rPr>
        <w:t xml:space="preserve">În ceea ce privește eficiența energetică, în clădirile rezidențiale trebuie să aibă loc cel puțin 26 000 de renovări ale energiei, obținându-se, în medie, o reducere a cererii de energie primară de cel puțin 30 %, verificată prin certificate de performanță energetică. </w:t>
      </w:r>
    </w:p>
    <w:p>
      <w:pPr>
        <w:numPr>
          <w:ilvl w:val="0"/>
          <w:numId w:val="26"/>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Cel puțin 250 de proiecte unice în domeniul energiei curate sunt puse în aplicare prin licitații competitive sau investiții de către autoritățile locale în următoarele domenii: (i) instalarea de energie electrică sau de încălzire și răcire din surse regenerabile pentru clădiri sau infrastructuri publice (inclusiv cel puțin 80 % autoconsum); (ii) renovarea energetică a clădirilor sau a infrastructurii publice (realizarea unor economii de energie primară de cel puțin 30 %, verificate prin certificate de performanță energetică); (iii) mobilitate durabilă (proiecte pentru transferul modal sau mobilitatea electrică); (iv) reducerea poluării luminoase prin îmbunătățirea iluminatului public; și (v) Comunitatea energetică locală sau alte proiecte gestionate de comunitate în aceste municipalități.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În acest scop, bazele de reglementare și cererile de ajutor pentru investiții extinse la autoritățile locale se publică în Jurnalul Oficial. </w:t>
      </w:r>
    </w:p>
    <w:p>
      <w:pPr>
        <w:spacing w:before="120" w:after="120" w:line="240" w:lineRule="auto"/>
        <w:jc w:val="both"/>
        <w:rPr>
          <w:rFonts w:ascii="Times New Roman" w:hAnsi="Times New Roman" w:cs="Times New Roman"/>
          <w:noProof/>
          <w:sz w:val="24"/>
        </w:rPr>
      </w:pPr>
      <w:r>
        <w:rPr>
          <w:rFonts w:ascii="Times New Roman" w:hAnsi="Times New Roman"/>
          <w:noProof/>
          <w:sz w:val="24"/>
        </w:rPr>
        <w:t>Punerea în aplicare a investiției se finalizează până la 30 iunie 2026.</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Investiția 5 (C2.I5) - Programul de reabilitare a clădirilor publice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Obiectivul acestei măsuri este de a sprijini renovările energetice în clădirile publice, inclusiv în administrația publică, educație, asistență socială, sport, sănătate, cultură sau servicii publice. Se renovează cel puțin 1 230 000 m² de clădiri publice, obținându-se, în medie, o reducere a cererii de energie primară de cel puțin 30 %, verificată prin certificate de performanță energetică. Măsura sprijină: (i) îmbunătățirea utilizării apei, a materialelor, a gestionării deșeurilor și a adaptării la schimbările climatice; (ii) îmbunătățirea accesibilității clădirilor; (iii) eliminarea substanțelor periculoase și îmbunătățirea calității aerului din încăperi; și (iv) conservarea clădirilor. </w:t>
      </w:r>
    </w:p>
    <w:p>
      <w:pPr>
        <w:spacing w:before="120" w:after="120" w:line="240" w:lineRule="auto"/>
        <w:jc w:val="both"/>
        <w:rPr>
          <w:rFonts w:ascii="Times New Roman" w:hAnsi="Times New Roman" w:cs="Times New Roman"/>
          <w:noProof/>
          <w:sz w:val="24"/>
        </w:rPr>
      </w:pPr>
      <w:r>
        <w:rPr>
          <w:rFonts w:ascii="Times New Roman" w:hAnsi="Times New Roman"/>
          <w:noProof/>
          <w:sz w:val="24"/>
        </w:rPr>
        <w:t>Punerea în aplicare a investiției se finalizează până la 30 iunie 2026.</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Investiția 6 (C2.I6) - Program de sprijin pentru dezvoltarea de proiecte-pilot pentru planurile de acțiune locale ale Agendei urbane spaniole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Obiectivul acestei măsuri este de a sprijini autoritățile locale în punerea în aplicare a celor zece obiective strategice ale Agendei urbane spaniole prin aprobarea a cel puțin 100 planuri de acțiune locale. Cele zece obiective strategice ale Agendei urbane spaniole sunt: (i) planificarea utilizării terenurilor și utilizarea mai rațională a acestora, conservarea și protejarea acestora; (ii) evitarea extinderii urbane și revitalizarea orașelor existente; (iii) prevenirea și reducerea impactului schimbărilor climatice și al rezilienței; (iv) utilizarea durabilă a resurselor și promovarea economiei circulare; (v) promovarea proximității și a mobilității durabile; (vi) încurajarea coeziunii sociale și promovarea egalității; (vii) promovarea și încurajarea economiei urbane; (viii) asigurarea accesului la locuințe; (ix) conducerea și promovarea inovării digitale; și (x) îmbunătățirea instrumentelor de participare și guvernanță.</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Măsura (i) servește drept model și ghid pentru alte autorități locale în elaborarea propriilor planuri de acțiune; (ii) să pună în aplicare Agenda urbană spaniolă cu planuri de acțiune la nivel local; și (iii) să pună în aplicare proiecte concrete ca parte a planurilor de acțiune locale pentru a evidenția potențialul Agendei urbane spaniole. Sprijinul este acordat prin licitație competitivă și cuprinde, în special, proiecte transversale și integrate, cu o viziune strategică și printr-un model de guvernanță care asigură o participare cât mai largă.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Investițiile din cadrul acestei măsuri se finalizează până la 31 decembrie 2022.</w:t>
      </w:r>
    </w:p>
    <w:p>
      <w:pPr>
        <w:keepNext/>
        <w:spacing w:before="120" w:after="120" w:line="240" w:lineRule="auto"/>
        <w:ind w:left="709"/>
        <w:jc w:val="both"/>
        <w:rPr>
          <w:rFonts w:ascii="Times New Roman" w:hAnsi="Times New Roman" w:cs="Times New Roman"/>
          <w:b/>
          <w:noProof/>
          <w:sz w:val="24"/>
          <w:u w:val="single"/>
        </w:rPr>
      </w:pPr>
      <w:r>
        <w:rPr>
          <w:rFonts w:ascii="Times New Roman" w:hAnsi="Times New Roman"/>
          <w:b/>
          <w:bCs/>
          <w:noProof/>
          <w:sz w:val="24"/>
          <w:u w:val="single"/>
        </w:rPr>
        <w:t xml:space="preserve">B.2. </w:t>
      </w:r>
      <w:r>
        <w:rPr>
          <w:rFonts w:ascii="Times New Roman" w:hAnsi="Times New Roman"/>
          <w:b/>
          <w:noProof/>
          <w:sz w:val="24"/>
          <w:u w:val="single"/>
        </w:rPr>
        <w:tab/>
      </w:r>
      <w:r>
        <w:rPr>
          <w:rFonts w:ascii="Times New Roman" w:hAnsi="Times New Roman"/>
          <w:b/>
          <w:bCs/>
          <w:noProof/>
          <w:sz w:val="24"/>
          <w:u w:val="single"/>
        </w:rPr>
        <w:t>Jaloane, ținte, indicatori și calendarul de monitorizare și implementare aplicabile sprijinului financiar nerambursabil</w:t>
      </w:r>
    </w:p>
    <w:p>
      <w:pPr>
        <w:spacing w:before="120" w:after="120" w:line="240" w:lineRule="auto"/>
        <w:jc w:val="both"/>
        <w:rPr>
          <w:rFonts w:ascii="Times New Roman" w:hAnsi="Times New Roman" w:cs="Times New Roman"/>
          <w:noProof/>
          <w:sz w:val="24"/>
          <w:szCs w:val="24"/>
        </w:rPr>
        <w:sectPr>
          <w:headerReference w:type="even" r:id="rId31"/>
          <w:headerReference w:type="default" r:id="rId32"/>
          <w:footerReference w:type="even" r:id="rId33"/>
          <w:footerReference w:type="default" r:id="rId34"/>
          <w:headerReference w:type="first" r:id="rId35"/>
          <w:footerReference w:type="first" r:id="rId36"/>
          <w:pgSz w:w="11907" w:h="16839"/>
          <w:pgMar w:top="1134" w:right="1417" w:bottom="1134" w:left="1417" w:header="709" w:footer="709" w:gutter="0"/>
          <w:cols w:space="720"/>
          <w:docGrid w:linePitch="360"/>
        </w:sectPr>
      </w:pPr>
      <w:r>
        <w:rPr>
          <w:rFonts w:ascii="Times New Roman" w:hAnsi="Times New Roman"/>
          <w:i/>
          <w:noProof/>
          <w:color w:val="000000"/>
          <w:sz w:val="24"/>
          <w:szCs w:val="24"/>
        </w:rPr>
        <w:t>Tabelul de mai jos.</w:t>
      </w:r>
      <w:r>
        <w:rPr>
          <w:rFonts w:ascii="Times New Roman" w:hAnsi="Times New Roman"/>
          <w:noProof/>
          <w:color w:val="1F497D"/>
          <w:sz w:val="24"/>
          <w:szCs w:val="24"/>
        </w:rPr>
        <w:t xml:space="preserve"> </w:t>
      </w:r>
      <w:r>
        <w:rPr>
          <w:rFonts w:ascii="Times New Roman" w:hAnsi="Times New Roman"/>
          <w:i/>
          <w:noProof/>
          <w:color w:val="000000"/>
          <w:sz w:val="24"/>
          <w:szCs w:val="24"/>
        </w:rPr>
        <w:t>Data de referință pentru toți indicatorii este 1 februarie 2020, cu excepția cazului în care se indică altfel în descrierea acțiunii. Sumele din tabel nu includ TVA.</w:t>
      </w: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1985"/>
        <w:gridCol w:w="1134"/>
        <w:gridCol w:w="850"/>
        <w:gridCol w:w="709"/>
        <w:gridCol w:w="851"/>
        <w:gridCol w:w="425"/>
        <w:gridCol w:w="567"/>
        <w:gridCol w:w="6379"/>
      </w:tblGrid>
      <w:tr>
        <w:trPr>
          <w:trHeight w:val="309"/>
          <w:tblHeader/>
        </w:trPr>
        <w:tc>
          <w:tcPr>
            <w:tcW w:w="70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Număr</w:t>
            </w:r>
          </w:p>
        </w:tc>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Măsură</w:t>
            </w:r>
          </w:p>
        </w:tc>
        <w:tc>
          <w:tcPr>
            <w:tcW w:w="85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Jalon</w:t>
            </w:r>
            <w:r>
              <w:rPr>
                <w:rFonts w:ascii="Times New Roman" w:hAnsi="Times New Roman"/>
                <w:b/>
                <w:noProof/>
                <w:color w:val="000000"/>
                <w:sz w:val="18"/>
                <w:szCs w:val="18"/>
              </w:rPr>
              <w:br/>
              <w:t xml:space="preserve"> /Țintă</w:t>
            </w:r>
          </w:p>
        </w:tc>
        <w:tc>
          <w:tcPr>
            <w:tcW w:w="1985"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Denumire</w:t>
            </w:r>
          </w:p>
        </w:tc>
        <w:tc>
          <w:tcPr>
            <w:tcW w:w="1134"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Indicator calitativ pentru obiectivele de etapă</w:t>
            </w:r>
          </w:p>
        </w:tc>
        <w:tc>
          <w:tcPr>
            <w:tcW w:w="2410" w:type="dxa"/>
            <w:gridSpan w:val="3"/>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Indicator cantitativ pentru obiectiv</w:t>
            </w:r>
          </w:p>
        </w:tc>
        <w:tc>
          <w:tcPr>
            <w:tcW w:w="992" w:type="dxa"/>
            <w:gridSpan w:val="2"/>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Timp</w:t>
            </w:r>
          </w:p>
        </w:tc>
        <w:tc>
          <w:tcPr>
            <w:tcW w:w="637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bCs/>
                <w:noProof/>
                <w:sz w:val="18"/>
                <w:szCs w:val="18"/>
              </w:rPr>
              <w:t>Descrierea fiecărui jalon și a fiecărei ținte</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1985"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134"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Unitate</w:t>
            </w:r>
          </w:p>
        </w:tc>
        <w:tc>
          <w:tcPr>
            <w:tcW w:w="709"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Scenariu de bază</w:t>
            </w:r>
          </w:p>
        </w:tc>
        <w:tc>
          <w:tcPr>
            <w:tcW w:w="851"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Obiectiv</w:t>
            </w:r>
          </w:p>
        </w:tc>
        <w:tc>
          <w:tcPr>
            <w:tcW w:w="425"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Q</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An</w:t>
            </w:r>
          </w:p>
        </w:tc>
        <w:tc>
          <w:tcPr>
            <w:tcW w:w="6379"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lang w:val="en-IE"/>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985"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Intrarea în vigoare a Agendei urbane spaniole și a Strategiei de renovare pe termen lung pentru reabilitarea energetică în sectorul construcțiilor din Spania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Publicarea în Jurnalul Oficial</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2020</w:t>
            </w:r>
          </w:p>
        </w:tc>
        <w:tc>
          <w:tcPr>
            <w:tcW w:w="637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Agendei urbane spaniole ca politică urbană națională care asigură o planificare strategică integrată și cuprinzătoare a orașelor, precum și actualizarea din 2020 a Strategiei de renovare pe termen lung (LTRS) pentru reabilitarea energetică în sectorul construcțiilor din Spania (ERESEE). Scopul strategiei ERESEE este de a diagnostica parcul imobiliar din Spania și de a elimina obstacolele și de a genera noi abordări pentru a extinde renovarea clădirilor, a stimula investițiile în acest sector, a crește economisirea de energie și a reduce emisiile de carbon în conformitate cu obiectivele climatice.</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21bis</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C2.R2</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1985" w:type="dxa"/>
            <w:shd w:val="clear" w:color="auto" w:fill="C6EFCE"/>
            <w:noWrap/>
          </w:tcPr>
          <w:p>
            <w:pPr>
              <w:spacing w:after="0" w:line="240" w:lineRule="auto"/>
              <w:rPr>
                <w:rFonts w:ascii="Times New Roman" w:hAnsi="Times New Roman" w:cs="Times New Roman"/>
                <w:noProof/>
                <w:color w:val="000000"/>
                <w:sz w:val="18"/>
                <w:szCs w:val="18"/>
                <w:highlight w:val="yellow"/>
              </w:rPr>
            </w:pPr>
            <w:r>
              <w:rPr>
                <w:rFonts w:ascii="Times New Roman" w:hAnsi="Times New Roman"/>
                <w:noProof/>
                <w:color w:val="000000"/>
                <w:sz w:val="18"/>
                <w:szCs w:val="18"/>
              </w:rPr>
              <w:t>Publicarea recomandărilor grupurilor de lucru pentru punerea în aplicare a strategiei de renovare pe termen lung în Spania</w:t>
            </w:r>
          </w:p>
        </w:tc>
        <w:tc>
          <w:tcPr>
            <w:tcW w:w="1134" w:type="dxa"/>
            <w:shd w:val="clear" w:color="auto" w:fill="C6EFCE"/>
            <w:noWrap/>
          </w:tcPr>
          <w:p>
            <w:pPr>
              <w:spacing w:after="0" w:line="240" w:lineRule="auto"/>
              <w:jc w:val="center"/>
              <w:rPr>
                <w:rFonts w:ascii="Times New Roman" w:hAnsi="Times New Roman" w:cs="Times New Roman"/>
                <w:noProof/>
                <w:color w:val="000000"/>
                <w:sz w:val="18"/>
                <w:szCs w:val="18"/>
                <w:highlight w:val="yellow"/>
              </w:rPr>
            </w:pPr>
            <w:r>
              <w:rPr>
                <w:rFonts w:ascii="Times New Roman" w:hAnsi="Times New Roman"/>
                <w:noProof/>
                <w:color w:val="000000"/>
                <w:sz w:val="18"/>
                <w:szCs w:val="18"/>
              </w:rPr>
              <w:t>Publicarea recomandărilor grupurilor de lucru</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p>
        </w:tc>
        <w:tc>
          <w:tcPr>
            <w:tcW w:w="851" w:type="dxa"/>
            <w:shd w:val="clear" w:color="auto" w:fill="C6EFCE"/>
            <w:noWrap/>
          </w:tcPr>
          <w:p>
            <w:pPr>
              <w:spacing w:after="0" w:line="240" w:lineRule="auto"/>
              <w:jc w:val="right"/>
              <w:rPr>
                <w:rFonts w:ascii="Times New Roman" w:hAnsi="Times New Roman" w:cs="Times New Roman"/>
                <w:noProof/>
                <w:color w:val="000000"/>
                <w:sz w:val="18"/>
                <w:szCs w:val="18"/>
              </w:rPr>
            </w:pP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6379"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Publicarea recomandărilor detaliate ale grupurilor de lucru pentru punerea în aplicare a actualizării din 2020 a Strategiei de renovare pe termen lung (LTRS) pentru reabilitarea energetică în sectorul construcțiilor din Spania (ERESEE). Scopul strategiei ERESEE este de a diagnostica parcul imobiliar din Spania și de a elimina obstacolele și de a genera noi abordări pentru a extinde renovarea clădirilor, a stimula investițiile în acest sector, a crește economisirea de energie și a reduce emisiile de carbon în conformitate cu obiectivele climatice. În vederea punerii în aplicare a ERESEE, se creează mai multe grupuri de lucru pentru a elabora recomandări clare pentru punerea în aplicare a planului de acțiune pentru reabilitarea și regenerarea urbană. Recomandările detaliate includ o foaie de parcurs și ghiduri metodologice pentru fiecare măsură care urmează să fie luată și adresate fiecărui agent implicat (administrație publică, părți interesate etc.).</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C2.R3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985"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Intrarea în vigoare a Legii privind locuințele, inclusiv acțiuni de sprijinire a creșterii ofertei de locuințe în conformitate cu clădirile al căror consum de energie este aproape egal cu zero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Dispoziție din Legea privind locuințele cu privire la intrarea în vigoare</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Q3</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37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Legea privind locuințele abordează diverse instrumente de planificare, programare și colaborare pentru a asigura îndeplinirea corespunzătoare a dreptului la o locuință decentă și adecvată, inclusiv, ca una dintre priorități, reabilitarea și îmbunătățirea fondului locativ existent, precum și regenerarea și renovarea spațiilor rezidențiale în care sunt situate. Legea încurajează creșterea ofertei de locuințe sociale și la prețuri accesibile prin asigurarea respectării cerințelor prevăzute în prezent pentru clădirile al căror consum de energie este aproape egal cu zero, în conformitate cu documentul de bază privind economisirea energiei (DB-HE) din Codul tehnic al construcțiilor (CTE).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C2.R4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985"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Intrarea în vigoare a Legii privind calitatea arhitecturii și a mediului imobiliar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Dispoziție din Legea privind calitatea arhitecturii și a mediului imobiliar cu privire la intrarea în vigoare</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Q3</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37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Adoptarea Legii privind calitatea arhitecturii și a mediului imobiliar, inclusiv o abordare integrată a reabilitării, care să stimuleze creșterea parcului imobiliar cu consum de energie aproape egal cu zero, nu numai în cazul clădirilor noi, ci și între clădirile existente. Legea stabilește principiul calității în arhitectură și în mediul construit, stabilind durabilitatea mediului și contribuția la realizarea obiectivelor de eficiență energetică ca unul dintre criteriile cheie de evaluare și orientând reabilitarea necesară a parcului către o abordare integrată a reabilitării. </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C2.R5</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M</w:t>
            </w:r>
          </w:p>
        </w:tc>
        <w:tc>
          <w:tcPr>
            <w:tcW w:w="1985"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Intrarea în vigoare a Decretului regal privind oficiile de renovare („ghișeele unice”)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Dispoziția din Decretul regal privind oficiile de renovare cu privire la intrarea în vigoare</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Q3</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2021</w:t>
            </w:r>
          </w:p>
        </w:tc>
        <w:tc>
          <w:tcPr>
            <w:tcW w:w="6379"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Adoptarea decretului regal de stabilire a domeniului de aplicare al birourilor de renovare („ghișee unice”) și a finanțării acestora. Conferința sectorială privind locuințele se organizează, iar faza de informare a publicului și alte proceduri juridice se finalizează înainte de finalizarea decretului regal. </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C2.R6</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M</w:t>
            </w:r>
          </w:p>
        </w:tc>
        <w:tc>
          <w:tcPr>
            <w:tcW w:w="1985"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Intrarea în vigoare a amendamentelor la Legea orizontală a proprietății pentru a facilita finanțarea reabilitării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Dispoziție din Legea orizontală privind proprietatea cu privire la intrarea în vigoare</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Q3</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2022</w:t>
            </w:r>
          </w:p>
        </w:tc>
        <w:tc>
          <w:tcPr>
            <w:tcW w:w="6379"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Modificări ale Legii nr. 49/1960 (Legea orizontală privind proprietatea) din 21 iulie privind coproprietatea pentru a promova punerea în aplicare a renovărilor și a îmbunătățirilor clădirilor de către comunitățile de proprietari, precum și accesul la finanțare. Obiectivul amendamentului este de a facilita luarea deciziilor de către comunitățile de proprietari pentru a efectua lucrări de renovare a clădirilor care contribuie la îmbunătățirea eficienței energetice și pentru a facilita accesul la finanțare bancară.</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C2.I1</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M</w:t>
            </w:r>
          </w:p>
        </w:tc>
        <w:tc>
          <w:tcPr>
            <w:tcW w:w="1985"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Intrarea în vigoare a Decretului regal privind cadrul de reglementare pentru punerea în aplicare a programului de reînnoire; și Decretul-lege regal de reglementare a stimulentelor fiscale pentru persoanele fizice în vederea sprijinirii programului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Dispoziție din Decretul regal și din Decretul-lege regal cu privire la intrarea în vigoare</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Q3</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2021</w:t>
            </w:r>
          </w:p>
        </w:tc>
        <w:tc>
          <w:tcPr>
            <w:tcW w:w="6379"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Adoptarea unui decret regal de definire a cadrului de reglementare pentru punerea în aplicare a programului de reînnoire; și un decret-lege regal care să reglementeze stimulentele fiscale pentru impozitul pe venit pentru a sprijini programul. Decretul regal de definire a cadrului de reglementare stabilește cerințele tehnice pentru a asigura respectarea reducerii medii de 30 % a consumului de energie primară din surse neregenerabile. Conferința sectorială privind locuințele se organizează, iar faza de informare a publicului și alte proceduri juridice se finalizează înainte de finalizarea decretului regal.</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C2.I1</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T</w:t>
            </w:r>
          </w:p>
        </w:tc>
        <w:tc>
          <w:tcPr>
            <w:tcW w:w="1985"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Finalizarea acțiunilor de renovare a locuințelor, obținând, în medie, o reducere cu cel puțin 30 % a cererii de energie primară (cel puțin 231 000 de acțiuni în cel puțin 160 000 de locuințe unice)</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231 000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2023</w:t>
            </w:r>
          </w:p>
        </w:tc>
        <w:tc>
          <w:tcPr>
            <w:tcW w:w="6379"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Cel puțin 231 000 de acțiuni de renovare a locuințelor în cel puțin 160 000 de locuințe unice finalizate, obținând, în medie, o reducere cu cel puțin 30 % a cererii de energie primară (cumulat). În sensul indicatorului, conceptul de locuință trebuie să fie compatibil cu definiția Eurostat („o locuință este o cameră sau o suită de camere - inclusiv accesoriile, lobby-urile și coridoarele acesteia - într-o clădire permanentă sau o parte separată din punct de vedere structural a unei clădiri care, prin modul în care a fost construită, reconstruită sau transformată, este desemnată pentru locuință de către o gospodărie privată pe tot parcursul anului”) și poate include, după caz, locuințe sociale sau publice. Indicatorii de îmbunătățire a performanței energetice utilizați sunt acreditați prin certificatul relevant de performanță energetică în cadrul Directiva 2010/31/UE a Parlamentului European și a Consiliului din 19 mai 2010 privind performanța energetică a clădirilor. Numărul de acțiuni de reabilitare a locuințelor se determină ca suma tuturor acțiunilor de îmbunătățire și reabilitare (în cadrul cartierelor delimitate, la nivelul clădirilor sau al locuințelor) efectuate prin punerea în aplicare a uneia dintre liniile de ajutor (reabilitare completă sau elemente de construcție) sau a stimulentelor fiscale. Procentul mediu de economii pentru consumul de energie primară din surse neregenerabile în scopul respectării valorii minime de 30 % se obține prin ponderarea setului de acțiuni de reabilitare cu cuantumul ajutorului sau al finanțării aplicate în cadrul planului de redresare și reziliență. Acest indicator include acțiuni de îmbunătățire și reabilitare în toate municipalitățile, indiferent de dimensiunea acestora. Pentru a justifica respectarea economiilor de energie obținute, certificatele de performanță energetică ale lucrărilor finalizate sunt necesare și agregate pentru a confirma economiile medii de energie realizate.</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C2.I1</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T</w:t>
            </w:r>
          </w:p>
        </w:tc>
        <w:tc>
          <w:tcPr>
            <w:tcW w:w="1985"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Suprafețele, exprimate în hectare, situate în zone sau cartiere care fac obiectul unei renovări finalizate, cu o reducere medie de cel puțin 30 % a cererii de energie primară</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Număr (hectare)</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600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2026</w:t>
            </w:r>
          </w:p>
        </w:tc>
        <w:tc>
          <w:tcPr>
            <w:tcW w:w="6379"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Cel puțin 600 hectare de teren în zonele sau cartierele care fac obiectul unei renovări finalizate. Această cifră include suprafața districtelor sau a zonelor urbane care au făcut obiectul unor acțiuni pe baza acordurilor din cadrul programului. Acțiunile se efectuează prin asigurarea cerințelor tehnice pentru a asigura conformitatea cu reducerea medie de 30 % a consumului de energie primară din surse neregenerabile în cadrul renovării clădirilor. Pentru a justifica respectarea economiilor de energie obținute, certificatele de performanță energetică ale lucrărilor finalizate sunt necesare și agregate pentru a confirma economiile medii de energie realizate.</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C2.I1</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T</w:t>
            </w:r>
          </w:p>
        </w:tc>
        <w:tc>
          <w:tcPr>
            <w:tcW w:w="1985"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Finalizarea acțiunilor de renovare a locuințelor, obținând, în medie, o reducere cu cel puțin 30 % a cererii de energie primară (cel puțin 510 000 de acțiuni în cel puțin 355 000 de locuințe unice)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231 000</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510 000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2026</w:t>
            </w:r>
          </w:p>
        </w:tc>
        <w:tc>
          <w:tcPr>
            <w:tcW w:w="6379"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Cel puțin 510 000 de acțiuni de renovare a locuințelor în cel puțin 355 000 de locuințe unice finalizate, obținând, în medie, o reducere cu cel puțin 30 % a cererii de energie primară (cumulat). În sensul indicatorului, conceptul de locuință trebuie să fie compatibil cu definiția Eurostat („o locuință este o cameră sau o suită de camere - inclusiv accesoriile, lobby-urile și coridoarele acesteia - într-o clădire permanentă sau o parte separată din punct de vedere structural a unei clădiri care, prin modul în care a fost construită, reconstruită sau transformată, este desemnată pentru locuință de către o gospodărie privată pe tot parcursul anului”) și poate include, după caz, locuințe sociale sau publice. Indicatorii de îmbunătățire a performanței energetice utilizați sunt acreditați prin certificatul relevant de performanță energetică în cadrul Directiva 2010/31/UE a Parlamentului European și a Consiliului din 19 mai 2010 privind performanța energetică a clădirilor. Numărul de reabilitări ale locuințelor se determină ca suma tuturor acțiunilor de îmbunătățire și reabilitare (în cadrul cartierelor delimitate, la nivelul clădirilor sau al locuințelor) efectuate prin punerea în aplicare a uneia dintre liniile de ajutor (reabilitare completă sau elemente de construcție) sau a stimulentelor fiscale. Procentul mediu de economii pentru consumul de energie primară din surse neregenerabile în scopul respectării valorii minime de 30 % se obține prin ponderarea setului de acțiuni de reabilitare cu cuantumul ajutorului sau al finanțării aplicate în cadrul planului de redresare și reziliență. Acest indicator include acțiuni de îmbunătățire și reabilitare în toate municipalitățile, indiferent de dimensiunea acestora. Pentru a justifica respectarea economiilor de energie obținute, certificatele de performanță energetică ale lucrărilor finalizate sunt necesare și agregate pentru a confirma economiile medii de energie realizate. Valoare de referință 31 decembrie 2023.)</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30</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C2.I2</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1985"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Intrarea în vigoare a Decretului regal privind definirea cadrului de reglementare pentru punerea în aplicare a programului privind locuințele sociale de închiriat eficiente din punct de vedere energetic care respectă criteriile de eficiență energetică </w:t>
            </w:r>
          </w:p>
        </w:tc>
        <w:tc>
          <w:tcPr>
            <w:tcW w:w="113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Dispoziție din Decretul regal privind intrarea în vigoare</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851"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Q3</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2021</w:t>
            </w:r>
          </w:p>
        </w:tc>
        <w:tc>
          <w:tcPr>
            <w:tcW w:w="6379"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Adoptarea decretului regal de definire a cadrului de reglementare pentru punerea în aplicare a programului privind locuințele sociale de închiriat eficiente din punct de vedere energetic care respectă criteriile de eficiență energetică. Decretul regal stabilește cerințele tehnice pentru a asigura, în construcția clădirilor, obiectivul de a atinge o cerere de energie primară cu cel puțin 20 % mai mică decât cerința privind clădirile al căror consum de energie este aproape egal cu zero, în conformitate cu orientările naționale. În acest scop, o cerință este de a limita valoarea consumului de energie primară neregenerabilă la 80 % din limita stabilită în secțiunea HE 0 din documentul de bază privind economisirea energiei (DB-HE) din Codul tehnic al clădirii (CTE). Conferința sectorială privind locuințele se organizează, iar faza de informare a publicului și alte proceduri juridice se finalizează înainte de finalizarea decretului regal.</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31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C2.I2</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T</w:t>
            </w:r>
          </w:p>
        </w:tc>
        <w:tc>
          <w:tcPr>
            <w:tcW w:w="1985"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Locuințe noi construite pentru închiriere socială sau la prețuri accesibile, în conformitate cu criteriile de eficiență energetică</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20 000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2026</w:t>
            </w:r>
          </w:p>
        </w:tc>
        <w:tc>
          <w:tcPr>
            <w:tcW w:w="6379"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Cel puțin 20 000 de locuințe construite pentru închiriere socială sau la prețuri accesibile, în conformitate cu criteriile de eficiență energetică. Această cifră corespunde numărului de locuințe pentru care se va finaliza construcția și se referă la închirierea socială la prețuri accesibile, atestată printr-un certificat sau o dovadă a finalizării și utilizării locuințelor de către autoritatea competentă. În plus, respectarea cerinței de a limita valoarea consumului de energie primară din surse neregenerabile la 80 % din limita stabilită în secțiunea HE 0 din documentul de bază privind economisirea energiei (DB-HE) din Codul tehnic al clădirii (CTE) este asigurată printr-un certificat de performanță energetică.</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32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C2.I3</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M</w:t>
            </w:r>
          </w:p>
        </w:tc>
        <w:tc>
          <w:tcPr>
            <w:tcW w:w="1985"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Acordarea de renovări pentru locuințe rezidențiale și clădiri nerezidențiale, obținându-se, în medie, o reducere cu cel puțin 30 % a cererii de energie primară</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Decizii agregate de concesiune luate de comunitățile autonome</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2023</w:t>
            </w:r>
          </w:p>
        </w:tc>
        <w:tc>
          <w:tcPr>
            <w:tcW w:w="6379"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Se acordă echivalentul a cel puțin 40 000 de locuințe rezidențiale renovate și a 690 000 m² de clădiri nerezidențiale, obținându-se, în medie, o reducere cu cel puțin 30 % a cererii de energie primară. Echivalența se definește în raport cu economiile medii de energie realizate per m² pentru fiecare tip de intervenție. În sensul indicatorului, conceptul de locuință trebuie să fie compatibil cu definiția Eurostat („o locuință este o cameră sau o suită de camere - inclusiv accesoriile, lobby-urile și coridoarele acesteia - într-o clădire permanentă sau o parte separată din punct de vedere structural a unei clădiri care, prin modul în care a fost construită, reconstruită sau transformată, este desemnată pentru locuință de către o gospodărie privată pe tot parcursul anului”) și poate include, după caz, locuințe sociale sau publice. Indicatorii de îmbunătățire a performanței energetice utilizați sunt acreditați prin certificatul relevant de performanță energetică în cadrul Directiva 2010/31/UE a Parlamentului European și a Consiliului din 19 mai 2010 privind performanța energetică a clădirilor.</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33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C2.I3</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M</w:t>
            </w:r>
          </w:p>
        </w:tc>
        <w:tc>
          <w:tcPr>
            <w:tcW w:w="1985"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Finalizarea renovărilor pentru locuințele rezidențiale și clădirile nerezidențiale, obținându-se, în medie, o reducere cu cel puțin 30 % a cererii de energie primară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Certificate agregate de performanță energetică a lucrărilor finalizate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2026</w:t>
            </w:r>
          </w:p>
        </w:tc>
        <w:tc>
          <w:tcPr>
            <w:tcW w:w="6379"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Echivalentul a cel puțin 40 000 de locuințe rezidențiale și a 690 000 m² de clădiri nerezidențiale renovate, obținându-se, în medie, o reducere cu cel puțin 30 % a cererii de energie primară. Echivalența se definește în raport cu economiile medii de energie realizate per m² pentru fiecare tip de intervenție. În sensul indicatorului, conceptul de locuință trebuie să fie compatibil cu definiția Eurostat „O locuință este o cameră sau o suită de camere - inclusiv accesoriile, lobby-urile și coridoarele acesteia - într-o clădire permanentă sau într-o parte separată structural a unei clădiri care, prin modul în care a fost construită, reconstruită sau transformată, este desemnată pentru locuință de către o gospodărie privată pe tot parcursul anului” și poate include, după caz, locuințe sociale sau publice. Indicatorii de îmbunătățire a performanței energetice utilizați sunt acreditați prin certificatul relevant de performanță energetică în cadrul Directiva 2010/31/UE a Parlamentului European și a Consiliului din 19 mai 2010 privind performanța energetică a clădirilor. Pentru a justifica respectarea economiilor de energie obținute, certificatele de performanță energetică ale lucrărilor finalizate sunt necesare și agregate pentru a confirma economiile medii de energie realizate.</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34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C2.I4</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T</w:t>
            </w:r>
          </w:p>
        </w:tc>
        <w:tc>
          <w:tcPr>
            <w:tcW w:w="1985"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Finalizarea renovării locuințelor în municipalitățile cu mai puțin de 5 000 de locuitori, obținându-se, în medie, o reducere cu cel puțin 30 % a cererii de energie primară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26 000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2026</w:t>
            </w:r>
          </w:p>
        </w:tc>
        <w:tc>
          <w:tcPr>
            <w:tcW w:w="6379"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Cel puțin 26 000 de locuințe rezidențiale renovate în municipalități cu mai puțin de 5 000 de locuitori, obținând, în medie, o reducere cu cel puțin 30 % a cererii de energie primară. Pentru a justifica respectarea economiilor de energie obținute, certificatele de performanță energetică ale lucrărilor finalizate sunt necesare și agregate pentru a confirma economiile medii de energie realizate.</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35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C2.I4</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T</w:t>
            </w:r>
          </w:p>
        </w:tc>
        <w:tc>
          <w:tcPr>
            <w:tcW w:w="1985"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Proiecte în domeniul energiei curate în municipalități cu mai puțin de 5 000 de locuitori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250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2026</w:t>
            </w:r>
          </w:p>
        </w:tc>
        <w:tc>
          <w:tcPr>
            <w:tcW w:w="6379"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Cel puțin 250 proiecte unice în domeniul energiei curate finalizate la nivel local în municipalități cu mai puțin de 5 000 de locuitori. Caracteristici: Proiectele, inclusiv proiectele atribuite în urma unor licitații competitive sau a unor investiții de către autoritățile locale, într-o selecție sau o combinație a următoarelor:</w:t>
            </w:r>
            <w:r>
              <w:rPr>
                <w:rFonts w:ascii="Times New Roman" w:hAnsi="Times New Roman"/>
                <w:noProof/>
                <w:color w:val="000000"/>
                <w:sz w:val="18"/>
                <w:szCs w:val="18"/>
              </w:rPr>
              <w:br/>
              <w:t>- Instalarea de energie electrică sau de încălzire și răcire din surse regenerabile pentru clădiri sau infrastructuri publice (inclusiv cel puțin 80 % autoconsum). Poate include încălzirea/răcirea centralizată.</w:t>
            </w:r>
            <w:r>
              <w:rPr>
                <w:rFonts w:ascii="Times New Roman" w:hAnsi="Times New Roman"/>
                <w:noProof/>
                <w:color w:val="000000"/>
                <w:sz w:val="18"/>
                <w:szCs w:val="18"/>
              </w:rPr>
              <w:br/>
              <w:t>- Renovarea energetică a clădirilor sau a infrastructurii publice (realizarea unor economii de energie primară de cel puțin 30 %)</w:t>
            </w:r>
            <w:r>
              <w:rPr>
                <w:rFonts w:ascii="Times New Roman" w:hAnsi="Times New Roman"/>
                <w:noProof/>
                <w:color w:val="000000"/>
                <w:sz w:val="18"/>
                <w:szCs w:val="18"/>
              </w:rPr>
              <w:br/>
              <w:t>- Mobilitate durabilă (proiecte pentru transferul modal sau mobilitatea electrică)</w:t>
            </w:r>
            <w:r>
              <w:rPr>
                <w:rFonts w:ascii="Times New Roman" w:hAnsi="Times New Roman"/>
                <w:noProof/>
                <w:color w:val="000000"/>
                <w:sz w:val="18"/>
                <w:szCs w:val="18"/>
              </w:rPr>
              <w:br/>
              <w:t>- Reducerea poluării luminoase prin îmbunătățirea iluminatului public</w:t>
            </w:r>
            <w:r>
              <w:rPr>
                <w:rFonts w:ascii="Times New Roman" w:hAnsi="Times New Roman"/>
                <w:noProof/>
                <w:color w:val="000000"/>
                <w:sz w:val="18"/>
                <w:szCs w:val="18"/>
              </w:rPr>
              <w:br/>
              <w:t>- Comunitatea energetică locală sau alte proiecte gestionate de comunitate în aceste municipalități.</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36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C2.I5</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T</w:t>
            </w:r>
          </w:p>
        </w:tc>
        <w:tc>
          <w:tcPr>
            <w:tcW w:w="1985"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Finalizarea renovărilor clădirilor publice, obținându-se, în medie, o reducere cu cel puțin 30 % a cererii de energie primară (cel puțin 290 000 m²)</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Număr (m²)</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290 000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2024</w:t>
            </w:r>
          </w:p>
        </w:tc>
        <w:tc>
          <w:tcPr>
            <w:tcW w:w="6379"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Cel puțin 290 000 m² (cumulativ) de clădiri publice renovate, obținând, în medie, o reducere de cel puțin 30 % a cererii de energie primară. Verificarea certificatelor de încetare a activității sau a certificatului de recepție a lucrărilor (comunități autonome) sau a documentelor justificative din partea fiecărei municipalități beneficiare, astfel cum se prevede la articolul 30 din Legea privind subvențiile (38/2003), se verifică după finalizarea proiectului (EELL). Pentru a justifica respectarea economiilor de energie obținute, certificarea energetică a lucrărilor finalizate este necesară și agregată pentru a confirma economiile medii de energie realizate.  </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37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C2.I5</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T</w:t>
            </w:r>
          </w:p>
        </w:tc>
        <w:tc>
          <w:tcPr>
            <w:tcW w:w="1985"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Finalizarea renovărilor clădirilor publice, obținându-se, în medie, o reducere cu cel puțin 30 % a cererii de energie primară (cel puțin 1 230 000 m²)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Număr (m²)</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290 000</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1 230 000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2026</w:t>
            </w:r>
          </w:p>
        </w:tc>
        <w:tc>
          <w:tcPr>
            <w:tcW w:w="6379"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Cel puțin 1 230 000 m² (cumulativ) de clădiri publice renovate, obținând, în medie, o reducere de cel puțin 30 % a cererii de energie primară. Verificarea certificatelor de încetare a activității sau a certificatului de recepție a lucrărilor (comunități autonome) sau a documentelor justificative din partea fiecărei municipalități beneficiare, astfel cum se prevede la articolul 30 din Legea privind subvențiile (38/2003), se verifică după finalizarea proiectului (EELL). Pentru a justifica respectarea economiilor de energie obținute, certificarea energetică a lucrărilor finalizate este necesară și agregată pentru a confirma economiile medii de energie realizate. Valoare de referință 31 decembrie 2024.) </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38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C2.I6</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T</w:t>
            </w:r>
          </w:p>
        </w:tc>
        <w:tc>
          <w:tcPr>
            <w:tcW w:w="1985"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Planuri de acțiune în cadrul Agendei urbane spaniole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100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2022</w:t>
            </w:r>
          </w:p>
        </w:tc>
        <w:tc>
          <w:tcPr>
            <w:tcW w:w="6379"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Cel puțin 100 de municipalități trebuie să își aprobe planul de acțiune locală (strategia urbană) și să dispună de criteriile stabilite în Agenda urbană spaniolă, cuprinzând o evaluare și linii de acțiune în conformitate cu cele zece obiective strategice ale sale. </w:t>
            </w:r>
          </w:p>
        </w:tc>
      </w:tr>
    </w:tbl>
    <w:p>
      <w:pPr>
        <w:spacing w:before="120" w:after="120" w:line="240" w:lineRule="auto"/>
        <w:jc w:val="both"/>
        <w:rPr>
          <w:rFonts w:ascii="Times New Roman" w:hAnsi="Times New Roman" w:cs="Times New Roman"/>
          <w:noProof/>
          <w:sz w:val="24"/>
          <w:szCs w:val="24"/>
        </w:rPr>
      </w:pPr>
    </w:p>
    <w:p>
      <w:pPr>
        <w:spacing w:before="120" w:after="120" w:line="240" w:lineRule="auto"/>
        <w:jc w:val="both"/>
        <w:rPr>
          <w:rFonts w:ascii="Times New Roman" w:hAnsi="Times New Roman" w:cs="Times New Roman"/>
          <w:noProof/>
          <w:sz w:val="24"/>
        </w:rPr>
      </w:pPr>
    </w:p>
    <w:p>
      <w:pPr>
        <w:spacing w:before="120" w:after="120" w:line="240" w:lineRule="auto"/>
        <w:jc w:val="both"/>
        <w:rPr>
          <w:rFonts w:ascii="Times New Roman" w:hAnsi="Times New Roman" w:cs="Times New Roman"/>
          <w:noProof/>
          <w:sz w:val="24"/>
        </w:rPr>
      </w:pPr>
    </w:p>
    <w:p>
      <w:pPr>
        <w:spacing w:before="120" w:after="120" w:line="240" w:lineRule="auto"/>
        <w:jc w:val="both"/>
        <w:rPr>
          <w:rFonts w:ascii="Times New Roman" w:hAnsi="Times New Roman" w:cs="Times New Roman"/>
          <w:noProof/>
          <w:sz w:val="24"/>
        </w:rPr>
        <w:sectPr>
          <w:headerReference w:type="even" r:id="rId37"/>
          <w:headerReference w:type="default" r:id="rId38"/>
          <w:footerReference w:type="even" r:id="rId39"/>
          <w:footerReference w:type="default" r:id="rId40"/>
          <w:headerReference w:type="first" r:id="rId41"/>
          <w:footerReference w:type="first" r:id="rId42"/>
          <w:pgSz w:w="16839" w:h="11907" w:orient="landscape"/>
          <w:pgMar w:top="1417" w:right="1134" w:bottom="1417" w:left="1134" w:header="709" w:footer="709" w:gutter="0"/>
          <w:cols w:space="720"/>
          <w:docGrid w:linePitch="360"/>
        </w:sectPr>
      </w:pPr>
    </w:p>
    <w:p>
      <w:pPr>
        <w:pStyle w:val="Heading1"/>
        <w:rPr>
          <w:noProof/>
        </w:rPr>
      </w:pPr>
      <w:r>
        <w:rPr>
          <w:noProof/>
        </w:rPr>
        <w:t>C. COMPONENTA 03: TRANSFORMAREA ECOLOGICĂ ȘI DIGITALĂ A SISTEMULUI AGROALIMENTAR ȘI DE PESCUIT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Această componentă a planului de redresare și reziliență al Spaniei îmbunătățește sustenabilitatea, competitivitatea și reziliența sectorului agroalimentar și al pescuitului din punct de vedere economic, ecologic și social. Pentru a îndeplini acest obiectiv, investițiile și reformele incluse în această componentă a planului spaniol de redresare și reziliență se axează pe următoarele elemente:</w:t>
      </w:r>
    </w:p>
    <w:p>
      <w:pPr>
        <w:numPr>
          <w:ilvl w:val="0"/>
          <w:numId w:val="29"/>
        </w:numPr>
        <w:spacing w:before="120" w:after="120" w:line="240" w:lineRule="auto"/>
        <w:ind w:left="425" w:hanging="425"/>
        <w:contextualSpacing/>
        <w:jc w:val="both"/>
        <w:rPr>
          <w:rFonts w:ascii="Times New Roman" w:hAnsi="Times New Roman" w:cs="Times New Roman"/>
          <w:noProof/>
          <w:sz w:val="24"/>
          <w:szCs w:val="24"/>
        </w:rPr>
      </w:pPr>
      <w:r>
        <w:rPr>
          <w:rFonts w:ascii="Times New Roman" w:hAnsi="Times New Roman"/>
          <w:noProof/>
          <w:sz w:val="24"/>
          <w:szCs w:val="24"/>
        </w:rPr>
        <w:t>Îmbunătățirea eficienței și a durabilității irigațiilor;</w:t>
      </w:r>
    </w:p>
    <w:p>
      <w:pPr>
        <w:numPr>
          <w:ilvl w:val="0"/>
          <w:numId w:val="29"/>
        </w:numPr>
        <w:spacing w:before="120" w:after="120" w:line="240" w:lineRule="auto"/>
        <w:ind w:left="425" w:hanging="425"/>
        <w:contextualSpacing/>
        <w:jc w:val="both"/>
        <w:rPr>
          <w:rFonts w:ascii="Times New Roman" w:hAnsi="Times New Roman" w:cs="Times New Roman"/>
          <w:noProof/>
          <w:sz w:val="24"/>
        </w:rPr>
      </w:pPr>
      <w:r>
        <w:rPr>
          <w:rFonts w:ascii="Times New Roman" w:hAnsi="Times New Roman"/>
          <w:noProof/>
          <w:sz w:val="24"/>
        </w:rPr>
        <w:t>creșterea sustenabilității și competitivității agriculturii și creșterii animalelor;</w:t>
      </w:r>
    </w:p>
    <w:p>
      <w:pPr>
        <w:numPr>
          <w:ilvl w:val="0"/>
          <w:numId w:val="29"/>
        </w:numPr>
        <w:spacing w:before="120" w:after="120" w:line="240" w:lineRule="auto"/>
        <w:ind w:left="425" w:hanging="425"/>
        <w:contextualSpacing/>
        <w:jc w:val="both"/>
        <w:rPr>
          <w:rFonts w:ascii="Times New Roman" w:hAnsi="Times New Roman" w:cs="Times New Roman"/>
          <w:noProof/>
          <w:sz w:val="24"/>
          <w:szCs w:val="24"/>
        </w:rPr>
      </w:pPr>
      <w:r>
        <w:rPr>
          <w:rFonts w:ascii="Times New Roman" w:hAnsi="Times New Roman"/>
          <w:noProof/>
          <w:sz w:val="24"/>
          <w:szCs w:val="24"/>
        </w:rPr>
        <w:t>punerea în aplicare a unei strategii de promovare a digitalizării în sectorul agroalimentar și în cel rural în ansamblu; și</w:t>
      </w:r>
    </w:p>
    <w:p>
      <w:pPr>
        <w:numPr>
          <w:ilvl w:val="0"/>
          <w:numId w:val="29"/>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stimularea sustenabilității, a cercetării, a inovării și a digitalizării sectorului pescuitului.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Componenta abordează recomandările specifice fiecărei țări privind promovarea investițiilor în inovare și în eficiența energetică (recomandarea specifică țării 3 din 2019), îmbunătățirea accesului la învățarea digitală (recomandarea specifică țării 2 din 2020), promovarea investițiilor publice și private și promovarea tranziției verzi (recomandarea specifică țării 3 din 2020).</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themeColor="text1"/>
          <w:sz w:val="24"/>
          <w:szCs w:val="24"/>
        </w:rPr>
        <w:t xml:space="preserve">Se preconizează că nicio măsură din cadrul acestei componente nu aduce prejudicii semnificative obiectivelor de mediu în sensul articolului 17 din Regulamentul (UE) 2020/852, ținând seama de descrierea măsurilor și a măsurilor de atenuare stabilite în planul de redresare și reziliență în conformitate cu Orientările tehnice DNSH (2021/C58/01). </w:t>
      </w:r>
    </w:p>
    <w:p>
      <w:pPr>
        <w:spacing w:before="120" w:after="120" w:line="240" w:lineRule="auto"/>
        <w:ind w:left="720"/>
        <w:jc w:val="both"/>
        <w:rPr>
          <w:rFonts w:ascii="Times New Roman" w:hAnsi="Times New Roman" w:cs="Times New Roman"/>
          <w:b/>
          <w:bCs/>
          <w:i/>
          <w:iCs/>
          <w:noProof/>
          <w:color w:val="4F81BD" w:themeColor="accent1"/>
          <w:sz w:val="24"/>
        </w:rPr>
      </w:pPr>
      <w:r>
        <w:rPr>
          <w:rFonts w:ascii="Times New Roman" w:hAnsi="Times New Roman"/>
          <w:b/>
          <w:bCs/>
          <w:noProof/>
          <w:sz w:val="24"/>
          <w:u w:val="single"/>
        </w:rPr>
        <w:t xml:space="preserve">C.1. </w:t>
      </w:r>
      <w:r>
        <w:rPr>
          <w:rFonts w:ascii="Times New Roman" w:hAnsi="Times New Roman"/>
          <w:b/>
          <w:noProof/>
          <w:sz w:val="24"/>
          <w:u w:val="single"/>
        </w:rPr>
        <w:tab/>
      </w:r>
      <w:r>
        <w:rPr>
          <w:rFonts w:ascii="Times New Roman" w:hAnsi="Times New Roman"/>
          <w:b/>
          <w:bCs/>
          <w:noProof/>
          <w:sz w:val="24"/>
          <w:u w:val="single"/>
        </w:rPr>
        <w:t>Descrierea reformelor și a investițiilor pentru care se prevede acordarea sprijinului financiar nerambursabil</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Reforma 1 (C3.R1) - Modificarea normelor care reglementează relațiile comerciale în cadrul lanțului alimentar, inclusiv modificarea Legii nr. 12/2013 din 2 august 2007 privind măsurile de îmbunătățire a funcționării lanțului alimentar</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Obiectivul acestei măsuri este de a îmbunătăți funcționarea lanțului alimentar prin modificarea legislației naționale care reglementează relațiile comerciale în cadrul lanțului alimentar (Legea nr. 12/2013), inclusiv, dar depășind transpunerea Directiva (UE) 2019/633. Măsura acoperă cel puțin:</w:t>
      </w:r>
    </w:p>
    <w:p>
      <w:pPr>
        <w:numPr>
          <w:ilvl w:val="0"/>
          <w:numId w:val="30"/>
        </w:numPr>
        <w:spacing w:before="120" w:after="120" w:line="240" w:lineRule="auto"/>
        <w:ind w:left="425" w:hanging="425"/>
        <w:contextualSpacing/>
        <w:jc w:val="both"/>
        <w:rPr>
          <w:rFonts w:ascii="Times New Roman" w:hAnsi="Times New Roman" w:cs="Times New Roman"/>
          <w:noProof/>
          <w:sz w:val="24"/>
          <w:szCs w:val="24"/>
        </w:rPr>
      </w:pPr>
      <w:r>
        <w:rPr>
          <w:rFonts w:ascii="Times New Roman" w:hAnsi="Times New Roman"/>
          <w:noProof/>
          <w:sz w:val="24"/>
          <w:szCs w:val="24"/>
        </w:rPr>
        <w:t>Extinderea domeniului de aplicare al legii prin includerea (i) a relațiilor comerciale atât cu statele membre, cât și cu țările terțe, ori de câte ori un operator este situat în Spania, și (ii) a materiilor prime și a altor produse care intră sub incidența anexei I la Tratatul privind funcționarea Uniunii Europene;</w:t>
      </w:r>
    </w:p>
    <w:p>
      <w:pPr>
        <w:numPr>
          <w:ilvl w:val="0"/>
          <w:numId w:val="30"/>
        </w:numPr>
        <w:spacing w:before="120" w:after="120" w:line="240" w:lineRule="auto"/>
        <w:ind w:left="425" w:hanging="425"/>
        <w:contextualSpacing/>
        <w:jc w:val="both"/>
        <w:rPr>
          <w:rFonts w:ascii="Times New Roman" w:hAnsi="Times New Roman" w:cs="Times New Roman"/>
          <w:noProof/>
          <w:sz w:val="24"/>
          <w:szCs w:val="24"/>
        </w:rPr>
      </w:pPr>
      <w:r>
        <w:rPr>
          <w:rFonts w:ascii="Times New Roman" w:hAnsi="Times New Roman"/>
          <w:noProof/>
          <w:sz w:val="24"/>
          <w:szCs w:val="24"/>
        </w:rPr>
        <w:t>extinderea conținutului minim al contractelor alimentare prin includerea (i) a sancțiunilor contractuale, (ii) a excepțiilor din motive de forță majoră și (iii) a unei trimiteri la cererea de mediere a părților implicate pentru a aborda cazurile de neacord;</w:t>
      </w:r>
    </w:p>
    <w:p>
      <w:pPr>
        <w:numPr>
          <w:ilvl w:val="0"/>
          <w:numId w:val="30"/>
        </w:numPr>
        <w:spacing w:before="120" w:after="120" w:line="240" w:lineRule="auto"/>
        <w:ind w:left="425" w:hanging="425"/>
        <w:contextualSpacing/>
        <w:jc w:val="both"/>
        <w:rPr>
          <w:rFonts w:ascii="Times New Roman" w:hAnsi="Times New Roman" w:cs="Times New Roman"/>
          <w:noProof/>
          <w:sz w:val="24"/>
        </w:rPr>
      </w:pPr>
      <w:r>
        <w:rPr>
          <w:rFonts w:ascii="Times New Roman" w:hAnsi="Times New Roman"/>
          <w:noProof/>
          <w:sz w:val="24"/>
        </w:rPr>
        <w:t>extinderea listei practicilor comerciale neloiale, cum ar fi modificarea unilaterală a contractelor în termeni de volum sau returnarea produselor nevândute; și</w:t>
      </w:r>
    </w:p>
    <w:p>
      <w:pPr>
        <w:numPr>
          <w:ilvl w:val="0"/>
          <w:numId w:val="30"/>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recunoscând că Agenția de Informații și Control al Alimentelor este organismul responsabil cu instituirea și dezvoltarea sistemului de control necesar pentru verificarea conformității cu legislația la nivel național și ca punct de contact pentru cooperarea dintre autoritățile de aplicare a legii, precum și cu Comisia Europeană și comunitățile autonome în zonele lor teritoriale respective.</w:t>
      </w:r>
      <w:r>
        <w:rPr>
          <w:rFonts w:ascii="Times New Roman" w:hAnsi="Times New Roman"/>
          <w:noProof/>
          <w:sz w:val="24"/>
        </w:rPr>
        <w:tab/>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Măsura vine în completarea (i) Decretului-lege regal nr. 5/2020 din 25 februarie 2020, care a adoptat măsuri urgente privind agricultura și alimentele, și (ii) Legii nr. 8/2020 privind modificarea Legii nr. 12/2013 privind măsurile urgente de îmbunătățire a funcționării lanțului alimentar.</w:t>
      </w:r>
    </w:p>
    <w:p>
      <w:pPr>
        <w:spacing w:before="120" w:after="120" w:line="240" w:lineRule="auto"/>
        <w:jc w:val="both"/>
        <w:rPr>
          <w:rFonts w:ascii="Times New Roman" w:hAnsi="Times New Roman" w:cs="Times New Roman"/>
          <w:noProof/>
          <w:sz w:val="24"/>
        </w:rPr>
      </w:pPr>
      <w:r>
        <w:rPr>
          <w:rFonts w:ascii="Times New Roman" w:hAnsi="Times New Roman"/>
          <w:noProof/>
          <w:sz w:val="24"/>
        </w:rPr>
        <w:t>Punerea în aplicare a măsurii se finalizează până la 31 decembrie 2021.</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Reforma 2 (C3.R2) - Elaborarea și revizuirea cadrului de reglementare pentru durabilitatea ecologică a creșterii animalelor</w:t>
      </w:r>
    </w:p>
    <w:p>
      <w:pPr>
        <w:spacing w:before="120" w:after="120" w:line="240" w:lineRule="auto"/>
        <w:jc w:val="both"/>
        <w:rPr>
          <w:rFonts w:ascii="Times New Roman" w:hAnsi="Times New Roman" w:cs="Times New Roman"/>
          <w:noProof/>
          <w:sz w:val="24"/>
        </w:rPr>
      </w:pPr>
      <w:r>
        <w:rPr>
          <w:rFonts w:ascii="Times New Roman" w:hAnsi="Times New Roman"/>
          <w:noProof/>
          <w:sz w:val="24"/>
        </w:rPr>
        <w:t>Această măsură îmbunătățește durabilitatea din punctul de vedere al mediului a creșterii animalelor prin dezvoltarea și revizuirea cadrului legislativ după cum urmează:</w:t>
      </w:r>
    </w:p>
    <w:p>
      <w:pPr>
        <w:numPr>
          <w:ilvl w:val="0"/>
          <w:numId w:val="31"/>
        </w:numPr>
        <w:spacing w:before="120" w:after="120" w:line="240" w:lineRule="auto"/>
        <w:ind w:left="425" w:hanging="425"/>
        <w:contextualSpacing/>
        <w:jc w:val="both"/>
        <w:rPr>
          <w:rFonts w:ascii="Times New Roman" w:hAnsi="Times New Roman" w:cs="Times New Roman"/>
          <w:noProof/>
          <w:sz w:val="24"/>
          <w:szCs w:val="24"/>
        </w:rPr>
      </w:pPr>
      <w:r>
        <w:rPr>
          <w:rFonts w:ascii="Times New Roman" w:hAnsi="Times New Roman"/>
          <w:noProof/>
          <w:sz w:val="24"/>
          <w:szCs w:val="24"/>
        </w:rPr>
        <w:t>Dezvoltarea unui registru general al celor mai bune tehnici disponibile (BAT) pentru a facilita calcularea emisiilor poluante și de gaze cu efect de seră (GES) în fermele de porci și păsări de curte, precum și acoperirea altor date privind mediul. Acesta oferă o mai bună evaluare a respectării de către crescătorii de animale a angajamentelor privind emisiile de gaze cu efect de seră și emisiile poluante.</w:t>
      </w:r>
    </w:p>
    <w:p>
      <w:pPr>
        <w:numPr>
          <w:ilvl w:val="0"/>
          <w:numId w:val="31"/>
        </w:numPr>
        <w:spacing w:before="120" w:after="120" w:line="240" w:lineRule="auto"/>
        <w:ind w:left="426" w:hanging="426"/>
        <w:jc w:val="both"/>
        <w:rPr>
          <w:rFonts w:ascii="Times New Roman" w:hAnsi="Times New Roman" w:cs="Times New Roman"/>
          <w:noProof/>
          <w:sz w:val="24"/>
          <w:szCs w:val="24"/>
        </w:rPr>
      </w:pPr>
      <w:r>
        <w:rPr>
          <w:rFonts w:ascii="Times New Roman" w:hAnsi="Times New Roman"/>
          <w:noProof/>
          <w:sz w:val="24"/>
          <w:szCs w:val="24"/>
        </w:rPr>
        <w:t>Revizuirea treptată a legislației privind planificarea în sectorul creșterii animalelor, care stabilește cerințe privind amplasarea, distanța, dimensiunea, condițiile de sănătate, biosecuritatea și infrastructura de mediu și de bunăstare a animalelor în exploatațiile agricole din sectoarele deja existente (creșterea porcinelor), precum și stabilirea unui nou cadru de reglementare în sectoarele (creșterea păsărilor de curte), care nu fusese încă reglementat. Aceasta stabilește angajamente sectoriale individuale de reducere a emisiilor, stabilind cerințele în funcție de contribuția acestora la generarea poluanților, în conformitate cu principiul proporționalității.</w:t>
      </w:r>
    </w:p>
    <w:p>
      <w:pPr>
        <w:spacing w:before="120" w:after="120" w:line="240" w:lineRule="auto"/>
        <w:jc w:val="both"/>
        <w:rPr>
          <w:rFonts w:ascii="Times New Roman" w:hAnsi="Times New Roman" w:cs="Times New Roman"/>
          <w:noProof/>
          <w:sz w:val="24"/>
        </w:rPr>
      </w:pPr>
      <w:r>
        <w:rPr>
          <w:rFonts w:ascii="Times New Roman" w:hAnsi="Times New Roman"/>
          <w:noProof/>
          <w:sz w:val="24"/>
        </w:rPr>
        <w:t>Măsura include ambele dispoziții legislative, care urmează să fie publicate până la sfârșitul anului 2022. De asemenea, se anticipează că punerea în aplicare a registrului general al BAT va fi operațională pentru fermele de porcine și păsări de curte până la 31 decembrie 2023. Aplicarea legislației revizuite în materie de urbanism se efectuează progresiv în termen de aproximativ doi ani de la publicarea acesteia.</w:t>
      </w:r>
    </w:p>
    <w:p>
      <w:pPr>
        <w:spacing w:before="120" w:after="120" w:line="240" w:lineRule="auto"/>
        <w:jc w:val="both"/>
        <w:rPr>
          <w:rFonts w:ascii="Times New Roman" w:hAnsi="Times New Roman" w:cs="Times New Roman"/>
          <w:noProof/>
          <w:sz w:val="24"/>
        </w:rPr>
      </w:pPr>
      <w:r>
        <w:rPr>
          <w:rFonts w:ascii="Times New Roman" w:hAnsi="Times New Roman"/>
          <w:noProof/>
          <w:sz w:val="24"/>
        </w:rPr>
        <w:t>Punerea în aplicare a măsurii se finalizează până la 31 decembrie 2022.</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Reforma 3 (C3.R3) - Cadrul legislativ privind nutriția durabilă în solurile agricole și legislația privind poluarea de origine agricolă</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Obiectivul acestei măsuri este de a reglementa fertilizarea agricolă pentru a aborda în mod coerent diferitele surse de aport de nutrienți în solurile agricole. În plus, acesta oferă consultanță tehnică fermierilor pentru a-i ajuta să respecte cerințele legale și să raționalizeze fertilizarea. Acest plan: (i) să abordeze efectele negative ale schimbărilor climatice; (ii) reducerea poluării apei cu nitrați și fosfați de origine agricolă; și (iii) îmbunătățirea calității aerului.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Cadrul legislativ propus este conectat la un alt instrument juridic: proiectul de decret regal privind protecția apelor împotriva poluării difuze cu nitrați proveniți din surse agricole (care înlocuiește Decretul regal nr. 261/1996 din 16 februarie). Aceasta se referă, de asemenea, la elaborarea unui plan de acțiune pentru prevenirea, corectarea și reducerea poluării difuze cu nitrați, în special din surse agricole. Această măsură introduce un decret regal care transpune Directiva 91/676/CEE din 12 decembrie 1991 privind protecția apelor împotriva poluării cu nitrați proveniți din surse agricole, impunând obiective mai ambițioase decât Directiva privind nitrații și intensificând convergența cu obiectivele de planificare a apei prevăzute de Directiva-cadru privind apa.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Punerea în aplicare a măsurii se finalizează până la 31 martie 2023.</w:t>
      </w:r>
      <w:r>
        <w:rPr>
          <w:rFonts w:ascii="Times New Roman" w:hAnsi="Times New Roman"/>
          <w:noProof/>
          <w:sz w:val="24"/>
          <w:szCs w:val="24"/>
        </w:rPr>
        <w:t xml:space="preserve"> </w:t>
      </w:r>
    </w:p>
    <w:p>
      <w:pPr>
        <w:keepNext/>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Reforma 4 (C3.R4) - Stimularea guvernanței și a gestionării durabile a irigațiilor în Spania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Obiectivul acestei măsuri este de a institui un mecanism de guvernanță la nivel național care să permită tuturor sectoarelor și nivelurilor autorităților publice în cauză să coopereze în domeniul irigațiilor. Printre acestea se numără durabilitatea mediului, criteriile de punere în aplicare și aspectele legate de legislația aplicabilă. Măsura instituie un observator al sustenabilității irigațiilor în Spania pentru a furniza date privind impactul economic, social și de mediu al irigațiilor asupra teritoriului.</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rPr>
        <w:t>Punerea în aplicare a reformei se finalizează până la sâmbătă, 31 decembrie 2022.</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Reforma 5 (C3.R5) - Punerea în aplicare a Planului de acțiune II al Strategiei pentru digitalizarea zonelor agroalimentare și rurale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Această măsură urmărește să continue punerea în aplicare a strategiei spaniole pentru digitalizarea zonelor agroalimentare și rurale, adoptată de guvernul spaniol în martie 2019. Măsura stabilește un al doilea plan de acțiune care răspunde celor trei obiective fundamentale ale strategiei: (i) reducerea decalajului digital; (ii) promovarea utilizării datelor; și (iii) stimularea dezvoltării întreprinderilor și a noilor modele de afaceri.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Măsura sprijină în continuare adoptarea și integrarea proceselor și competențelor digitale în activitatea economică legată de zonele rurale și de structura socială a acestora. Măsura trebuie să conceapă, să elaboreze și să pună în aplicare al doilea plan de acțiune al strategiei de digitalizare a sectorului agroalimentar și a zonelor rurale.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Punerea în aplicare a măsurii se finalizează până la 31 decembrie 2023.</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Reforma 6 (C3.R6) - Revizuirea cadrului național de reglementare pentru reglementarea pescuitului durabil</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Obiectivul acestei măsuri este: (i) să încurajeze integrarea durabilității economice și sociale în gestionarea pescuitului; (ii) să asigure o mai mare securitate juridică pentru toți actorii din sectorul pescuitului; și (iii) să asigure o mai mare transparență, modernizare și digitalizare în gestionarea pescuitului. Măsura ține seama de obiectivele politicilor și provocărilor UE, inclusiv de reforma politicii comune în domeniul pescuitului, de Strategia privind biodiversitatea pentru 2030, de strategiile marine și de obiectivele de dezvoltare durabilă.</w:t>
      </w:r>
    </w:p>
    <w:p>
      <w:pPr>
        <w:spacing w:before="120" w:after="120" w:line="240" w:lineRule="auto"/>
        <w:jc w:val="both"/>
        <w:rPr>
          <w:rFonts w:ascii="Times New Roman" w:hAnsi="Times New Roman" w:cs="Times New Roman"/>
          <w:noProof/>
          <w:sz w:val="24"/>
        </w:rPr>
      </w:pPr>
      <w:r>
        <w:rPr>
          <w:rFonts w:ascii="Times New Roman" w:hAnsi="Times New Roman"/>
          <w:noProof/>
          <w:sz w:val="24"/>
        </w:rPr>
        <w:t>Pentru a atinge aceste obiective, măsura trebuie să îndeplinească următoarele obiective:</w:t>
      </w:r>
    </w:p>
    <w:p>
      <w:pPr>
        <w:numPr>
          <w:ilvl w:val="0"/>
          <w:numId w:val="32"/>
        </w:numPr>
        <w:spacing w:before="120" w:after="120" w:line="240" w:lineRule="auto"/>
        <w:ind w:left="425" w:hanging="425"/>
        <w:contextualSpacing/>
        <w:jc w:val="both"/>
        <w:rPr>
          <w:rFonts w:ascii="Times New Roman" w:hAnsi="Times New Roman" w:cs="Times New Roman"/>
          <w:noProof/>
          <w:sz w:val="24"/>
          <w:szCs w:val="24"/>
        </w:rPr>
      </w:pPr>
      <w:r>
        <w:rPr>
          <w:rFonts w:ascii="Times New Roman" w:hAnsi="Times New Roman"/>
          <w:noProof/>
          <w:sz w:val="24"/>
          <w:szCs w:val="24"/>
        </w:rPr>
        <w:t xml:space="preserve">Revizuirea actualei legi privind pescuitul pentru a o alinia la noile criterii de durabilitate și la necesitățile în materie de cercetare în domeniul pescuitului; </w:t>
      </w:r>
    </w:p>
    <w:p>
      <w:pPr>
        <w:numPr>
          <w:ilvl w:val="0"/>
          <w:numId w:val="32"/>
        </w:numPr>
        <w:spacing w:before="120" w:after="120" w:line="240" w:lineRule="auto"/>
        <w:ind w:left="425" w:hanging="425"/>
        <w:contextualSpacing/>
        <w:jc w:val="both"/>
        <w:rPr>
          <w:rFonts w:ascii="Times New Roman" w:hAnsi="Times New Roman" w:cs="Times New Roman"/>
          <w:noProof/>
          <w:sz w:val="24"/>
        </w:rPr>
      </w:pPr>
      <w:r>
        <w:rPr>
          <w:rFonts w:ascii="Times New Roman" w:hAnsi="Times New Roman"/>
          <w:noProof/>
          <w:sz w:val="24"/>
        </w:rPr>
        <w:t>actualizarea gestionării diferitelor instrumente, metode și recensăminte ale zonelor de pescuit naționale prin intermediul unui decret regal; și</w:t>
      </w:r>
    </w:p>
    <w:p>
      <w:pPr>
        <w:numPr>
          <w:ilvl w:val="0"/>
          <w:numId w:val="32"/>
        </w:numPr>
        <w:spacing w:before="120" w:after="120" w:line="240" w:lineRule="auto"/>
        <w:ind w:left="426" w:hanging="426"/>
        <w:jc w:val="both"/>
        <w:rPr>
          <w:rFonts w:ascii="Times New Roman" w:hAnsi="Times New Roman" w:cs="Times New Roman"/>
          <w:noProof/>
          <w:sz w:val="24"/>
          <w:szCs w:val="24"/>
        </w:rPr>
      </w:pPr>
      <w:r>
        <w:rPr>
          <w:rFonts w:ascii="Times New Roman" w:hAnsi="Times New Roman"/>
          <w:noProof/>
          <w:sz w:val="24"/>
          <w:szCs w:val="24"/>
        </w:rPr>
        <w:t>punerea în aplicare a unei legi pentru modernizarea sistemelor de control, inspecție și sancționare în domeniul pescuitului.</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Publicarea unui decret regal privind îmbunătățirea gestionării diferitelor instrumente, metode și plângeri ale zonelor de pescuit naționale este prevăzută până la 30 iunie 2022.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Punerea în aplicare a măsurii se finalizează până la 31 decembrie 2022.</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 xml:space="preserve">Investiția 1 (C3.I1) - Plan de îmbunătățire a eficienței și a durabilității în irigații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Obiectivul acestei măsuri este de a îmbunătăți eficiența și sustenabilitatea irigațiilor prin intermediul unui set de acțiuni selectate. Aceasta promovează economisirea apei și eficiența energetică în activitățile de irigații. Aceste acțiuni includ:</w:t>
      </w:r>
    </w:p>
    <w:p>
      <w:pPr>
        <w:numPr>
          <w:ilvl w:val="0"/>
          <w:numId w:val="37"/>
        </w:numPr>
        <w:spacing w:before="120" w:after="120" w:line="240" w:lineRule="auto"/>
        <w:ind w:left="425" w:hanging="425"/>
        <w:contextualSpacing/>
        <w:jc w:val="both"/>
        <w:rPr>
          <w:rFonts w:ascii="Times New Roman" w:hAnsi="Times New Roman" w:cs="Times New Roman"/>
          <w:noProof/>
          <w:sz w:val="24"/>
          <w:szCs w:val="24"/>
        </w:rPr>
      </w:pPr>
      <w:r>
        <w:rPr>
          <w:rFonts w:ascii="Times New Roman" w:hAnsi="Times New Roman"/>
          <w:noProof/>
          <w:sz w:val="24"/>
          <w:szCs w:val="24"/>
        </w:rPr>
        <w:t>Modernizarea acțiunilor, incluzând cel puțin: (i) acțiuni în zonele care înlocuiesc apele de suprafață sau subterane cu utilizarea resurselor de apă neconvenționale [cum ar fi apa recuperată în conformitate cu Regulamentul (UE) 2020/741 și apa desalinizată în conformitate cu Orientările tehnice 2021/C58/01 privind principiul „de a nu prejudicia în mod semnificativ”], ca parte a unui proces de modernizare; și (ii) acțiuni care sporesc economiile de apă sau conduc la o scădere suplimentară a cererii de apă sau la economii de energie mai mari;</w:t>
      </w:r>
    </w:p>
    <w:p>
      <w:pPr>
        <w:numPr>
          <w:ilvl w:val="0"/>
          <w:numId w:val="37"/>
        </w:numPr>
        <w:spacing w:before="120" w:after="120" w:line="240" w:lineRule="auto"/>
        <w:ind w:left="425" w:hanging="425"/>
        <w:contextualSpacing/>
        <w:jc w:val="both"/>
        <w:rPr>
          <w:rFonts w:ascii="Times New Roman" w:hAnsi="Times New Roman" w:cs="Times New Roman"/>
          <w:noProof/>
          <w:sz w:val="24"/>
          <w:szCs w:val="24"/>
        </w:rPr>
      </w:pPr>
      <w:r>
        <w:rPr>
          <w:rFonts w:ascii="Times New Roman" w:hAnsi="Times New Roman"/>
          <w:noProof/>
          <w:sz w:val="24"/>
          <w:szCs w:val="24"/>
        </w:rPr>
        <w:t>modernizarea sistemelor de irigații cu impact energetic, inclusiv (i) un tratament preferențial al acțiunilor care nu necesită energie electrică pentru exploatarea lor față de cele care au nevoie de ea sau care necesită energie din surse regenerabile; și (ii) măsuri de modernizare pentru a facilita autonomia energetică, inclusiv utilizarea energiei din surse regenerabile; și</w:t>
      </w:r>
    </w:p>
    <w:p>
      <w:pPr>
        <w:numPr>
          <w:ilvl w:val="0"/>
          <w:numId w:val="37"/>
        </w:numPr>
        <w:spacing w:before="120" w:after="120" w:line="240" w:lineRule="auto"/>
        <w:ind w:left="426" w:hanging="426"/>
        <w:jc w:val="both"/>
        <w:rPr>
          <w:rFonts w:ascii="Times New Roman" w:hAnsi="Times New Roman" w:cs="Times New Roman"/>
          <w:noProof/>
          <w:sz w:val="24"/>
          <w:szCs w:val="24"/>
        </w:rPr>
      </w:pPr>
      <w:r>
        <w:rPr>
          <w:rFonts w:ascii="Times New Roman" w:hAnsi="Times New Roman"/>
          <w:noProof/>
          <w:sz w:val="24"/>
          <w:szCs w:val="24"/>
        </w:rPr>
        <w:t>încurajarea noilor tehnologii, cum ar fi: (i) acțiuni care să permită niveluri mai ridicate de punere în aplicare a noilor tehnologii și inovații pentru a realiza irigații mai eficiente; și (ii) acțiuni care propun un grad mai mare de intensitate în modernizarea irigațiilor.</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Punerea în aplicare a măsurii este realizată de întreprinderea publică </w:t>
      </w:r>
      <w:r>
        <w:rPr>
          <w:rFonts w:ascii="Times New Roman" w:hAnsi="Times New Roman"/>
          <w:i/>
          <w:noProof/>
          <w:sz w:val="24"/>
          <w:szCs w:val="24"/>
        </w:rPr>
        <w:t>Sociedad Estatal de Infraestructuras Agrarias</w:t>
      </w:r>
      <w:r>
        <w:rPr>
          <w:rFonts w:ascii="Times New Roman" w:hAnsi="Times New Roman"/>
          <w:noProof/>
          <w:sz w:val="24"/>
          <w:szCs w:val="24"/>
        </w:rPr>
        <w:t xml:space="preserve"> (SEIASA). În acest scop, un acord între Ministerul Agriculturii, Pescuitului și Alimentației (MAPA) și SEIASA reglementează regimul de finanțare publică/privată pentru investițiile în modernizarea irigațiilor, criteriile de selecție a proiectelor, procedurile de punere în aplicare a planului, precum și lista acțiunilor care trebuie realizate. Această listă de acțiuni include cel puțin:</w:t>
      </w:r>
    </w:p>
    <w:p>
      <w:pPr>
        <w:numPr>
          <w:ilvl w:val="0"/>
          <w:numId w:val="39"/>
        </w:numPr>
        <w:spacing w:before="120" w:after="120" w:line="240" w:lineRule="auto"/>
        <w:ind w:left="357" w:hanging="357"/>
        <w:contextualSpacing/>
        <w:jc w:val="both"/>
        <w:rPr>
          <w:rFonts w:ascii="Times New Roman" w:hAnsi="Times New Roman" w:cs="Times New Roman"/>
          <w:noProof/>
          <w:sz w:val="24"/>
          <w:szCs w:val="24"/>
        </w:rPr>
      </w:pPr>
      <w:r>
        <w:rPr>
          <w:rFonts w:ascii="Times New Roman" w:hAnsi="Times New Roman"/>
          <w:noProof/>
          <w:sz w:val="24"/>
          <w:szCs w:val="24"/>
        </w:rPr>
        <w:t xml:space="preserve">Înlocuirea utilizării apelor subterane sau de suprafață cu utilizarea resurselor de apă neconvenționale [apă recuperată sau apă desalinizată în conformitate cu Orientările tehnice privind principiul „de a nu prejudicia în mod semnificativ” (2021/C58/01)]; </w:t>
      </w:r>
    </w:p>
    <w:p>
      <w:pPr>
        <w:numPr>
          <w:ilvl w:val="0"/>
          <w:numId w:val="39"/>
        </w:numPr>
        <w:spacing w:before="120" w:after="120" w:line="240" w:lineRule="auto"/>
        <w:ind w:left="357" w:hanging="357"/>
        <w:contextualSpacing/>
        <w:jc w:val="both"/>
        <w:rPr>
          <w:rFonts w:ascii="Times New Roman" w:hAnsi="Times New Roman" w:cs="Times New Roman"/>
          <w:noProof/>
          <w:sz w:val="24"/>
        </w:rPr>
      </w:pPr>
      <w:r>
        <w:rPr>
          <w:rFonts w:ascii="Times New Roman" w:hAnsi="Times New Roman"/>
          <w:noProof/>
          <w:sz w:val="24"/>
        </w:rPr>
        <w:t>punerea în aplicare a sistemelor de reglare a apei (rezervoare) care permit irigarea gravitațională;</w:t>
      </w:r>
    </w:p>
    <w:p>
      <w:pPr>
        <w:numPr>
          <w:ilvl w:val="0"/>
          <w:numId w:val="39"/>
        </w:numPr>
        <w:spacing w:before="120" w:after="120" w:line="240" w:lineRule="auto"/>
        <w:ind w:left="357" w:hanging="357"/>
        <w:contextualSpacing/>
        <w:jc w:val="both"/>
        <w:rPr>
          <w:rFonts w:ascii="Times New Roman" w:hAnsi="Times New Roman" w:cs="Times New Roman"/>
          <w:noProof/>
          <w:sz w:val="24"/>
        </w:rPr>
      </w:pPr>
      <w:r>
        <w:rPr>
          <w:rFonts w:ascii="Times New Roman" w:hAnsi="Times New Roman"/>
          <w:noProof/>
          <w:sz w:val="24"/>
        </w:rPr>
        <w:t>înlocuirea rigolelor în aer liber cu conducte subterane;</w:t>
      </w:r>
    </w:p>
    <w:p>
      <w:pPr>
        <w:numPr>
          <w:ilvl w:val="0"/>
          <w:numId w:val="39"/>
        </w:numPr>
        <w:spacing w:before="120" w:after="120" w:line="240" w:lineRule="auto"/>
        <w:ind w:left="357" w:hanging="357"/>
        <w:contextualSpacing/>
        <w:jc w:val="both"/>
        <w:rPr>
          <w:rFonts w:ascii="Times New Roman" w:hAnsi="Times New Roman" w:cs="Times New Roman"/>
          <w:noProof/>
          <w:sz w:val="24"/>
        </w:rPr>
      </w:pPr>
      <w:r>
        <w:rPr>
          <w:rFonts w:ascii="Times New Roman" w:hAnsi="Times New Roman"/>
          <w:noProof/>
          <w:sz w:val="24"/>
        </w:rPr>
        <w:t>construcția de sisteme de filtrare și pompare; și</w:t>
      </w:r>
    </w:p>
    <w:p>
      <w:pPr>
        <w:numPr>
          <w:ilvl w:val="0"/>
          <w:numId w:val="39"/>
        </w:numPr>
        <w:spacing w:before="120" w:after="120" w:line="240" w:lineRule="auto"/>
        <w:jc w:val="both"/>
        <w:rPr>
          <w:rFonts w:ascii="Times New Roman" w:hAnsi="Times New Roman" w:cs="Times New Roman"/>
          <w:noProof/>
          <w:sz w:val="24"/>
        </w:rPr>
      </w:pPr>
      <w:r>
        <w:rPr>
          <w:rFonts w:ascii="Times New Roman" w:hAnsi="Times New Roman"/>
          <w:noProof/>
          <w:sz w:val="24"/>
        </w:rPr>
        <w:t>instalarea de contoare și sisteme de gestionare la distanță.</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themeColor="text1"/>
          <w:sz w:val="24"/>
          <w:szCs w:val="24"/>
        </w:rPr>
        <w:t>Se preconizează că această măsură nu aduce prejudicii semnificative obiectivelor de mediu în sensul articolului 17 din Regulamentul (UE) 2020/852, ținând seama de descrierea măsurii și de măsurile de atenuare stabilite în planul de redresare și reziliență în conformitate cu Orientările tehnice DNSH (2021/C58/01). În special, apa desalinizată se produce utilizând cea mai bună tehnologie disponibilă, cu cel mai redus impact asupra mediului din acest sector. Toate activitățile de irigare se desfășoară în conformitate cu Directiva-cadru privind apa, evaluările necesare ale impactului asupra mediului se efectuează în conformitate cu Directivele 2009/147/CE și 92/43/CEE și se pun în aplicare măsurile de atenuare necesare pentru protecția mediului.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Punerea în aplicare a investiției se finalizează până la 30 iunie 2026.</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 xml:space="preserve">Investiția 2 (C3.I2) – Plan de stimulare a sustenabilității și a competitivității agriculturii și creșterii animalelor (I): Modernizarea laboratoarelor de sănătate a animalelor și a plantelor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Această măsură îmbunătățește securitatea alimentară în sectorul agricol și zootehnic prin asigurarea unor acțiuni rapide ca răspuns la focarele de boli ale animalelor, inclusiv cele care afectează oamenii, precum și la organismele dăunătoare plantelor, prin construirea de instalații care au un nivel de biosiguranță 3. Mai precis, măsura asigură intrarea în funcțiune a următoarelor instalații:</w:t>
      </w:r>
    </w:p>
    <w:p>
      <w:pPr>
        <w:numPr>
          <w:ilvl w:val="0"/>
          <w:numId w:val="40"/>
        </w:numPr>
        <w:spacing w:before="120" w:after="120" w:line="240" w:lineRule="auto"/>
        <w:ind w:left="357" w:hanging="357"/>
        <w:contextualSpacing/>
        <w:jc w:val="both"/>
        <w:rPr>
          <w:rFonts w:ascii="Times New Roman" w:hAnsi="Times New Roman" w:cs="Times New Roman"/>
          <w:noProof/>
          <w:sz w:val="24"/>
        </w:rPr>
      </w:pPr>
      <w:r>
        <w:rPr>
          <w:rFonts w:ascii="Times New Roman" w:hAnsi="Times New Roman"/>
          <w:noProof/>
          <w:sz w:val="24"/>
        </w:rPr>
        <w:t>laboratorul de securitate biologică de nivel 3 (LSCA-Santa Fe);</w:t>
      </w:r>
    </w:p>
    <w:p>
      <w:pPr>
        <w:numPr>
          <w:ilvl w:val="0"/>
          <w:numId w:val="40"/>
        </w:numPr>
        <w:spacing w:before="120" w:after="120" w:line="240" w:lineRule="auto"/>
        <w:ind w:left="357" w:hanging="357"/>
        <w:contextualSpacing/>
        <w:jc w:val="both"/>
        <w:rPr>
          <w:rFonts w:ascii="Times New Roman" w:hAnsi="Times New Roman" w:cs="Times New Roman"/>
          <w:noProof/>
          <w:sz w:val="24"/>
          <w:szCs w:val="24"/>
        </w:rPr>
      </w:pPr>
      <w:r>
        <w:rPr>
          <w:rFonts w:ascii="Times New Roman" w:hAnsi="Times New Roman"/>
          <w:noProof/>
          <w:sz w:val="24"/>
          <w:szCs w:val="24"/>
        </w:rPr>
        <w:t>instalația pentru animale de nivel 3 pentru siguranța biologică (LCV-Algete); și</w:t>
      </w:r>
    </w:p>
    <w:p>
      <w:pPr>
        <w:numPr>
          <w:ilvl w:val="0"/>
          <w:numId w:val="40"/>
        </w:numPr>
        <w:spacing w:before="120" w:after="120" w:line="240" w:lineRule="auto"/>
        <w:jc w:val="both"/>
        <w:rPr>
          <w:rFonts w:ascii="Times New Roman" w:hAnsi="Times New Roman" w:cs="Times New Roman"/>
          <w:noProof/>
          <w:sz w:val="24"/>
        </w:rPr>
      </w:pPr>
      <w:r>
        <w:rPr>
          <w:rFonts w:ascii="Times New Roman" w:hAnsi="Times New Roman"/>
          <w:noProof/>
          <w:sz w:val="24"/>
        </w:rPr>
        <w:t>laboratorul Național pentru Sănătatea Plantelor din Lugo.</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rPr>
        <w:t>Punerea în aplicare a investiției se finalizează până la 31 decembrie 2023.</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 xml:space="preserve">Investiția 3 (C3.I3) – Plan de stimulare a sustenabilității și a competitivității agriculturii și creșterii animalelor (II): Consolidarea capacităților și a sistemelor de biosecuritate în crescătoriile de animale, în centrele de curățare și dezinfectare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Această măsură consolidează prevenirea și protecția împotriva bolilor animalelor și a organismelor dăunătoare plantelor a căror incidență a crescut ca urmare a schimbărilor climatice, prin îmbunătățirea consolidării capacităților și a sistemelor de biosecuritate în grădinițe, precum și în centrele de curățare și dezinfectare. Aceasta consolidează sistemele de biosecuritate din instalațiile de producere a materialului de reproducere a plantelor, care joacă un rol important în obținerea de materiale fără dăunători, reducând utilizarea produselor de protecție a plantelor.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Sprijinul ia forma unor ajutoare pentru investiții destinate exploatațiilor agricole de material de reproducere a plantelor și centrelor de curățare și dezinfectare a mijloacelor de transport pentru animale vii. În mod specific, sunt prevăzute granturi pentru îmbunătățirea tehnologică a acestor instalații prin automatizare, robotizare și instalarea de noi sisteme de curățare și dezinfectare, cum ar fi dezinfectarea termică.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Măsura include consolidarea a cel puțin 465 de centre de curățare și dezinfectare și a centrelor care produc material de reproducere a plantelor cu sisteme îmbunătățite de formare și de biosecuritate.</w:t>
      </w:r>
    </w:p>
    <w:p>
      <w:pPr>
        <w:spacing w:before="120" w:after="120" w:line="240" w:lineRule="auto"/>
        <w:jc w:val="both"/>
        <w:rPr>
          <w:rFonts w:ascii="Times New Roman" w:hAnsi="Times New Roman" w:cs="Times New Roman"/>
          <w:noProof/>
          <w:sz w:val="24"/>
        </w:rPr>
      </w:pPr>
      <w:r>
        <w:rPr>
          <w:rFonts w:ascii="Times New Roman" w:hAnsi="Times New Roman"/>
          <w:noProof/>
          <w:sz w:val="24"/>
        </w:rPr>
        <w:t>Punerea în aplicare a investiției se finalizează până la 31 decembrie 2023.</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 xml:space="preserve">Investiția 4 (C3.I4) – Plan de stimulare a sustenabilității și a competitivității agriculturii și creșterii animalelor (III): Investiții în agricultura de precizie, în eficiența energetică și în economia circulară în sectorul agricol și în sectorul creșterii animalelor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Această măsură promovează sustenabilitatea și competitivitatea sectorului agricol și al creșterii animalelor prin investiții în: (i) agricultura de precizie; (ii) eficiența energetică; (iii) economia circulară; și (iv) utilizarea energiei din surse regenerabile.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Mai precis, investițiile se referă la următoarele: </w:t>
      </w:r>
    </w:p>
    <w:p>
      <w:pPr>
        <w:numPr>
          <w:ilvl w:val="0"/>
          <w:numId w:val="41"/>
        </w:numPr>
        <w:spacing w:before="120" w:after="120" w:line="240" w:lineRule="auto"/>
        <w:ind w:left="357" w:hanging="357"/>
        <w:contextualSpacing/>
        <w:jc w:val="both"/>
        <w:rPr>
          <w:rFonts w:ascii="Times New Roman" w:hAnsi="Times New Roman" w:cs="Times New Roman"/>
          <w:noProof/>
          <w:sz w:val="24"/>
          <w:szCs w:val="24"/>
        </w:rPr>
      </w:pPr>
      <w:r>
        <w:rPr>
          <w:rFonts w:ascii="Times New Roman" w:hAnsi="Times New Roman"/>
          <w:noProof/>
          <w:sz w:val="24"/>
          <w:szCs w:val="24"/>
        </w:rPr>
        <w:t xml:space="preserve">Punerea în aplicare a unor noi sisteme de gestionare a deșeurilor agricole, a efluenților de la creșterea animalelor și a subproduselor acestora, inclusiv reforme structurale; </w:t>
      </w:r>
    </w:p>
    <w:p>
      <w:pPr>
        <w:numPr>
          <w:ilvl w:val="0"/>
          <w:numId w:val="41"/>
        </w:numPr>
        <w:spacing w:before="120" w:after="120" w:line="240" w:lineRule="auto"/>
        <w:ind w:left="357" w:hanging="357"/>
        <w:contextualSpacing/>
        <w:jc w:val="both"/>
        <w:rPr>
          <w:rFonts w:ascii="Times New Roman" w:hAnsi="Times New Roman" w:cs="Times New Roman"/>
          <w:noProof/>
          <w:sz w:val="24"/>
        </w:rPr>
      </w:pPr>
      <w:r>
        <w:rPr>
          <w:rFonts w:ascii="Times New Roman" w:hAnsi="Times New Roman"/>
          <w:noProof/>
          <w:sz w:val="24"/>
        </w:rPr>
        <w:t xml:space="preserve">modernizarea serelor, atât a instalațiilor, cât și a echipamentelor acestora; </w:t>
      </w:r>
    </w:p>
    <w:p>
      <w:pPr>
        <w:numPr>
          <w:ilvl w:val="0"/>
          <w:numId w:val="41"/>
        </w:numPr>
        <w:spacing w:before="120" w:after="120" w:line="240" w:lineRule="auto"/>
        <w:ind w:left="357" w:hanging="357"/>
        <w:contextualSpacing/>
        <w:jc w:val="both"/>
        <w:rPr>
          <w:rFonts w:ascii="Times New Roman" w:hAnsi="Times New Roman" w:cs="Times New Roman"/>
          <w:noProof/>
          <w:sz w:val="24"/>
        </w:rPr>
      </w:pPr>
      <w:r>
        <w:rPr>
          <w:rFonts w:ascii="Times New Roman" w:hAnsi="Times New Roman"/>
          <w:noProof/>
          <w:sz w:val="24"/>
        </w:rPr>
        <w:t>promovarea utilizării biogazului și a energiilor regenerabile; și</w:t>
      </w:r>
    </w:p>
    <w:p>
      <w:pPr>
        <w:numPr>
          <w:ilvl w:val="0"/>
          <w:numId w:val="41"/>
        </w:numPr>
        <w:spacing w:before="120" w:after="120" w:line="240" w:lineRule="auto"/>
        <w:jc w:val="both"/>
        <w:rPr>
          <w:rFonts w:ascii="Times New Roman" w:hAnsi="Times New Roman" w:cs="Times New Roman"/>
          <w:noProof/>
          <w:sz w:val="24"/>
        </w:rPr>
      </w:pPr>
      <w:r>
        <w:rPr>
          <w:rFonts w:ascii="Times New Roman" w:hAnsi="Times New Roman"/>
          <w:noProof/>
          <w:sz w:val="24"/>
        </w:rPr>
        <w:t>colectarea de date în timp real cu ajutorul senzorilor care permit utilizarea agriculturii și tehnologiei de precizie în ferme, ceea ce include implementarea sistemelor de navigație prin satelit (GNSS) și geolocalizarea în sectorul creșterii animalelor.</w:t>
      </w:r>
    </w:p>
    <w:p>
      <w:pPr>
        <w:spacing w:before="120" w:after="120" w:line="240" w:lineRule="auto"/>
        <w:jc w:val="both"/>
        <w:rPr>
          <w:rFonts w:ascii="Times New Roman" w:hAnsi="Times New Roman" w:cs="Times New Roman"/>
          <w:noProof/>
          <w:sz w:val="24"/>
        </w:rPr>
      </w:pPr>
      <w:r>
        <w:rPr>
          <w:rFonts w:ascii="Times New Roman" w:hAnsi="Times New Roman"/>
          <w:noProof/>
          <w:sz w:val="24"/>
        </w:rPr>
        <w:t>Măsura este pusă în aplicare sub formă de investiții individuale sau colective în exploatații agricole sau societăți de servicii agricole. Cel puțin 5 000 de ferme trebuie să fi finalizat proiecte privind agricultura de precizie, eficiența energetică, economia circulară și utilizarea energiei din surse regenerabile.</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rPr>
        <w:t>Punerea în aplicare a investiției se finalizează până la 30 iunie 2026.</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 xml:space="preserve">Investiția 5 (C3.I5) - Strategie pentru digitalizarea sectorului agroalimentar și forestier și a mediului rural: dezvoltarea de acțiuni de sprijinire a digitalizării și a spiritului antreprenorial în sectorul agroalimentar și forestier și în mediul rural </w:t>
      </w:r>
    </w:p>
    <w:p>
      <w:pPr>
        <w:spacing w:before="120" w:after="120" w:line="240" w:lineRule="auto"/>
        <w:jc w:val="both"/>
        <w:rPr>
          <w:rFonts w:ascii="Times New Roman" w:hAnsi="Times New Roman" w:cs="Times New Roman"/>
          <w:noProof/>
          <w:sz w:val="24"/>
        </w:rPr>
      </w:pPr>
      <w:r>
        <w:rPr>
          <w:rFonts w:ascii="Times New Roman" w:hAnsi="Times New Roman"/>
          <w:noProof/>
          <w:sz w:val="24"/>
        </w:rPr>
        <w:t>Această măsură stabilește acțiuni în Strategia pentru digitalizarea sectoarelor agroalimentar, forestier și rural, adoptată de guvernul spaniol în martie 2019, și în cel de-al doilea plan de acțiune 2021-2023. Acțiunile includ:</w:t>
      </w:r>
    </w:p>
    <w:p>
      <w:pPr>
        <w:numPr>
          <w:ilvl w:val="0"/>
          <w:numId w:val="33"/>
        </w:numPr>
        <w:spacing w:before="120" w:after="120" w:line="240" w:lineRule="auto"/>
        <w:ind w:left="425" w:hanging="425"/>
        <w:contextualSpacing/>
        <w:jc w:val="both"/>
        <w:rPr>
          <w:rFonts w:ascii="Times New Roman" w:hAnsi="Times New Roman" w:cs="Times New Roman"/>
          <w:noProof/>
          <w:sz w:val="24"/>
          <w:szCs w:val="24"/>
        </w:rPr>
      </w:pPr>
      <w:r>
        <w:rPr>
          <w:rFonts w:ascii="Times New Roman" w:hAnsi="Times New Roman"/>
          <w:noProof/>
          <w:sz w:val="24"/>
          <w:szCs w:val="24"/>
        </w:rPr>
        <w:t>O linie specifică de sprijin financiar pentru IMM-urile din sectorul agroalimentar, pentru a stimula proiectele de afaceri inovatoare și digitale, care urmează să fie pusă în aplicare prin acordarea de împrumuturi participative;</w:t>
      </w:r>
    </w:p>
    <w:p>
      <w:pPr>
        <w:numPr>
          <w:ilvl w:val="0"/>
          <w:numId w:val="33"/>
        </w:numPr>
        <w:spacing w:before="120" w:after="120" w:line="240" w:lineRule="auto"/>
        <w:ind w:left="425" w:hanging="425"/>
        <w:contextualSpacing/>
        <w:jc w:val="both"/>
        <w:rPr>
          <w:rFonts w:ascii="Times New Roman" w:hAnsi="Times New Roman" w:cs="Times New Roman"/>
          <w:noProof/>
          <w:sz w:val="24"/>
          <w:szCs w:val="24"/>
        </w:rPr>
      </w:pPr>
      <w:r>
        <w:rPr>
          <w:rFonts w:ascii="Times New Roman" w:hAnsi="Times New Roman"/>
          <w:noProof/>
          <w:sz w:val="24"/>
        </w:rPr>
        <w:t>un centru de inovare digitală pentru întreprinderile din sectorul agroalimentar, care să fie pus în aplicare prin intermediul unui contract intern și al achizițiilor publice prin proceduri competitive de atribuire;</w:t>
      </w:r>
    </w:p>
    <w:p>
      <w:pPr>
        <w:numPr>
          <w:ilvl w:val="0"/>
          <w:numId w:val="33"/>
        </w:numPr>
        <w:spacing w:before="120" w:after="120" w:line="240" w:lineRule="auto"/>
        <w:ind w:left="425" w:hanging="425"/>
        <w:contextualSpacing/>
        <w:jc w:val="both"/>
        <w:rPr>
          <w:rFonts w:ascii="Times New Roman" w:hAnsi="Times New Roman" w:cs="Times New Roman"/>
          <w:noProof/>
          <w:sz w:val="24"/>
        </w:rPr>
      </w:pPr>
      <w:r>
        <w:rPr>
          <w:rFonts w:ascii="Times New Roman" w:hAnsi="Times New Roman"/>
          <w:noProof/>
          <w:sz w:val="24"/>
        </w:rPr>
        <w:t>un observator al digitalizării în sectorul agroalimentar, prin intermediul unui acord de parteneriat între MAPA și organismul colaborator; și</w:t>
      </w:r>
    </w:p>
    <w:p>
      <w:pPr>
        <w:numPr>
          <w:ilvl w:val="0"/>
          <w:numId w:val="33"/>
        </w:numPr>
        <w:spacing w:before="120" w:after="120" w:line="240" w:lineRule="auto"/>
        <w:ind w:left="426" w:hanging="426"/>
        <w:jc w:val="both"/>
        <w:rPr>
          <w:rFonts w:ascii="Times New Roman" w:hAnsi="Times New Roman" w:cs="Times New Roman"/>
          <w:noProof/>
          <w:sz w:val="24"/>
          <w:szCs w:val="24"/>
        </w:rPr>
      </w:pPr>
      <w:r>
        <w:rPr>
          <w:rFonts w:ascii="Times New Roman" w:hAnsi="Times New Roman"/>
          <w:noProof/>
          <w:sz w:val="24"/>
          <w:szCs w:val="24"/>
        </w:rPr>
        <w:t>o platformă a consilierilor sistemului de cunoștințe și informații agricole (AKIS) care să funcționeze ca un instrument de promovare a transferului de cunoștințe și informații între actorii AKIS, care să fie pusă în aplicare prin intermediul unui contract intern și al achizițiilor publice prin proceduri competitive de atribuire.</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Ca parte a măsurii, cel puțin 60 de IMM-uri din sectorul agroalimentar pun în aplicare proiecte de afaceri inovatoare și digitale care respectă Orientările tehnice privind principiul „de a nu prejudicia în mod semnificativ” (2021/C58/01) și care sunt finanțate prin împrumuturi participative până la sfârșitul anului 2023. </w:t>
      </w:r>
    </w:p>
    <w:p>
      <w:pPr>
        <w:pStyle w:val="Text1"/>
        <w:ind w:left="0"/>
        <w:rPr>
          <w:noProof/>
        </w:rPr>
      </w:pPr>
      <w:r>
        <w:rPr>
          <w:noProof/>
        </w:rPr>
        <w:t xml:space="preserve">Pentru a se asigura conformitatea măsurii cu Orientările tehnice privind principiul „de a nu prejudicia în mod semnificativ” (2021/C58/01), acordul juridic dintre Ministerul Agriculturii, Pescuitului și Alimentației și </w:t>
      </w:r>
      <w:r>
        <w:rPr>
          <w:i/>
          <w:noProof/>
        </w:rPr>
        <w:t>Empresa Nacional de Innovación</w:t>
      </w:r>
      <w:r>
        <w:rPr>
          <w:noProof/>
        </w:rPr>
        <w:t xml:space="preserve"> (ENISA) și politica de investiții ulterioară a instrumentului financiar </w:t>
      </w:r>
    </w:p>
    <w:p>
      <w:pPr>
        <w:pStyle w:val="Text1"/>
        <w:numPr>
          <w:ilvl w:val="0"/>
          <w:numId w:val="151"/>
        </w:numPr>
        <w:ind w:left="714" w:hanging="357"/>
        <w:contextualSpacing/>
        <w:rPr>
          <w:noProof/>
        </w:rPr>
      </w:pPr>
      <w:r>
        <w:rPr>
          <w:noProof/>
        </w:rPr>
        <w:t>să solicite aplicarea orientărilor tehnice ale Comisiei privind evaluarea sustenabilității pentru Fondul InvestEU; și</w:t>
      </w:r>
    </w:p>
    <w:p>
      <w:pPr>
        <w:pStyle w:val="Text1"/>
        <w:numPr>
          <w:ilvl w:val="0"/>
          <w:numId w:val="151"/>
        </w:numPr>
        <w:ind w:left="714" w:hanging="357"/>
        <w:contextualSpacing/>
        <w:rPr>
          <w:noProof/>
        </w:rPr>
      </w:pPr>
      <w:r>
        <w:rPr>
          <w:noProof/>
        </w:rPr>
        <w:t>exclude de la eligibilitate următoarea listă de activități și active:</w:t>
      </w:r>
      <w:r>
        <w:rPr>
          <w:noProof/>
          <w:color w:val="FF0000"/>
        </w:rPr>
        <w:t xml:space="preserve"> </w:t>
      </w:r>
      <w:r>
        <w:rPr>
          <w:noProof/>
        </w:rPr>
        <w:t>(i) activități și active legate de combustibilii fosili, inclusiv utilizarea în aval</w:t>
      </w:r>
      <w:r>
        <w:rPr>
          <w:rStyle w:val="FootnoteReference"/>
          <w:noProof/>
          <w:lang w:val="en-IE"/>
        </w:rPr>
        <w:footnoteReference w:id="6"/>
      </w:r>
      <w:r>
        <w:rPr>
          <w:noProof/>
        </w:rPr>
        <w:t>; (ii) activitățile și activele din cadrul schemei UE de comercializare a certificatelor de emisii (ETS) care ating previziuni privind emisiile de gaze cu efect de seră care nu sunt mai mici decât valorile de referință relevante</w:t>
      </w:r>
      <w:r>
        <w:rPr>
          <w:rStyle w:val="FootnoteReference"/>
          <w:noProof/>
          <w:lang w:val="en-IE"/>
        </w:rPr>
        <w:footnoteReference w:id="7"/>
      </w:r>
      <w:r>
        <w:rPr>
          <w:noProof/>
        </w:rPr>
        <w:t>; (iii) activități și active legate de depozitele de deșeuri, incineratoare</w:t>
      </w:r>
      <w:r>
        <w:rPr>
          <w:rStyle w:val="FootnoteReference"/>
          <w:noProof/>
          <w:lang w:val="en-IE"/>
        </w:rPr>
        <w:footnoteReference w:id="8"/>
      </w:r>
      <w:r>
        <w:rPr>
          <w:noProof/>
        </w:rPr>
        <w:t xml:space="preserve"> și stații de tratare mecano-biologică</w:t>
      </w:r>
      <w:r>
        <w:rPr>
          <w:rStyle w:val="FootnoteReference"/>
          <w:noProof/>
          <w:lang w:val="en-IE"/>
        </w:rPr>
        <w:footnoteReference w:id="9"/>
      </w:r>
      <w:r>
        <w:rPr>
          <w:noProof/>
        </w:rPr>
        <w:t xml:space="preserve">; și (iv) activități și active în cazul cărora eliminarea pe termen lung a deșeurilor poate dăuna mediului; </w:t>
      </w:r>
    </w:p>
    <w:p>
      <w:pPr>
        <w:pStyle w:val="Text1"/>
        <w:numPr>
          <w:ilvl w:val="0"/>
          <w:numId w:val="151"/>
        </w:numPr>
        <w:rPr>
          <w:noProof/>
        </w:rPr>
      </w:pPr>
      <w:r>
        <w:rPr>
          <w:noProof/>
        </w:rPr>
        <w:t>să solicite ENISA să verifice conformitatea juridică a proiectelor cu legislația UE și națională relevantă în materie de mediu pentru toate tranzacțiile, inclusiv pentru cele exceptate de la verificarea durabilității.</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Nu se sprijină nicio activitate legată de captarea și stocarea carbonului.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Punerea în aplicare a investiției se finalizează până la 30 iunie 2026.</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 xml:space="preserve">Investiția 6 (C3.I6) – Plan de promovare a sustenabilității, cercetării, inovării și digitalizării în sectorul pescuitului (I): Modernizarea rețelei de rezerve marine de interes pentru pescuit </w:t>
      </w:r>
    </w:p>
    <w:p>
      <w:pPr>
        <w:spacing w:before="120" w:after="120" w:line="240" w:lineRule="auto"/>
        <w:jc w:val="both"/>
        <w:rPr>
          <w:rFonts w:ascii="Times New Roman" w:hAnsi="Times New Roman" w:cs="Times New Roman"/>
          <w:noProof/>
          <w:sz w:val="24"/>
        </w:rPr>
      </w:pPr>
      <w:r>
        <w:rPr>
          <w:rFonts w:ascii="Times New Roman" w:hAnsi="Times New Roman"/>
          <w:noProof/>
          <w:sz w:val="24"/>
        </w:rPr>
        <w:t>Obiectivul acestei măsuri este modernizarea rețelei de rezerve marine de interes pentru pescuit prin intermediul următoarelor acțiuni:</w:t>
      </w:r>
    </w:p>
    <w:p>
      <w:pPr>
        <w:numPr>
          <w:ilvl w:val="0"/>
          <w:numId w:val="34"/>
        </w:numPr>
        <w:spacing w:before="120" w:after="120" w:line="240" w:lineRule="auto"/>
        <w:ind w:left="425" w:hanging="425"/>
        <w:contextualSpacing/>
        <w:jc w:val="both"/>
        <w:rPr>
          <w:rFonts w:ascii="Times New Roman" w:hAnsi="Times New Roman" w:cs="Times New Roman"/>
          <w:noProof/>
          <w:sz w:val="24"/>
          <w:szCs w:val="24"/>
        </w:rPr>
      </w:pPr>
      <w:r>
        <w:rPr>
          <w:rFonts w:ascii="Times New Roman" w:hAnsi="Times New Roman"/>
          <w:noProof/>
          <w:sz w:val="24"/>
          <w:szCs w:val="24"/>
        </w:rPr>
        <w:t>Achiziționarea a două nave auxiliare cu scop special pentru a asigura controlul și supravegherea activităților desfășurate în rezerve;</w:t>
      </w:r>
    </w:p>
    <w:p>
      <w:pPr>
        <w:numPr>
          <w:ilvl w:val="0"/>
          <w:numId w:val="34"/>
        </w:numPr>
        <w:spacing w:before="120" w:after="120" w:line="240" w:lineRule="auto"/>
        <w:ind w:left="425" w:hanging="425"/>
        <w:contextualSpacing/>
        <w:jc w:val="both"/>
        <w:rPr>
          <w:rFonts w:ascii="Times New Roman" w:hAnsi="Times New Roman" w:cs="Times New Roman"/>
          <w:noProof/>
          <w:sz w:val="24"/>
          <w:szCs w:val="24"/>
        </w:rPr>
      </w:pPr>
      <w:r>
        <w:rPr>
          <w:rFonts w:ascii="Times New Roman" w:hAnsi="Times New Roman"/>
          <w:noProof/>
          <w:sz w:val="24"/>
          <w:szCs w:val="24"/>
        </w:rPr>
        <w:t>punerea în aplicare a tehnologiei informației și comunicațiilor pentru a permite controlul și monitorizarea rezervelor, prin achiziționarea (i) a cel puțin patru echipamente de vedere nocturnă pentru detectarea activităților interzise; și (ii) dronele cu o putere suficientă pentru a permite activitățile de control și monitorizare și pentru a optimiza mijloacele existente;</w:t>
      </w:r>
    </w:p>
    <w:p>
      <w:pPr>
        <w:numPr>
          <w:ilvl w:val="0"/>
          <w:numId w:val="34"/>
        </w:numPr>
        <w:spacing w:before="120" w:after="120" w:line="240" w:lineRule="auto"/>
        <w:ind w:left="425" w:hanging="425"/>
        <w:contextualSpacing/>
        <w:jc w:val="both"/>
        <w:rPr>
          <w:rFonts w:ascii="Times New Roman" w:hAnsi="Times New Roman" w:cs="Times New Roman"/>
          <w:noProof/>
          <w:sz w:val="24"/>
        </w:rPr>
      </w:pPr>
      <w:r>
        <w:rPr>
          <w:rFonts w:ascii="Times New Roman" w:hAnsi="Times New Roman"/>
          <w:noProof/>
          <w:sz w:val="24"/>
        </w:rPr>
        <w:t>extinderea rețelei de rezerve prin crearea unei noi rezerve marine; și</w:t>
      </w:r>
    </w:p>
    <w:p>
      <w:pPr>
        <w:numPr>
          <w:ilvl w:val="0"/>
          <w:numId w:val="34"/>
        </w:numPr>
        <w:spacing w:before="120" w:after="120" w:line="240" w:lineRule="auto"/>
        <w:ind w:left="426" w:hanging="426"/>
        <w:jc w:val="both"/>
        <w:rPr>
          <w:rFonts w:ascii="Times New Roman" w:hAnsi="Times New Roman" w:cs="Times New Roman"/>
          <w:noProof/>
          <w:sz w:val="24"/>
          <w:szCs w:val="24"/>
        </w:rPr>
      </w:pPr>
      <w:r>
        <w:rPr>
          <w:rFonts w:ascii="Times New Roman" w:hAnsi="Times New Roman"/>
          <w:noProof/>
          <w:sz w:val="24"/>
          <w:szCs w:val="24"/>
        </w:rPr>
        <w:t xml:space="preserve">actualizarea unei rezerve marine existente, </w:t>
      </w:r>
      <w:r>
        <w:rPr>
          <w:rFonts w:ascii="Times New Roman" w:hAnsi="Times New Roman"/>
          <w:i/>
          <w:noProof/>
          <w:sz w:val="24"/>
          <w:szCs w:val="24"/>
        </w:rPr>
        <w:t>Faro de Alborán</w:t>
      </w:r>
      <w:r>
        <w:rPr>
          <w:rFonts w:ascii="Times New Roman" w:hAnsi="Times New Roman"/>
          <w:noProof/>
          <w:sz w:val="24"/>
          <w:szCs w:val="24"/>
        </w:rPr>
        <w:t xml:space="preserve">, și împrejurimile sale, pentru a facilita accesul, a îmbunătăți eficiența energetică a acesteia, precum și pentru a o dota cu instalații adecvate (și anume, o legătură radio radar către Peninsula) pentru a monitoriza și controla rezerva.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Achiziționarea celor două nave auxiliare cu scop special și punerea în aplicare a tehnologiei informației și comunicațiilor pentru a permite controlul și monitorizarea sunt puse în aplicare prin intermediul procedurilor de achiziții publice.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Se preconizează că această măsură nu aduce prejudicii semnificative obiectivelor de mediu în sensul articolului 17 din Regulamentul (UE) 2020/852, ținând seama de descrierea măsurii și de măsurile de atenuare stabilite în planul de redresare și reziliență în conformitate cu Orientările tehnice DNSH (2021/C58/01). În special, cele două nave auxiliare cu scop special trebuie să aibă cea mai bună tehnologie disponibilă, cu cel mai redus impact asupra mediului din acest sector. Investiția privind extinderea rețelei de rezerve marine constă într-un studiu pentru crearea unei noi rezerve marine, care este planificat să fie realizat prin intermediul unui contract intern. Același lucru este valabil și pentru lucrările planificate pentru actualizarea rezervei Faro de Alborán și a împrejurimilor acesteia, care vor include un studiu necesar privind construirea și optimizarea energiei.</w:t>
      </w:r>
    </w:p>
    <w:p>
      <w:pPr>
        <w:spacing w:before="120" w:after="120" w:line="240" w:lineRule="auto"/>
        <w:jc w:val="both"/>
        <w:rPr>
          <w:rFonts w:ascii="Times New Roman" w:hAnsi="Times New Roman" w:cs="Times New Roman"/>
          <w:noProof/>
          <w:sz w:val="24"/>
        </w:rPr>
      </w:pPr>
      <w:r>
        <w:rPr>
          <w:rFonts w:ascii="Times New Roman" w:hAnsi="Times New Roman"/>
          <w:noProof/>
          <w:sz w:val="24"/>
        </w:rPr>
        <w:t>Punerea în aplicare a investiției se finalizează până la 31 decembrie 2024.</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Investiția 7 (C3.I7) – Plan de stimulare a sustenabilității, cercetării, inovării și digitalizării sectorului pescuitului (II): Stimularea cercetării în domeniul pescuitului și acvaculturii și sprijinirea formării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Această măsură îmbunătățește cantitatea și calitatea cunoștințelor științifice care stau la baza procesului decizional în materie de gestionare a pescuitului. Inițiativa prevede: achiziționarea a cel puțin două sonde acustice pentru dotarea a două nave de pescuit și de cercetare oceanografică existente pentru a asigura calitatea datelor obținute pentru evaluarea științifică a diferitelor stocuri de specii pelagice; și (ii) promovarea cercetării în domeniul pescuitului și acvaculturii pentru a asigura o abordare ecosistemică a procesului decizional în gestionarea pescuitului.</w:t>
      </w:r>
    </w:p>
    <w:p>
      <w:pPr>
        <w:spacing w:before="120" w:after="120" w:line="240" w:lineRule="auto"/>
        <w:jc w:val="both"/>
        <w:rPr>
          <w:rFonts w:ascii="Times New Roman" w:hAnsi="Times New Roman" w:cs="Times New Roman"/>
          <w:noProof/>
          <w:sz w:val="24"/>
        </w:rPr>
      </w:pPr>
      <w:r>
        <w:rPr>
          <w:rFonts w:ascii="Times New Roman" w:hAnsi="Times New Roman"/>
          <w:noProof/>
          <w:sz w:val="24"/>
        </w:rPr>
        <w:t>Achiziția celor două sonde acustice se realizează pe baza unei proceduri de achiziții publice în cadrul căreia oferta are loc exclusiv. Promovarea cercetării în domeniul pescuitului și acvaculturii se realizează prin semnarea de acorduri cu organismele publice de cercetare și, după caz, prin alocarea de resurse proprii pentru recrutarea de observatori la bord sau prin licitații.</w:t>
      </w:r>
    </w:p>
    <w:p>
      <w:pPr>
        <w:spacing w:before="120" w:after="120" w:line="240" w:lineRule="auto"/>
        <w:jc w:val="both"/>
        <w:rPr>
          <w:rFonts w:ascii="Times New Roman" w:hAnsi="Times New Roman" w:cs="Times New Roman"/>
          <w:noProof/>
          <w:sz w:val="24"/>
        </w:rPr>
      </w:pPr>
      <w:r>
        <w:rPr>
          <w:rFonts w:ascii="Times New Roman" w:hAnsi="Times New Roman"/>
          <w:noProof/>
          <w:sz w:val="24"/>
        </w:rPr>
        <w:t>Punerea în aplicare a investiției se finalizează până la 30 iunie 2022.</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 xml:space="preserve">Investiția 8 (C3.I8) - Plan de stimulare a sustenabilității, cercetării, inovării și digitalizării sectorului pescuitului (III): Dezvoltarea tehnologică și inovarea în domeniul pescuitului și acvaculturii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Obiectivul acestei măsuri este de a institui un sector al pescuitului și acvaculturii mai sustenabil din punct de vedere ecologic, economic și social prin intermediul a două linii de acțiune:</w:t>
      </w:r>
    </w:p>
    <w:p>
      <w:pPr>
        <w:numPr>
          <w:ilvl w:val="0"/>
          <w:numId w:val="35"/>
        </w:numPr>
        <w:spacing w:before="120" w:after="120" w:line="240" w:lineRule="auto"/>
        <w:ind w:left="425" w:hanging="425"/>
        <w:contextualSpacing/>
        <w:jc w:val="both"/>
        <w:rPr>
          <w:rFonts w:ascii="Times New Roman" w:hAnsi="Times New Roman" w:cs="Times New Roman"/>
          <w:noProof/>
          <w:sz w:val="24"/>
          <w:szCs w:val="24"/>
        </w:rPr>
      </w:pPr>
      <w:r>
        <w:rPr>
          <w:rFonts w:ascii="Times New Roman" w:hAnsi="Times New Roman"/>
          <w:noProof/>
          <w:sz w:val="24"/>
          <w:szCs w:val="24"/>
        </w:rPr>
        <w:t>Crearea de parteneriate public-privat pentru a stimula creșterea albastră în acest sector, cu scopul de a pune în aplicare proiecte care servesc drept catalizatori pentru procesele economiei albastre; și</w:t>
      </w:r>
    </w:p>
    <w:p>
      <w:pPr>
        <w:numPr>
          <w:ilvl w:val="0"/>
          <w:numId w:val="35"/>
        </w:numPr>
        <w:spacing w:before="120" w:after="120" w:line="240" w:lineRule="auto"/>
        <w:ind w:left="426" w:hanging="426"/>
        <w:jc w:val="both"/>
        <w:rPr>
          <w:rFonts w:ascii="Times New Roman" w:hAnsi="Times New Roman" w:cs="Times New Roman"/>
          <w:noProof/>
          <w:sz w:val="24"/>
          <w:szCs w:val="24"/>
        </w:rPr>
      </w:pPr>
      <w:r>
        <w:rPr>
          <w:rFonts w:ascii="Times New Roman" w:hAnsi="Times New Roman"/>
          <w:noProof/>
          <w:sz w:val="24"/>
          <w:szCs w:val="24"/>
        </w:rPr>
        <w:t xml:space="preserve">sprijinirea dezvoltării tehnologice și a inovării în acest sector.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Măsura prevede finalizarea a cel puțin 20 de proiecte de cercetare, dezvoltare și inovare pentru adoptarea de noi tehnologii care favorizează reziliența și sustenabilitatea sectorului pescuitului și acvaculturii.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Punerea în aplicare a investiției se finalizează până la 31 decembrie 2023.</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 xml:space="preserve">Investiția 9 (C3.I9) - Plan de stimulare a sustenabilității, a cercetării, a inovării și a digitalizării în sectorul pescuitului (IV): Digitalizarea și utilizarea TIC în sectorul pescuitului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Această măsură vizează îmbunătățirea supravegherii activității de pescuit pentru a asigura sustenabilitatea mediului, precum și viabilitatea pe termen mediu și lung a sectorului pescuitului. Măsura cuprinde două linii de acțiune:</w:t>
      </w:r>
    </w:p>
    <w:p>
      <w:pPr>
        <w:numPr>
          <w:ilvl w:val="0"/>
          <w:numId w:val="36"/>
        </w:numPr>
        <w:spacing w:before="120" w:after="120" w:line="240" w:lineRule="auto"/>
        <w:ind w:left="425" w:hanging="425"/>
        <w:contextualSpacing/>
        <w:jc w:val="both"/>
        <w:rPr>
          <w:rFonts w:ascii="Times New Roman" w:hAnsi="Times New Roman" w:cs="Times New Roman"/>
          <w:noProof/>
          <w:sz w:val="24"/>
          <w:szCs w:val="24"/>
        </w:rPr>
      </w:pPr>
      <w:r>
        <w:rPr>
          <w:rFonts w:ascii="Times New Roman" w:hAnsi="Times New Roman"/>
          <w:noProof/>
          <w:sz w:val="24"/>
          <w:szCs w:val="24"/>
        </w:rPr>
        <w:t>O schemă de ajutoare pentru digitalizarea sectorului pescuitului și acvaculturii, inclusiv (i) ajutoare pentru dispozitive pentru transmiterea electronică a capturilor, precum și geolocalizarea acestora pentru navele cu o lungime mai mică de 12 metri; și (ii) ajutor pentru instalarea unui sistem de supraveghere care utilizează camere de luat vederi pentru monitorizarea de la distanță a activităților de pescuit și combaterea aruncării înapoi în mare a capturilor pentru navele cu o lungime mai mare de 24 metri; și</w:t>
      </w:r>
    </w:p>
    <w:p>
      <w:pPr>
        <w:numPr>
          <w:ilvl w:val="0"/>
          <w:numId w:val="36"/>
        </w:numPr>
        <w:spacing w:before="120" w:after="120" w:line="240" w:lineRule="auto"/>
        <w:ind w:left="426" w:hanging="426"/>
        <w:jc w:val="both"/>
        <w:rPr>
          <w:rFonts w:ascii="Times New Roman" w:hAnsi="Times New Roman" w:cs="Times New Roman"/>
          <w:noProof/>
          <w:sz w:val="24"/>
          <w:szCs w:val="24"/>
        </w:rPr>
      </w:pPr>
      <w:r>
        <w:rPr>
          <w:rFonts w:ascii="Times New Roman" w:hAnsi="Times New Roman"/>
          <w:noProof/>
          <w:sz w:val="24"/>
          <w:szCs w:val="24"/>
        </w:rPr>
        <w:t xml:space="preserve">soluții TIC moderne pentru supravegherea pescuitului, inclusiv (i) un sistem de înregistrare a capturilor cu posibilitatea de a urmări navele cu o lungime mai mică de 12 metri; (ii) instituirea unui serviciu de zbor cu dronă pentru controlul și supravegherea pescuitului și a unui sistem de monitorizare la distanță pentru capturile navelor de pescuit cu o lungime mai mare de 24 metri; și (iii) dispozitive și software (și anume, instalarea unui al doilea firewall) pentru consolidarea securității sistemului spaniol de informații privind pescuitul. </w:t>
      </w:r>
    </w:p>
    <w:p>
      <w:pPr>
        <w:spacing w:before="120" w:after="120" w:line="240" w:lineRule="auto"/>
        <w:jc w:val="both"/>
        <w:rPr>
          <w:rFonts w:ascii="Times New Roman" w:hAnsi="Times New Roman" w:cs="Times New Roman"/>
          <w:noProof/>
          <w:sz w:val="24"/>
        </w:rPr>
      </w:pPr>
      <w:r>
        <w:rPr>
          <w:rFonts w:ascii="Times New Roman" w:hAnsi="Times New Roman"/>
          <w:noProof/>
          <w:sz w:val="24"/>
        </w:rPr>
        <w:t>Digitalizarea sectorului pescuitului și acvaculturii din Spania este pusă în aplicare sub formă de granturi pentru proceduri competitive de atribuire, în timp ce punerea în aplicare a soluțiilor TIC moderne pentru supravegherea pescuitului se realizează prin achiziții publice deschise și centralizate.</w:t>
      </w:r>
    </w:p>
    <w:p>
      <w:pPr>
        <w:spacing w:before="120" w:after="120" w:line="240" w:lineRule="auto"/>
        <w:jc w:val="both"/>
        <w:rPr>
          <w:rFonts w:ascii="Times New Roman" w:hAnsi="Times New Roman" w:cs="Times New Roman"/>
          <w:noProof/>
          <w:sz w:val="24"/>
        </w:rPr>
      </w:pPr>
      <w:r>
        <w:rPr>
          <w:rFonts w:ascii="Times New Roman" w:hAnsi="Times New Roman"/>
          <w:noProof/>
          <w:sz w:val="24"/>
        </w:rPr>
        <w:t>Punerea în aplicare a investiției se finalizează până la 31 decembrie 2024.</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Investiția 10 (C3.I10) – Plan de stimulare a sustenabilității, cercetării, inovării și digitalizării sectorului pescuitului (V): Sprijin pentru combaterea pescuitului ilegal, nedeclarat și nereglementat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Această măsură sprijină lupta împotriva pescuitului ilegal, nedeclarat și nereglementat, care continuă să reprezinte o amenințare la adresa ecosistemelor marine. În acest scop, măsura sprijină următoarele investiții:</w:t>
      </w:r>
    </w:p>
    <w:p>
      <w:pPr>
        <w:numPr>
          <w:ilvl w:val="0"/>
          <w:numId w:val="38"/>
        </w:numPr>
        <w:spacing w:before="120" w:after="120" w:line="240" w:lineRule="auto"/>
        <w:ind w:left="425" w:hanging="425"/>
        <w:contextualSpacing/>
        <w:jc w:val="both"/>
        <w:rPr>
          <w:rFonts w:ascii="Times New Roman" w:hAnsi="Times New Roman" w:cs="Times New Roman"/>
          <w:noProof/>
          <w:sz w:val="24"/>
          <w:szCs w:val="24"/>
        </w:rPr>
      </w:pPr>
      <w:r>
        <w:rPr>
          <w:rFonts w:ascii="Times New Roman" w:hAnsi="Times New Roman"/>
          <w:noProof/>
          <w:sz w:val="24"/>
          <w:szCs w:val="24"/>
        </w:rPr>
        <w:t>Achiziționarea a patru nave de patrulare; și</w:t>
      </w:r>
    </w:p>
    <w:p>
      <w:pPr>
        <w:numPr>
          <w:ilvl w:val="0"/>
          <w:numId w:val="38"/>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 xml:space="preserve">modernizarea a trei nave de patrulare în marea liberă care vor fi utilizate pentru combaterea pescuitului ilegal, raportat și nereglementat.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Măsura este pusă în aplicare printr-o procedură de achiziții publice pentru construcția de nave de patrulare și prin modificarea unui acord cu marina spaniolă în cazul navelor de patrulare în larg, care va asigura acoperirea juridică a transferului care urmează să fie efectuat către marina militară, gestionând lucrările de modernizare menționate mai sus.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Se preconizează că această măsură nu aduce prejudicii semnificative obiectivelor de mediu în sensul articolului 17 din Regulamentul (UE) 2020/852, ținând seama de descrierea măsurii și de măsurile de atenuare stabilite în planul de redresare și reziliență în conformitate cu Orientările tehnice DNSH (2021/C58/01). În special, achizițiile și modernizările navelor trebuie să fie doar cele mai bune tehnologii disponibile, cu cel mai redus impact asupra mediului din acest sector.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rPr>
        <w:t>Punerea în aplicare a investiției se finalizează până la 31 decembrie 2022.</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 xml:space="preserve">Investiția 11 (C3.I11) - Plan de stimulare a sustenabilității, a cercetării, a inovării și a digitalizării în sectorul pescuitului (VI): Sprijin pentru finanțarea sectorului pescuitului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Această măsură asigură finanțarea proiectelor de investiții în sectorul pescuitului prin acordarea unui împrumut către Sociedad Anónima Estatal de Caución Agraria (SAECA). Obiectivul măsurii este crearea unei linii financiare de finanțare pentru proiectele legate de acțiunile de pescuit sustenabil, inclusiv: (i) îmbunătățirea condițiilor de muncă și de siguranță; (ii) digitalizarea proceselor și a sistemelor; (iii) îmbunătățirea valorii și a trasabilității produselor; (iv) căutarea de noi produse și prezentări, inclusiv ambalaje; și (v) stimularea inovării, a îmbunătățirii și eficienței energetice și a tranziției către energie cu un impact mai redus asupra climei.</w:t>
      </w:r>
    </w:p>
    <w:p>
      <w:pPr>
        <w:spacing w:before="120" w:after="120" w:line="240" w:lineRule="auto"/>
        <w:jc w:val="both"/>
        <w:rPr>
          <w:rFonts w:ascii="Times New Roman" w:hAnsi="Times New Roman" w:cs="Times New Roman"/>
          <w:noProof/>
          <w:sz w:val="24"/>
        </w:rPr>
      </w:pPr>
      <w:r>
        <w:rPr>
          <w:rFonts w:ascii="Times New Roman" w:hAnsi="Times New Roman"/>
          <w:noProof/>
          <w:sz w:val="24"/>
        </w:rPr>
        <w:t>Măsura este pusă în aplicare printr-un acord între Ministerul Agriculturii, Pescuitului și Alimentației și SAECA pentru a sprijini finanțarea proiectelor de investiții în sectorul pescuitului. Mecanismul se bazează pe un împrumut acordat SAECA pentru crearea unei linii de finanțare destinate regarantării proiectelor cu acțiuni legate de activitatea de pescuit sustenabil. Acordul include o condiție care garantează că investițiile realizate cu această finanțare respectă Orientările tehnice privind principiul „de a nu prejudicia în mod semnificativ” (2021/C58/01).</w:t>
      </w:r>
    </w:p>
    <w:p>
      <w:pPr>
        <w:pStyle w:val="Text1"/>
        <w:ind w:left="0"/>
        <w:rPr>
          <w:noProof/>
        </w:rPr>
      </w:pPr>
      <w:r>
        <w:rPr>
          <w:noProof/>
        </w:rPr>
        <w:t xml:space="preserve">Pentru a se asigura conformitatea măsurii cu Orientările tehnice privind principiul „de a nu prejudicia în mod semnificativ” (2021/C58/01), acordul juridic dintre Ministerul Agriculturii, Pescuitului și Alimentației și SAECA și politica de investiții ulterioară a instrumentului financiar </w:t>
      </w:r>
    </w:p>
    <w:p>
      <w:pPr>
        <w:pStyle w:val="Text1"/>
        <w:numPr>
          <w:ilvl w:val="0"/>
          <w:numId w:val="152"/>
        </w:numPr>
        <w:ind w:left="714" w:hanging="357"/>
        <w:contextualSpacing/>
        <w:rPr>
          <w:noProof/>
        </w:rPr>
      </w:pPr>
      <w:r>
        <w:rPr>
          <w:noProof/>
        </w:rPr>
        <w:t>să solicite aplicarea orientărilor tehnice ale Comisiei privind evaluarea sustenabilității pentru Fondul InvestEU; și</w:t>
      </w:r>
    </w:p>
    <w:p>
      <w:pPr>
        <w:pStyle w:val="Text1"/>
        <w:numPr>
          <w:ilvl w:val="0"/>
          <w:numId w:val="152"/>
        </w:numPr>
        <w:ind w:left="714" w:hanging="357"/>
        <w:contextualSpacing/>
        <w:rPr>
          <w:noProof/>
        </w:rPr>
      </w:pPr>
      <w:r>
        <w:rPr>
          <w:noProof/>
        </w:rPr>
        <w:t>exclude de la eligibilitate următoarea listă de activități și active:</w:t>
      </w:r>
      <w:r>
        <w:rPr>
          <w:noProof/>
          <w:color w:val="FF0000"/>
        </w:rPr>
        <w:t xml:space="preserve"> </w:t>
      </w:r>
      <w:r>
        <w:rPr>
          <w:noProof/>
        </w:rPr>
        <w:t>(i) activități și active legate de combustibilii fosili, inclusiv utilizarea în aval</w:t>
      </w:r>
      <w:r>
        <w:rPr>
          <w:rStyle w:val="FootnoteReference"/>
          <w:noProof/>
          <w:lang w:val="en-IE"/>
        </w:rPr>
        <w:footnoteReference w:id="10"/>
      </w:r>
      <w:r>
        <w:rPr>
          <w:noProof/>
        </w:rPr>
        <w:t>; (ii) activitățile și activele din cadrul schemei UE de comercializare a certificatelor de emisii (ETS) care ating previziuni privind emisiile de gaze cu efect de seră care nu sunt mai mici decât valorile de referință relevante</w:t>
      </w:r>
      <w:r>
        <w:rPr>
          <w:rStyle w:val="FootnoteReference"/>
          <w:noProof/>
          <w:lang w:val="en-IE"/>
        </w:rPr>
        <w:footnoteReference w:id="11"/>
      </w:r>
      <w:r>
        <w:rPr>
          <w:noProof/>
        </w:rPr>
        <w:t>; (iii) activități și active legate de depozitele de deșeuri, incineratoare</w:t>
      </w:r>
      <w:r>
        <w:rPr>
          <w:rStyle w:val="FootnoteReference"/>
          <w:noProof/>
          <w:lang w:val="en-IE"/>
        </w:rPr>
        <w:footnoteReference w:id="12"/>
      </w:r>
      <w:r>
        <w:rPr>
          <w:noProof/>
        </w:rPr>
        <w:t xml:space="preserve"> și stații de tratare mecano-biologică</w:t>
      </w:r>
      <w:r>
        <w:rPr>
          <w:rStyle w:val="FootnoteReference"/>
          <w:noProof/>
          <w:lang w:val="en-IE"/>
        </w:rPr>
        <w:footnoteReference w:id="13"/>
      </w:r>
      <w:r>
        <w:rPr>
          <w:noProof/>
        </w:rPr>
        <w:t>; și (iv) activități și active în cazul cărora eliminarea pe termen lung a deșeurilor poate dăuna mediului; și</w:t>
      </w:r>
    </w:p>
    <w:p>
      <w:pPr>
        <w:pStyle w:val="Text1"/>
        <w:numPr>
          <w:ilvl w:val="0"/>
          <w:numId w:val="152"/>
        </w:numPr>
        <w:rPr>
          <w:noProof/>
        </w:rPr>
      </w:pPr>
      <w:r>
        <w:rPr>
          <w:noProof/>
        </w:rPr>
        <w:t>să solicite SAECA să verifice conformitatea juridică a proiectelor cu legislația UE și națională relevantă în materie de mediu pentru toate tranzacțiile, inclusiv pentru cele exceptate de la verificarea durabilității.</w:t>
      </w:r>
    </w:p>
    <w:p>
      <w:pPr>
        <w:spacing w:before="120" w:after="120" w:line="240" w:lineRule="auto"/>
        <w:jc w:val="both"/>
        <w:rPr>
          <w:rFonts w:ascii="Times New Roman" w:hAnsi="Times New Roman" w:cs="Times New Roman"/>
          <w:noProof/>
          <w:sz w:val="24"/>
        </w:rPr>
      </w:pPr>
      <w:r>
        <w:rPr>
          <w:rFonts w:ascii="Times New Roman" w:hAnsi="Times New Roman"/>
          <w:noProof/>
          <w:sz w:val="24"/>
        </w:rPr>
        <w:t>Punerea în aplicare a investiției se finalizează până la 30 iunie 2022.</w:t>
      </w:r>
    </w:p>
    <w:p>
      <w:pPr>
        <w:keepNext/>
        <w:spacing w:before="120" w:after="120" w:line="240" w:lineRule="auto"/>
        <w:jc w:val="both"/>
        <w:rPr>
          <w:rFonts w:ascii="Times New Roman" w:hAnsi="Times New Roman" w:cs="Times New Roman"/>
          <w:b/>
          <w:bCs/>
          <w:noProof/>
          <w:sz w:val="24"/>
          <w:u w:val="single"/>
        </w:rPr>
      </w:pPr>
      <w:r>
        <w:rPr>
          <w:rFonts w:ascii="Times New Roman" w:hAnsi="Times New Roman"/>
          <w:b/>
          <w:bCs/>
          <w:noProof/>
          <w:sz w:val="24"/>
          <w:u w:val="single"/>
        </w:rPr>
        <w:t xml:space="preserve">C.2. </w:t>
      </w:r>
      <w:r>
        <w:rPr>
          <w:rFonts w:ascii="Times New Roman" w:hAnsi="Times New Roman"/>
          <w:b/>
          <w:noProof/>
          <w:sz w:val="24"/>
          <w:u w:val="single"/>
        </w:rPr>
        <w:tab/>
      </w:r>
      <w:r>
        <w:rPr>
          <w:rFonts w:ascii="Times New Roman" w:hAnsi="Times New Roman"/>
          <w:b/>
          <w:bCs/>
          <w:noProof/>
          <w:sz w:val="24"/>
          <w:u w:val="single"/>
        </w:rPr>
        <w:t>Jaloane, ținte, indicatori și calendarul de monitorizare și implementare aplicabile sprijinului financiar nerambursabil</w:t>
      </w:r>
    </w:p>
    <w:p>
      <w:pPr>
        <w:spacing w:before="120" w:after="120" w:line="240" w:lineRule="auto"/>
        <w:jc w:val="both"/>
        <w:rPr>
          <w:rFonts w:ascii="Times New Roman" w:hAnsi="Times New Roman" w:cs="Times New Roman"/>
          <w:b/>
          <w:noProof/>
          <w:sz w:val="24"/>
          <w:u w:val="single"/>
        </w:rPr>
      </w:pPr>
      <w:r>
        <w:rPr>
          <w:rFonts w:ascii="Times New Roman" w:hAnsi="Times New Roman"/>
          <w:i/>
          <w:iCs/>
          <w:noProof/>
          <w:color w:val="000000"/>
          <w:sz w:val="24"/>
        </w:rPr>
        <w:t>Tabelul de mai jos.</w:t>
      </w:r>
      <w:r>
        <w:rPr>
          <w:rFonts w:ascii="Times New Roman" w:hAnsi="Times New Roman"/>
          <w:noProof/>
          <w:color w:val="1F497D"/>
          <w:sz w:val="24"/>
        </w:rPr>
        <w:t xml:space="preserve"> </w:t>
      </w:r>
      <w:r>
        <w:rPr>
          <w:rFonts w:ascii="Times New Roman" w:hAnsi="Times New Roman"/>
          <w:i/>
          <w:iCs/>
          <w:noProof/>
          <w:color w:val="000000"/>
          <w:sz w:val="24"/>
        </w:rPr>
        <w:t>Data de referință pentru toți indicatorii este 1 februarie 2020, cu excepția cazului în care se indică altfel în descrierea acțiunii. Sumele din tabel nu includ TVA.</w:t>
      </w:r>
    </w:p>
    <w:p>
      <w:pPr>
        <w:spacing w:before="120" w:after="120" w:line="240" w:lineRule="auto"/>
        <w:ind w:left="709"/>
        <w:jc w:val="both"/>
        <w:rPr>
          <w:rFonts w:ascii="Times New Roman" w:hAnsi="Times New Roman" w:cs="Times New Roman"/>
          <w:noProof/>
          <w:sz w:val="24"/>
          <w:lang w:val="en-IE"/>
        </w:rPr>
        <w:sectPr>
          <w:headerReference w:type="even" r:id="rId43"/>
          <w:headerReference w:type="default" r:id="rId44"/>
          <w:footerReference w:type="even" r:id="rId45"/>
          <w:footerReference w:type="default" r:id="rId46"/>
          <w:headerReference w:type="first" r:id="rId47"/>
          <w:footerReference w:type="first" r:id="rId48"/>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3119"/>
        <w:gridCol w:w="1276"/>
        <w:gridCol w:w="850"/>
        <w:gridCol w:w="567"/>
        <w:gridCol w:w="709"/>
        <w:gridCol w:w="425"/>
        <w:gridCol w:w="567"/>
        <w:gridCol w:w="5387"/>
      </w:tblGrid>
      <w:tr>
        <w:trPr>
          <w:trHeight w:val="309"/>
          <w:tblHeader/>
        </w:trPr>
        <w:tc>
          <w:tcPr>
            <w:tcW w:w="70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Număr</w:t>
            </w:r>
          </w:p>
        </w:tc>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Măsură</w:t>
            </w:r>
          </w:p>
        </w:tc>
        <w:tc>
          <w:tcPr>
            <w:tcW w:w="85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Jalon</w:t>
            </w:r>
            <w:r>
              <w:rPr>
                <w:rFonts w:ascii="Times New Roman" w:hAnsi="Times New Roman"/>
                <w:b/>
                <w:noProof/>
                <w:color w:val="000000"/>
                <w:sz w:val="18"/>
                <w:szCs w:val="18"/>
              </w:rPr>
              <w:br/>
              <w:t xml:space="preserve"> /Țintă</w:t>
            </w:r>
          </w:p>
        </w:tc>
        <w:tc>
          <w:tcPr>
            <w:tcW w:w="311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Denumire</w:t>
            </w:r>
          </w:p>
        </w:tc>
        <w:tc>
          <w:tcPr>
            <w:tcW w:w="1276"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Indicator calitativ pentru obiectivele de etapă</w:t>
            </w:r>
          </w:p>
        </w:tc>
        <w:tc>
          <w:tcPr>
            <w:tcW w:w="2126" w:type="dxa"/>
            <w:gridSpan w:val="3"/>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Indicator cantitativ pentru obiectiv</w:t>
            </w:r>
          </w:p>
        </w:tc>
        <w:tc>
          <w:tcPr>
            <w:tcW w:w="992" w:type="dxa"/>
            <w:gridSpan w:val="2"/>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Timp</w:t>
            </w:r>
          </w:p>
        </w:tc>
        <w:tc>
          <w:tcPr>
            <w:tcW w:w="5387"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bCs/>
                <w:noProof/>
                <w:sz w:val="18"/>
                <w:szCs w:val="18"/>
              </w:rPr>
              <w:t>Descrierea fiecărui jalon și a fiecărei ținte</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3119"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276"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Unitate</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Scenariu de bază</w:t>
            </w:r>
          </w:p>
        </w:tc>
        <w:tc>
          <w:tcPr>
            <w:tcW w:w="709"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Obiectiv</w:t>
            </w:r>
          </w:p>
        </w:tc>
        <w:tc>
          <w:tcPr>
            <w:tcW w:w="425"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Q</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An</w:t>
            </w:r>
          </w:p>
        </w:tc>
        <w:tc>
          <w:tcPr>
            <w:tcW w:w="5387"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lang w:val="en-IE"/>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Decretului-lege regal nr. 5/2020 privind măsurile urgente referitoare la agricultură și alimentație și a Legii nr. 8/2020 privind modificarea Legii nr. 12/2013 privind măsurile de îmbunătățire a funcționării lanțului alimentar</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Dispozițiile Decretului-lege regal nr. 5/2020, ale Legii nr. 8/2020, ale Legii nr. 12/2013 privind intrarea în vigoare</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2020</w:t>
            </w:r>
          </w:p>
        </w:tc>
        <w:tc>
          <w:tcPr>
            <w:tcW w:w="5387"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Intrarea în vigoare a Decretului-lege regal nr. 5/2020 (2020 februarie 25) cu măsuri urgente privind agricultura și alimentele, în vederea îmbunătățirii funcționării lanțului alimentar prin modificarea legislației naționale care reglementează relațiile comerciale în cadrul lanțului alimentar. Principalele obiective sunt îndeplinirea faptului că prețurile produselor alimentare acoperă costurile de producție, evitarea distrugerii valorii în lanțul alimentar și interzicerea promoțiilor menite să inducă în eroare consumatorii cu privire la prețul și imaginea produselor.</w:t>
            </w:r>
            <w:r>
              <w:rPr>
                <w:rFonts w:ascii="Times New Roman" w:hAnsi="Times New Roman"/>
                <w:noProof/>
                <w:color w:val="000000"/>
                <w:sz w:val="18"/>
                <w:szCs w:val="18"/>
              </w:rPr>
              <w:br/>
              <w:t>Intrarea în vigoare a Legii nr. 8/2020 privind modificarea Legii nr. 12/2013 privind măsurile urgente de îmbunătățire a funcționării lanțului alimentar, în vederea validării Decretului-lege regal menționat anterior prin adoptarea unei legi.</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40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Intrarea în vigoare a celei de-a doua modificări a Legii nr. 12/2013 privind măsurile de îmbunătățire a funcționării lanțului alimentar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Dispoziția Legii 12/2013 privind intrarea în vigoare</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Intrarea în vigoare a celei de-a doua modificări a Legii nr. 12/2013 privind măsurile de îmbunătățire a funcționării lanțului alimentar, dincolo de cerințele minime ale Directiva (UE) 2019/633. Acest amendament legislativ promovează diferite acțiuni în direcția unui lanț valoric alimentar mai transparent și mai echilibrat, care implică modificări ale (i) domeniului de aplicare extins al legii la relațiile comerciale; (ii) conținutul minim al contractelor cu produse alimentare se extinde practic la toate tranzacțiile.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41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C3.R2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cadrului de reglementare pentru a elabora un registru general al celor mai bune tehnici disponibile în ferme pentru a informa cu privire la emisiile de poluanți și de gaze cu efect de seră și pentru a reforma legislația în materie de planificare cu criterii privind fermele din toate sectoarele</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Furnizarea cadrului de reglementare la intrarea în vigoare</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Cadrul de reglementare pentru dezvoltarea registrului general al celor mai bune tehnici disponibile facilitează calcularea emisiilor poluante și de gaze cu efect de seră în fermele de porci și de păsări de curte, precum și înregistrarea altor date privind mediul. Revizuirea treptată a legislației de planificare în sectorul creșterii animalelor reglementează cerințele privind amplasarea, dimensiunea, condițiile sanitare și infrastructurile din ferme, modificând cerințele pentru fermele de porcine și creând un nou cadru de reglementare pentru sectorul avicol.</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42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C3.R3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cadrului normativ privind alimentația durabilă în solurile agricole.</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Furnizarea cadrului normativ privind intrarea în vigoare</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Acest cadru normativ este menit să reglementeze activitatea de fertilizare și să promoveze consilierea tehnică a agricultorilor pentru a raționaliza fertilizarea și a îndeplini cerințele legale.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43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C3.R4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Decretului regal privind un mecanism de guvernanță pentru îmbunătățirea sistemului spaniol de irigații.</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Dispoziția decretului regal privind intrarea în vigoare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Decretul regal instituie un mecanism de guvernanță la nivel național, astfel încât sectoarele afectate să poată coopera în aspecte legate de irigațiile spaniole, cum ar fi sustenabilitatea, criteriile de execuție, reglementările etc. De asemenea, decretul regal este menit să creeze un observator al irigațiilor durabile în Spania.</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44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C3.R5</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Adoptarea celui de-al doilea plan de acțiune al strategiei de digitalizare a sectorului agroalimentar și a zonelor rurale.</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Publicare pe pagina web a Ministerului Agriculturii</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Măsura asigură continuitatea strategiei de digitalizare a sectorului agroalimentar și a mediului rural printr-un al doilea plan, cu obiectivul de a reduce decalajul digital, de a promova utilizarea datelor și de a promova dezvoltarea afacerilor și noi modele de afaceri.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45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C3.R6</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Intrarea în vigoare a Decretului regal privind gestionarea zonelor de pescuit naționale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Dispoziția decretului regal privind intrarea în vigoare</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Decretul regal aliniază gestionarea diferitelor instrumente, metode și recensăminte ale zonelor de pescuit naționale, facilitând o mai bună gestionare a afacerilor și ținând seama de obiectivele principalelor politici și provocări ale UE, cum ar fi reforma politicii comune în domeniul pescuitului, Strategia privind biodiversitatea pentru 2030, strategiile marine sau ODD, printre altele.</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46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acordului contractual dintre Ministerul Agriculturii, Pescuitului și Alimentației (MAPA) și SEIASA pentru sprijinirea îmbunătățirii și sustenabilității suprafețelor irigate (faza I)</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lang w:eastAsia="en-GB"/>
              </w:rPr>
            </w:pP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Milioane EUR</w:t>
            </w:r>
          </w:p>
          <w:p>
            <w:pPr>
              <w:spacing w:after="0" w:line="240" w:lineRule="auto"/>
              <w:jc w:val="right"/>
              <w:rPr>
                <w:rFonts w:ascii="Times New Roman" w:eastAsia="Times New Roman" w:hAnsi="Times New Roman" w:cs="Times New Roman"/>
                <w:noProof/>
                <w:sz w:val="18"/>
                <w:szCs w:val="18"/>
                <w:lang w:val="en-IE" w:eastAsia="en-GB"/>
              </w:rPr>
            </w:pP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260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Q3</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Acordul de colaborare dintre Ministerul Agriculturii, Pescuitului și Alimentației (MAPA) și SEIASA (Faza I; Execuția bugetară de 260 000 000 EUR) pune în aplicare condițiile planului de îmbunătățire a eficienței și sustenabilității în irigații realizat cu această investiție. Această normă juridică reglementează, printre alte aspecte, regimul de finanțare publică/privată pentru aceste investiții de modernizare a irigațiilor, criteriile de selecție a proiectelor, procedurile de execuție a planului, precum și lista acțiunilor care trebuie desfășurate în legătură cu execuția bugetară în cadrul acestei măsuri.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47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Punerea în aplicare a acordului dintre Ministerul Agriculturii, Pescuitului și Alimentației (MAPA) și SEIASA pentru a sprijini îmbunătățirea și sustenabilitatea suprafețelor irigate (faza II)</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lang w:eastAsia="en-GB"/>
              </w:rPr>
            </w:pP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Milioane EUR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303</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Acordul de colaborare dintre Ministerul Agriculturii, Pescuitului și Alimentației (MAPA) și SEIASA (Faza II; Execuție bugetară în valoare de 303 000 000 EUR) pune în aplicare condițiile planului de îmbunătățire a eficienței și sustenabilității în irigații care se desfășoară în cadrul acestui proiect de investiții. Această normă juridică reglementează, printre alte aspecte, regimul de finanțare publică/privată pentru aceste investiții de modernizare a irigațiilor, criteriile de selecție a proiectelor, procedurile de execuție a planului, precum și lista acțiunilor care trebuie desfășurate în legătură cu execuția bugetară în cadrul acestei măsuri.</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48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Modernizarea sistemelor de irigații modernizate în ceea ce privește economisirea apei și eficiența energetică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lang w:val="en-IE" w:eastAsia="en-GB"/>
              </w:rPr>
            </w:pP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Număr (hectare)</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100 000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2026</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Modernizarea a cel puțin 100 000 hectare de sisteme de irigații în ceea ce privește economisirea apei și eficiența energetică. Suprafața modernizată prin investiții în planul de redresare și reziliență, precum și tipologia acțiunilor întreprinse se reflectă în acordurile de colaborare semnate de SEIASA cu comunitățile de irigații afectate sau cu entitățile care gestionează resursele de apă din Insulele Canare. Aceste acorduri stabilesc acțiunile specifice care trebuie întreprinse pentru a garanta economisirea apei și eficiența energetică a sistemelor de irigații modernizate. Unele dintre acțiunile care vor fi întreprinse prin acest plan sunt următoarele: (i) Substituirea utilizării apelor subterane sau de suprafață prin utilizarea resurselor de apă neconvenționale (recuperate sau desalinizate în conformitate cu Orientările tehnice privind principiul „de a nu prejudicia în mod semnificativ” (2021/C58/01) (ii) punerea în aplicare a sistemelor de regularizare a apei care permit irigarea gravitațională (utilizând diferența de elevație astfel încât transportul apei să nu necesite utilizarea energiei electrice), (iii) înlocuirea energiei din surse fosile necesare pentru pomparea cu surse regenerabile de energie (în principal fotovoltaice), (iv) sistemele de încălzire și pompare din beton, (iii) înlocuirea energiei din surse fosile necesare pentru pomparea cu surse regenerabile de energie (în principal fotovoltaice); Până în al patrulea trimestru al anului 2 2026, cel puțin 100 000 hectare de sisteme de irigații sunt modernizate în ceea ce privește economisirea apei și eficiența energetică, care pot fi verificate prin acordurile SIEASA-comunitățile de irigații.</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49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Intrarea în funcțiune a unei instalații pentru animale, a unui laborator care are atât un nivel de biosecuritate 3, cât și un Laborator Național pentru Sănătatea Plantelor</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lang w:eastAsia="en-GB"/>
              </w:rPr>
            </w:pP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Cele două instalații sunt laboratorul de nivel 3 pentru siguranța biologică (LCSA-Santa Fe), instalația pentru animale de nivel 3 pentru siguranța biologică (LCV-Algete) și Laboratorul Național pentru Sănătatea Plantelor din Lugo.</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50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Îmbunătățirea centrelor de curățare și dezinfectare și a centrelor de producție a materialului de reproducere a plantelor, cu consolidarea formării și a sistemelor de biosecuritate</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lang w:eastAsia="en-GB"/>
              </w:rPr>
            </w:pP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465</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Cel puțin 465 centre de curățare și dezinfectare și centre de producție a materialului de reproducere a plantelor cu sisteme consolidate de formare și de biosecuritate. Dezvoltarea capacităților include îmbunătățirea și construirea de instalații de curățare și dezinfectare pe întreg teritoriul Spaniei, iar biosecuritatea constă în existența unor instalații de curățare și dezinfectare accesibile, moderne și echipate. Curățarea și dezinfectarea reprezintă un pilon esențial în cadrul măsurilor de biosecuritate, astfel încât îmbunătățirea tehnologică a acestor instalații este esențială, cum ar fi automatizarea, robotizarea, instalarea de noi sisteme de curățare și dezinfectare, cum ar fi dezinfectarea termică sau instalarea de sisteme.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51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C3.I4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Planul de investiții pentru promovarea sustenabilității și competitivității agriculturii și a creșterii animalelor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lang w:val="en-IE" w:eastAsia="en-GB"/>
              </w:rPr>
            </w:pP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Milioane EUR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307</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Finalizarea planului de investiții pentru promovarea sustenabilității și a competitivității activităților agricole și de creștere a animalelor în agricultura de precizie, eficiența energetică și economia circulară (execuție bugetară de 307 000 000 EUR). Bazele de reglementare stabilesc cine sunt beneficiarii, cerințele pe care trebuie să le îndeplinească, tipul de investiții eligibile și criteriile de eligibilitate pentru investițiile în: agricultura de precizie, eficiența energetică, economia circulară și utilizarea energiilor regenerabile.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52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C3.I4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Proiecte finalizate pentru agricultura de precizie, eficiența energetică, economia circulară și utilizarea energiei din surse regenerabile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lang w:val="en-IE" w:eastAsia="en-GB"/>
              </w:rPr>
            </w:pP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5 000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2026</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Cel puțin 5 000 de ferme care au finalizat proiecte privind agricultura de precizie, eficiența energetică, economia circulară și utilizarea energiei din surse regenerabile. Agricultura de precizie include geolocalizarea și sistemele de navigație prin satelit (GNSS), colectarea de date în timp real prin intermediul senzorilor și al imaginilor transmise prin satelit și prin satelit, împreună cu sistemele de informații geografice (GIS), cartografierea, comunicarea și conectivitatea, eficiența energetică include condiționarea și izolarea clădirilor (depozite și clădiri auxiliare) și sisteme care optimizează controlul climatic al gazelor cu efect de seră și al consumului de energie termică și de energie al fermelor agricole și zootehnice, economia circulară include structuri pentru utilizarea și recuperarea rămășițelor agricole și a subproduselor de origine animală prin intermediul unor operațiuni și tehnici de pretratare care îmbunătățesc necesarul de energie din surse regenerabile și al instalațiilor agricole și zootehnice, iar economia circulară include structuri pentru utilizarea și recuperarea rămășițelor agricole și a subproduselor de origine animală prin intermediul unor operațiuni și tehnici de pretratare care îmbunătățesc sursele regenerabile de energie și care îmbunătățesc producția de energie din surse regenerabile și producția ulterioară de energie din surse regenerabile, precum și sistemele de navigație prin satelit (GNSS), colectarea datelor în timp real prin intermediul senzorilor și al imaginilor transmise prin satelit și imagini transmise prin satelit, împreună cu sistemele de informații geografice (GIS), cartografierea, comunicarea și conectivitatea, eficiența energetică include condiționarea și izolarea clădirilor (depozite și clădiri auxiliare) și sisteme care optimizează controlul climatic al gazelor din sere și al energiei termice și al fermelor agricole și zootehnice.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53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C3.I5</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Semnarea acordurilor contractuale între Ministerul Agriculturii, Pescuitului și Alimentației (MAPA) și ENISA</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lang w:eastAsia="en-GB"/>
              </w:rPr>
            </w:pP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Milioane EUR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Semnarea a trei acorduri contractuale (unul pe an) între Ministerul Agriculturii, Pescuitului și Alimentației (MAPA) și ENISA pentru a sprijini transformarea digitală a IMM-urilor din sectorul agroalimentar printr-o linie de sprijin pentru antreprenoriatul inovator sau bazat pe tehnologie în sectorul agroalimentar spaniol (execuția bugetului: 30 000 000 EUR; 10 000 000 EUR pe an). Acordurile de colaborare dintre Ministerul Agriculturii, Pescuitului și Alimentației și ENISA stabilesc condițiile liniei antreprenoriale bazate pe tehnologie pentru a sprijini IMM-urile din sectorul agroalimentar care prezintă proiecte de afaceri inovatoare și digitale, prin acordarea de împrumuturi participative, politica de investiții și criteriile de eligibilitate. Acordurile menționate anterior includ o clauză care garantează că investițiile realizate cu această finanțare respectă Orientările tehnice Orientările tehnice privind principiul „de a nu prejudicia în mod semnificativ”(2021/C58/01) privind tranzacțiile care beneficiază de sprijin în cadrul acestei măsuri, prin utilizarea unei evaluări a durabilității, a unei liste de excludere și a cerinței de conformitate cu legislația UE și națională relevantă în materie de mediu. Obiectivul acestei investiții este de a răspunde mai multor obiective ale strategiei spaniole pentru digitalizarea sectorului agroalimentar și a mediului rural, precum și ale planurilor sale de acțiune.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54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C3.I5</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Sprijinirea IMM-urilor agroalimentare pentru a pune în aplicare proiecte de afaceri inovatoare și digitale</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lang w:val="fr-BE" w:eastAsia="en-GB"/>
              </w:rPr>
            </w:pP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60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Cel puțin 60 de IMM-uri agroalimentare au primit credite pentru punerea în aplicare a unor proiecte de afaceri inovatoare și digitale.  Obiectivul acestei linii de sprijin este de a acorda împrumuturi participative pentru a încuraja întreprinderile să dezvolte proiecte viabile și inovatoare, legate de comerțul electronic și de consolidarea Industriei 4.0, printre multe alte pârghii de schimbare a modelelor de afaceri digitale pentru industria alimentară.</w:t>
            </w:r>
            <w:r>
              <w:rPr>
                <w:rFonts w:ascii="Times New Roman" w:hAnsi="Times New Roman"/>
                <w:noProof/>
                <w:color w:val="000000"/>
                <w:sz w:val="18"/>
                <w:szCs w:val="18"/>
              </w:rPr>
              <w:br/>
              <w:t xml:space="preserve">Se garantează inclusiv prin criterii de selecție faptul că tranzacțiile efectuate în cadrul acestei investiții de aceste IMM-uri cu aceste împrumuturi respectă Orientările tehnice Orientările tehnice privind principiul „de a nu prejudicia în mod semnificativ” (2021/C58/01) privind tranzacțiile care beneficiază de sprijin în cadrul acestei măsuri, prin utilizarea unei evaluări a sustenabilității, a unei liste de excludere și a cerinței de conformitate cu legislația UE și națională relevantă în materie de mediu.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55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C3.I6</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Achiziționarea de echipamente TIC pentru rezervele maritime de interes de pescuit și contracte pentru achiziționarea de nave cu destinație specială pentru rezervele maritime</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Publicarea pe platforma de achiziții publice a atribuirii contractului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387"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Publicarea pe platforma de achiziții publice a contractului atribuit pentru achiziționarea de echipamente TIC pentru rezervele maritime de interes de pescuit și atribuirea a două contracte pentru achiziționarea a două nave cu destinație specială pentru rezervele marine. Echipamentele TIC pentru rezervațiile marine constau în (i) legătura radio a radarului Alborán Lighthouse cu Peninsula, (ii) achiziționarea a cel puțin patru echipamente de vedere nocturnă pentru detectarea activităților interzise și (iii) achiziționarea de drone cu o putere suficientă care să permită activități de control și monitorizare și să optimizeze mijloacele existente, reducând, de asemenea, impactul asupra mediului. Pentru achiziționarea unei nave cu destinație specială pentru o rezervă marină nouă, se urmărește cea mai bună tehnologie care permite respectarea Orientărilor tehnice Orientările tehnice privind principiul „de a nu prejudicia în mod semnificativ” (2021/C58/01).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56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C3.I7</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Acorduri cu organismele publice de cercetare</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Semnarea acordurilor cu organismele publice de cercetare</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Semnarea de acorduri cu organismele publice de cercetare pentru a promova cercetarea în domeniul pescuitului și acvaculturii, asigurând o abordare ecosistemică a procesului decizional în gestionarea pescuitului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57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C3.I7</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Achiziționarea de sonde acustice pentru cercetarea în domeniul pescuitului</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lang w:val="fr-BE" w:eastAsia="en-GB"/>
              </w:rPr>
            </w:pP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Număr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Publicarea pe platforma de achiziții publice a contractului atribuit pentru achiziționarea a două sonde acustice dedicate cercetării în domeniul pescuitului. Obiectivul obținerii a două sonde pentru două nave de cercetare existente este de a asigura calitatea datelor obținute și, prin urmare, de a favoriza evaluările științifice ale diferitelor stocuri de specii pelagice, contribuind la sustenabilitatea activităților de pescuit și la luarea deciziilor în materie de gestionare a pescuitului care se bazează pe cele mai bune cunoștințe științifice.</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58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C3.I8</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Proiecte de cercetare, dezvoltare și inovare pentru a sprijini reziliența și sustenabilitatea sectorului pescuitului și acvaculturii</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lang w:val="fr-BE" w:eastAsia="en-GB"/>
              </w:rPr>
            </w:pP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Finalizarea a cel puțin 20 de proiecte de cercetare, dezvoltare și inovare pentru adoptarea de noi tehnologii care favorizează reziliența și sustenabilitatea sectorului pescuitului și acvaculturii.</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59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C3.I9</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Consolidarea digitală a Sistemului spaniol de informații privind pescuitul (SIPE) și a sistemului de supraveghere a pescuitului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Instalarea unei a doua bariere de protecție</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Consolidarea digitală a informațiilor și supravegherii pescuitului, inclusiv instalarea unei a doua bariere de protecție (firewall) pentru a spori securitatea Sistemului spaniol de informații privind pescuitul (SIPE), în conformitate cu cerințele stabilite în cadrul sistemului național de securitate (ENS) pentru nivelul ridicat de securitate și digitalizarea navelor de pescuit.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60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C3.I10</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Achiziționarea de nave ușoare de patrulare și nave de patrulare în marea liberă pentru combaterea pescuitului ilegal, nedeclarat și nereglementat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Publicarea pe platforma de achiziții publice a atribuirii contractului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Publicarea pe platforma de achiziții publice a atribuirii contractului pentru patru noi nave ușoare de patrulare și trei nave reînnoite de patrulare în marea liberă care vor fi utilizate pentru combaterea pescuitului ilegal, nedeclarat și nereglementat, care continuă să fie una dintre cele mai mari amenințări existente pentru ecosistemele marine. Se urmărește cea mai bună tehnologie care permite respectarea Orientărilor tehnice privind principiul „de a nu prejudicia în mod semnificativ”(2021/C58/01).</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61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C3.I11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Finanțarea proiectelor de investiții în sectorul pescuitului</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lang w:val="fr-BE" w:eastAsia="en-GB"/>
              </w:rPr>
            </w:pP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Milioane EUR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5</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Aprobarea acordului dintre Ministerul Agriculturii, Pescuitului și Alimentației și SAECA pentru sprijinirea finanțării proiectelor de investiții în sectorul pescuitului prin acordarea unui împrumut de cel puțin 5 000 000 EUR către Sociedad Anónima Estatal de Caución Agraria (SAECA) pentru crearea unei linii de finanțare destinate regarantării proiectelor cu acțiuni legate de activitatea de pescuit sustenabil; îmbunătățirea condițiilor de muncă și a siguranței activității; și la digitalizarea proceselor și sistemelor. Acordul menționat anterior include o clauză care garantează că tranzacțiile care beneficiază de sprijin în cadrul acestei investiții sunt conforme cu Orientările tehnice privind principiul „de a nu prejudicia în mod semnificativ”(2021/C58/01) privind tranzacțiile care beneficiază de sprijin în cadrul acestei măsuri, prin utilizarea unei evaluări a durabilității, a unei liste de excludere și a cerinței de conformitate cu legislația UE și națională relevantă în materie de mediu.</w:t>
            </w:r>
          </w:p>
        </w:tc>
      </w:tr>
    </w:tbl>
    <w:p>
      <w:pPr>
        <w:spacing w:before="120" w:after="120" w:line="240" w:lineRule="auto"/>
        <w:ind w:left="709"/>
        <w:jc w:val="both"/>
        <w:rPr>
          <w:rFonts w:ascii="Times New Roman" w:hAnsi="Times New Roman" w:cs="Times New Roman"/>
          <w:noProof/>
          <w:sz w:val="24"/>
        </w:rPr>
      </w:pPr>
    </w:p>
    <w:p>
      <w:pPr>
        <w:spacing w:before="120" w:after="120" w:line="240" w:lineRule="auto"/>
        <w:ind w:left="709"/>
        <w:jc w:val="both"/>
        <w:rPr>
          <w:rFonts w:ascii="Times New Roman" w:hAnsi="Times New Roman" w:cs="Times New Roman"/>
          <w:noProof/>
          <w:sz w:val="24"/>
          <w:szCs w:val="24"/>
        </w:rPr>
        <w:sectPr>
          <w:headerReference w:type="even" r:id="rId49"/>
          <w:headerReference w:type="default" r:id="rId50"/>
          <w:footerReference w:type="even" r:id="rId51"/>
          <w:footerReference w:type="default" r:id="rId52"/>
          <w:headerReference w:type="first" r:id="rId53"/>
          <w:footerReference w:type="first" r:id="rId54"/>
          <w:pgSz w:w="16839" w:h="11907" w:orient="landscape"/>
          <w:pgMar w:top="1417" w:right="1134" w:bottom="1417" w:left="1134" w:header="709" w:footer="709" w:gutter="0"/>
          <w:cols w:space="720"/>
          <w:docGrid w:linePitch="360"/>
        </w:sectPr>
      </w:pPr>
    </w:p>
    <w:p>
      <w:pPr>
        <w:pStyle w:val="Heading1"/>
        <w:rPr>
          <w:noProof/>
        </w:rPr>
      </w:pPr>
      <w:r>
        <w:rPr>
          <w:noProof/>
        </w:rPr>
        <w:t>D. COMPONENTA 04: Ecosistemele și biodiversitatea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Această componentă a planului spaniol de redresare și reziliență trebuie să abordeze vulnerabilitatea Spaniei la efectele negative directe și indirecte ale schimbărilor climatice cauzate de biogeografia și geomorfologia acesteia, prin îmbunătățirea stării de conservare a ecosistemelor, prin refacerea ecologică a acestora, acolo unde este necesar, și prin inversarea declinului biodiversității, asigurarea utilizării durabile a resurselor naturale și conservarea și îmbunătățirea serviciilor ecosistemice. Această componentă contribuie, de asemenea, la adaptarea ecosistemelor la efectele negative ale schimbărilor climatice prin adoptarea de măsuri pentru reducerea la minimum a efectelor acestora, concentrându-se asupra incendiilor forestiere. Se pune un accent suplimentar pe protejarea, conservarea și refacerea ecosistemelor marine.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Punerea în aplicare a acestei componente a planului spaniol de redresare și reziliență va permite (i) lansarea agendei albastre pentru îmbunătățirea mărilor și a biodiversității acestora; (ii) creșterea ponderii zonelor marine protejate, protejând cel puțin 18 % din teritoriul spaniol până la sfârșitul anului 2025 și apărând fauna și flora; și (iii) să introducă pentru prima dată în Spania un cadru pentru gestionarea mediului marin.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În plus, aceasta va conserva și va gestiona în mod durabil zonele rurale, ecosistemele acestora, biodiversitatea și zonele împădurite. Zonele rurale - unde depopularea a avut un impact deosebit de negativ - găzduiesc o mare parte din bogatul patrimoniu natural al Spaniei și, prin urmare, reprezintă o sursă de bogăție locală, oferind oportunități de inversare a declinului demografic.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Această componentă a planului spaniol de redresare și reziliență sprijină investițiile în tranziția verde și digitală (recomandarea specifică de țară 3 din 2020). Ea sprijină, de asemenea, gestionarea adecvată a terenurilor, în special gestionarea pădurilor, protecția naturii și refacerea, care sunt aliniate la obiectivele Pactului verde european și ale Strategiei UE în domeniul biodiversității pentru 2030. </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themeColor="text1"/>
          <w:sz w:val="24"/>
          <w:szCs w:val="24"/>
        </w:rPr>
        <w:t>Se preconizează că nicio măsură din cadrul acestei componente nu aduce prejudicii semnificative obiectivelor de mediu în sensul articolului 17 din Regulamentul (UE) 2020/852, ținând seama de descrierea măsurilor și a măsurilor de atenuare stabilite în planul de redresare și reziliență în conformitate cu Orientările tehnice DNSH (2021/C58/01).</w:t>
      </w:r>
    </w:p>
    <w:p>
      <w:pPr>
        <w:spacing w:before="120" w:after="120" w:line="240" w:lineRule="auto"/>
        <w:ind w:left="720"/>
        <w:jc w:val="both"/>
        <w:rPr>
          <w:rFonts w:ascii="Times New Roman" w:hAnsi="Times New Roman" w:cs="Times New Roman"/>
          <w:b/>
          <w:bCs/>
          <w:i/>
          <w:iCs/>
          <w:noProof/>
          <w:color w:val="4F81BD" w:themeColor="accent1"/>
          <w:sz w:val="24"/>
          <w:szCs w:val="24"/>
        </w:rPr>
      </w:pPr>
      <w:r>
        <w:rPr>
          <w:rFonts w:ascii="Times New Roman" w:hAnsi="Times New Roman"/>
          <w:b/>
          <w:bCs/>
          <w:noProof/>
          <w:sz w:val="24"/>
          <w:szCs w:val="24"/>
          <w:u w:val="single"/>
        </w:rPr>
        <w:t xml:space="preserve">D.1. </w:t>
      </w:r>
      <w:r>
        <w:rPr>
          <w:rFonts w:ascii="Times New Roman" w:hAnsi="Times New Roman"/>
          <w:b/>
          <w:noProof/>
          <w:sz w:val="24"/>
          <w:szCs w:val="24"/>
          <w:u w:val="single"/>
        </w:rPr>
        <w:tab/>
      </w:r>
      <w:r>
        <w:rPr>
          <w:rFonts w:ascii="Times New Roman" w:hAnsi="Times New Roman"/>
          <w:b/>
          <w:bCs/>
          <w:noProof/>
          <w:sz w:val="24"/>
          <w:szCs w:val="24"/>
          <w:u w:val="single"/>
        </w:rPr>
        <w:t>Descrierea reformelor și a investițiilor pentru care se prevede acordarea sprijinului financiar nerambursabil</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Reforma 1 (C4.R1) - Conservarea biodiversității terestre și marine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Această reformă actualizează legislația privind biodiversitatea și patrimoniul natural și planurile de îndeplinire a angajamentelor care decurg din Convenția privind diversitatea biologică și din Strategia UE în domeniul biodiversității pentru 2030, recent adoptată.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Deși principala acțiune din cadrul acestei reforme este pregătirea, aprobarea și implementarea Planului strategic pentru patrimoniul natural și biodiversitate (astfel cum este prevăzut în Legea nr. 42/2007 privind patrimoniul natural și biodiversitatea), care va avea un impact pe termen lung asupra conservării și gestionării tuturor sistemelor naturale spaniole, precum și asupra serviciilor pe care le furnizează societății, reforma include, de asemenea, următoarele acțiuni în cadrul acestei măsuri: Această reformă include, de asemenea, următoarele acțiuni în cadrul acestei măsuri: </w:t>
      </w:r>
    </w:p>
    <w:p>
      <w:pPr>
        <w:numPr>
          <w:ilvl w:val="0"/>
          <w:numId w:val="46"/>
        </w:numPr>
        <w:spacing w:before="120" w:after="160" w:line="240" w:lineRule="auto"/>
        <w:ind w:left="714" w:hanging="357"/>
        <w:contextualSpacing/>
        <w:jc w:val="both"/>
        <w:rPr>
          <w:rFonts w:ascii="Times New Roman" w:hAnsi="Times New Roman" w:cs="Times New Roman"/>
          <w:noProof/>
          <w:sz w:val="24"/>
          <w:szCs w:val="24"/>
        </w:rPr>
      </w:pPr>
      <w:r>
        <w:rPr>
          <w:rFonts w:ascii="Times New Roman" w:hAnsi="Times New Roman"/>
          <w:noProof/>
          <w:sz w:val="24"/>
          <w:szCs w:val="24"/>
        </w:rPr>
        <w:t xml:space="preserve">Adoptarea Strategiei privind biodiversitatea, știința și cunoașterea, care identifică principalele lacune în materie de cercetare și stabilește domenii specifice în care este necesară cercetarea în domeniul biodiversității. </w:t>
      </w:r>
    </w:p>
    <w:p>
      <w:pPr>
        <w:numPr>
          <w:ilvl w:val="0"/>
          <w:numId w:val="46"/>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Adoptarea decretului regal de aprobare a planului pentru rețeaua de zone marine protejate care promovează o rețea coerentă din punct de vedere ecologic, contribuind la conservarea zonelor de patrimoniu natural și a biodiversității marine, promovând o gestionare planificată, eficientă și coerentă a zonelor marine protejate. </w:t>
      </w:r>
    </w:p>
    <w:p>
      <w:pPr>
        <w:numPr>
          <w:ilvl w:val="0"/>
          <w:numId w:val="46"/>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Strategia națională pentru conservarea polenizatorilor prevede acțiunile necesare pentru îmbunătățirea situației polenizatorilor. Această strategie se axează în special pe (i) promovarea zonelor favorabile pentru polenizatori; (ii) îmbunătățirea gestionării sale și reducerea riscurilor create de speciile dăunătoare; (iii) produsele fitosanitare; și (iv) promovarea cercetării privind conservarea polenizatorilor și diseminarea rezultatelor cercetării conexe în acest domeniu. </w:t>
      </w:r>
    </w:p>
    <w:p>
      <w:pPr>
        <w:numPr>
          <w:ilvl w:val="0"/>
          <w:numId w:val="46"/>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Adoptarea regulamentului de actualizare a autorităților administrative și științifice, în temeiul Convenției privind comerțul internațional cu specii ale faunei și florei sălbatice pe cale de dispariție (Regulamentul CITES), care garantează punerea în aplicare a măsurilor derivate din CITES și garantează că schimburile comerciale nu afectează starea de conservare a speciilor și supraviețuirea lor pe termen lung. </w:t>
      </w:r>
    </w:p>
    <w:p>
      <w:pPr>
        <w:numPr>
          <w:ilvl w:val="0"/>
          <w:numId w:val="46"/>
        </w:numPr>
        <w:spacing w:before="120" w:after="120" w:line="240" w:lineRule="auto"/>
        <w:ind w:left="714" w:hanging="357"/>
        <w:jc w:val="both"/>
        <w:rPr>
          <w:rFonts w:ascii="Times New Roman" w:hAnsi="Times New Roman" w:cs="Times New Roman"/>
          <w:noProof/>
          <w:sz w:val="24"/>
          <w:szCs w:val="24"/>
        </w:rPr>
      </w:pPr>
      <w:r>
        <w:rPr>
          <w:rFonts w:ascii="Times New Roman" w:hAnsi="Times New Roman"/>
          <w:noProof/>
          <w:sz w:val="24"/>
          <w:szCs w:val="24"/>
        </w:rPr>
        <w:t xml:space="preserve">Planul de conservare și restaurare a zonelor umede, care garantează conservarea și utilizarea rațională a zonelor umede.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Dezvoltarea acestor acțiuni în cadrul acestei măsuri este sprijinită direct de investițiile 1 și investițiile 2 din această componentă a planului spaniol de redresare și reziliență (descrise mai jos). Acesta completează, de asemenea, celelalte două reforme și investiții descrise în această componentă a planului spaniol de redresare și reziliență.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Punerea în aplicare a măsurii se finalizează până la 31 decembrie 2022. </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Reforma 2 (C4.R2) - Restaurarea ecosistemelor și a infrastructurii verzi</w:t>
      </w:r>
    </w:p>
    <w:p>
      <w:pPr>
        <w:spacing w:before="120" w:after="120" w:line="240" w:lineRule="auto"/>
        <w:jc w:val="both"/>
        <w:rPr>
          <w:rFonts w:ascii="Times New Roman" w:hAnsi="Times New Roman" w:cs="Times New Roman"/>
          <w:noProof/>
          <w:sz w:val="24"/>
        </w:rPr>
      </w:pPr>
      <w:r>
        <w:rPr>
          <w:rFonts w:ascii="Times New Roman" w:hAnsi="Times New Roman"/>
          <w:noProof/>
          <w:sz w:val="24"/>
        </w:rPr>
        <w:t>Scopul acestei reforme este dezvoltarea și implementarea Strategiei de stat pentru infrastructurile ecologice, conectivitate și restaurarea ecologică, cu scopul de a reface ecosistemele deteriorate și de a consolida o rețea de zone naturale și seminaturale terestre și marine pe deplin funcționale, conectate în Spania până în 2050.</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Aceste reforme includ șapte linii de acțiune diferite pentru a obține rezultate, cum ar fi: (i) reducerea efectelor fragmentării și pierderii conectivității ecologice; (ii) refacerea habitatelor și a ecosistemelor din zone-cheie; (iii) menținerea și îmbunătățirea furnizării de servicii ecosistemice pentru elementele de infrastructură verde; (iv) îmbunătățirea rezilienței elementelor legate de infrastructura ecologică; (v) asigurarea coerenței teritoriale; (vi) încorporarea unei infrastructuri verzi eficiente; și (vii) asigurarea comunicării, educației și participării adecvate a grupurilor de interese și a societății la dezvoltarea infrastructurii verzi.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Această reformă este susținută și de investițiile 3 din această componentă a planului spaniol de redresare și reziliență, abordând în special recomandările din Strategia UE în domeniul biodiversității pentru 2030 privind încorporarea coridoarelor ecologice, plantarea pe scară largă de arbori, progresele semnificative în reabilitarea terenurilor contaminate și obiectivul de a garanta că orașele cu cel puțin 20 000 de locuitori au un plan ambițios de ecologizare urbană. Aceasta este legată, de asemenea, de reforma 1 și de investițiile 1 ale acestei componente a planului spaniol de redresare și reziliență.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Punerea în aplicare a măsurii se finalizează până la 30 iunie 2021. </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Reforma 3 (C4.R3) - Gestionarea durabilă a pădurilor</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Această reformă va actualiza Strategia spaniolă pentru păduri din 1999, împreună cu Planul forestier spaniol pentru perioada 2002-2032, elaborând un pachet de acțiuni pentru stimularea sectorului forestier, care să acopere întreaga pădure spaniolă: protecția speciilor și a zonelor, incendiile, proprietarii, evoluția, situația actuală și tendințele din zonele și resursele forestiere, printre altele. Reforma abordează revitalizarea economică și socială a zonelor rurale mari, care se confruntă cu probleme grave de depopulare, și este bine aliniată la Pactul verde european. </w:t>
      </w:r>
    </w:p>
    <w:p>
      <w:pPr>
        <w:spacing w:before="120" w:after="120" w:line="240" w:lineRule="auto"/>
        <w:jc w:val="both"/>
        <w:rPr>
          <w:rFonts w:ascii="Times New Roman" w:hAnsi="Times New Roman" w:cs="Times New Roman"/>
          <w:noProof/>
          <w:sz w:val="24"/>
        </w:rPr>
      </w:pPr>
      <w:r>
        <w:rPr>
          <w:rFonts w:ascii="Times New Roman" w:hAnsi="Times New Roman"/>
          <w:noProof/>
          <w:sz w:val="24"/>
        </w:rPr>
        <w:t>Strategia forestieră spaniolă are cinci priorități strategice:</w:t>
      </w:r>
    </w:p>
    <w:p>
      <w:pPr>
        <w:numPr>
          <w:ilvl w:val="0"/>
          <w:numId w:val="43"/>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Conservarea și consolidarea patrimoniului natural, a biodiversității și a conectivității.</w:t>
      </w:r>
    </w:p>
    <w:p>
      <w:pPr>
        <w:numPr>
          <w:ilvl w:val="0"/>
          <w:numId w:val="43"/>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Protecția, securitatea sanitară și protecția prevenirii și adaptării la riscurile naturale și de mediu. </w:t>
      </w:r>
    </w:p>
    <w:p>
      <w:pPr>
        <w:numPr>
          <w:ilvl w:val="0"/>
          <w:numId w:val="43"/>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Bioeconomia forestieră: economia ecologică și locurile de muncă ecologice, mobilizarea resurselor forestiere și dezvoltarea socioeconomică durabilă a sectorului forestier.</w:t>
      </w:r>
    </w:p>
    <w:p>
      <w:pPr>
        <w:numPr>
          <w:ilvl w:val="0"/>
          <w:numId w:val="43"/>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Dezvoltarea și îmbunătățirea cunoștințelor și a culturii forestiere.</w:t>
      </w:r>
    </w:p>
    <w:p>
      <w:pPr>
        <w:numPr>
          <w:ilvl w:val="0"/>
          <w:numId w:val="43"/>
        </w:numPr>
        <w:spacing w:before="120" w:after="120" w:line="240" w:lineRule="auto"/>
        <w:ind w:left="357" w:hanging="357"/>
        <w:jc w:val="both"/>
        <w:rPr>
          <w:rFonts w:ascii="Times New Roman" w:hAnsi="Times New Roman" w:cs="Times New Roman"/>
          <w:noProof/>
          <w:sz w:val="24"/>
          <w:szCs w:val="24"/>
        </w:rPr>
      </w:pPr>
      <w:r>
        <w:rPr>
          <w:rFonts w:ascii="Times New Roman" w:hAnsi="Times New Roman"/>
          <w:noProof/>
          <w:sz w:val="24"/>
          <w:szCs w:val="24"/>
        </w:rPr>
        <w:t>Modelul de guvernanță forestieră: cadrul de reglementare, administrativ și instrumental al politicii forestiere spaniole.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Există două instrumente principale în strategia spaniolă pentru păduri, care sunt necesare pentru reformarea sectorului forestier în ansamblu. Prima este adoptarea orientărilor pentru gestionarea durabilă a pădurilor. Aceste orientări acoperă aspecte precum biodiversitatea, schimbările climatice și bioeconomia circulară. În al doilea rând, Orientările strategice pentru gestionarea incendiilor forestiere în Spania, care stabilesc obiectivele care trebuie urmărite, definesc principalele direcții de lucru și identifică grupurile din societate cu un anumit grad de responsabilitate. Aceste orientări strategice sunt esențiale pentru a controla incendiile forestiere și pentru a spori poziționarea strategică a sectorului forestier în contextul tranziției ecologice.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Punerea în aplicare a reformei se finalizează până la joi, 30 iunie 2022.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Investiția 1 (C4.I1) - Digitalizarea și cunoașterea patrimoniului natural</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rPr>
        <w:t>Investiția instituie un sistem de digitalizare a gestionării, controlului și monitorizării patrimoniului natural, care acoperă atât domeniul terestru, cât și pe cel marin. Această investiție realizează o îmbunătățire substanțială a cunoștințelor privind speciile și habitatele, precum și a cartografierii informațiilor și a patrimoniului natural, inclusiv a celor geologice. Investiția se axează pe obținerea de informații și pe gestionarea acestora, inclusiv:</w:t>
      </w:r>
    </w:p>
    <w:p>
      <w:pPr>
        <w:numPr>
          <w:ilvl w:val="0"/>
          <w:numId w:val="182"/>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Un program de îmbunătățire a cunoașterii și a digitalizării biodiversității și a gestionării patrimoniului natural la nivel național prin dezvoltarea de rețele de monitorizare, implementarea de senzori și utilizarea unor sisteme fixe și mobile de achiziționare de informații digitale. </w:t>
      </w:r>
    </w:p>
    <w:p>
      <w:pPr>
        <w:numPr>
          <w:ilvl w:val="0"/>
          <w:numId w:val="182"/>
        </w:numPr>
        <w:spacing w:before="120" w:after="120" w:line="240" w:lineRule="auto"/>
        <w:ind w:left="357" w:hanging="357"/>
        <w:jc w:val="both"/>
        <w:rPr>
          <w:rFonts w:ascii="Times New Roman" w:hAnsi="Times New Roman" w:cs="Times New Roman"/>
          <w:noProof/>
          <w:sz w:val="24"/>
          <w:szCs w:val="24"/>
        </w:rPr>
      </w:pPr>
      <w:r>
        <w:rPr>
          <w:rFonts w:ascii="Times New Roman" w:hAnsi="Times New Roman"/>
          <w:noProof/>
          <w:sz w:val="24"/>
          <w:szCs w:val="24"/>
        </w:rPr>
        <w:t xml:space="preserve">Dezvoltarea unor sisteme sau platforme de gestionare a informațiilor la nivel național, cu capacități suplimentare de analiză și diseminare.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Sistemul avionic din flota de aeronave amfibie se actualizează. Această investiție trebuie să îmbunătățească funcționarea dispozitivului de stingere a incendiilor prin introducerea unor actualizări tehnologice, cum ar fi camere mai bune și senzori de coordonare a incendiilor, ceea ce va face ca aeronavele să fie mai sigure și mai eficiente la stingerea incendiilor.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Se preconizează că această măsură nu aduce prejudicii semnificative obiectivelor de mediu în sensul articolului 17 din Regulamentul (UE) 2020/852, ținând seama de descrierea măsurii și de măsurile de atenuare stabilite în planul de redresare și reziliență în conformitate cu Orientările tehnice DNSH (2021/C58/01). În special, îmbunătățirea sistemului de avionică din flota de aeronave amfibie trebuie încorporată numai în aeronavele existente și nu trebuie să ducă la creșterea duratei de viață sau a capacității acestor aeronave. Acesta asigură siguranța și condițiile de zbor în timpul operațiunilor numai în cazul în care acestea sunt utilizate pentru stingerea incendiilor forestiere.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Punerea în aplicare a investiției se finalizează până la 30 iunie 2026. </w:t>
      </w:r>
    </w:p>
    <w:p>
      <w:pPr>
        <w:keepNext/>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Investiția 2 (C4.I2) - Conservarea biodiversității terestre și marine</w:t>
      </w:r>
    </w:p>
    <w:p>
      <w:pPr>
        <w:keepNext/>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Această investiție cuprinde un set de investiții directe și linii de grant pentru conservarea biodiversității terestre și marine. Acesta include cinci linii de acțiune, care sunt aliniate la reforma 1: </w:t>
      </w:r>
    </w:p>
    <w:p>
      <w:pPr>
        <w:numPr>
          <w:ilvl w:val="0"/>
          <w:numId w:val="183"/>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Conservarea biodiversității terestre, abordarea îmbunătățirii stării de conservare a speciilor și habitatelor, prevenirea amenințărilor și a mortalității, precum și acțiuni de control și eradicare a speciilor alogene invazive. </w:t>
      </w:r>
    </w:p>
    <w:p>
      <w:pPr>
        <w:numPr>
          <w:ilvl w:val="0"/>
          <w:numId w:val="183"/>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Îmbunătățirea infrastructurilor, care include acțiuni precum furnizarea, renovarea și modernizarea instalațiilor și a infrastructurii asociate cu gestionarea patrimoniului natural și sensibilizarea, precum și evidențierea și diseminarea importanței conservării biodiversității pentru sănătatea și bunăstarea umană. </w:t>
      </w:r>
    </w:p>
    <w:p>
      <w:pPr>
        <w:numPr>
          <w:ilvl w:val="0"/>
          <w:numId w:val="183"/>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Conservarea biodiversității marine, care stabilește un plan de conservare pentru 30 % din zona maritimă până în 2030. Această investiție protejează cel puțin 18 % din teritoriul marin spaniol până în 2025.   </w:t>
      </w:r>
    </w:p>
    <w:p>
      <w:pPr>
        <w:numPr>
          <w:ilvl w:val="0"/>
          <w:numId w:val="183"/>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Refacerea zonelor umede, prin acțiuni de conservare, îmbunătățire și refacere a zonelor umede, în special a celor legate de planul de conservare și refacere a zonelor umede prevăzut în reforma din 2. </w:t>
      </w:r>
    </w:p>
    <w:p>
      <w:pPr>
        <w:numPr>
          <w:ilvl w:val="0"/>
          <w:numId w:val="183"/>
        </w:numPr>
        <w:spacing w:before="120" w:after="120" w:line="240" w:lineRule="auto"/>
        <w:ind w:left="357" w:hanging="357"/>
        <w:jc w:val="both"/>
        <w:rPr>
          <w:rFonts w:ascii="Times New Roman" w:hAnsi="Times New Roman" w:cs="Times New Roman"/>
          <w:noProof/>
          <w:sz w:val="24"/>
          <w:szCs w:val="24"/>
        </w:rPr>
      </w:pPr>
      <w:r>
        <w:rPr>
          <w:rFonts w:ascii="Times New Roman" w:hAnsi="Times New Roman"/>
          <w:noProof/>
          <w:sz w:val="24"/>
          <w:szCs w:val="24"/>
        </w:rPr>
        <w:t xml:space="preserve">Controlul comerțului internațional pentru îmbunătățirea și consolidarea rețelei centrelor de salvare CITES și consolidarea planului de acțiune împotriva traficului ilegal.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Se preconizează că această măsură nu aduce prejudicii semnificative obiectivelor de mediu în sensul articolului 17 din Regulamentul (UE) 2020/852, ținând seama de descrierea măsurii și de măsurile de atenuare stabilite în planul de redresare și reziliență în conformitate cu Orientările tehnice DNSH (2021/C58/01). În special, pentru achiziționarea de nave cu destinație specială, criteriile de selecție pentru investiție garantează că sunt selectate numai cele mai bune tehnologii disponibile cu cel mai redus impact asupra mediului din sector, ținând seama de scopul special pe care îl servesc.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Punerea în aplicare a investiției se finalizează până la 30 iunie 2026. </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Investiția 3 (C4.I3) - Refacerea ecosistemelor și a infrastructurii verzi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Această investiție cuprinde un set de acțiuni menite să sprijine punerea în aplicare a reformei 2. Scopul este de a reface ecosistemele naturale și zonele degradate de activitățile miniere, precum și de alte inițiative din mediul urban care vizează promovarea conectivității urbane și inversarea acestora.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Investiția stabilește un obiectiv de refacere a cel puțin 30 000 hectare de ecosisteme naturale. Acțiunile de refacere se concentrează asupra teritoriilor sau ecosistemelor degradate prin eliminarea elementelor artificiale, îmbunătățirea morfologiei solului și a morfologiei, precum și refacerea vegetației și naturalizarea. În ceea ce privește mineritul, investiția trebuie să reabiliteze cel puțin 30 de foste situri miniere. Reabilitarea fostelor situri miniere include decontaminarea solului, recuperarea morfologiei și refacerea vegetației și naturalizarea fostelor situri miniere care nu mai funcționează.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În cele din urmă, investițiile promovează infrastructura ecologică, acoperind nevoile autorităților locale, inclusiv: (i) strategii de planificare urbană și de regenerare cu scopul de a crea și a regenera infrastructura verde și albastră și de a elibera spațiul urban pentru a spori biodiversitatea, permeabilitatea solului și conectivitatea naturală în orașe; (ii) acțiuni și proiecte care vizează guvernanța și procesele de participare, gestionarea spațiilor verzi și albastre și proiectele de metabolism urban legate de biodiversitate; și (iii) sprijin pentru echipamente și proiecte de infrastructură pentru planificarea urbană. </w:t>
      </w:r>
    </w:p>
    <w:p>
      <w:pPr>
        <w:spacing w:before="120" w:after="120" w:line="240" w:lineRule="auto"/>
        <w:jc w:val="both"/>
        <w:rPr>
          <w:rFonts w:ascii="Times New Roman" w:hAnsi="Times New Roman" w:cs="Times New Roman"/>
          <w:noProof/>
          <w:sz w:val="24"/>
        </w:rPr>
      </w:pPr>
      <w:r>
        <w:rPr>
          <w:rFonts w:ascii="Times New Roman" w:hAnsi="Times New Roman"/>
          <w:noProof/>
          <w:sz w:val="24"/>
        </w:rPr>
        <w:t>Punerea în aplicare a investiției se finalizează până la 30 iunie 2026.</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C4.I4 Gestionarea durabilă a pădurilor</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Această investiție cuprinde investiții în gestionarea durabilă a pădurilor: </w:t>
      </w:r>
    </w:p>
    <w:p>
      <w:pPr>
        <w:numPr>
          <w:ilvl w:val="0"/>
          <w:numId w:val="184"/>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Acțiuni menite să îmbunătățească gestionarea pădurilor, abordând combaterea incendiilor forestiere și alte intervenții de gestionare a pădurilor; sprijin tehnic pentru proprietarii și administrațiile forestiere în vederea consolidării proprietății publice; planuri de gestionare a pădurilor pentru promovarea biodiversității și a utilizării durabile a pădurilor. </w:t>
      </w:r>
    </w:p>
    <w:p>
      <w:pPr>
        <w:numPr>
          <w:ilvl w:val="0"/>
          <w:numId w:val="184"/>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Acțiuni care protejează schimbările climatice și se adaptează la acestea, inclusiv reînnoirea a cel puțin 100 de active de stingere a incendiilor cu scop special, baze de pompieri și progrese în ceea ce privește acțiunile de îmbunătățire a pădurilor. </w:t>
      </w:r>
    </w:p>
    <w:p>
      <w:pPr>
        <w:numPr>
          <w:ilvl w:val="0"/>
          <w:numId w:val="184"/>
        </w:numPr>
        <w:spacing w:before="120" w:after="120" w:line="240" w:lineRule="auto"/>
        <w:ind w:left="357" w:hanging="357"/>
        <w:jc w:val="both"/>
        <w:rPr>
          <w:rFonts w:ascii="Times New Roman" w:hAnsi="Times New Roman" w:cs="Times New Roman"/>
          <w:noProof/>
          <w:sz w:val="24"/>
          <w:szCs w:val="24"/>
        </w:rPr>
      </w:pPr>
      <w:r>
        <w:rPr>
          <w:rFonts w:ascii="Times New Roman" w:hAnsi="Times New Roman"/>
          <w:noProof/>
          <w:sz w:val="24"/>
          <w:szCs w:val="24"/>
        </w:rPr>
        <w:t xml:space="preserve">Un set de acțiuni sprijină sectorul forestier ca resursă esențială pentru abordarea provocării demografice, cu un accent special pe antreprenoriatul ecologic și pe bioeconomia locală. Această parte a investiției include granturi acordate autorităților locale și altor actori publici și privați pentru a promova competitivitatea, spiritul antreprenorial și sustenabilitatea sectorului forestier și a industriei sale. Aceste acțiuni vor pune un accent deosebit pe crearea de locuri de muncă ecologice, în special prin sprijinirea participării femeilor și a tinerilor în sectorul forestier și a antreprenoriatului ecologic.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Se preconizează că această măsură nu aduce prejudicii semnificative obiectivelor de mediu în sensul articolului 17 din Regulamentul (UE) 2020/852, ținând seama de descrierea măsurii și de măsurile de atenuare stabilite în planul de redresare și reziliență în conformitate cu Orientările tehnice DNSH (2021/C58/01). În special, măsura trebuie să prevină și să excludă în mod explicit sprijinul pentru plantațiile de monoculturi, în special pentru eucalipt, pentru a reduce la minimum stresul hidric și riscurile de incendiu. Pentru achiziționarea de active aeriene (avioane sau elicoptere) și achiziționarea de noi echipamente terestre de stingere a incendiilor, se sprijină numai cele mai bune tehnologii disponibile cu cel mai mic impact asupra mediului din sector, ținând seama de scopul special pe care îl servesc.</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Punerea în aplicare a investiției se finalizează până la 30 iunie 2026.</w:t>
      </w:r>
    </w:p>
    <w:p>
      <w:pPr>
        <w:spacing w:before="120" w:after="120" w:line="240" w:lineRule="auto"/>
        <w:jc w:val="both"/>
        <w:rPr>
          <w:rFonts w:ascii="Times New Roman" w:hAnsi="Times New Roman" w:cs="Times New Roman"/>
          <w:b/>
          <w:bCs/>
          <w:noProof/>
          <w:sz w:val="24"/>
          <w:u w:val="single"/>
        </w:rPr>
      </w:pPr>
      <w:r>
        <w:rPr>
          <w:rFonts w:ascii="Times New Roman" w:hAnsi="Times New Roman"/>
          <w:b/>
          <w:bCs/>
          <w:noProof/>
          <w:sz w:val="24"/>
          <w:u w:val="single"/>
        </w:rPr>
        <w:t xml:space="preserve">D.2. </w:t>
      </w:r>
      <w:r>
        <w:rPr>
          <w:rFonts w:ascii="Times New Roman" w:hAnsi="Times New Roman"/>
          <w:b/>
          <w:noProof/>
          <w:sz w:val="24"/>
          <w:u w:val="single"/>
        </w:rPr>
        <w:tab/>
      </w:r>
      <w:r>
        <w:rPr>
          <w:rFonts w:ascii="Times New Roman" w:hAnsi="Times New Roman"/>
          <w:b/>
          <w:bCs/>
          <w:noProof/>
          <w:sz w:val="24"/>
          <w:u w:val="single"/>
        </w:rPr>
        <w:t>Jaloane, ținte, indicatori și calendarul de monitorizare și implementare aplicabile sprijinului financiar nerambursabil</w:t>
      </w:r>
    </w:p>
    <w:p>
      <w:pPr>
        <w:spacing w:before="120" w:after="120" w:line="240" w:lineRule="auto"/>
        <w:jc w:val="both"/>
        <w:rPr>
          <w:rFonts w:ascii="Times New Roman" w:hAnsi="Times New Roman" w:cs="Times New Roman"/>
          <w:noProof/>
          <w:color w:val="1F497D"/>
        </w:rPr>
      </w:pPr>
      <w:r>
        <w:rPr>
          <w:rFonts w:ascii="Times New Roman" w:hAnsi="Times New Roman"/>
          <w:i/>
          <w:iCs/>
          <w:noProof/>
          <w:color w:val="000000"/>
          <w:sz w:val="24"/>
        </w:rPr>
        <w:t>Tabelul de mai jos.</w:t>
      </w:r>
      <w:r>
        <w:rPr>
          <w:rFonts w:ascii="Times New Roman" w:hAnsi="Times New Roman"/>
          <w:noProof/>
          <w:color w:val="1F497D"/>
          <w:sz w:val="24"/>
        </w:rPr>
        <w:t xml:space="preserve"> </w:t>
      </w:r>
      <w:r>
        <w:rPr>
          <w:rFonts w:ascii="Times New Roman" w:hAnsi="Times New Roman"/>
          <w:i/>
          <w:iCs/>
          <w:noProof/>
          <w:color w:val="000000"/>
          <w:sz w:val="24"/>
        </w:rPr>
        <w:t>Data de referință pentru toți indicatorii este 1 februarie, cu excepția cazului în care se indică altfel în descrierea acțiunii. Sumele din tabel nu includ TVA.</w:t>
      </w:r>
    </w:p>
    <w:p>
      <w:pPr>
        <w:spacing w:before="120" w:after="120" w:line="240" w:lineRule="auto"/>
        <w:jc w:val="both"/>
        <w:rPr>
          <w:rFonts w:ascii="Times New Roman" w:hAnsi="Times New Roman" w:cs="Times New Roman"/>
          <w:noProof/>
          <w:sz w:val="24"/>
          <w:lang w:val="en-IE"/>
        </w:rPr>
        <w:sectPr>
          <w:headerReference w:type="even" r:id="rId55"/>
          <w:headerReference w:type="default" r:id="rId56"/>
          <w:footerReference w:type="even" r:id="rId57"/>
          <w:footerReference w:type="default" r:id="rId58"/>
          <w:headerReference w:type="first" r:id="rId59"/>
          <w:footerReference w:type="first" r:id="rId60"/>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51"/>
        <w:gridCol w:w="851"/>
        <w:gridCol w:w="992"/>
        <w:gridCol w:w="2126"/>
        <w:gridCol w:w="1276"/>
        <w:gridCol w:w="850"/>
        <w:gridCol w:w="567"/>
        <w:gridCol w:w="709"/>
        <w:gridCol w:w="425"/>
        <w:gridCol w:w="567"/>
        <w:gridCol w:w="6096"/>
      </w:tblGrid>
      <w:tr>
        <w:trPr>
          <w:trHeight w:val="309"/>
          <w:tblHeader/>
        </w:trPr>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sz w:val="18"/>
                <w:szCs w:val="18"/>
              </w:rPr>
              <w:t>Număr</w:t>
            </w:r>
          </w:p>
        </w:tc>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Măsură</w:t>
            </w:r>
          </w:p>
        </w:tc>
        <w:tc>
          <w:tcPr>
            <w:tcW w:w="992"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Jalon</w:t>
            </w:r>
            <w:r>
              <w:rPr>
                <w:rFonts w:ascii="Times New Roman" w:hAnsi="Times New Roman"/>
                <w:b/>
                <w:noProof/>
                <w:color w:val="000000"/>
                <w:sz w:val="18"/>
                <w:szCs w:val="18"/>
              </w:rPr>
              <w:br/>
            </w:r>
            <w:r>
              <w:rPr>
                <w:rFonts w:ascii="Times New Roman" w:hAnsi="Times New Roman"/>
                <w:b/>
                <w:bCs/>
                <w:noProof/>
                <w:color w:val="000000"/>
                <w:sz w:val="18"/>
                <w:szCs w:val="18"/>
              </w:rPr>
              <w:t xml:space="preserve"> /Țintă</w:t>
            </w:r>
          </w:p>
        </w:tc>
        <w:tc>
          <w:tcPr>
            <w:tcW w:w="2126"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Denumire</w:t>
            </w:r>
          </w:p>
        </w:tc>
        <w:tc>
          <w:tcPr>
            <w:tcW w:w="1276"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Indicator calitativ pentru obiectivele de etapă</w:t>
            </w:r>
          </w:p>
        </w:tc>
        <w:tc>
          <w:tcPr>
            <w:tcW w:w="2126" w:type="dxa"/>
            <w:gridSpan w:val="3"/>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Indicator cantitativ pentru obiectiv</w:t>
            </w:r>
          </w:p>
        </w:tc>
        <w:tc>
          <w:tcPr>
            <w:tcW w:w="992" w:type="dxa"/>
            <w:gridSpan w:val="2"/>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Timp</w:t>
            </w:r>
          </w:p>
        </w:tc>
        <w:tc>
          <w:tcPr>
            <w:tcW w:w="6096"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sz w:val="18"/>
                <w:szCs w:val="18"/>
              </w:rPr>
              <w:t>Descrierea fiecărui jalon și a fiecărei ținte</w:t>
            </w:r>
          </w:p>
        </w:tc>
      </w:tr>
      <w:tr>
        <w:trPr>
          <w:trHeight w:val="309"/>
          <w:tblHeader/>
        </w:trPr>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992"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2126"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276"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Unitate</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Scenariu de bază</w:t>
            </w:r>
          </w:p>
        </w:tc>
        <w:tc>
          <w:tcPr>
            <w:tcW w:w="709"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Obiectiv</w:t>
            </w:r>
          </w:p>
        </w:tc>
        <w:tc>
          <w:tcPr>
            <w:tcW w:w="425"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Q</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An</w:t>
            </w:r>
          </w:p>
        </w:tc>
        <w:tc>
          <w:tcPr>
            <w:tcW w:w="6096"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lang w:val="en-IE"/>
              </w:rPr>
            </w:pP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62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C4.R1</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12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Planul strategic pentru patrimoniul natural și biodiversitate și Planul privind rețeaua de zone marine protejate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Publicarea în Jurnalul Oficial</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Adoptarea Planului strategic pentru patrimoniul natural și biodiversitate (decretul regal) și a Planului privind rețeaua de zone marine protejate (decretul regal), inclusiv crearea a cel puțin nouă baze de gestionare a mediului marin.</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63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C4.R2</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12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Adoptarea Strategiei naționale privind infrastructurile ecologice, conectivitatea și refacerea ecologică</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Publicarea în Jurnalul Oficial</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Adoptarea Strategiei naționale privind infrastructurile ecologice, conectivitatea și refacerea ecologică. Strategia include linii de acțiune pentru a realiza: reducerea efectelor fragmentării și pierderii conectivității ecologice; (ii) refacerea ecosistemelor în zone-cheie; (iii) menținerea și îmbunătățirea furnizării de servicii ecosistemice; (iv) îmbunătățirea rezilienței; (v) definirea unui model de guvernanță; și (vi) comunicarea, educația și participarea părților interesate.</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64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C4.R3</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12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Aprobarea strategiei spaniole și a planului de sprijin pentru păduri</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Publicarea în Jurnalul Oficial</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Adoptarea strategiei spaniole și a planului de sprijin pentru păduri, care va include orientări pentru gestionarea durabilă a pădurilor.</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65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C4.I1</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12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Atribuirea de contracte pentru aeronave cu destinație specială pentru stingerea incendiilor și instituirea sistemului de monitorizare și gestionare a cunoștințelor privind biodiversitatea</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Atribuirea contractelor</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Atribuirea de contracte pentru actualizarea și modernizarea a cel puțin zece aeronave cu destinație specială (Canadair) pentru stingerea incendiilor și punerea la dispoziție a sistemului de monitorizare și gestionare a cunoștințelor privind biodiversitatea. Sistemul include o mai bună cunoaștere a speciilor și habitatelor și o platformă digitală. Investiția asigură respectarea Orientărilor tehnice privind principiul „de a nu prejudicia în mod semnificativ”(2021/C58/01) prin modernizarea doar a aeronavelor existente, care nu trebuie să le prelungească durata de viață sau capacitatea.</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66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C4.I1</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12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Finalizarea actualizărilor și modernizărilor aeronavelor de stingere a incendiilor și operaționalizarea sistemului de monitorizare și gestionare a cunoștințelor privind biodiversitatea</w:t>
            </w:r>
          </w:p>
        </w:tc>
        <w:tc>
          <w:tcPr>
            <w:tcW w:w="1276" w:type="dxa"/>
            <w:shd w:val="clear" w:color="auto" w:fill="C6EFCE"/>
            <w:noWrap/>
          </w:tcPr>
          <w:p>
            <w:pPr>
              <w:spacing w:after="0" w:line="240" w:lineRule="auto"/>
              <w:jc w:val="center"/>
              <w:rPr>
                <w:rFonts w:ascii="Times New Roman" w:eastAsia="Times New Roman" w:hAnsi="Times New Roman" w:cs="Times New Roman"/>
                <w:i/>
                <w:noProof/>
                <w:sz w:val="18"/>
                <w:szCs w:val="18"/>
              </w:rPr>
            </w:pPr>
            <w:r>
              <w:rPr>
                <w:rFonts w:ascii="Times New Roman" w:hAnsi="Times New Roman"/>
                <w:i/>
                <w:noProof/>
                <w:color w:val="000000"/>
                <w:sz w:val="18"/>
                <w:szCs w:val="18"/>
              </w:rPr>
              <w:t>ACTA de recepción</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2026</w:t>
            </w:r>
          </w:p>
        </w:tc>
        <w:tc>
          <w:tcPr>
            <w:tcW w:w="609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Cel puțin zece aeronave cu scop special actualizate și modernizate pentru stingerea incendiilor (Canadair) finalizate, iar sistemul de monitorizare și gestionare a cunoștințelor privind biodiversitatea este finalizat și operațional (inclusiv platforma digitală). </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67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C4.I2</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Zonele marine protejate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lang w:val="en-IE" w:eastAsia="en-GB"/>
              </w:rPr>
            </w:pP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din teritoriul marin spaniol</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13</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15</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Realizarea unei zone marine protejate de cel puțin 15 % din teritoriul marin spaniol. Zona marină protejată este un teritoriu marin inclus în rețeaua Natura 2000 sau alte categorii de spații naturale protejate, astfel cum a fost stabilit prin Legea nr. 42/2007; zonele protejate prin instrumente internaționale și rezervele marine vor fi incluse în rampă (Rețeaua spaniolă a zonelor marine protejate). Valoare de referință 31 decembrie 2020.) </w:t>
            </w:r>
          </w:p>
        </w:tc>
      </w:tr>
      <w:tr>
        <w:trPr>
          <w:trHeight w:val="309"/>
        </w:trPr>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68</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C4.I2</w:t>
            </w:r>
          </w:p>
        </w:tc>
        <w:tc>
          <w:tcPr>
            <w:tcW w:w="99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212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Zonele marine protejate </w:t>
            </w:r>
          </w:p>
        </w:tc>
        <w:tc>
          <w:tcPr>
            <w:tcW w:w="1276" w:type="dxa"/>
            <w:shd w:val="clear" w:color="auto" w:fill="C6EFCE"/>
            <w:noWrap/>
          </w:tcPr>
          <w:p>
            <w:pPr>
              <w:spacing w:after="0" w:line="240" w:lineRule="auto"/>
              <w:jc w:val="center"/>
              <w:rPr>
                <w:rFonts w:ascii="Times New Roman" w:hAnsi="Times New Roman" w:cs="Times New Roman"/>
                <w:noProof/>
                <w:color w:val="000000"/>
                <w:sz w:val="18"/>
                <w:szCs w:val="18"/>
                <w:lang w:val="en-IE"/>
              </w:rPr>
            </w:pP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din teritoriul marin spaniol</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15</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18</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2025</w:t>
            </w:r>
          </w:p>
        </w:tc>
        <w:tc>
          <w:tcPr>
            <w:tcW w:w="609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Realizarea unei zone marine protejate de cel puțin 18 % din teritoriul marin spaniol. Zona marină protejată este un teritoriu marin inclus în rețeaua Natura 2000 sau alte categorii de spații naturale protejate, astfel cum a fost stabilit prin Legea nr. 42/2007; zonele protejate prin instrumente internaționale și rezervele marine vor fi incluse în rampă (Rețeaua spaniolă a zonelor marine protejate). Valoare de referință 31 decembrie 2023.)</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69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C4.I2</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Acțiuni de conservare a biodiversității</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lang w:val="fr-BE" w:eastAsia="en-GB"/>
              </w:rPr>
            </w:pP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 (hectare)</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50 000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2026</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Cel puțin 50 000 hectare acoperite de acțiuni finalizate de conservare a biodiversității. Acțiunile de conservare includ următoarele: (i) acțiuni de prevenire a mortalității speciilor endemice de faună și floră, (ii) acțiuni de detectare timpurie, control sau eliminare a speciilor invazive, (iii) măsuri de gestionare și de îmbunătățire a habitatelor luate cu privire la speciile pe cale de dispariție, (iv) acțiuni de refacere a zonelor umede, cum ar fi îmbunătățirea dinamicii naturale, a cantității și calității apei și a faunei naturale și a flora. naturale și (v) acțiuni de furnizare, reamenajare și modernizare a instalațiilor și infrastructurii asociate cu gestionarea patrimoniului natural și a zonelor protejate (Natura 2000 și situri naturale protejate), Pentru achiziționarea de nave cu destinație specială, criteriile de selecție pentru investiție asigură conformitatea cu Orientările tehnice privind principiul „de a nu prejudicia în mod semnificativ”(2021/C58/01), sprijinind doar cele mai bune tehnologii disponibile cu cel mai redus impact asupra mediului din sector, ținând seama de scopul special pe care îl servesc. </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70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C4.I3</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Reabilitarea fostelor situri miniere (cel puțin 20 de foste situri miniere)</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lang w:val="en-IE" w:eastAsia="en-GB"/>
              </w:rPr>
            </w:pP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 (șantiere miniere)</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Reabilitarea a cel puțin 50 % din fiecare sit minier, vizând cel puțin 20 de foste situri miniere, inclusiv decontaminarea solului, recuperarea morfologiei, refacerea vegetației și naturalizarea.</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71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C4.I3</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Acțiuni de refacere a ecosistemelor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lang w:val="fr-BE" w:eastAsia="en-GB"/>
              </w:rPr>
            </w:pP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Număr (hectare)</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30 000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Cel puțin 30 000 hectare acoperite de acțiuni finalizate de refacere a ecosistemelor în teritorii sau ecosisteme degradate, inclusiv eliminarea elementelor artificiale, îmbunătățirea solului și a morfologiei, precum și refacerea vegetației și naturalizarea. </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72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C4.I3</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Finalizarea reabilitării fostelor situri miniere (cel puțin 30 de foste situri miniere)</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lang w:val="en-IE" w:eastAsia="en-GB"/>
              </w:rPr>
            </w:pP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Număr (șantiere miniere)</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2026</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Cel puțin 30 de foste situri miniere au fost reabilitate, inclusiv decontaminarea solului, recuperarea morfologiei și refacerea și naturalizarea fostelor situri miniere care nu mai sunt în funcțiune. </w:t>
            </w:r>
          </w:p>
        </w:tc>
      </w:tr>
      <w:tr>
        <w:trPr>
          <w:trHeight w:val="309"/>
        </w:trPr>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73</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C4.I4</w:t>
            </w:r>
          </w:p>
        </w:tc>
        <w:tc>
          <w:tcPr>
            <w:tcW w:w="99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12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Acțiuni privind gestionarea durabilă a pădurilor </w:t>
            </w:r>
          </w:p>
        </w:tc>
        <w:tc>
          <w:tcPr>
            <w:tcW w:w="1276"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Certificat semnat de MITERD</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609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Finalizarea acțiunilor privind gestionarea durabilă a pădurilor, inclusiv reînnoirea a cel puțin 100 de vehicule cu destinație specială pentru stingerea incendiilor, renovarea bazelor de pompieri și finalizarea acțiunilor de îmbunătățire a pădurilor, inclusiv planificarea unor practici adaptabile de gestionare durabilă a pădurilor și îmbogățirea speciilor. Criteriile de selecție pentru investiție asigură conformitatea cu Orientările tehnice privind principiul „de a nu prejudicia în mod semnificativ”(2021/C58/01), sprijinind doar cele mai bune tehnologii disponibile cu cel mai mic impact asupra mediului din sector, ținând seama de scopul special pe care îl servesc. </w:t>
            </w:r>
          </w:p>
        </w:tc>
      </w:tr>
    </w:tbl>
    <w:p>
      <w:pPr>
        <w:spacing w:before="120" w:after="120" w:line="240" w:lineRule="auto"/>
        <w:jc w:val="both"/>
        <w:rPr>
          <w:rFonts w:ascii="Times New Roman" w:hAnsi="Times New Roman" w:cs="Times New Roman"/>
          <w:noProof/>
          <w:sz w:val="24"/>
          <w:szCs w:val="24"/>
        </w:rPr>
      </w:pPr>
    </w:p>
    <w:p>
      <w:pPr>
        <w:spacing w:before="120" w:after="120" w:line="240" w:lineRule="auto"/>
        <w:jc w:val="both"/>
        <w:rPr>
          <w:rFonts w:ascii="Times New Roman" w:hAnsi="Times New Roman" w:cs="Times New Roman"/>
          <w:noProof/>
          <w:sz w:val="24"/>
        </w:rPr>
        <w:sectPr>
          <w:headerReference w:type="even" r:id="rId61"/>
          <w:headerReference w:type="default" r:id="rId62"/>
          <w:footerReference w:type="even" r:id="rId63"/>
          <w:footerReference w:type="default" r:id="rId64"/>
          <w:headerReference w:type="first" r:id="rId65"/>
          <w:footerReference w:type="first" r:id="rId66"/>
          <w:pgSz w:w="16839" w:h="11907" w:orient="landscape"/>
          <w:pgMar w:top="1417" w:right="1134" w:bottom="1417" w:left="1134" w:header="709" w:footer="709" w:gutter="0"/>
          <w:cols w:space="720"/>
          <w:docGrid w:linePitch="360"/>
        </w:sectPr>
      </w:pPr>
    </w:p>
    <w:p>
      <w:pPr>
        <w:pStyle w:val="Heading1"/>
        <w:rPr>
          <w:noProof/>
        </w:rPr>
      </w:pPr>
      <w:r>
        <w:rPr>
          <w:noProof/>
        </w:rPr>
        <w:t>E. COMPONENTA 05: Zonele de coastă și resursele de apă</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Componenta vizează îmbunătățirea gestionării resurselor de apă, punerea în aplicare a unei politici de adaptare a zonelor costiere la efectele negative ale schimbărilor climatice și consolidarea punerii în aplicare a strategiilor marine și a planurilor de amenajare a spațiului maritim.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În ceea ce privește gestionarea resurselor de apă, Spania trebuie să abordeze diferite provocări, cum ar fi identificarea noilor poluanți emergenți, cum ar fi microplasticele, un deficit de investiții existent în ceea ce privește planificarea, adaptarea coastei la schimbările climatice, controlul și gestionarea domeniului hidraulic public, a proprietății terestre Maritime și a tratării apei, precum și o întârziere în implementarea noilor tehnologii și tehnologii TIC pentru gestionarea apei. În acest scop, Spania trebuie să îmbunătățească eficiența sectorului. Spania trebuie, de asemenea, să se alinieze la obiectivele de mediu, cum ar fi cele stabilite în Pactul verde european, în Strategia privind biodiversitatea pentru 2030 și în Planul de acțiune al UE privind reducerea la zero a poluării. În acest scop, se implementează diferite strategii, cum ar fi digitalizarea administrației publice pentru a avea acces la informații, inclusiv calitatea apei și conformitatea cu debitele ecologice, furnizarea și îmbunătățirea infrastructurii de mediu, siguranța infrastructurii sau îmbunătățirea stării apelor subterane și recuperarea acviferului.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Impactul eroziunii și al inundațiilor asupra coastelor a fost exacerbat de schimbările climatice. Prin urmare, această componentă a planului spaniol de redresare și reziliență pune în aplicare, de asemenea, o politică de adaptare a coastei spaniole la efectele negative ale schimbărilor climatice. Pentru a combate eroziunea și a reduce riscul de inundații, trebuie introduse o serie de măsuri de adaptare, cum ar fi refacerea ecologică a zonelor degradate, îmbunătățirea accesului ordonat și corect la domeniul maritim public terestru sau elaborarea și punerea în aplicare a unor soluții bazate pe natură, printre altele. Această linie de acțiune nu numai că va crea o linie de coastă mai rezilientă la efectele schimbărilor climatice, ci va activa și sectorul turismului și alte sectoare care depind de starea bună a zonelor costiere. În plus, acest lucru va consolida și mai mult rolul programului Copernicus, care este esențial pentru prevenirea și evaluarea daunelor și a impactului fenomenelor meteorologice extreme.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Ca parte a acestei componente a planului spaniol de redresare și reziliență, Spania promovează dezvoltarea durabilă optimă a sectoarelor maritime și protejează mediul marin cu scopul de a atinge o stare ecologică bună prin adoptarea unei legi, transpunerea Directivei-cadru „Strategia pentru mediul marin” și consolidarea punerii sale în aplicare.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Această componentă a planului spaniol de redresare și reziliență contribuie la concentrarea politicii economice legate de investiții asupra promovării eficienței energetice și a utilizării resurselor (recomandarea specifică țării 3 din 2019). De asemenea, ea concentrează investițiile asupra tranziției verzi și digitale, în special prin încurajarea cercetării și inovării, a producției și utilizării curate și eficiente a surselor de energie, a infrastructurii energetice, a gestionării apei și a deșeurilor și a transportului durabil (recomandarea specifică țării 3 din 2020). </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themeColor="text1"/>
          <w:sz w:val="24"/>
          <w:szCs w:val="24"/>
        </w:rPr>
        <w:t>Se preconizează că nicio măsură din cadrul acestei componente nu aduce prejudicii semnificative obiectivelor de mediu în sensul articolului 17 din Regulamentul (UE) 2020/852, ținând seama de descrierea măsurilor și a măsurilor de atenuare stabilite în planul de redresare și reziliență în conformitate cu Orientările tehnice DNSH (2021/C58/01).</w:t>
      </w:r>
    </w:p>
    <w:p>
      <w:pPr>
        <w:keepNext/>
        <w:spacing w:before="120" w:after="120" w:line="240" w:lineRule="auto"/>
        <w:ind w:left="720"/>
        <w:jc w:val="both"/>
        <w:rPr>
          <w:rFonts w:ascii="Times New Roman" w:hAnsi="Times New Roman" w:cs="Times New Roman"/>
          <w:b/>
          <w:bCs/>
          <w:i/>
          <w:iCs/>
          <w:noProof/>
          <w:color w:val="4F81BD" w:themeColor="accent1"/>
          <w:sz w:val="24"/>
        </w:rPr>
      </w:pPr>
      <w:r>
        <w:rPr>
          <w:rFonts w:ascii="Times New Roman" w:hAnsi="Times New Roman"/>
          <w:b/>
          <w:bCs/>
          <w:noProof/>
          <w:sz w:val="24"/>
          <w:u w:val="single"/>
        </w:rPr>
        <w:t xml:space="preserve">E.1. </w:t>
      </w:r>
      <w:r>
        <w:rPr>
          <w:rFonts w:ascii="Times New Roman" w:hAnsi="Times New Roman"/>
          <w:b/>
          <w:noProof/>
          <w:sz w:val="24"/>
          <w:u w:val="single"/>
        </w:rPr>
        <w:tab/>
      </w:r>
      <w:r>
        <w:rPr>
          <w:rFonts w:ascii="Times New Roman" w:hAnsi="Times New Roman"/>
          <w:b/>
          <w:bCs/>
          <w:noProof/>
          <w:sz w:val="24"/>
          <w:u w:val="single"/>
        </w:rPr>
        <w:t>Descrierea reformelor și a investițiilor pentru care se prevede acordarea sprijinului financiar nerambursabil</w:t>
      </w:r>
    </w:p>
    <w:p>
      <w:pPr>
        <w:keepNext/>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Reforma 1 (C5.R1) - Planuri și strategii în domeniul apei și modificări în materie de reglementare</w:t>
      </w:r>
    </w:p>
    <w:p>
      <w:pPr>
        <w:keepNext/>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Reforma vizează revizuirea și actualizarea Legii apei, a regulamentelor acesteia și a altor acte legislative secundare, pentru a asigura un cadru juridic favorabil pentru stimularea investițiilor. Reforma include adoptarea și revizuirea unei serii de planuri și strategii care stau la baza investițiilor și a gestionării apei, care consolidează și sporesc investițiile. Aceste modificări în materie de reglementare sunt aliniate la Pactul verde european.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Această reformă abordează numeroase aspecte referitoare la toate tipurile de apă, cum ar fi un cadru financiar îmbunătățit pentru reutilizarea apelor reziduale, o strategie privind apa pentru tranziția ecologică, adoptarea de standarde tehnice pentru siguranța barajelor și a rezervoarelor acestora, adoptarea unui plan național de purificare, remediere, eficiență, economisire și reutilizare a apei (punerea în aplicare a tratării, salubrizării, eficienței, economiilor, economiilor, siguranței infrastructurii - planul DSEAR), al treilea ciclu al planurilor de gestionare a bazinelor hidrografice și revizuirea celui de-al doilea ciclu al planurilor de gestionare a riscurilor de inundații, printre altele.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Investiția se finalizează până la 30 iunie 2023.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Investiția 1 (C5.I1) - Punerea în aplicare a acțiunilor de tratare, salubrizare, eficiență, economii, reutilizare și siguranță a infrastructurii (DESEAR)</w:t>
      </w:r>
    </w:p>
    <w:p>
      <w:pPr>
        <w:spacing w:before="120" w:after="120" w:line="240" w:lineRule="auto"/>
        <w:jc w:val="both"/>
        <w:rPr>
          <w:rFonts w:ascii="Times New Roman" w:hAnsi="Times New Roman" w:cs="Times New Roman"/>
          <w:noProof/>
          <w:sz w:val="24"/>
        </w:rPr>
      </w:pPr>
      <w:r>
        <w:rPr>
          <w:rFonts w:ascii="Times New Roman" w:hAnsi="Times New Roman"/>
          <w:noProof/>
          <w:sz w:val="24"/>
        </w:rPr>
        <w:t>Această investiție trebuie să îndeplinească următoarele acțiuni:</w:t>
      </w:r>
    </w:p>
    <w:p>
      <w:pPr>
        <w:numPr>
          <w:ilvl w:val="0"/>
          <w:numId w:val="47"/>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Punerea în aplicare a măsurilor de purificare, salubrizare și reutilizare a apei. Obiectivul acestei linii de acțiune este de a îmbunătăți colectarea și tratarea apelor urbane reziduale. În unele cazuri, acțiunile trebuie să reutilizeze apele urbane reziduale, reducând astfel presiunile actuale de captare. Noile măsuri de tratare trebuie să atingă un consum net de energie egal cu zero al sistemului complet de tratare a apelor reziduale. Infrastructurile sunt luate în considerare cel puțin pentru infrastructurile noi sau modernizate de tratare a apelor reziduale care oferă o capacitate suplimentară de tratare a apelor reziduale. Tratarea va fi nou desemnată sau modernizată la un nivel cel puțin în conformitate cu Directiva privind tratarea apelor urbane reziduale (Directiva 91/271/CEE). Îmbunătățirea și reînnoirea infrastructurii existente are ca rezultat o reducere a consumului mediu de energie cu cel puțin 10 %. Aceste economii se realizează prin punerea în aplicare a măsurilor de eficiență energetică (cogenerare, energie și recuperarea căldurii, panouri fotovoltaice, iluminat cu LED-uri etc.) la elaborarea proiectelor și introducerea clauzelor și criteriilor de eficiență energetică în cererile de propuneri de proiecte și lucrări. </w:t>
      </w:r>
    </w:p>
    <w:p>
      <w:pPr>
        <w:numPr>
          <w:ilvl w:val="0"/>
          <w:numId w:val="47"/>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Acțiuni de îmbunătățire a eficienței și de reducere a pierderilor de apă. Acțiunile pun în aplicare un sistem de subvenții pentru îmbunătățirea eficienței rețelelor de aprovizionare ale municipalităților mici și mijlocii, permițând municipalităților sau organismelor publice responsabile cu alimentarea cu apă să o îmbunătățească prin reducerea pierderilor din rețelele de distribuție și prin acțiuni de reparare și îmbunătățire a instalațiilor de stocare a apei, precum și a instalațiilor din municipalitățile mici și mijlocii. Locuitorii deserviți de aceste infrastructuri trebuie să corespundă celor deservite de rețeaua de distribuție a apei. </w:t>
      </w:r>
    </w:p>
    <w:p>
      <w:pPr>
        <w:numPr>
          <w:ilvl w:val="0"/>
          <w:numId w:val="47"/>
        </w:numPr>
        <w:spacing w:before="120" w:after="120" w:line="240" w:lineRule="auto"/>
        <w:ind w:left="357" w:hanging="357"/>
        <w:jc w:val="both"/>
        <w:rPr>
          <w:rFonts w:ascii="Times New Roman" w:hAnsi="Times New Roman" w:cs="Times New Roman"/>
          <w:noProof/>
          <w:sz w:val="24"/>
        </w:rPr>
      </w:pPr>
      <w:r>
        <w:rPr>
          <w:rFonts w:ascii="Times New Roman" w:hAnsi="Times New Roman"/>
          <w:noProof/>
          <w:sz w:val="24"/>
          <w:szCs w:val="24"/>
        </w:rPr>
        <w:t>Investiții pentru îmbunătățirea siguranței barajelor și a rezervoarelor. Acestea sunt acțiuni menite să asigure siguranța barajelor mari existente deținute de stat prin punerea în aplicare a planurilor de urgență corespunzătoare și a altor acțiuni complementare. Acest lucru nu trebuie să conducă la construirea de noi baraje sau la extinderea barajelor existente.</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Investiția se finalizează până la 30 septembrie 2023.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Investiția 2 (C5.I2) - Monitorizarea și refacerea ecosistemelor râurilor, refacerea acviferului și atenuarea riscurilor de inundații</w:t>
      </w:r>
    </w:p>
    <w:p>
      <w:pPr>
        <w:spacing w:before="120" w:after="120" w:line="240" w:lineRule="auto"/>
        <w:jc w:val="both"/>
        <w:rPr>
          <w:rFonts w:ascii="Times New Roman" w:hAnsi="Times New Roman" w:cs="Times New Roman"/>
          <w:noProof/>
          <w:sz w:val="24"/>
        </w:rPr>
      </w:pPr>
      <w:r>
        <w:rPr>
          <w:rFonts w:ascii="Times New Roman" w:hAnsi="Times New Roman"/>
          <w:noProof/>
          <w:sz w:val="24"/>
        </w:rPr>
        <w:t>Obiectivele acestei investiții sunt:</w:t>
      </w:r>
    </w:p>
    <w:p>
      <w:pPr>
        <w:numPr>
          <w:ilvl w:val="0"/>
          <w:numId w:val="48"/>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Monitorizarea și refacerea ecosistemelor râurilor și a rezervelor naturale ale râurilor. Această linie cuprinde o serie de acțiuni concrete menite să restabilească spațiul fluvial, să extindă rețelele de monitorizare și să îmbunătățească inventarele presiunilor hidromorfologice care îl amenință.</w:t>
      </w:r>
    </w:p>
    <w:p>
      <w:pPr>
        <w:numPr>
          <w:ilvl w:val="0"/>
          <w:numId w:val="48"/>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Acțiuni de atenuare a riscului de inundații. Această linie de acțiuni include planurile existente de gestionare a riscurilor de inundații, inclusiv măsurile de prevenire pentru amenajarea teritoriului și urbanistică, elaborarea de orientări tehnice pentru a reduce vulnerabilitatea elementelor expuse din zonele inundabile și pentru a promova adaptarea la riscul de inundații în diferite sectoare economice. În plus, pe baza ghidurilor tehnice elaborate și a obiectivelor de planificare a apei, municipalitățile se ocupă de punerea în aplicare a măsurilor de restaurare a râurilor în mediul urban, de introducerea unor sisteme durabile de drenare, de îmbunătățirea permeabilității mediilor urbane și de legătura acestora cu valorile ecologice ale râurilor din zonele urbane.</w:t>
      </w:r>
    </w:p>
    <w:p>
      <w:pPr>
        <w:numPr>
          <w:ilvl w:val="0"/>
          <w:numId w:val="48"/>
        </w:numPr>
        <w:spacing w:before="120" w:after="120" w:line="240" w:lineRule="auto"/>
        <w:ind w:left="357" w:hanging="357"/>
        <w:jc w:val="both"/>
        <w:rPr>
          <w:rFonts w:ascii="Times New Roman" w:hAnsi="Times New Roman" w:cs="Times New Roman"/>
          <w:noProof/>
          <w:sz w:val="24"/>
        </w:rPr>
      </w:pPr>
      <w:r>
        <w:rPr>
          <w:rFonts w:ascii="Times New Roman" w:hAnsi="Times New Roman"/>
          <w:noProof/>
          <w:sz w:val="24"/>
          <w:szCs w:val="24"/>
        </w:rPr>
        <w:t xml:space="preserve">Măsuri de reducere a captării apelor subterane prin utilizarea unor resurse alternative (recuperarea acviferului). Aceste măsuri reduc captarea anumitor corpuri de apă subterană - în special cele care amenință zona </w:t>
      </w:r>
      <w:r>
        <w:rPr>
          <w:rFonts w:ascii="Times New Roman" w:hAnsi="Times New Roman"/>
          <w:i/>
          <w:noProof/>
          <w:sz w:val="24"/>
          <w:szCs w:val="24"/>
        </w:rPr>
        <w:t>Doñana</w:t>
      </w:r>
      <w:r>
        <w:rPr>
          <w:rFonts w:ascii="Times New Roman" w:hAnsi="Times New Roman"/>
          <w:noProof/>
          <w:sz w:val="24"/>
          <w:szCs w:val="24"/>
        </w:rPr>
        <w:t xml:space="preserve"> și anumite acvifere din sud-estul Spaniei - și extind rețelele de monitorizare piezometrică.</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Această investiție se finalizează până la 31 decembrie 2023.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Investiția 3 (C5.I3) - Tranziția digitală în sectorul apei (Aplicarea legislației digitale de mediu)</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Tranziția digitală poate juca un rol esențial în îmbunătățirea eficienței sectorului apei. Pentru a asigura digitalizarea gestionării apei, această investiție trebuie să aibă trei linii de acțiune:  </w:t>
      </w:r>
    </w:p>
    <w:p>
      <w:pPr>
        <w:numPr>
          <w:ilvl w:val="0"/>
          <w:numId w:val="49"/>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O mai bună cunoaștere și utilizare a resurselor de apă, ca urmare a unor acțiuni precum evoluția digitală a sistemelor de monitorizare a apei, consolidarea monitorizării și controlului domeniului public al apei și punerea în aplicare a unor sisteme eficace de prognoză și alertă pentru a reduce efectele negative ale inundațiilor. </w:t>
      </w:r>
    </w:p>
    <w:p>
      <w:pPr>
        <w:numPr>
          <w:ilvl w:val="0"/>
          <w:numId w:val="49"/>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Acțiuni de monitorizare a precipitațiilor în bazinele hidrografice și în zonele de coastă. Această linie de acțiune promovează reînnoirea rețelei de radare meteorologice și completarea acesteia cu noi instalații de bandă scurtă, cum ar fi reînnoirea și îmbunătățirea stațiilor meteorologice automate pentru etalonarea în timp real a radarelor și proiectarea, dezvoltarea și implementarea unui centru radar național. </w:t>
      </w:r>
    </w:p>
    <w:p>
      <w:pPr>
        <w:numPr>
          <w:ilvl w:val="0"/>
          <w:numId w:val="49"/>
        </w:numPr>
        <w:spacing w:before="120" w:after="120" w:line="240" w:lineRule="auto"/>
        <w:ind w:left="357" w:hanging="357"/>
        <w:jc w:val="both"/>
        <w:rPr>
          <w:rFonts w:ascii="Times New Roman" w:hAnsi="Times New Roman" w:cs="Times New Roman"/>
          <w:noProof/>
          <w:sz w:val="24"/>
          <w:szCs w:val="24"/>
        </w:rPr>
      </w:pPr>
      <w:r>
        <w:rPr>
          <w:rFonts w:ascii="Times New Roman" w:hAnsi="Times New Roman"/>
          <w:noProof/>
          <w:sz w:val="24"/>
          <w:szCs w:val="24"/>
        </w:rPr>
        <w:t xml:space="preserve">Îmbunătățirea observării meteorologice și a monitorizării și prevenirii riscurilor climatice, aceasta include un nou sistem integrat de ajutor meteorologic, instrumente de observare meteorologică pentru avertizare timpurie, inclusiv punerea în aplicare a sistemului integrat de observare globală, stabilirea externalizării, controlul automat al calității și etichetarea datelor meteorologice prin utilizarea tehnicilor de inteligență artificială, adâncimea datelor NoSQL pentru punerea în aplicare eficace a datelor bazate pe prelucrarea unor volume mari de date. </w:t>
      </w:r>
    </w:p>
    <w:p>
      <w:pPr>
        <w:spacing w:before="120" w:after="120" w:line="240" w:lineRule="auto"/>
        <w:jc w:val="both"/>
        <w:rPr>
          <w:rFonts w:ascii="Times New Roman" w:hAnsi="Times New Roman" w:cs="Times New Roman"/>
          <w:noProof/>
          <w:sz w:val="24"/>
        </w:rPr>
      </w:pPr>
      <w:r>
        <w:rPr>
          <w:rFonts w:ascii="Times New Roman" w:hAnsi="Times New Roman"/>
          <w:noProof/>
          <w:sz w:val="24"/>
        </w:rPr>
        <w:t>Investiția vizează punerea în funcțiune a 26 de instrumente sau infrastructuri reînnoite pentru a îmbunătăți cunoștințele și utilizarea resurselor de apă și pentru a monitoriza precipitațiile și alte date meteorologice pentru a preveni riscurile climatice.</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Investiția se finalizează până la duminică, 31 decembrie 2023. </w:t>
      </w:r>
    </w:p>
    <w:p>
      <w:pPr>
        <w:keepNext/>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Investiția 4 (C5.I4) - Adaptarea liniei de coastă la schimbările climatice și punerea în aplicare a strategiilor marine și a planurilor de amenajare a spațiului maritim</w:t>
      </w:r>
    </w:p>
    <w:p>
      <w:pPr>
        <w:keepNext/>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Schimbările climatice au și se preconizează că vor avea efecte negative puternice asupra coastei spaniole. Această investiție pune în aplicare Strategia de adaptare a zonei de coastă la efectele schimbărilor climatice, cu scopul de a spori reziliența coastei spaniole la schimbările climatice și la variabilitatea climatică și de a integra adaptarea la schimbările climatice în planificarea și gestionarea coastelor spaniole. Aceasta include crearea de escorte, plaje artificiale, suprafețe plutitoare, gestionarea sedimentelor, soluții bazate pe natură, restaurarea sistemului de plajă și dune, infrastructura de protecție costieră, implementarea de rețele inteligente pentru monitorizarea la distanță a eroziunii costiere sau acțiuni cu efecte similare.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Aceste investiții protejează și refac ecosistemele costiere sau zonele degradate. Acest lucru se realizează prin diferite acțiuni, cum ar fi: (i) relocarea instalațiilor afectate de regrese; (ii) delimitarea domeniului maritim terestru deținut de stat; (iii) recuperarea terenurilor maritime de stat ocupate în mod necorespunzător sau necorespunzător; (iv) evaluarea și gestionarea riscurilor sau acțiuni similare; (v) refacerea ecologică a zonelor costiere degradate și a ecosistemelor, conservarea și gestionarea litoralului; și (vi) acțiuni cu efecte similare.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Măsura îmbunătățește, de asemenea, accesibilitatea ordonată și corectă a domeniului maritim public terestru prin recuperarea terenurilor pentru a oferi acces la domeniul public, planificarea, gestionarea și restabilirea accesului sau prin acțiuni cu efect similar. Investiția vizează punerea în aplicare a politicilor strategice de planificare marină. Acest lucru este pus în aplicare prin amenajarea spațiului maritim, strategiile marine, avizele științifice privind oceanele și clima și prin dezvoltarea unei aplicații web georeferențiate pentru utilizatorii mării.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Această investiție se finalizează până la 31 decembrie 2023. </w:t>
      </w:r>
    </w:p>
    <w:p>
      <w:pPr>
        <w:spacing w:before="120" w:after="120" w:line="240" w:lineRule="auto"/>
        <w:ind w:left="720"/>
        <w:jc w:val="both"/>
        <w:rPr>
          <w:rFonts w:ascii="Times New Roman" w:hAnsi="Times New Roman" w:cs="Times New Roman"/>
          <w:b/>
          <w:bCs/>
          <w:noProof/>
          <w:sz w:val="24"/>
          <w:u w:val="single"/>
        </w:rPr>
      </w:pPr>
      <w:r>
        <w:rPr>
          <w:rFonts w:ascii="Times New Roman" w:hAnsi="Times New Roman"/>
          <w:b/>
          <w:bCs/>
          <w:noProof/>
          <w:sz w:val="24"/>
          <w:u w:val="single"/>
        </w:rPr>
        <w:t xml:space="preserve">E.2. </w:t>
      </w:r>
      <w:r>
        <w:rPr>
          <w:rFonts w:ascii="Times New Roman" w:hAnsi="Times New Roman"/>
          <w:b/>
          <w:noProof/>
          <w:sz w:val="24"/>
          <w:u w:val="single"/>
        </w:rPr>
        <w:tab/>
      </w:r>
      <w:r>
        <w:rPr>
          <w:rFonts w:ascii="Times New Roman" w:hAnsi="Times New Roman"/>
          <w:b/>
          <w:bCs/>
          <w:noProof/>
          <w:sz w:val="24"/>
          <w:u w:val="single"/>
        </w:rPr>
        <w:t>Jaloane, ținte, indicatori și calendarul de monitorizare și implementare aplicabile sprijinului financiar nerambursabil</w:t>
      </w:r>
    </w:p>
    <w:p>
      <w:pPr>
        <w:spacing w:before="120" w:after="120" w:line="240" w:lineRule="auto"/>
        <w:jc w:val="both"/>
        <w:rPr>
          <w:rFonts w:ascii="Times New Roman" w:hAnsi="Times New Roman" w:cs="Times New Roman"/>
          <w:noProof/>
          <w:sz w:val="24"/>
        </w:rPr>
      </w:pPr>
      <w:r>
        <w:rPr>
          <w:rFonts w:ascii="Times New Roman" w:hAnsi="Times New Roman"/>
          <w:i/>
          <w:iCs/>
          <w:noProof/>
          <w:color w:val="000000"/>
          <w:sz w:val="24"/>
        </w:rPr>
        <w:t>Tabelul de mai jos.</w:t>
      </w:r>
      <w:r>
        <w:rPr>
          <w:rFonts w:ascii="Times New Roman" w:hAnsi="Times New Roman"/>
          <w:noProof/>
          <w:color w:val="1F497D"/>
          <w:sz w:val="24"/>
        </w:rPr>
        <w:t xml:space="preserve"> </w:t>
      </w:r>
      <w:r>
        <w:rPr>
          <w:rFonts w:ascii="Times New Roman" w:hAnsi="Times New Roman"/>
          <w:i/>
          <w:iCs/>
          <w:noProof/>
          <w:color w:val="000000"/>
          <w:sz w:val="24"/>
        </w:rPr>
        <w:t>Data de referință pentru toți indicatorii este 1 februarie 2020, cu excepția cazului în care se indică altfel în descrierea acțiunii. Sumele din tabel nu includ TVA.</w:t>
      </w:r>
    </w:p>
    <w:p>
      <w:pPr>
        <w:spacing w:before="120" w:after="120" w:line="240" w:lineRule="auto"/>
        <w:ind w:left="709"/>
        <w:jc w:val="both"/>
        <w:rPr>
          <w:rFonts w:ascii="Times New Roman" w:hAnsi="Times New Roman" w:cs="Times New Roman"/>
          <w:noProof/>
          <w:sz w:val="24"/>
          <w:lang w:val="en-IE"/>
        </w:rPr>
        <w:sectPr>
          <w:headerReference w:type="even" r:id="rId67"/>
          <w:headerReference w:type="default" r:id="rId68"/>
          <w:footerReference w:type="even" r:id="rId69"/>
          <w:footerReference w:type="default" r:id="rId70"/>
          <w:headerReference w:type="first" r:id="rId71"/>
          <w:footerReference w:type="first" r:id="rId72"/>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2835"/>
        <w:gridCol w:w="993"/>
        <w:gridCol w:w="850"/>
        <w:gridCol w:w="425"/>
        <w:gridCol w:w="709"/>
        <w:gridCol w:w="425"/>
        <w:gridCol w:w="567"/>
        <w:gridCol w:w="6096"/>
      </w:tblGrid>
      <w:tr>
        <w:trPr>
          <w:trHeight w:val="309"/>
          <w:tblHeader/>
        </w:trPr>
        <w:tc>
          <w:tcPr>
            <w:tcW w:w="70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sz w:val="18"/>
                <w:szCs w:val="18"/>
              </w:rPr>
              <w:t>Număr</w:t>
            </w:r>
          </w:p>
        </w:tc>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Măsură</w:t>
            </w:r>
          </w:p>
        </w:tc>
        <w:tc>
          <w:tcPr>
            <w:tcW w:w="85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Jalon</w:t>
            </w:r>
            <w:r>
              <w:rPr>
                <w:rFonts w:ascii="Times New Roman" w:hAnsi="Times New Roman"/>
                <w:b/>
                <w:noProof/>
                <w:color w:val="000000"/>
                <w:sz w:val="18"/>
                <w:szCs w:val="18"/>
              </w:rPr>
              <w:br/>
            </w:r>
            <w:r>
              <w:rPr>
                <w:rFonts w:ascii="Times New Roman" w:hAnsi="Times New Roman"/>
                <w:b/>
                <w:bCs/>
                <w:noProof/>
                <w:color w:val="000000"/>
                <w:sz w:val="18"/>
                <w:szCs w:val="18"/>
              </w:rPr>
              <w:t xml:space="preserve"> /Țintă</w:t>
            </w:r>
          </w:p>
        </w:tc>
        <w:tc>
          <w:tcPr>
            <w:tcW w:w="2835"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Denumire</w:t>
            </w:r>
          </w:p>
        </w:tc>
        <w:tc>
          <w:tcPr>
            <w:tcW w:w="993"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Indicator calitativ pentru obiectivele de etapă</w:t>
            </w:r>
          </w:p>
        </w:tc>
        <w:tc>
          <w:tcPr>
            <w:tcW w:w="1984" w:type="dxa"/>
            <w:gridSpan w:val="3"/>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Indicator cantitativ pentru obiectiv</w:t>
            </w:r>
          </w:p>
        </w:tc>
        <w:tc>
          <w:tcPr>
            <w:tcW w:w="992" w:type="dxa"/>
            <w:gridSpan w:val="2"/>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Timp</w:t>
            </w:r>
          </w:p>
        </w:tc>
        <w:tc>
          <w:tcPr>
            <w:tcW w:w="6096"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sz w:val="18"/>
                <w:szCs w:val="18"/>
              </w:rPr>
              <w:t>Descrierea fiecărui jalon și a fiecărei ținte</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2835"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993"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Unitate</w:t>
            </w:r>
          </w:p>
        </w:tc>
        <w:tc>
          <w:tcPr>
            <w:tcW w:w="425"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Scenariu de bază</w:t>
            </w:r>
          </w:p>
        </w:tc>
        <w:tc>
          <w:tcPr>
            <w:tcW w:w="709"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Obiectiv</w:t>
            </w:r>
          </w:p>
        </w:tc>
        <w:tc>
          <w:tcPr>
            <w:tcW w:w="425"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Q</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An</w:t>
            </w:r>
          </w:p>
        </w:tc>
        <w:tc>
          <w:tcPr>
            <w:tcW w:w="6096"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lang w:val="en-IE"/>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74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C5.R1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835"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Intrarea în vigoare a modificărilor aduse Regulamentului privind planificarea hidrologică </w:t>
            </w:r>
          </w:p>
        </w:tc>
        <w:tc>
          <w:tcPr>
            <w:tcW w:w="993"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Dispoziția decretului regal privind intrarea în vigoare</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Decretul regal de modificare a Regulamentului privind planificarea hidrologică (Jurnalul Oficial). Modificările vizează aspecte legate de secetă și deficitul de apă, cerințele de punere în aplicare a Directivei-cadru privind apa și standardele relevante din cadrul Strategiei comune pentru punerea în aplicare a directivelor privind apa. </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75</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C5.R1</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835"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Intrarea în vigoare a modificării Legii apei și a noului regulament de înlocuire a Decretului regal 1620/2007</w:t>
            </w:r>
          </w:p>
        </w:tc>
        <w:tc>
          <w:tcPr>
            <w:tcW w:w="99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xml:space="preserve">Dispoziția Legii apei privind intrarea în vigoare </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609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Modificarea Legii apei pentru a include o revizuire a taxelor pentru deversările de ape reziduale și sistemul de recuperare a costurilor infrastructurii de apă în conformitate cu principiile „poluatorul plătește” și „recuperarea costurilor”. Noul regulament de înlocuire a Decretului regal 1620/2007 modifică cadrul de reglementare și financiar pentru reutilizarea apelor reziduale în conformitate cu principiile „poluatorul plătește” și „recuperarea costurilor”, îmbunătățind monitorizarea și protecția corpurilor de apă, inclusiv a apelor subterane, și abordează secetele și aspectele legate de deficit. </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76</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C5.I1</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2835"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Îmbunătățirea infrastructurilor de tratare a apei și a apelor reziduale </w:t>
            </w:r>
          </w:p>
        </w:tc>
        <w:tc>
          <w:tcPr>
            <w:tcW w:w="993" w:type="dxa"/>
            <w:shd w:val="clear" w:color="auto" w:fill="C6EFCE"/>
            <w:noWrap/>
          </w:tcPr>
          <w:p>
            <w:pPr>
              <w:spacing w:after="0" w:line="240" w:lineRule="auto"/>
              <w:jc w:val="center"/>
              <w:rPr>
                <w:rFonts w:ascii="Times New Roman" w:hAnsi="Times New Roman" w:cs="Times New Roman"/>
                <w:noProof/>
                <w:color w:val="000000"/>
                <w:sz w:val="18"/>
                <w:szCs w:val="18"/>
              </w:rPr>
            </w:pP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Număr</w:t>
            </w:r>
          </w:p>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(populația)</w:t>
            </w:r>
          </w:p>
        </w:tc>
        <w:tc>
          <w:tcPr>
            <w:tcW w:w="425"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175 000</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609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Punerea în funcțiune a infrastructurilor de tratare a apei și a apelor reziduale care furnizează servicii pentru cel puțin 175 000 echivalenți ai populației, cu scopul de a asigura conformitatea cu Directiva 91/271/CEE și de a îndeplini criteriile de eficiență energetică sau de a îmbunătăți eficiența și/sau de a reduce pierderile de apă în sistemele de distribuție a apei.</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77</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C5.I2</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835"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Refacerea protecției malurilor râurilor împotriva riscurilor de inundații</w:t>
            </w:r>
          </w:p>
        </w:tc>
        <w:tc>
          <w:tcPr>
            <w:tcW w:w="99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Certificate semnate de MITERD</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2022</w:t>
            </w:r>
          </w:p>
        </w:tc>
        <w:tc>
          <w:tcPr>
            <w:tcW w:w="609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Refacerea a cel puțin 200 km de maluri și protejarea a cel puțin 40 000 de locuitori împotriva riscurilor de inundații.</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78</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C5.I2</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2835"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Reducerea volumului de apă extrasă din acvifere </w:t>
            </w:r>
          </w:p>
        </w:tc>
        <w:tc>
          <w:tcPr>
            <w:tcW w:w="993" w:type="dxa"/>
            <w:shd w:val="clear" w:color="auto" w:fill="C6EFCE"/>
            <w:noWrap/>
          </w:tcPr>
          <w:p>
            <w:pPr>
              <w:spacing w:after="0" w:line="240" w:lineRule="auto"/>
              <w:jc w:val="center"/>
              <w:rPr>
                <w:rFonts w:ascii="Times New Roman" w:hAnsi="Times New Roman" w:cs="Times New Roman"/>
                <w:noProof/>
                <w:color w:val="000000"/>
                <w:sz w:val="18"/>
                <w:szCs w:val="18"/>
              </w:rPr>
            </w:pP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Număr</w:t>
            </w:r>
          </w:p>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(hm</w:t>
            </w:r>
            <w:r>
              <w:rPr>
                <w:rFonts w:ascii="Times New Roman" w:hAnsi="Times New Roman"/>
                <w:noProof/>
                <w:color w:val="000000"/>
                <w:sz w:val="18"/>
                <w:szCs w:val="18"/>
                <w:vertAlign w:val="superscript"/>
              </w:rPr>
              <w:t>3</w:t>
            </w:r>
            <w:r>
              <w:rPr>
                <w:rFonts w:ascii="Times New Roman" w:hAnsi="Times New Roman"/>
                <w:noProof/>
                <w:color w:val="000000"/>
                <w:sz w:val="18"/>
                <w:szCs w:val="18"/>
              </w:rPr>
              <w:t>/an)</w:t>
            </w:r>
          </w:p>
        </w:tc>
        <w:tc>
          <w:tcPr>
            <w:tcW w:w="425"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510</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470</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609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Reducerea volumului anual de apă extrasă din acvifere situate în Doñana, Segura-Mar Menor, Mancha Oriental și Regulile de la 510 hm3/an la 470 hm3/an.</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79</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C5.I3</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835"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Punerea în funcțiune a instrumentelor de îmbunătățire a cunoștințelor și a utilizării resurselor de apă și de monitorizare a precipitațiilor și a altor date meteorologice </w:t>
            </w:r>
          </w:p>
        </w:tc>
        <w:tc>
          <w:tcPr>
            <w:tcW w:w="99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Certificarea cheltuielilor</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609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Punerea în funcțiune a 26 de instrumente sau infrastructuri reînnoite pentru a îmbunătăți cunoștințele și utilizarea resurselor de apă și pentru a monitoriza precipitațiile și alte date meteorologice pentru a preveni riscurile climatice. Acțiunile se referă în principal la proiectarea și punerea în aplicare a registrului electronic al apelor, la gestionarea datelor hidrologice și a calității apei, la digitalizarea prelucrării dosarelor și la modernizarea rețelei de supraveghere meteorologică aeronautică.</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80</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C5.I4</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2835"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Refacerea zonelor degradate și a ecosistemelor pe o distanță de cel puțin 50 km de coastă </w:t>
            </w:r>
          </w:p>
        </w:tc>
        <w:tc>
          <w:tcPr>
            <w:tcW w:w="993" w:type="dxa"/>
            <w:shd w:val="clear" w:color="auto" w:fill="C6EFCE"/>
            <w:noWrap/>
          </w:tcPr>
          <w:p>
            <w:pPr>
              <w:spacing w:after="0" w:line="240" w:lineRule="auto"/>
              <w:jc w:val="center"/>
              <w:rPr>
                <w:rFonts w:ascii="Times New Roman" w:hAnsi="Times New Roman" w:cs="Times New Roman"/>
                <w:noProof/>
                <w:color w:val="000000"/>
                <w:sz w:val="18"/>
                <w:szCs w:val="18"/>
              </w:rPr>
            </w:pP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Număr (kilometri)</w:t>
            </w:r>
          </w:p>
        </w:tc>
        <w:tc>
          <w:tcPr>
            <w:tcW w:w="425"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50</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2022</w:t>
            </w:r>
          </w:p>
        </w:tc>
        <w:tc>
          <w:tcPr>
            <w:tcW w:w="609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Finalizarea a cel puțin 50 de kilometri de coastă în ceea ce privește refacerea zonelor degradate și a ecosistemelor, protecția și creșterea accesibilității zonelor costiere, atenuarea eroziunii, o mai bună cunoaștere și creșterea rezilienței zonelor costiere și adaptarea la efectele schimbărilor climatice, monitorizarea de la distanță și punerea în aplicare a politicilor strategice de planificare marină. Acțiunile iau în considerare oricare dintre următoarele:</w:t>
            </w:r>
            <w:r>
              <w:rPr>
                <w:rFonts w:ascii="Times New Roman" w:hAnsi="Times New Roman"/>
                <w:noProof/>
                <w:color w:val="000000"/>
                <w:sz w:val="18"/>
                <w:szCs w:val="18"/>
              </w:rPr>
              <w:br/>
              <w:t>Creșterea rezistenței coastei spaniole la efectele negative ale schimbărilor climatice prin combaterea eroziunii și consolidarea litoralului. Aceasta ia în considerare crearea de escorte, plaje artificiale, suprafețe plutitoare, gestionarea sedimentelor, soluții bazate pe natură, restaurarea sistemului de plajă și dune, infrastructura de protecție costieră, implementarea de rețele inteligente pentru monitorizarea eroziunii costiere sau acțiuni cu efecte similare.</w:t>
            </w:r>
            <w:r>
              <w:rPr>
                <w:rFonts w:ascii="Times New Roman" w:hAnsi="Times New Roman"/>
                <w:noProof/>
                <w:color w:val="000000"/>
                <w:sz w:val="18"/>
                <w:szCs w:val="18"/>
              </w:rPr>
              <w:br/>
              <w:t>Protejarea și refacerea ecosistemelor costiere sau a zonelor degradate. Acest lucru se realizează prin (a) relocarea instalațiilor afectate de regrese; (b) delimitarea domeniului maritim terestru deținut de stat; (c) recuperarea terenurilor maritime de stat ocupate în mod necorespunzător sau necorespunzător; (d) evaluarea și gestionarea riscurilor sau acțiuni similare; (e) refacerea ecologică a zonelor costiere degradate și a ecosistemelor; (f) conservarea și gestionarea litoralului; și (g) acțiuni cu efecte similare.</w:t>
            </w:r>
            <w:r>
              <w:rPr>
                <w:rFonts w:ascii="Times New Roman" w:hAnsi="Times New Roman"/>
                <w:noProof/>
                <w:color w:val="000000"/>
                <w:sz w:val="18"/>
                <w:szCs w:val="18"/>
              </w:rPr>
              <w:br/>
              <w:t>Îmbunătățirea accesului ordonat și corect la domeniul maritim public terestru. Acest lucru se realizează prin recuperarea terenurilor pentru a asigura accesul la domeniul public, planificarea, gestionarea și refacerea accesului sau prin acțiuni cu efecte similare.</w:t>
            </w:r>
            <w:r>
              <w:rPr>
                <w:rFonts w:ascii="Times New Roman" w:hAnsi="Times New Roman"/>
                <w:noProof/>
                <w:color w:val="000000"/>
                <w:sz w:val="18"/>
                <w:szCs w:val="18"/>
              </w:rPr>
              <w:br/>
              <w:t>Punerea în aplicare a politicilor strategice de planificare marină. Acest lucru se realizează prin punerea în aplicare a amenajării spațiului maritim, a strategiilor marine, a avizelor științifice privind oceanele, clima și zonele de coastă, precum și prin dezvoltarea unei aplicații web georeferențiate pentru utilizatorii mării.</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81</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C5.I4</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2835"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Refacerea zonelor degradate și a ecosistemelor pe o distanță de cel puțin 100 km de coastă</w:t>
            </w:r>
          </w:p>
        </w:tc>
        <w:tc>
          <w:tcPr>
            <w:tcW w:w="993" w:type="dxa"/>
            <w:shd w:val="clear" w:color="auto" w:fill="C6EFCE"/>
            <w:noWrap/>
          </w:tcPr>
          <w:p>
            <w:pPr>
              <w:spacing w:after="0" w:line="240" w:lineRule="auto"/>
              <w:jc w:val="center"/>
              <w:rPr>
                <w:rFonts w:ascii="Times New Roman" w:hAnsi="Times New Roman" w:cs="Times New Roman"/>
                <w:noProof/>
                <w:color w:val="000000"/>
                <w:sz w:val="18"/>
                <w:szCs w:val="18"/>
              </w:rPr>
            </w:pP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Număr (kilometri)</w:t>
            </w:r>
          </w:p>
        </w:tc>
        <w:tc>
          <w:tcPr>
            <w:tcW w:w="425"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50</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100</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609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Finalizarea lucrărilor pe o rază de cel puțin 100 km de coastă în vederea refacerii zonelor și ecosistemelor degradate, a protecției și a creșterii accesibilității zonelor costiere, a atenuării eroziunii, a unei mai bune cunoașteri și a creșterii rezistenței zonelor costiere și a adaptării la efectele schimbărilor climatice, a monitorizării la distanță și a punerii în aplicare a politicilor strategice de planificare marină. Lucrările includ oricare dintre următoarele:</w:t>
            </w:r>
            <w:r>
              <w:rPr>
                <w:rFonts w:ascii="Times New Roman" w:hAnsi="Times New Roman"/>
                <w:noProof/>
                <w:color w:val="000000"/>
                <w:sz w:val="18"/>
                <w:szCs w:val="18"/>
              </w:rPr>
              <w:br/>
              <w:t>Creșterea rezistenței coastei spaniole la efectele negative ale schimbărilor climatice prin combaterea eroziunii și consolidarea litoralului. Aceasta ia în considerare crearea de escorte, plaje artificiale, suprafețe plutitoare, gestionarea sedimentelor, soluții bazate pe natură, restaurarea sistemului de plajă și dune, infrastructura de protecție costieră, implementarea de rețele inteligente pentru monitorizarea eroziunii costiere sau acțiuni cu efecte similare.</w:t>
            </w:r>
            <w:r>
              <w:rPr>
                <w:rFonts w:ascii="Times New Roman" w:hAnsi="Times New Roman"/>
                <w:noProof/>
                <w:color w:val="000000"/>
                <w:sz w:val="18"/>
                <w:szCs w:val="18"/>
              </w:rPr>
              <w:br/>
              <w:t>Protejarea și refacerea ecosistemelor costiere sau a zonelor degradate. Acest lucru se realizează prin (a) relocarea instalațiilor afectate de regrese; (b) delimitarea domeniului maritim terestru deținut de stat; (c) recuperarea terenurilor maritime de stat ocupate în mod necorespunzător sau necorespunzător; (d) evaluarea și gestionarea riscurilor sau acțiuni similare; (e) refacerea ecologică a zonelor costiere degradate și a ecosistemelor; (f) conservarea și gestionarea litoralului; și (g) acțiuni cu efecte similare.</w:t>
            </w:r>
            <w:r>
              <w:rPr>
                <w:rFonts w:ascii="Times New Roman" w:hAnsi="Times New Roman"/>
                <w:noProof/>
                <w:color w:val="000000"/>
                <w:sz w:val="18"/>
                <w:szCs w:val="18"/>
              </w:rPr>
              <w:br/>
              <w:t>Îmbunătățirea accesului ordonat și corect la domeniul maritim public terestru. Acest lucru se realizează prin recuperarea terenurilor pentru a asigura accesul la domeniul public, planificarea, gestionarea și refacerea accesului sau prin acțiuni cu efect similar.</w:t>
            </w:r>
            <w:r>
              <w:rPr>
                <w:rFonts w:ascii="Times New Roman" w:hAnsi="Times New Roman"/>
                <w:noProof/>
                <w:color w:val="000000"/>
                <w:sz w:val="18"/>
                <w:szCs w:val="18"/>
              </w:rPr>
              <w:br/>
              <w:t>Punerea în aplicare a politicilor strategice de planificare marină. Acest lucru se realizează prin punerea în aplicare a amenajării spațiului maritim, a strategiilor marine, a avizelor științifice privind oceanele, clima și zonele de coastă, precum și prin dezvoltarea unei aplicații web georeferențiate pentru utilizatorii mării. Valoare de referință 31 decembrie 2022.)</w:t>
            </w:r>
          </w:p>
        </w:tc>
      </w:tr>
    </w:tbl>
    <w:p>
      <w:pPr>
        <w:spacing w:before="120" w:after="120" w:line="240" w:lineRule="auto"/>
        <w:jc w:val="both"/>
        <w:rPr>
          <w:rFonts w:ascii="Times New Roman" w:hAnsi="Times New Roman" w:cs="Times New Roman"/>
          <w:noProof/>
          <w:sz w:val="24"/>
          <w:szCs w:val="24"/>
          <w:lang w:val="en-IE"/>
        </w:rPr>
        <w:sectPr>
          <w:headerReference w:type="even" r:id="rId73"/>
          <w:headerReference w:type="default" r:id="rId74"/>
          <w:footerReference w:type="even" r:id="rId75"/>
          <w:footerReference w:type="default" r:id="rId76"/>
          <w:headerReference w:type="first" r:id="rId77"/>
          <w:footerReference w:type="first" r:id="rId78"/>
          <w:pgSz w:w="16839" w:h="11907" w:orient="landscape"/>
          <w:pgMar w:top="1417" w:right="1134" w:bottom="1417" w:left="1134" w:header="709" w:footer="709" w:gutter="0"/>
          <w:cols w:space="720"/>
          <w:docGrid w:linePitch="360"/>
        </w:sectPr>
      </w:pPr>
    </w:p>
    <w:p>
      <w:pPr>
        <w:pStyle w:val="Heading1"/>
        <w:rPr>
          <w:noProof/>
        </w:rPr>
      </w:pPr>
      <w:r>
        <w:rPr>
          <w:noProof/>
        </w:rPr>
        <w:t>F COMPONENTA 06: Mobilitate durabilă (pe distanțe lungi)</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Această componentă a planului spaniol de redresare și reziliență abordează următoarele provocări: 1) tranziția către moduri de transport mai durabile; 2) reducerea emisiilor din sectorul transporturilor; 3) să facă sectorul transporturilor mai sigur, mai accesibil, mai durabil și mai favorabil incluziunii.</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Obiectivele componentei sunt: Obiectivele componentei sunt dezvoltarea rețelei feroviare spaniole (în special coridoarele centrale TEN-T și rețeaua TEN-T non-centrală); crearea unei rețele de transport mai interoperabile (feroviar, rutier, portuar), cu scopul de a reduce amprenta de carbon a acesteia; îmbunătățirea conexiunilor transfrontaliere cu Franța și Portugalia; modernizarea sectorului transporturilor prin adoptarea tehnologiilor digitale avansate.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Această componentă abordează recomandările specifice fiecărei țări privind promovarea investițiilor în eficiența energetică și utilizarea resurselor și privind promovarea infrastructurii de transport feroviar de marfă (recomandarea specifică țării 3 din 2019) și privind investițiile în tranziția verde și digitală și transportul durabil (recomandarea specifică țării 3 din 2020).</w:t>
      </w:r>
    </w:p>
    <w:p>
      <w:pPr>
        <w:spacing w:line="240" w:lineRule="auto"/>
        <w:jc w:val="both"/>
        <w:rPr>
          <w:rFonts w:ascii="Times New Roman" w:hAnsi="Times New Roman" w:cs="Times New Roman"/>
          <w:noProof/>
          <w:sz w:val="24"/>
          <w:szCs w:val="24"/>
        </w:rPr>
      </w:pPr>
      <w:r>
        <w:rPr>
          <w:rFonts w:ascii="Times New Roman" w:hAnsi="Times New Roman"/>
          <w:noProof/>
          <w:color w:val="000000" w:themeColor="text1"/>
          <w:sz w:val="24"/>
          <w:szCs w:val="24"/>
        </w:rPr>
        <w:t>Se preconizează că nicio măsură din cadrul acestei componente nu aduce prejudicii semnificative obiectivelor de mediu în sensul articolului 17 din Regulamentul (UE) 2020/852, ținând seama de descrierea măsurilor și a măsurilor de atenuare stabilite în planul de redresare și reziliență în conformitate cu Orientările tehnice DNSH (2021/C58/01).</w:t>
      </w:r>
    </w:p>
    <w:p>
      <w:pPr>
        <w:spacing w:before="120" w:after="120" w:line="240" w:lineRule="auto"/>
        <w:ind w:left="709"/>
        <w:jc w:val="both"/>
        <w:rPr>
          <w:rFonts w:ascii="Times New Roman" w:hAnsi="Times New Roman" w:cs="Times New Roman"/>
          <w:b/>
          <w:i/>
          <w:noProof/>
          <w:color w:val="4F81BD" w:themeColor="accent1"/>
          <w:sz w:val="24"/>
        </w:rPr>
      </w:pPr>
      <w:r>
        <w:rPr>
          <w:rFonts w:ascii="Times New Roman" w:hAnsi="Times New Roman"/>
          <w:b/>
          <w:bCs/>
          <w:noProof/>
          <w:sz w:val="24"/>
          <w:u w:val="single"/>
        </w:rPr>
        <w:t xml:space="preserve">F.1. </w:t>
      </w:r>
      <w:r>
        <w:rPr>
          <w:rFonts w:ascii="Times New Roman" w:hAnsi="Times New Roman"/>
          <w:b/>
          <w:noProof/>
          <w:sz w:val="24"/>
          <w:u w:val="single"/>
        </w:rPr>
        <w:tab/>
      </w:r>
      <w:r>
        <w:rPr>
          <w:rFonts w:ascii="Times New Roman" w:hAnsi="Times New Roman"/>
          <w:b/>
          <w:bCs/>
          <w:noProof/>
          <w:sz w:val="24"/>
          <w:u w:val="single"/>
        </w:rPr>
        <w:t>Descrierea reformelor și a investițiilor pentru care se prevede acordarea sprijinului financiar nerambursabil</w:t>
      </w:r>
    </w:p>
    <w:p>
      <w:pPr>
        <w:spacing w:line="240" w:lineRule="auto"/>
        <w:jc w:val="both"/>
        <w:rPr>
          <w:rFonts w:ascii="Times New Roman" w:hAnsi="Times New Roman" w:cs="Times New Roman"/>
          <w:noProof/>
          <w:sz w:val="24"/>
          <w:u w:val="single"/>
        </w:rPr>
      </w:pPr>
      <w:r>
        <w:rPr>
          <w:rFonts w:ascii="Times New Roman" w:hAnsi="Times New Roman"/>
          <w:noProof/>
          <w:sz w:val="24"/>
          <w:u w:val="single"/>
        </w:rPr>
        <w:t>Reforma 1 (C6.R1) - Strategia pentru o mobilitate sigură, durabilă și conectată</w:t>
      </w:r>
    </w:p>
    <w:p>
      <w:pPr>
        <w:spacing w:line="240" w:lineRule="auto"/>
        <w:jc w:val="both"/>
        <w:rPr>
          <w:rFonts w:ascii="Times New Roman" w:hAnsi="Times New Roman" w:cs="Times New Roman"/>
          <w:noProof/>
          <w:sz w:val="24"/>
          <w:szCs w:val="24"/>
        </w:rPr>
      </w:pPr>
      <w:r>
        <w:rPr>
          <w:rFonts w:ascii="Times New Roman" w:hAnsi="Times New Roman"/>
          <w:noProof/>
          <w:sz w:val="24"/>
        </w:rPr>
        <w:t>Obiectivele măsurii sunt:</w:t>
      </w:r>
      <w:r>
        <w:rPr>
          <w:rFonts w:ascii="Times New Roman" w:hAnsi="Times New Roman"/>
          <w:noProof/>
          <w:sz w:val="24"/>
          <w:szCs w:val="24"/>
        </w:rPr>
        <w:t xml:space="preserve"> </w:t>
      </w:r>
    </w:p>
    <w:p>
      <w:pPr>
        <w:pStyle w:val="ListParagraph"/>
        <w:numPr>
          <w:ilvl w:val="0"/>
          <w:numId w:val="127"/>
        </w:num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Să sporească securitatea rețelei de mobilitate, asigurând o mai bună protecție a persoanelor și a mărfurilor, îmbunătățind standardele și reducând accidentele. </w:t>
      </w:r>
    </w:p>
    <w:p>
      <w:pPr>
        <w:pStyle w:val="ListParagraph"/>
        <w:numPr>
          <w:ilvl w:val="0"/>
          <w:numId w:val="127"/>
        </w:num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Creșterea sustenabilității, acordând prioritate mobilității zilnice, echității economice și sociale, eficienței energetice și luptei împotriva schimbărilor climatice. </w:t>
      </w:r>
    </w:p>
    <w:p>
      <w:pPr>
        <w:pStyle w:val="ListParagraph"/>
        <w:numPr>
          <w:ilvl w:val="0"/>
          <w:numId w:val="127"/>
        </w:numPr>
        <w:spacing w:line="240" w:lineRule="auto"/>
        <w:jc w:val="both"/>
        <w:rPr>
          <w:rFonts w:ascii="Times New Roman" w:hAnsi="Times New Roman" w:cs="Times New Roman"/>
          <w:noProof/>
          <w:sz w:val="24"/>
          <w:szCs w:val="24"/>
        </w:rPr>
      </w:pPr>
      <w:r>
        <w:rPr>
          <w:rFonts w:ascii="Times New Roman" w:hAnsi="Times New Roman"/>
          <w:noProof/>
          <w:sz w:val="24"/>
          <w:szCs w:val="24"/>
        </w:rPr>
        <w:t>Îmbunătățirea conectivității cu digitalizarea, progresul tehnologic și conectivitatea multimodală.</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Strategia abordează acțiuni specifice în următoarele nouă domenii: </w:t>
      </w:r>
    </w:p>
    <w:p>
      <w:pPr>
        <w:pStyle w:val="ListParagraph"/>
        <w:numPr>
          <w:ilvl w:val="0"/>
          <w:numId w:val="128"/>
        </w:num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Mobilitatea pentru toți (asigurarea accesibilității universale la costuri rezonabile); </w:t>
      </w:r>
    </w:p>
    <w:p>
      <w:pPr>
        <w:pStyle w:val="ListParagraph"/>
        <w:numPr>
          <w:ilvl w:val="0"/>
          <w:numId w:val="128"/>
        </w:num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Noi politici de investiții (pentru a asigura finanțarea adecvată a infrastructurilor și serviciilor de transport); </w:t>
      </w:r>
    </w:p>
    <w:p>
      <w:pPr>
        <w:pStyle w:val="ListParagraph"/>
        <w:numPr>
          <w:ilvl w:val="0"/>
          <w:numId w:val="128"/>
        </w:num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Mobilitatea sigură (acordând prioritate investițiilor în monitorizare, întreținere și securitate cibernetică); </w:t>
      </w:r>
    </w:p>
    <w:p>
      <w:pPr>
        <w:pStyle w:val="ListParagraph"/>
        <w:numPr>
          <w:ilvl w:val="0"/>
          <w:numId w:val="128"/>
        </w:num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Mobilitatea cu emisii scăzute (creșterea eficienței, reducerea consumului de energie); </w:t>
      </w:r>
    </w:p>
    <w:p>
      <w:pPr>
        <w:pStyle w:val="ListParagraph"/>
        <w:numPr>
          <w:ilvl w:val="0"/>
          <w:numId w:val="128"/>
        </w:num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Mobilitatea inteligentă (stimularea cercetării &amp; D și a inovării în materie de mobilitate, construirea și gestionarea infrastructurii inteligente); </w:t>
      </w:r>
    </w:p>
    <w:p>
      <w:pPr>
        <w:pStyle w:val="ListParagraph"/>
        <w:numPr>
          <w:ilvl w:val="0"/>
          <w:numId w:val="128"/>
        </w:num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Lanțurile logistice intermodale inteligente (prioritizarea transportului de mărfuri pe calea ferată în agendele publice și private); </w:t>
      </w:r>
    </w:p>
    <w:p>
      <w:pPr>
        <w:pStyle w:val="ListParagraph"/>
        <w:numPr>
          <w:ilvl w:val="0"/>
          <w:numId w:val="128"/>
        </w:num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Conectarea Europei și conectarea la lume (conectarea porturilor la terminalele logistice intermodale și intensificarea cooperării cu țările învecinate pentru a coordona construirea și/sau îmbunătățirea infrastructurilor transfrontaliere); </w:t>
      </w:r>
    </w:p>
    <w:p>
      <w:pPr>
        <w:pStyle w:val="ListParagraph"/>
        <w:numPr>
          <w:ilvl w:val="0"/>
          <w:numId w:val="128"/>
        </w:numPr>
        <w:spacing w:line="240" w:lineRule="auto"/>
        <w:jc w:val="both"/>
        <w:rPr>
          <w:rFonts w:ascii="Times New Roman" w:hAnsi="Times New Roman" w:cs="Times New Roman"/>
          <w:noProof/>
          <w:sz w:val="24"/>
          <w:szCs w:val="24"/>
        </w:rPr>
      </w:pPr>
      <w:r>
        <w:rPr>
          <w:rFonts w:ascii="Times New Roman" w:hAnsi="Times New Roman"/>
          <w:noProof/>
          <w:sz w:val="24"/>
          <w:szCs w:val="24"/>
        </w:rPr>
        <w:t>Aspecte sociale și de muncă (echilibrul de gen și acțiuni de recalificare și perfecționare pentru forța de muncă din domeniul transporturilor); și</w:t>
      </w:r>
    </w:p>
    <w:p>
      <w:pPr>
        <w:pStyle w:val="ListParagraph"/>
        <w:numPr>
          <w:ilvl w:val="0"/>
          <w:numId w:val="128"/>
        </w:numPr>
        <w:spacing w:line="240" w:lineRule="auto"/>
        <w:jc w:val="both"/>
        <w:rPr>
          <w:rFonts w:ascii="Times New Roman" w:hAnsi="Times New Roman" w:cs="Times New Roman"/>
          <w:noProof/>
          <w:sz w:val="24"/>
          <w:szCs w:val="24"/>
        </w:rPr>
      </w:pPr>
      <w:r>
        <w:rPr>
          <w:rFonts w:ascii="Times New Roman" w:hAnsi="Times New Roman"/>
          <w:noProof/>
          <w:sz w:val="24"/>
          <w:szCs w:val="24"/>
        </w:rPr>
        <w:t>Digitalizarea Ministerului Transporturilor, al mobilității și al agendei urbane pentru a adopta tranziția digitală și a deveni mai deschisă și mai inovatoare.</w:t>
      </w:r>
    </w:p>
    <w:p>
      <w:pPr>
        <w:autoSpaceDE w:val="0"/>
        <w:autoSpaceDN w:val="0"/>
        <w:spacing w:before="40" w:after="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Punerea în aplicare a măsurii se finalizează până la 31 decembrie 2021.</w:t>
      </w:r>
    </w:p>
    <w:p>
      <w:pPr>
        <w:keepNext/>
        <w:spacing w:line="240" w:lineRule="auto"/>
        <w:jc w:val="both"/>
        <w:rPr>
          <w:rFonts w:ascii="Times New Roman" w:hAnsi="Times New Roman" w:cs="Times New Roman"/>
          <w:noProof/>
          <w:sz w:val="24"/>
          <w:u w:val="single"/>
        </w:rPr>
      </w:pPr>
      <w:r>
        <w:rPr>
          <w:rFonts w:ascii="Times New Roman" w:hAnsi="Times New Roman"/>
          <w:noProof/>
          <w:sz w:val="24"/>
          <w:u w:val="single"/>
        </w:rPr>
        <w:t>Reforma 2 (C6.R2) - Strategia orientativă în domeniul feroviar</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Obiectivele reformei sunt instituirea unor instrumente care să asigure faptul că rețeaua feroviară răspunde nevoilor de mobilitate ale viitorului într-un mod coerent și eficient. Strategia stabilește un scenariu clar de planificare pentru modul de transport feroviar și permite alinierea priorităților de investiții cu Strategia pentru o mobilitate sigură, durabilă și conectată (R1).</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Reforma constă în mai multe acțiuni, printre care: </w:t>
      </w:r>
    </w:p>
    <w:p>
      <w:pPr>
        <w:pStyle w:val="ListParagraph"/>
        <w:numPr>
          <w:ilvl w:val="0"/>
          <w:numId w:val="129"/>
        </w:num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stabilirea unei planificări mai clare a acțiunilor din sectorul feroviar, orientate în special către mobilitatea de zi cu zi; </w:t>
      </w:r>
    </w:p>
    <w:p>
      <w:pPr>
        <w:pStyle w:val="ListParagraph"/>
        <w:numPr>
          <w:ilvl w:val="0"/>
          <w:numId w:val="129"/>
        </w:num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îmbunătățirea întreținerii rețelei; </w:t>
      </w:r>
    </w:p>
    <w:p>
      <w:pPr>
        <w:pStyle w:val="ListParagraph"/>
        <w:numPr>
          <w:ilvl w:val="0"/>
          <w:numId w:val="129"/>
        </w:num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asigurarea sustenabilității economice a rețelei feroviare; </w:t>
      </w:r>
    </w:p>
    <w:p>
      <w:pPr>
        <w:pStyle w:val="ListParagraph"/>
        <w:numPr>
          <w:ilvl w:val="0"/>
          <w:numId w:val="129"/>
        </w:num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acordarea de prioritate utilizării eficiente a resurselor, cu o evaluare ex ante și ex post a proiectelor de investiții; </w:t>
      </w:r>
    </w:p>
    <w:p>
      <w:pPr>
        <w:pStyle w:val="ListParagraph"/>
        <w:numPr>
          <w:ilvl w:val="0"/>
          <w:numId w:val="129"/>
        </w:num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îmbunătățirea interoperabilității rețelei, în special pe coridoarele rețelei transeuropene, și a intermodalității rețelei; </w:t>
      </w:r>
    </w:p>
    <w:p>
      <w:pPr>
        <w:pStyle w:val="ListParagraph"/>
        <w:numPr>
          <w:ilvl w:val="0"/>
          <w:numId w:val="129"/>
        </w:num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stimularea traficului feroviar de marfă; </w:t>
      </w:r>
    </w:p>
    <w:p>
      <w:pPr>
        <w:pStyle w:val="ListParagraph"/>
        <w:numPr>
          <w:ilvl w:val="0"/>
          <w:numId w:val="129"/>
        </w:numPr>
        <w:spacing w:line="240" w:lineRule="auto"/>
        <w:jc w:val="both"/>
        <w:rPr>
          <w:rFonts w:ascii="Times New Roman" w:hAnsi="Times New Roman" w:cs="Times New Roman"/>
          <w:noProof/>
          <w:sz w:val="24"/>
          <w:szCs w:val="24"/>
        </w:rPr>
      </w:pPr>
      <w:r>
        <w:rPr>
          <w:rFonts w:ascii="Times New Roman" w:hAnsi="Times New Roman"/>
          <w:noProof/>
          <w:sz w:val="24"/>
          <w:szCs w:val="24"/>
        </w:rPr>
        <w:t>sporirea siguranței în transportul feroviar și</w:t>
      </w:r>
    </w:p>
    <w:p>
      <w:pPr>
        <w:pStyle w:val="ListParagraph"/>
        <w:numPr>
          <w:ilvl w:val="0"/>
          <w:numId w:val="129"/>
        </w:numPr>
        <w:spacing w:line="240" w:lineRule="auto"/>
        <w:jc w:val="both"/>
        <w:rPr>
          <w:rFonts w:ascii="Times New Roman" w:hAnsi="Times New Roman" w:cs="Times New Roman"/>
          <w:noProof/>
          <w:sz w:val="24"/>
          <w:szCs w:val="24"/>
        </w:rPr>
      </w:pPr>
      <w:r>
        <w:rPr>
          <w:rFonts w:ascii="Times New Roman" w:hAnsi="Times New Roman"/>
          <w:noProof/>
          <w:sz w:val="24"/>
          <w:szCs w:val="24"/>
        </w:rPr>
        <w:t>promovarea digitalizării transporturilor și a inovării pentru a asigura mobilitatea conectată.</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Punerea în aplicare a măsurii se finalizează până la 31 decembrie 2022.</w:t>
      </w:r>
    </w:p>
    <w:p>
      <w:pPr>
        <w:spacing w:line="240" w:lineRule="auto"/>
        <w:jc w:val="both"/>
        <w:rPr>
          <w:rFonts w:ascii="Times New Roman" w:hAnsi="Times New Roman" w:cs="Times New Roman"/>
          <w:noProof/>
          <w:sz w:val="24"/>
          <w:u w:val="single"/>
        </w:rPr>
      </w:pPr>
      <w:r>
        <w:rPr>
          <w:rFonts w:ascii="Times New Roman" w:hAnsi="Times New Roman"/>
          <w:noProof/>
          <w:sz w:val="24"/>
          <w:u w:val="single"/>
        </w:rPr>
        <w:t>Investiția 1 (C6.I1) - Rețeaua națională de transport: Coridoarele europene</w:t>
      </w:r>
    </w:p>
    <w:p>
      <w:pPr>
        <w:spacing w:line="240" w:lineRule="auto"/>
        <w:jc w:val="both"/>
        <w:rPr>
          <w:rFonts w:ascii="Times New Roman" w:hAnsi="Times New Roman" w:cs="Times New Roman"/>
          <w:noProof/>
          <w:sz w:val="24"/>
        </w:rPr>
      </w:pPr>
      <w:r>
        <w:rPr>
          <w:rFonts w:ascii="Times New Roman" w:hAnsi="Times New Roman"/>
          <w:noProof/>
          <w:sz w:val="24"/>
        </w:rPr>
        <w:t>Obiectivele măsurii sunt construirea de noi infrastructuri feroviare în coridoarele centrale europene TEN-T, precum și modernizarea și modernizarea celor existente.</w:t>
      </w:r>
    </w:p>
    <w:p>
      <w:pPr>
        <w:spacing w:line="240" w:lineRule="auto"/>
        <w:jc w:val="both"/>
        <w:rPr>
          <w:rFonts w:ascii="Times New Roman" w:hAnsi="Times New Roman" w:cs="Times New Roman"/>
          <w:noProof/>
          <w:sz w:val="24"/>
        </w:rPr>
      </w:pPr>
      <w:r>
        <w:rPr>
          <w:rFonts w:ascii="Times New Roman" w:hAnsi="Times New Roman"/>
          <w:noProof/>
          <w:sz w:val="24"/>
        </w:rPr>
        <w:t xml:space="preserve">Investiția constă în acțiuni care vizează următoarele dimensiuni principale: </w:t>
      </w:r>
    </w:p>
    <w:p>
      <w:pPr>
        <w:pStyle w:val="ListParagraph"/>
        <w:numPr>
          <w:ilvl w:val="0"/>
          <w:numId w:val="130"/>
        </w:numPr>
        <w:spacing w:line="240" w:lineRule="auto"/>
        <w:jc w:val="both"/>
        <w:rPr>
          <w:rFonts w:ascii="Times New Roman" w:hAnsi="Times New Roman" w:cs="Times New Roman"/>
          <w:noProof/>
          <w:sz w:val="24"/>
          <w:szCs w:val="24"/>
        </w:rPr>
      </w:pPr>
      <w:r>
        <w:rPr>
          <w:rFonts w:ascii="Times New Roman" w:hAnsi="Times New Roman"/>
          <w:noProof/>
          <w:sz w:val="24"/>
          <w:szCs w:val="24"/>
        </w:rPr>
        <w:t>Platformă: Proiecte care permit crearea infrastructurii care sprijină căile ferate și care includ rambleiaje, degajări, viaducte, tuneluri etc. Acestea constau, în principal, în construcția de noi infrastructuri;</w:t>
      </w:r>
    </w:p>
    <w:p>
      <w:pPr>
        <w:pStyle w:val="ListParagraph"/>
        <w:numPr>
          <w:ilvl w:val="0"/>
          <w:numId w:val="130"/>
        </w:numPr>
        <w:spacing w:line="240" w:lineRule="auto"/>
        <w:jc w:val="both"/>
        <w:rPr>
          <w:rFonts w:ascii="Times New Roman" w:hAnsi="Times New Roman" w:cs="Times New Roman"/>
          <w:noProof/>
          <w:sz w:val="24"/>
          <w:szCs w:val="24"/>
        </w:rPr>
      </w:pPr>
      <w:r>
        <w:rPr>
          <w:rFonts w:ascii="Times New Roman" w:hAnsi="Times New Roman"/>
          <w:noProof/>
          <w:sz w:val="24"/>
          <w:szCs w:val="24"/>
        </w:rPr>
        <w:t>Înlocuirea serviciilor: Acțiuni care restabilesc serviciile existente (ușoare, de irigare, de apă etc.) care sunt afectate pe parcursul executării lucrărilor feroviare;</w:t>
      </w:r>
    </w:p>
    <w:p>
      <w:pPr>
        <w:pStyle w:val="ListParagraph"/>
        <w:numPr>
          <w:ilvl w:val="0"/>
          <w:numId w:val="130"/>
        </w:numPr>
        <w:spacing w:line="240" w:lineRule="auto"/>
        <w:jc w:val="both"/>
        <w:rPr>
          <w:rFonts w:ascii="Times New Roman" w:hAnsi="Times New Roman" w:cs="Times New Roman"/>
          <w:noProof/>
          <w:sz w:val="24"/>
          <w:szCs w:val="24"/>
        </w:rPr>
      </w:pPr>
      <w:r>
        <w:rPr>
          <w:rFonts w:ascii="Times New Roman" w:hAnsi="Times New Roman"/>
          <w:noProof/>
          <w:sz w:val="24"/>
          <w:szCs w:val="24"/>
        </w:rPr>
        <w:t>Șenile: Acțiuni pentru asamblarea și furnizarea de materiale de cale ferată (balast, traverse, șine, comutatoare și dispozitive de expansiune) pe noi tronsoane de cale ferată, precum și reînnoirea liniilor de cale ferată existente;</w:t>
      </w:r>
    </w:p>
    <w:p>
      <w:pPr>
        <w:pStyle w:val="ListParagraph"/>
        <w:numPr>
          <w:ilvl w:val="0"/>
          <w:numId w:val="130"/>
        </w:numPr>
        <w:spacing w:line="240" w:lineRule="auto"/>
        <w:jc w:val="both"/>
        <w:rPr>
          <w:rFonts w:ascii="Times New Roman" w:hAnsi="Times New Roman" w:cs="Times New Roman"/>
          <w:noProof/>
          <w:sz w:val="24"/>
          <w:szCs w:val="24"/>
        </w:rPr>
      </w:pPr>
      <w:r>
        <w:rPr>
          <w:rFonts w:ascii="Times New Roman" w:hAnsi="Times New Roman"/>
          <w:noProof/>
          <w:sz w:val="24"/>
          <w:szCs w:val="24"/>
        </w:rPr>
        <w:t>Electricitate: Acțiuni care vizează electrificarea liniilor, inclusiv: linie aeriană de contact, substații de tracțiune, centre de transformare, comandă de la distanță, linii electrice de înaltă tensiune;</w:t>
      </w:r>
    </w:p>
    <w:p>
      <w:pPr>
        <w:pStyle w:val="ListParagraph"/>
        <w:numPr>
          <w:ilvl w:val="0"/>
          <w:numId w:val="130"/>
        </w:numPr>
        <w:spacing w:line="240" w:lineRule="auto"/>
        <w:jc w:val="both"/>
        <w:rPr>
          <w:rFonts w:ascii="Times New Roman" w:hAnsi="Times New Roman" w:cs="Times New Roman"/>
          <w:noProof/>
          <w:sz w:val="24"/>
          <w:szCs w:val="24"/>
        </w:rPr>
      </w:pPr>
      <w:r>
        <w:rPr>
          <w:rFonts w:ascii="Times New Roman" w:hAnsi="Times New Roman"/>
          <w:noProof/>
          <w:sz w:val="24"/>
          <w:szCs w:val="24"/>
        </w:rPr>
        <w:t>Semnalizare și control al traficului: Proiecte care vizează punerea în aplicare a unor noi sisteme de semnalizare și de control al traficului;</w:t>
      </w:r>
    </w:p>
    <w:p>
      <w:pPr>
        <w:pStyle w:val="ListParagraph"/>
        <w:numPr>
          <w:ilvl w:val="0"/>
          <w:numId w:val="130"/>
        </w:numPr>
        <w:spacing w:line="240" w:lineRule="auto"/>
        <w:jc w:val="both"/>
        <w:rPr>
          <w:rFonts w:ascii="Times New Roman" w:hAnsi="Times New Roman" w:cs="Times New Roman"/>
          <w:noProof/>
          <w:sz w:val="24"/>
          <w:szCs w:val="24"/>
        </w:rPr>
      </w:pPr>
      <w:r>
        <w:rPr>
          <w:rFonts w:ascii="Times New Roman" w:hAnsi="Times New Roman"/>
          <w:noProof/>
          <w:sz w:val="24"/>
          <w:szCs w:val="24"/>
        </w:rPr>
        <w:t>Telecomunicații: Proiecte care vizează telecomunicațiile fixe și mobile pe liniile de cale ferată.</w:t>
      </w:r>
    </w:p>
    <w:p>
      <w:pPr>
        <w:pStyle w:val="ListParagraph"/>
        <w:numPr>
          <w:ilvl w:val="0"/>
          <w:numId w:val="130"/>
        </w:numPr>
        <w:spacing w:line="240" w:lineRule="auto"/>
        <w:jc w:val="both"/>
        <w:rPr>
          <w:rFonts w:ascii="Times New Roman" w:hAnsi="Times New Roman" w:cs="Times New Roman"/>
          <w:noProof/>
          <w:sz w:val="24"/>
          <w:szCs w:val="24"/>
        </w:rPr>
      </w:pPr>
      <w:r>
        <w:rPr>
          <w:rFonts w:ascii="Times New Roman" w:hAnsi="Times New Roman"/>
          <w:noProof/>
          <w:sz w:val="24"/>
          <w:szCs w:val="24"/>
        </w:rPr>
        <w:t>Stații: Modernizarea și reabilitarea stațiilor existente, precum și construirea de noi stații.</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Lucrările sunt finalizate pe o distanță de cel puțin 1 400 km de rețea inclusă în coridoarele atlantic și mediteraneean, inclusiv acțiuni de îmbunătățire a tronsoanelor existente și investiții pentru a progresa în construcția de noi tronsoane. </w:t>
      </w:r>
    </w:p>
    <w:p>
      <w:pPr>
        <w:spacing w:line="240" w:lineRule="auto"/>
        <w:jc w:val="both"/>
        <w:rPr>
          <w:rFonts w:ascii="Times New Roman" w:hAnsi="Times New Roman" w:cs="Times New Roman"/>
          <w:noProof/>
          <w:sz w:val="24"/>
        </w:rPr>
      </w:pPr>
      <w:r>
        <w:rPr>
          <w:rFonts w:ascii="Times New Roman" w:hAnsi="Times New Roman"/>
          <w:noProof/>
          <w:sz w:val="24"/>
          <w:szCs w:val="24"/>
        </w:rPr>
        <w:t>Punerea în aplicare a investiției se finalizează până la 30 iunie 2026.</w:t>
      </w:r>
    </w:p>
    <w:p>
      <w:pPr>
        <w:spacing w:line="240" w:lineRule="auto"/>
        <w:jc w:val="both"/>
        <w:rPr>
          <w:rFonts w:ascii="Times New Roman" w:hAnsi="Times New Roman" w:cs="Times New Roman"/>
          <w:noProof/>
          <w:sz w:val="24"/>
          <w:u w:val="single"/>
        </w:rPr>
      </w:pPr>
      <w:r>
        <w:rPr>
          <w:rFonts w:ascii="Times New Roman" w:hAnsi="Times New Roman"/>
          <w:noProof/>
          <w:sz w:val="24"/>
          <w:u w:val="single"/>
        </w:rPr>
        <w:t>Investiția 2 (C6.I2) - Programul privind rețeaua transeuropeană de transport, alte lucrări</w:t>
      </w:r>
    </w:p>
    <w:p>
      <w:pPr>
        <w:spacing w:before="60" w:afterLines="60" w:after="144" w:line="240" w:lineRule="auto"/>
        <w:jc w:val="both"/>
        <w:rPr>
          <w:rFonts w:ascii="Times New Roman" w:hAnsi="Times New Roman" w:cs="Times New Roman"/>
          <w:noProof/>
          <w:sz w:val="24"/>
        </w:rPr>
      </w:pPr>
      <w:r>
        <w:rPr>
          <w:rFonts w:ascii="Times New Roman" w:hAnsi="Times New Roman"/>
          <w:noProof/>
          <w:sz w:val="24"/>
        </w:rPr>
        <w:t>Obiectivele măsurii sunt de a îmbunătăți rețeaua națională de transport care acoperă toate modurile de transport (feroviar, rutier, aerian), astfel încât aceasta să devină mai fiabilă, mai durabilă, mai sigură și mai rezilientă.</w:t>
      </w:r>
      <w:r>
        <w:rPr>
          <w:rFonts w:ascii="Times New Roman" w:hAnsi="Times New Roman"/>
          <w:noProof/>
          <w:sz w:val="24"/>
          <w:szCs w:val="24"/>
        </w:rPr>
        <w:t xml:space="preserve"> </w:t>
      </w:r>
    </w:p>
    <w:p>
      <w:pPr>
        <w:spacing w:before="60" w:afterLines="60" w:after="144" w:line="240" w:lineRule="auto"/>
        <w:jc w:val="both"/>
        <w:rPr>
          <w:rFonts w:ascii="Times New Roman" w:hAnsi="Times New Roman" w:cs="Times New Roman"/>
          <w:noProof/>
          <w:sz w:val="24"/>
          <w:szCs w:val="24"/>
        </w:rPr>
      </w:pPr>
      <w:r>
        <w:rPr>
          <w:rFonts w:ascii="Times New Roman" w:hAnsi="Times New Roman"/>
          <w:noProof/>
          <w:sz w:val="24"/>
          <w:szCs w:val="24"/>
        </w:rPr>
        <w:t>Investiția constă în următoarele acțiuni:</w:t>
      </w:r>
    </w:p>
    <w:p>
      <w:pPr>
        <w:pStyle w:val="ListParagraph"/>
        <w:numPr>
          <w:ilvl w:val="0"/>
          <w:numId w:val="133"/>
        </w:numPr>
        <w:spacing w:before="60" w:afterLines="60" w:after="144" w:line="240" w:lineRule="auto"/>
        <w:ind w:left="993" w:hanging="284"/>
        <w:jc w:val="both"/>
        <w:rPr>
          <w:rFonts w:ascii="Times New Roman" w:hAnsi="Times New Roman" w:cs="Times New Roman"/>
          <w:noProof/>
          <w:sz w:val="24"/>
          <w:szCs w:val="24"/>
        </w:rPr>
      </w:pPr>
      <w:r>
        <w:rPr>
          <w:rFonts w:ascii="Times New Roman" w:hAnsi="Times New Roman"/>
          <w:noProof/>
          <w:sz w:val="24"/>
          <w:szCs w:val="24"/>
        </w:rPr>
        <w:t>Modernizarea rețelei feroviare în raport cu rețeaua TEN-T non-centrală, cu lucrări pe o distanță de cel puțin 900 km;</w:t>
      </w:r>
    </w:p>
    <w:p>
      <w:pPr>
        <w:pStyle w:val="ListParagraph"/>
        <w:numPr>
          <w:ilvl w:val="0"/>
          <w:numId w:val="133"/>
        </w:numPr>
        <w:spacing w:before="60" w:afterLines="60" w:after="144" w:line="240" w:lineRule="auto"/>
        <w:ind w:left="993" w:hanging="284"/>
        <w:jc w:val="both"/>
        <w:rPr>
          <w:rFonts w:ascii="Times New Roman" w:hAnsi="Times New Roman" w:cs="Times New Roman"/>
          <w:noProof/>
          <w:sz w:val="24"/>
          <w:szCs w:val="24"/>
        </w:rPr>
      </w:pPr>
      <w:r>
        <w:rPr>
          <w:rFonts w:ascii="Times New Roman" w:hAnsi="Times New Roman"/>
          <w:noProof/>
          <w:sz w:val="24"/>
          <w:szCs w:val="24"/>
        </w:rPr>
        <w:t>Creșterea siguranței rețelei rutiere în conformitate cu reglementările naționale și europene.</w:t>
      </w:r>
    </w:p>
    <w:p>
      <w:pPr>
        <w:pStyle w:val="ListParagraph"/>
        <w:numPr>
          <w:ilvl w:val="0"/>
          <w:numId w:val="133"/>
        </w:numPr>
        <w:spacing w:before="60" w:afterLines="60" w:after="144" w:line="240" w:lineRule="auto"/>
        <w:ind w:left="993" w:hanging="284"/>
        <w:jc w:val="both"/>
        <w:rPr>
          <w:rFonts w:ascii="Times New Roman" w:hAnsi="Times New Roman" w:cs="Times New Roman"/>
          <w:noProof/>
          <w:sz w:val="24"/>
          <w:szCs w:val="24"/>
        </w:rPr>
      </w:pPr>
      <w:r>
        <w:rPr>
          <w:rFonts w:ascii="Times New Roman" w:hAnsi="Times New Roman"/>
          <w:noProof/>
          <w:sz w:val="24"/>
          <w:szCs w:val="24"/>
        </w:rPr>
        <w:t xml:space="preserve">Stimularea dezvoltării cerului unic european (20 proiecte); </w:t>
      </w:r>
    </w:p>
    <w:p>
      <w:pPr>
        <w:pStyle w:val="ListParagraph"/>
        <w:numPr>
          <w:ilvl w:val="0"/>
          <w:numId w:val="133"/>
        </w:numPr>
        <w:spacing w:before="60" w:afterLines="60" w:after="144" w:line="240" w:lineRule="auto"/>
        <w:ind w:left="993" w:hanging="284"/>
        <w:jc w:val="both"/>
        <w:rPr>
          <w:rFonts w:ascii="Times New Roman" w:hAnsi="Times New Roman" w:cs="Times New Roman"/>
          <w:noProof/>
          <w:sz w:val="24"/>
          <w:szCs w:val="24"/>
        </w:rPr>
      </w:pPr>
      <w:r>
        <w:rPr>
          <w:rFonts w:ascii="Times New Roman" w:hAnsi="Times New Roman"/>
          <w:noProof/>
          <w:sz w:val="24"/>
          <w:szCs w:val="24"/>
        </w:rPr>
        <w:t xml:space="preserve">Sprijinirea transformării digitale a Ministerului Transporturilor, Mobilității și Agendei urbane. </w:t>
      </w:r>
    </w:p>
    <w:p>
      <w:pPr>
        <w:spacing w:before="60" w:afterLines="60" w:after="144" w:line="240" w:lineRule="auto"/>
        <w:jc w:val="both"/>
        <w:rPr>
          <w:rFonts w:ascii="Times New Roman" w:hAnsi="Times New Roman" w:cs="Times New Roman"/>
          <w:noProof/>
          <w:sz w:val="24"/>
          <w:szCs w:val="24"/>
        </w:rPr>
      </w:pPr>
      <w:r>
        <w:rPr>
          <w:rFonts w:ascii="Times New Roman" w:hAnsi="Times New Roman"/>
          <w:noProof/>
          <w:sz w:val="24"/>
          <w:szCs w:val="24"/>
        </w:rPr>
        <w:t>Criteriile de selecție asigură faptul că cel puțin 1 010 000 000 EUR contribuie la obiectivele legate de schimbările climatice cu un coeficient climatic de 100 % și cel puțin 301 000 000 EUR cu un coeficient climatic de 40 %, în conformitate cu anexa VI la Regulamentul (UE) 2021/241 privind Mecanismul de redresare și reziliență.</w:t>
      </w:r>
    </w:p>
    <w:p>
      <w:pPr>
        <w:spacing w:before="60" w:afterLines="60" w:after="144" w:line="240" w:lineRule="auto"/>
        <w:jc w:val="both"/>
        <w:rPr>
          <w:rFonts w:ascii="Times New Roman" w:hAnsi="Times New Roman" w:cs="Times New Roman"/>
          <w:noProof/>
          <w:sz w:val="24"/>
          <w:szCs w:val="24"/>
        </w:rPr>
      </w:pPr>
      <w:r>
        <w:rPr>
          <w:rFonts w:ascii="Times New Roman" w:hAnsi="Times New Roman"/>
          <w:noProof/>
          <w:sz w:val="24"/>
          <w:szCs w:val="24"/>
        </w:rPr>
        <w:t>Punerea în aplicare a investiției se finalizează până la 30 iunie 2026.</w:t>
      </w:r>
    </w:p>
    <w:p>
      <w:pPr>
        <w:spacing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Investiția 3 (C6.I3) - Intermodalitate și logistică</w:t>
      </w:r>
    </w:p>
    <w:p>
      <w:pPr>
        <w:spacing w:line="240" w:lineRule="auto"/>
        <w:jc w:val="both"/>
        <w:rPr>
          <w:rFonts w:ascii="Times New Roman" w:hAnsi="Times New Roman" w:cs="Times New Roman"/>
          <w:noProof/>
          <w:sz w:val="24"/>
        </w:rPr>
      </w:pPr>
      <w:r>
        <w:rPr>
          <w:rFonts w:ascii="Times New Roman" w:hAnsi="Times New Roman"/>
          <w:noProof/>
          <w:sz w:val="24"/>
        </w:rPr>
        <w:t>Obiectivul măsurii este de a pune în aplicare axa 6 a Strategiei privind mobilitatea sigură, durabilă și conectată (R1) privind lanțurile logistice intermodale inteligente.</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Investiția constă în trei linii de acțiune: </w:t>
      </w:r>
    </w:p>
    <w:p>
      <w:pPr>
        <w:pStyle w:val="ListParagraph"/>
        <w:numPr>
          <w:ilvl w:val="0"/>
          <w:numId w:val="132"/>
        </w:numPr>
        <w:spacing w:line="240" w:lineRule="auto"/>
        <w:ind w:left="993" w:hanging="284"/>
        <w:jc w:val="both"/>
        <w:rPr>
          <w:rFonts w:ascii="Times New Roman" w:hAnsi="Times New Roman" w:cs="Times New Roman"/>
          <w:noProof/>
          <w:sz w:val="24"/>
          <w:szCs w:val="24"/>
        </w:rPr>
      </w:pPr>
      <w:r>
        <w:rPr>
          <w:rFonts w:ascii="Times New Roman" w:hAnsi="Times New Roman"/>
          <w:noProof/>
          <w:sz w:val="24"/>
          <w:szCs w:val="24"/>
        </w:rPr>
        <w:t xml:space="preserve">dezvoltarea sau modernizarea a nouă terminale intermodale și logistice strategice pentru a integra, în unele cazuri, terminalele intermodale cu zona logistică și, în orice caz, pentru a stimula trecerea transportului de mărfuri de la transportul rutier la cel feroviar. </w:t>
      </w:r>
    </w:p>
    <w:p>
      <w:pPr>
        <w:pStyle w:val="ListParagraph"/>
        <w:numPr>
          <w:ilvl w:val="0"/>
          <w:numId w:val="132"/>
        </w:numPr>
        <w:spacing w:line="240" w:lineRule="auto"/>
        <w:ind w:left="993" w:hanging="284"/>
        <w:jc w:val="both"/>
        <w:rPr>
          <w:rFonts w:ascii="Times New Roman" w:hAnsi="Times New Roman" w:cs="Times New Roman"/>
          <w:noProof/>
          <w:sz w:val="24"/>
          <w:szCs w:val="24"/>
        </w:rPr>
      </w:pPr>
      <w:r>
        <w:rPr>
          <w:rFonts w:ascii="Times New Roman" w:hAnsi="Times New Roman"/>
          <w:noProof/>
          <w:sz w:val="24"/>
          <w:szCs w:val="24"/>
        </w:rPr>
        <w:t xml:space="preserve">îmbunătățirea accesului feroviar și rutier la porturile spaniole pentru a stimula transportul feroviar de marfă, prin îmbunătățirea conectării porturilor la rețeaua feroviară (2 porturi) și la rețeaua rutieră (un singur port); </w:t>
      </w:r>
    </w:p>
    <w:p>
      <w:pPr>
        <w:pStyle w:val="ListParagraph"/>
        <w:numPr>
          <w:ilvl w:val="0"/>
          <w:numId w:val="132"/>
        </w:numPr>
        <w:spacing w:line="240" w:lineRule="auto"/>
        <w:ind w:left="993" w:hanging="284"/>
        <w:jc w:val="both"/>
        <w:rPr>
          <w:rFonts w:ascii="Times New Roman" w:hAnsi="Times New Roman" w:cs="Times New Roman"/>
          <w:noProof/>
          <w:sz w:val="24"/>
          <w:szCs w:val="24"/>
        </w:rPr>
      </w:pPr>
      <w:r>
        <w:rPr>
          <w:rFonts w:ascii="Times New Roman" w:hAnsi="Times New Roman"/>
          <w:noProof/>
          <w:sz w:val="24"/>
          <w:szCs w:val="24"/>
        </w:rPr>
        <w:t>îmbunătățirea accesibilității (19 proiecte) și sustenabilitatea în porturi (proiecte desfășurate în 25 de autorități portuare).</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Criteriile de selecție asigură faptul că cel puțin 584 000 000 EUR contribuie la obiectivele legate de schimbările climatice cu un coeficient climatic de 100 % și cel puțin 217 000 000 EUR cu un coeficient climatic de 40 %, în conformitate cu anexa VI la Regulamentul (UE) 2021/241 privind Mecanismul de redresare și reziliență.</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Punerea în aplicare a investiției se finalizează până la 30 iunie 2026.</w:t>
      </w:r>
    </w:p>
    <w:p>
      <w:pPr>
        <w:spacing w:line="240" w:lineRule="auto"/>
        <w:jc w:val="both"/>
        <w:rPr>
          <w:rFonts w:ascii="Times New Roman" w:hAnsi="Times New Roman" w:cs="Times New Roman"/>
          <w:noProof/>
          <w:sz w:val="24"/>
          <w:u w:val="single"/>
        </w:rPr>
      </w:pPr>
      <w:r>
        <w:rPr>
          <w:rFonts w:ascii="Times New Roman" w:hAnsi="Times New Roman"/>
          <w:noProof/>
          <w:sz w:val="24"/>
          <w:u w:val="single"/>
        </w:rPr>
        <w:t>Investiția 4 (C6.I4) - Program de sprijin pentru transporturi durabile și digitale</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Obiectivul măsurii este de a îmbunătăți eficiența sistemului de transport prin digitalizarea și introducerea de noi tehnologii în acest sector și prin sprijinirea celor mai durabile mijloace de transport, în special a celor feroviare. Această investiție este aliniată la inițiativele programului de lucru al Mecanismului pentru interconectarea Europei (MIE) și solicită dezvoltarea rețelei transeuropene de transport.</w:t>
      </w:r>
    </w:p>
    <w:p>
      <w:pPr>
        <w:spacing w:line="240" w:lineRule="auto"/>
        <w:jc w:val="both"/>
        <w:rPr>
          <w:rFonts w:ascii="Times New Roman" w:hAnsi="Times New Roman" w:cs="Times New Roman"/>
          <w:noProof/>
          <w:sz w:val="24"/>
        </w:rPr>
      </w:pPr>
      <w:r>
        <w:rPr>
          <w:rFonts w:ascii="Times New Roman" w:hAnsi="Times New Roman"/>
          <w:noProof/>
          <w:sz w:val="24"/>
        </w:rPr>
        <w:t>Investiția constă într-un pachet de 15 acțiuni în următoarele domenii:</w:t>
      </w:r>
    </w:p>
    <w:p>
      <w:pPr>
        <w:spacing w:line="240" w:lineRule="auto"/>
        <w:ind w:firstLine="709"/>
        <w:jc w:val="both"/>
        <w:rPr>
          <w:rFonts w:ascii="Times New Roman" w:hAnsi="Times New Roman" w:cs="Times New Roman"/>
          <w:noProof/>
          <w:sz w:val="24"/>
        </w:rPr>
      </w:pPr>
      <w:r>
        <w:rPr>
          <w:rFonts w:ascii="Times New Roman" w:hAnsi="Times New Roman"/>
          <w:i/>
          <w:noProof/>
          <w:sz w:val="24"/>
        </w:rPr>
        <w:t xml:space="preserve">Linia de acțiune 1. Interoperabilitatea transportului feroviar de marfă </w:t>
      </w:r>
    </w:p>
    <w:p>
      <w:pPr>
        <w:spacing w:line="240" w:lineRule="auto"/>
        <w:ind w:left="709"/>
        <w:jc w:val="both"/>
        <w:rPr>
          <w:rFonts w:ascii="Times New Roman" w:hAnsi="Times New Roman" w:cs="Times New Roman"/>
          <w:noProof/>
          <w:sz w:val="24"/>
        </w:rPr>
      </w:pPr>
      <w:r>
        <w:rPr>
          <w:rFonts w:ascii="Times New Roman" w:hAnsi="Times New Roman"/>
          <w:noProof/>
          <w:sz w:val="24"/>
        </w:rPr>
        <w:t xml:space="preserve">1 Sisteme europene de management al traficului feroviar (ERTMS) la bord; </w:t>
      </w:r>
    </w:p>
    <w:p>
      <w:pPr>
        <w:spacing w:line="240" w:lineRule="auto"/>
        <w:ind w:left="709"/>
        <w:jc w:val="both"/>
        <w:rPr>
          <w:rFonts w:ascii="Times New Roman" w:hAnsi="Times New Roman" w:cs="Times New Roman"/>
          <w:noProof/>
          <w:sz w:val="24"/>
        </w:rPr>
      </w:pPr>
      <w:r>
        <w:rPr>
          <w:rFonts w:ascii="Times New Roman" w:hAnsi="Times New Roman"/>
          <w:noProof/>
          <w:sz w:val="24"/>
        </w:rPr>
        <w:t>2 Acțiuni de eliminare a barierelor din calea interoperabilității feroviare;</w:t>
      </w:r>
    </w:p>
    <w:p>
      <w:pPr>
        <w:spacing w:line="240" w:lineRule="auto"/>
        <w:ind w:left="709"/>
        <w:jc w:val="both"/>
        <w:rPr>
          <w:rFonts w:ascii="Times New Roman" w:hAnsi="Times New Roman" w:cs="Times New Roman"/>
          <w:noProof/>
          <w:sz w:val="24"/>
          <w:szCs w:val="24"/>
        </w:rPr>
      </w:pPr>
      <w:r>
        <w:rPr>
          <w:rFonts w:ascii="Times New Roman" w:hAnsi="Times New Roman"/>
          <w:noProof/>
          <w:sz w:val="24"/>
          <w:szCs w:val="24"/>
        </w:rPr>
        <w:t>3 Inovarea și dezvoltarea axei cu ecartament variabil în locomotive;</w:t>
      </w:r>
    </w:p>
    <w:p>
      <w:pPr>
        <w:spacing w:line="240" w:lineRule="auto"/>
        <w:ind w:firstLine="709"/>
        <w:jc w:val="both"/>
        <w:rPr>
          <w:rFonts w:ascii="Times New Roman" w:hAnsi="Times New Roman" w:cs="Times New Roman"/>
          <w:i/>
          <w:noProof/>
          <w:sz w:val="24"/>
          <w:szCs w:val="24"/>
        </w:rPr>
      </w:pPr>
      <w:r>
        <w:rPr>
          <w:rFonts w:ascii="Times New Roman" w:hAnsi="Times New Roman"/>
          <w:i/>
          <w:noProof/>
          <w:sz w:val="24"/>
          <w:szCs w:val="24"/>
        </w:rPr>
        <w:t xml:space="preserve">Linia de acțiune 2. Promovarea intermodalității transporturilor </w:t>
      </w:r>
    </w:p>
    <w:p>
      <w:pPr>
        <w:spacing w:line="240" w:lineRule="auto"/>
        <w:ind w:left="709"/>
        <w:jc w:val="both"/>
        <w:rPr>
          <w:rFonts w:ascii="Times New Roman" w:hAnsi="Times New Roman" w:cs="Times New Roman"/>
          <w:noProof/>
          <w:sz w:val="24"/>
        </w:rPr>
      </w:pPr>
      <w:r>
        <w:rPr>
          <w:rFonts w:ascii="Times New Roman" w:hAnsi="Times New Roman"/>
          <w:noProof/>
          <w:sz w:val="24"/>
        </w:rPr>
        <w:t>4 Construirea, adaptarea sau modernizarea încărcăturilor și a terminalelor intermodale feroviar-rutiere și a conexiunilor terestre ale acestora;</w:t>
      </w:r>
    </w:p>
    <w:p>
      <w:pPr>
        <w:spacing w:line="240" w:lineRule="auto"/>
        <w:ind w:left="709"/>
        <w:jc w:val="both"/>
        <w:rPr>
          <w:rFonts w:ascii="Times New Roman" w:hAnsi="Times New Roman" w:cs="Times New Roman"/>
          <w:noProof/>
          <w:sz w:val="24"/>
          <w:szCs w:val="24"/>
        </w:rPr>
      </w:pPr>
      <w:r>
        <w:rPr>
          <w:rFonts w:ascii="Times New Roman" w:hAnsi="Times New Roman"/>
          <w:noProof/>
          <w:sz w:val="24"/>
          <w:szCs w:val="24"/>
        </w:rPr>
        <w:t>5 Sprijin pentru un transport de marfă durabil (feroviar și maritim) bazat pe ecostimulente pentru cerere și ofertă;</w:t>
      </w:r>
    </w:p>
    <w:p>
      <w:pPr>
        <w:spacing w:line="240" w:lineRule="auto"/>
        <w:ind w:firstLine="709"/>
        <w:jc w:val="both"/>
        <w:rPr>
          <w:rFonts w:ascii="Times New Roman" w:hAnsi="Times New Roman" w:cs="Times New Roman"/>
          <w:i/>
          <w:noProof/>
          <w:sz w:val="24"/>
        </w:rPr>
      </w:pPr>
      <w:r>
        <w:rPr>
          <w:rFonts w:ascii="Times New Roman" w:hAnsi="Times New Roman"/>
          <w:i/>
          <w:noProof/>
          <w:sz w:val="24"/>
        </w:rPr>
        <w:t>Linia de acțiune 3. Modernizarea echipamentelor pentru transportul feroviar de marfă</w:t>
      </w:r>
    </w:p>
    <w:p>
      <w:pPr>
        <w:spacing w:line="240" w:lineRule="auto"/>
        <w:ind w:left="709"/>
        <w:jc w:val="both"/>
        <w:rPr>
          <w:rFonts w:ascii="Times New Roman" w:hAnsi="Times New Roman" w:cs="Times New Roman"/>
          <w:noProof/>
          <w:sz w:val="24"/>
        </w:rPr>
      </w:pPr>
      <w:r>
        <w:rPr>
          <w:rFonts w:ascii="Times New Roman" w:hAnsi="Times New Roman"/>
          <w:noProof/>
          <w:sz w:val="24"/>
        </w:rPr>
        <w:t>6 Acțiuni de sprijinire a renovării sau modernizării vagoanelor pentru transportul feroviar de marfă, inclusiv pentru crearea de servicii de transport feroviar rutier;</w:t>
      </w:r>
    </w:p>
    <w:p>
      <w:pPr>
        <w:spacing w:line="240" w:lineRule="auto"/>
        <w:ind w:left="709"/>
        <w:jc w:val="both"/>
        <w:rPr>
          <w:rFonts w:ascii="Times New Roman" w:hAnsi="Times New Roman" w:cs="Times New Roman"/>
          <w:noProof/>
          <w:sz w:val="24"/>
        </w:rPr>
      </w:pPr>
      <w:r>
        <w:rPr>
          <w:rFonts w:ascii="Times New Roman" w:hAnsi="Times New Roman"/>
          <w:noProof/>
          <w:sz w:val="24"/>
        </w:rPr>
        <w:t>7 Acțiuni de sprijinire a renovării sau adaptării echipamentelor feroviare cu alte materiale care utilizează combustibili alternativi ca hidrogen sau energie electrică;</w:t>
      </w:r>
    </w:p>
    <w:p>
      <w:pPr>
        <w:spacing w:line="240" w:lineRule="auto"/>
        <w:ind w:firstLine="709"/>
        <w:jc w:val="both"/>
        <w:rPr>
          <w:rFonts w:ascii="Times New Roman" w:hAnsi="Times New Roman" w:cs="Times New Roman"/>
          <w:i/>
          <w:noProof/>
          <w:sz w:val="24"/>
        </w:rPr>
      </w:pPr>
      <w:r>
        <w:rPr>
          <w:rFonts w:ascii="Times New Roman" w:hAnsi="Times New Roman"/>
          <w:i/>
          <w:noProof/>
          <w:sz w:val="24"/>
        </w:rPr>
        <w:t>Linia de acțiune 4. Un transport rutier sigur, durabil și conectat</w:t>
      </w:r>
    </w:p>
    <w:p>
      <w:pPr>
        <w:spacing w:line="240" w:lineRule="auto"/>
        <w:ind w:left="709"/>
        <w:jc w:val="both"/>
        <w:rPr>
          <w:rFonts w:ascii="Times New Roman" w:hAnsi="Times New Roman" w:cs="Times New Roman"/>
          <w:noProof/>
          <w:sz w:val="24"/>
        </w:rPr>
      </w:pPr>
      <w:r>
        <w:rPr>
          <w:rFonts w:ascii="Times New Roman" w:hAnsi="Times New Roman"/>
          <w:noProof/>
          <w:sz w:val="24"/>
        </w:rPr>
        <w:t>8 Construirea și modernizarea unor zone de parcare sigure pentru vehicule comerciale și furnizarea de servicii de informare;</w:t>
      </w:r>
    </w:p>
    <w:p>
      <w:pPr>
        <w:spacing w:line="240" w:lineRule="auto"/>
        <w:ind w:left="709"/>
        <w:jc w:val="both"/>
        <w:rPr>
          <w:rFonts w:ascii="Times New Roman" w:hAnsi="Times New Roman" w:cs="Times New Roman"/>
          <w:noProof/>
          <w:sz w:val="24"/>
        </w:rPr>
      </w:pPr>
      <w:r>
        <w:rPr>
          <w:rFonts w:ascii="Times New Roman" w:hAnsi="Times New Roman"/>
          <w:noProof/>
          <w:sz w:val="24"/>
        </w:rPr>
        <w:t>9 Servicii de transport inteligente pentru sectorul rutier (STI) în cadrul concesiunilor de autostrăzi cu taxă și al altor servicii de siguranță rutieră și de conservare;</w:t>
      </w:r>
    </w:p>
    <w:p>
      <w:pPr>
        <w:spacing w:line="240" w:lineRule="auto"/>
        <w:ind w:left="709"/>
        <w:jc w:val="both"/>
        <w:rPr>
          <w:rFonts w:ascii="Times New Roman" w:hAnsi="Times New Roman" w:cs="Times New Roman"/>
          <w:noProof/>
          <w:sz w:val="24"/>
        </w:rPr>
      </w:pPr>
      <w:r>
        <w:rPr>
          <w:rFonts w:ascii="Times New Roman" w:hAnsi="Times New Roman"/>
          <w:noProof/>
          <w:sz w:val="24"/>
        </w:rPr>
        <w:t>10 Acțiuni de sprijinire a instalării infrastructurii de realimentare alternativă pentru vehiculele grele în rețeaua rutieră. Criteriile de eligibilitate ale acestei măsuri asigură respectarea Orientărilor tehnice privind principiul „de a nu prejudicia în mod semnificativ”(2021/C58/01) prin stabilirea unei condiții în care infrastructura de tranziție și distribuție a combustibililor gazoși este activată în momentul construcției pentru transportul gazelor regenerabile și cu emisii scăzute de dioxid de carbon;</w:t>
      </w:r>
    </w:p>
    <w:p>
      <w:pPr>
        <w:spacing w:line="240" w:lineRule="auto"/>
        <w:ind w:left="709"/>
        <w:jc w:val="both"/>
        <w:rPr>
          <w:rFonts w:ascii="Times New Roman" w:hAnsi="Times New Roman" w:cs="Times New Roman"/>
          <w:noProof/>
          <w:sz w:val="24"/>
        </w:rPr>
      </w:pPr>
      <w:r>
        <w:rPr>
          <w:rFonts w:ascii="Times New Roman" w:hAnsi="Times New Roman"/>
          <w:noProof/>
          <w:sz w:val="24"/>
        </w:rPr>
        <w:t>11 Acțiuni de sprijinire a renovării sau adaptării utilajelor pentru pavajul rutier durabil, reducerea amprentei de carbon și reducerea sunetului;</w:t>
      </w:r>
    </w:p>
    <w:p>
      <w:pPr>
        <w:spacing w:line="240" w:lineRule="auto"/>
        <w:ind w:firstLine="709"/>
        <w:jc w:val="both"/>
        <w:rPr>
          <w:rFonts w:ascii="Times New Roman" w:hAnsi="Times New Roman" w:cs="Times New Roman"/>
          <w:i/>
          <w:noProof/>
          <w:sz w:val="24"/>
        </w:rPr>
      </w:pPr>
      <w:r>
        <w:rPr>
          <w:rFonts w:ascii="Times New Roman" w:hAnsi="Times New Roman"/>
          <w:i/>
          <w:noProof/>
          <w:sz w:val="24"/>
        </w:rPr>
        <w:t>Linia de acțiune 5. Durabilitatea transportului maritim și aerian</w:t>
      </w:r>
    </w:p>
    <w:p>
      <w:pPr>
        <w:spacing w:line="240" w:lineRule="auto"/>
        <w:ind w:left="709"/>
        <w:jc w:val="both"/>
        <w:rPr>
          <w:rFonts w:ascii="Times New Roman" w:hAnsi="Times New Roman" w:cs="Times New Roman"/>
          <w:noProof/>
          <w:sz w:val="24"/>
        </w:rPr>
      </w:pPr>
      <w:r>
        <w:rPr>
          <w:rFonts w:ascii="Times New Roman" w:hAnsi="Times New Roman"/>
          <w:noProof/>
          <w:sz w:val="24"/>
        </w:rPr>
        <w:t>12 Sprijin pentru instalarea combustibililor alternativi în porturi și aeroporturi. Criteriile de eligibilitate ale acestei măsuri asigură respectarea Orientărilor tehnice privind principiul „de a nu prejudicia în mod semnificativ”(2021/C58/01) prin stabilirea unei condiții în care infrastructura de tranziție și distribuție a combustibililor gazoși este activată în momentul construcției pentru transportul gazelor regenerabile și cu emisii scăzute de dioxid de carbon;</w:t>
      </w:r>
    </w:p>
    <w:p>
      <w:pPr>
        <w:spacing w:line="240" w:lineRule="auto"/>
        <w:ind w:left="709"/>
        <w:jc w:val="both"/>
        <w:rPr>
          <w:rFonts w:ascii="Times New Roman" w:hAnsi="Times New Roman" w:cs="Times New Roman"/>
          <w:noProof/>
          <w:sz w:val="24"/>
        </w:rPr>
      </w:pPr>
      <w:r>
        <w:rPr>
          <w:rFonts w:ascii="Times New Roman" w:hAnsi="Times New Roman"/>
          <w:noProof/>
          <w:sz w:val="24"/>
        </w:rPr>
        <w:t>13 Sprijin pentru adoptarea tehnologiilor energetice alternative în sectorul maritim;</w:t>
      </w:r>
    </w:p>
    <w:p>
      <w:pPr>
        <w:spacing w:line="240" w:lineRule="auto"/>
        <w:ind w:firstLine="709"/>
        <w:jc w:val="both"/>
        <w:rPr>
          <w:rFonts w:ascii="Times New Roman" w:hAnsi="Times New Roman" w:cs="Times New Roman"/>
          <w:i/>
          <w:noProof/>
          <w:sz w:val="24"/>
        </w:rPr>
      </w:pPr>
      <w:r>
        <w:rPr>
          <w:rFonts w:ascii="Times New Roman" w:hAnsi="Times New Roman"/>
          <w:i/>
          <w:noProof/>
          <w:sz w:val="24"/>
        </w:rPr>
        <w:t>Linia de acțiune 6. Digitalizarea transporturilor</w:t>
      </w:r>
    </w:p>
    <w:p>
      <w:pPr>
        <w:spacing w:line="240" w:lineRule="auto"/>
        <w:ind w:left="709"/>
        <w:jc w:val="both"/>
        <w:rPr>
          <w:rFonts w:ascii="Times New Roman" w:hAnsi="Times New Roman" w:cs="Times New Roman"/>
          <w:noProof/>
          <w:sz w:val="24"/>
        </w:rPr>
      </w:pPr>
      <w:r>
        <w:rPr>
          <w:rFonts w:ascii="Times New Roman" w:hAnsi="Times New Roman"/>
          <w:noProof/>
          <w:sz w:val="24"/>
        </w:rPr>
        <w:t>14 Proiecte pentru digitalizarea serviciilor de transport de călători și de mărfuri la nivel național;</w:t>
      </w:r>
    </w:p>
    <w:p>
      <w:pPr>
        <w:spacing w:line="240" w:lineRule="auto"/>
        <w:ind w:firstLine="709"/>
        <w:jc w:val="both"/>
        <w:rPr>
          <w:rFonts w:ascii="Times New Roman" w:hAnsi="Times New Roman" w:cs="Times New Roman"/>
          <w:noProof/>
          <w:sz w:val="24"/>
        </w:rPr>
      </w:pPr>
      <w:r>
        <w:rPr>
          <w:rFonts w:ascii="Times New Roman" w:hAnsi="Times New Roman"/>
          <w:i/>
          <w:noProof/>
          <w:sz w:val="24"/>
        </w:rPr>
        <w:t xml:space="preserve">Transfer către comunitățile autonome </w:t>
      </w:r>
    </w:p>
    <w:p>
      <w:pPr>
        <w:spacing w:line="240" w:lineRule="auto"/>
        <w:ind w:left="709"/>
        <w:jc w:val="both"/>
        <w:rPr>
          <w:rFonts w:ascii="Times New Roman" w:hAnsi="Times New Roman" w:cs="Times New Roman"/>
          <w:noProof/>
          <w:sz w:val="24"/>
        </w:rPr>
      </w:pPr>
      <w:r>
        <w:rPr>
          <w:rFonts w:ascii="Times New Roman" w:hAnsi="Times New Roman"/>
          <w:noProof/>
          <w:sz w:val="24"/>
        </w:rPr>
        <w:t>15 Proiecte pentru digitalizarea serviciilor de transport de călători și de mărfuri la nivel regional și local;</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Criteriile de selecție asigură faptul că cel puțin 63 500 000 EUR contribuie la obiectivele legate de schimbările climatice cu un coeficient climatic de 100 % și cel puțin 210 000 000 EUR cu un coeficient climatic de 40 %, în conformitate cu anexa VI la Regulamentul (UE) 2021/241 privind Mecanismul de redresare și reziliență.</w:t>
      </w:r>
    </w:p>
    <w:p>
      <w:pPr>
        <w:spacing w:line="240" w:lineRule="auto"/>
        <w:jc w:val="both"/>
        <w:rPr>
          <w:rFonts w:ascii="Times New Roman" w:hAnsi="Times New Roman" w:cs="Times New Roman"/>
          <w:b/>
          <w:bCs/>
          <w:noProof/>
          <w:sz w:val="24"/>
          <w:u w:val="single"/>
        </w:rPr>
      </w:pPr>
      <w:r>
        <w:rPr>
          <w:rFonts w:ascii="Times New Roman" w:hAnsi="Times New Roman"/>
          <w:noProof/>
          <w:sz w:val="24"/>
          <w:szCs w:val="24"/>
        </w:rPr>
        <w:t>Punerea în aplicare a investiției se finalizează până la 30 iunie 2026.</w:t>
      </w:r>
    </w:p>
    <w:p>
      <w:pPr>
        <w:spacing w:before="120" w:after="120" w:line="240" w:lineRule="auto"/>
        <w:ind w:left="709"/>
        <w:jc w:val="both"/>
        <w:rPr>
          <w:rFonts w:ascii="Times New Roman" w:hAnsi="Times New Roman" w:cs="Times New Roman"/>
          <w:b/>
          <w:bCs/>
          <w:noProof/>
          <w:sz w:val="24"/>
          <w:u w:val="single"/>
        </w:rPr>
      </w:pPr>
      <w:r>
        <w:rPr>
          <w:rFonts w:ascii="Times New Roman" w:hAnsi="Times New Roman"/>
          <w:b/>
          <w:bCs/>
          <w:noProof/>
          <w:sz w:val="24"/>
          <w:u w:val="single"/>
        </w:rPr>
        <w:t xml:space="preserve">F.2. </w:t>
      </w:r>
      <w:r>
        <w:rPr>
          <w:rFonts w:ascii="Times New Roman" w:hAnsi="Times New Roman"/>
          <w:b/>
          <w:noProof/>
          <w:sz w:val="24"/>
          <w:u w:val="single"/>
        </w:rPr>
        <w:tab/>
      </w:r>
      <w:r>
        <w:rPr>
          <w:rFonts w:ascii="Times New Roman" w:hAnsi="Times New Roman"/>
          <w:b/>
          <w:bCs/>
          <w:noProof/>
          <w:sz w:val="24"/>
          <w:u w:val="single"/>
        </w:rPr>
        <w:t>Jaloane, ținte, indicatori și calendarul de monitorizare și implementare aplicabile sprijinului financiar nerambursabil</w:t>
      </w:r>
    </w:p>
    <w:p>
      <w:pPr>
        <w:spacing w:before="120" w:after="120" w:line="240" w:lineRule="auto"/>
        <w:jc w:val="both"/>
        <w:rPr>
          <w:rFonts w:ascii="Times New Roman" w:hAnsi="Times New Roman" w:cs="Times New Roman"/>
          <w:noProof/>
          <w:color w:val="1F497D"/>
        </w:rPr>
      </w:pPr>
      <w:r>
        <w:rPr>
          <w:rFonts w:ascii="Times New Roman" w:hAnsi="Times New Roman"/>
          <w:i/>
          <w:iCs/>
          <w:noProof/>
          <w:color w:val="000000"/>
          <w:sz w:val="24"/>
        </w:rPr>
        <w:t>Tabelul de mai jos.</w:t>
      </w:r>
      <w:r>
        <w:rPr>
          <w:rFonts w:ascii="Times New Roman" w:hAnsi="Times New Roman"/>
          <w:noProof/>
          <w:color w:val="1F497D"/>
          <w:sz w:val="24"/>
        </w:rPr>
        <w:t xml:space="preserve"> </w:t>
      </w:r>
      <w:r>
        <w:rPr>
          <w:rFonts w:ascii="Times New Roman" w:hAnsi="Times New Roman"/>
          <w:i/>
          <w:iCs/>
          <w:noProof/>
          <w:color w:val="000000"/>
          <w:sz w:val="24"/>
        </w:rPr>
        <w:t>Data de referință pentru toți indicatorii este 1 februarie 2020, cu excepția cazului în care se indică altfel în descrierea acțiunii. Sumele din tabel nu includ TVA.</w:t>
      </w:r>
    </w:p>
    <w:p>
      <w:pPr>
        <w:spacing w:before="120" w:after="120" w:line="240" w:lineRule="auto"/>
        <w:jc w:val="both"/>
        <w:rPr>
          <w:rFonts w:ascii="Times New Roman" w:hAnsi="Times New Roman" w:cs="Times New Roman"/>
          <w:b/>
          <w:noProof/>
          <w:sz w:val="24"/>
          <w:u w:val="single"/>
          <w:lang w:val="en-IE"/>
        </w:rPr>
      </w:pPr>
    </w:p>
    <w:p>
      <w:pPr>
        <w:spacing w:before="120" w:after="120" w:line="240" w:lineRule="auto"/>
        <w:ind w:left="709"/>
        <w:jc w:val="both"/>
        <w:rPr>
          <w:rFonts w:ascii="Times New Roman" w:hAnsi="Times New Roman" w:cs="Times New Roman"/>
          <w:noProof/>
          <w:sz w:val="24"/>
          <w:lang w:val="en-IE"/>
        </w:rPr>
      </w:pPr>
    </w:p>
    <w:p>
      <w:pPr>
        <w:spacing w:before="120" w:after="120" w:line="240" w:lineRule="auto"/>
        <w:ind w:left="709"/>
        <w:jc w:val="both"/>
        <w:rPr>
          <w:rFonts w:ascii="Times New Roman" w:hAnsi="Times New Roman" w:cs="Times New Roman"/>
          <w:noProof/>
          <w:sz w:val="24"/>
          <w:lang w:val="en-IE"/>
        </w:rPr>
        <w:sectPr>
          <w:headerReference w:type="even" r:id="rId79"/>
          <w:headerReference w:type="default" r:id="rId80"/>
          <w:footerReference w:type="even" r:id="rId81"/>
          <w:footerReference w:type="default" r:id="rId82"/>
          <w:headerReference w:type="first" r:id="rId83"/>
          <w:footerReference w:type="first" r:id="rId84"/>
          <w:pgSz w:w="11907" w:h="16839"/>
          <w:pgMar w:top="1134" w:right="1417" w:bottom="1134" w:left="1417" w:header="709" w:footer="709" w:gutter="0"/>
          <w:cols w:space="720"/>
          <w:docGrid w:linePitch="360"/>
        </w:sectPr>
      </w:pPr>
    </w:p>
    <w:tbl>
      <w:tblPr>
        <w:tblW w:w="1414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1560"/>
        <w:gridCol w:w="1134"/>
        <w:gridCol w:w="850"/>
        <w:gridCol w:w="567"/>
        <w:gridCol w:w="567"/>
        <w:gridCol w:w="425"/>
        <w:gridCol w:w="567"/>
        <w:gridCol w:w="6066"/>
      </w:tblGrid>
      <w:tr>
        <w:trPr>
          <w:trHeight w:val="309"/>
          <w:tblHeader/>
        </w:trPr>
        <w:tc>
          <w:tcPr>
            <w:tcW w:w="70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Număr</w:t>
            </w:r>
          </w:p>
        </w:tc>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Măsură</w:t>
            </w:r>
          </w:p>
        </w:tc>
        <w:tc>
          <w:tcPr>
            <w:tcW w:w="85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Jalon</w:t>
            </w:r>
            <w:r>
              <w:rPr>
                <w:rFonts w:ascii="Times New Roman" w:hAnsi="Times New Roman"/>
                <w:b/>
                <w:noProof/>
                <w:color w:val="000000"/>
                <w:sz w:val="18"/>
                <w:szCs w:val="18"/>
              </w:rPr>
              <w:br/>
              <w:t xml:space="preserve"> /Țintă</w:t>
            </w:r>
          </w:p>
        </w:tc>
        <w:tc>
          <w:tcPr>
            <w:tcW w:w="156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Denumire</w:t>
            </w:r>
          </w:p>
        </w:tc>
        <w:tc>
          <w:tcPr>
            <w:tcW w:w="1134"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Indicator calitativ pentru obiectivele de etapă</w:t>
            </w:r>
          </w:p>
        </w:tc>
        <w:tc>
          <w:tcPr>
            <w:tcW w:w="1984" w:type="dxa"/>
            <w:gridSpan w:val="3"/>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Indicator cantitativ pentru obiectiv</w:t>
            </w:r>
          </w:p>
        </w:tc>
        <w:tc>
          <w:tcPr>
            <w:tcW w:w="992" w:type="dxa"/>
            <w:gridSpan w:val="2"/>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Timp</w:t>
            </w:r>
          </w:p>
        </w:tc>
        <w:tc>
          <w:tcPr>
            <w:tcW w:w="6066"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bCs/>
                <w:noProof/>
                <w:sz w:val="18"/>
                <w:szCs w:val="18"/>
              </w:rPr>
              <w:t>Descrierea fiecărui jalon și a fiecărei ținte</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1560"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134"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Unitate</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Scenariu de bază</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Obiectiv</w:t>
            </w:r>
          </w:p>
        </w:tc>
        <w:tc>
          <w:tcPr>
            <w:tcW w:w="425"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Q</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An</w:t>
            </w:r>
          </w:p>
        </w:tc>
        <w:tc>
          <w:tcPr>
            <w:tcW w:w="6066"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lang w:val="en-IE"/>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82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C6.R1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Strategia privind mobilitatea durabilă, sigură și conectată (consultare publică)</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Aviz de încheiere a consultării</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2020</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Încheierea procesului de consultare publică a strategiei, cu modificări de reglementare în următoarele nouă domenii:</w:t>
            </w:r>
            <w:r>
              <w:rPr>
                <w:rFonts w:ascii="Times New Roman" w:hAnsi="Times New Roman"/>
                <w:noProof/>
                <w:color w:val="000000"/>
                <w:sz w:val="18"/>
                <w:szCs w:val="18"/>
              </w:rPr>
              <w:br/>
              <w:t>1) mobilitatea pentru toți (pentru a asigura accesibilitatea universală la costuri rezonabile);</w:t>
            </w:r>
            <w:r>
              <w:rPr>
                <w:rFonts w:ascii="Times New Roman" w:hAnsi="Times New Roman"/>
                <w:noProof/>
                <w:color w:val="000000"/>
                <w:sz w:val="18"/>
                <w:szCs w:val="18"/>
              </w:rPr>
              <w:br/>
              <w:t>2) noi politici de investiții (pentru a asigura finanțarea adecvată a infrastructurilor și serviciilor de transport);</w:t>
            </w:r>
            <w:r>
              <w:rPr>
                <w:rFonts w:ascii="Times New Roman" w:hAnsi="Times New Roman"/>
                <w:noProof/>
                <w:color w:val="000000"/>
                <w:sz w:val="18"/>
                <w:szCs w:val="18"/>
              </w:rPr>
              <w:br/>
              <w:t>3) mobilitatea sigură (acordând prioritate investițiilor în monitorizare, întreținere și securitate cibernetică);</w:t>
            </w:r>
            <w:r>
              <w:rPr>
                <w:rFonts w:ascii="Times New Roman" w:hAnsi="Times New Roman"/>
                <w:noProof/>
                <w:color w:val="000000"/>
                <w:sz w:val="18"/>
                <w:szCs w:val="18"/>
              </w:rPr>
              <w:br/>
              <w:t>4) mobilitatea cu emisii scăzute (creșterea eficienței, reducerea consumului de energie);</w:t>
            </w:r>
            <w:r>
              <w:rPr>
                <w:rFonts w:ascii="Times New Roman" w:hAnsi="Times New Roman"/>
                <w:noProof/>
                <w:color w:val="000000"/>
                <w:sz w:val="18"/>
                <w:szCs w:val="18"/>
              </w:rPr>
              <w:br/>
              <w:t>5) mobilitatea inteligentă (stimularea cercetării &amp; D și a inovării în materie de mobilitate, construirea și gestionarea infrastructurii inteligente);</w:t>
            </w:r>
            <w:r>
              <w:rPr>
                <w:rFonts w:ascii="Times New Roman" w:hAnsi="Times New Roman"/>
                <w:noProof/>
                <w:color w:val="000000"/>
                <w:sz w:val="18"/>
                <w:szCs w:val="18"/>
              </w:rPr>
              <w:br/>
              <w:t>6) lanțuri logistice intermodale inteligente (pentru a acorda prioritate transportului feroviar de mărfuri);</w:t>
            </w:r>
            <w:r>
              <w:rPr>
                <w:rFonts w:ascii="Times New Roman" w:hAnsi="Times New Roman"/>
                <w:noProof/>
                <w:color w:val="000000"/>
                <w:sz w:val="18"/>
                <w:szCs w:val="18"/>
              </w:rPr>
              <w:br/>
              <w:t>7) conectarea Europei și a conectării la lume (conectarea porturilor la terminalele logistice intermodale și intensificarea cooperării cu țările învecinate pentru a coordona construirea și/sau îmbunătățirea infrastructurilor transfrontaliere);</w:t>
            </w:r>
            <w:r>
              <w:rPr>
                <w:rFonts w:ascii="Times New Roman" w:hAnsi="Times New Roman"/>
                <w:noProof/>
                <w:color w:val="000000"/>
                <w:sz w:val="18"/>
                <w:szCs w:val="18"/>
              </w:rPr>
              <w:br/>
              <w:t>8) aspecte sociale și legate de muncă (echilibrul de gen și acțiuni de recalificare și perfecționare a forței de muncă din domeniul transporturilor);</w:t>
            </w:r>
            <w:r>
              <w:rPr>
                <w:rFonts w:ascii="Times New Roman" w:hAnsi="Times New Roman"/>
                <w:noProof/>
                <w:color w:val="000000"/>
                <w:sz w:val="18"/>
                <w:szCs w:val="18"/>
              </w:rPr>
              <w:br/>
              <w:t>9) digitalizarea Ministerului Transporturilor (MITMA).</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83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C6.R1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Strategia privind mobilitatea durabilă, sigură și conectată (aprobare)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Aprobarea de către Consiliul de Miniștri</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Aprobarea de către Consiliul de Miniștri a strategiei cu modificări de reglementare pe următoarele nouă axe:</w:t>
            </w:r>
            <w:r>
              <w:rPr>
                <w:rFonts w:ascii="Times New Roman" w:hAnsi="Times New Roman"/>
                <w:noProof/>
                <w:color w:val="000000"/>
                <w:sz w:val="18"/>
                <w:szCs w:val="18"/>
              </w:rPr>
              <w:br/>
              <w:t>1) mobilitatea pentru toți (cu scopul de a asigura accesibilitatea universală la costuri rezonabile);</w:t>
            </w:r>
            <w:r>
              <w:rPr>
                <w:rFonts w:ascii="Times New Roman" w:hAnsi="Times New Roman"/>
                <w:noProof/>
                <w:color w:val="000000"/>
                <w:sz w:val="18"/>
                <w:szCs w:val="18"/>
              </w:rPr>
              <w:br/>
              <w:t>2) noi politici de investiții (pentru a asigura finanțarea adecvată a infrastructurilor și serviciilor de transport);</w:t>
            </w:r>
            <w:r>
              <w:rPr>
                <w:rFonts w:ascii="Times New Roman" w:hAnsi="Times New Roman"/>
                <w:noProof/>
                <w:color w:val="000000"/>
                <w:sz w:val="18"/>
                <w:szCs w:val="18"/>
              </w:rPr>
              <w:br/>
              <w:t>3) mobilitatea sigură (acordând prioritate investițiilor în monitorizare, întreținere și securitate cibernetică);</w:t>
            </w:r>
            <w:r>
              <w:rPr>
                <w:rFonts w:ascii="Times New Roman" w:hAnsi="Times New Roman"/>
                <w:noProof/>
                <w:color w:val="000000"/>
                <w:sz w:val="18"/>
                <w:szCs w:val="18"/>
              </w:rPr>
              <w:br/>
              <w:t>4) mobilitatea cu emisii scăzute (creșterea eficienței, reducerea consumului de energie);</w:t>
            </w:r>
            <w:r>
              <w:rPr>
                <w:rFonts w:ascii="Times New Roman" w:hAnsi="Times New Roman"/>
                <w:noProof/>
                <w:color w:val="000000"/>
                <w:sz w:val="18"/>
                <w:szCs w:val="18"/>
              </w:rPr>
              <w:br/>
              <w:t>5) mobilitatea inteligentă (stimularea cercetării &amp; D și a inovării în materie de mobilitate, construirea și gestionarea infrastructurii inteligente);</w:t>
            </w:r>
            <w:r>
              <w:rPr>
                <w:rFonts w:ascii="Times New Roman" w:hAnsi="Times New Roman"/>
                <w:noProof/>
                <w:color w:val="000000"/>
                <w:sz w:val="18"/>
                <w:szCs w:val="18"/>
              </w:rPr>
              <w:br/>
              <w:t>6) lanțuri logistice intermodale inteligente (prioritizarea transportului de mărfuri pe calea ferată în agendele publice și private);</w:t>
            </w:r>
            <w:r>
              <w:rPr>
                <w:rFonts w:ascii="Times New Roman" w:hAnsi="Times New Roman"/>
                <w:noProof/>
                <w:color w:val="000000"/>
                <w:sz w:val="18"/>
                <w:szCs w:val="18"/>
              </w:rPr>
              <w:br/>
              <w:t>7) conectarea Europei și a conectării la lume (conectarea porturilor la terminalele logistice intermodale și intensificarea cooperării cu țările învecinate pentru a coordona construirea și/sau îmbunătățirea infrastructurilor transfrontaliere);</w:t>
            </w:r>
            <w:r>
              <w:rPr>
                <w:rFonts w:ascii="Times New Roman" w:hAnsi="Times New Roman"/>
                <w:noProof/>
                <w:color w:val="000000"/>
                <w:sz w:val="18"/>
                <w:szCs w:val="18"/>
              </w:rPr>
              <w:br/>
              <w:t>8) aspecte sociale și legate de muncă (echilibrul de gen și acțiuni de recalificare și perfecționare a forței de muncă din domeniul transporturilor);</w:t>
            </w:r>
            <w:r>
              <w:rPr>
                <w:rFonts w:ascii="Times New Roman" w:hAnsi="Times New Roman"/>
                <w:noProof/>
                <w:color w:val="000000"/>
                <w:sz w:val="18"/>
                <w:szCs w:val="18"/>
              </w:rPr>
              <w:br/>
              <w:t>9) digitalizarea Ministerului Transporturilor MITMA.</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84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C6.R2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Strategia orientativă în domeniul feroviar</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Publicarea în Jurnalul Oficial</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Publicarea în Jurnalul Oficial a rezoluției de aprobare a strategiei feroviare indicative cu modificări de reglementare privind: </w:t>
            </w:r>
            <w:r>
              <w:rPr>
                <w:rFonts w:ascii="Times New Roman" w:hAnsi="Times New Roman"/>
                <w:noProof/>
                <w:color w:val="000000"/>
                <w:sz w:val="18"/>
                <w:szCs w:val="18"/>
              </w:rPr>
              <w:br/>
              <w:t xml:space="preserve">(a) stabilirea unei planificări mai clare a acțiunilor din sectorul feroviar, orientate în special către mobilitatea de zi cu zi; </w:t>
            </w:r>
            <w:r>
              <w:rPr>
                <w:rFonts w:ascii="Times New Roman" w:hAnsi="Times New Roman"/>
                <w:noProof/>
                <w:color w:val="000000"/>
                <w:sz w:val="18"/>
                <w:szCs w:val="18"/>
              </w:rPr>
              <w:br/>
              <w:t xml:space="preserve">b) îmbunătățirea întreținerii rețelei; </w:t>
            </w:r>
            <w:r>
              <w:rPr>
                <w:rFonts w:ascii="Times New Roman" w:hAnsi="Times New Roman"/>
                <w:noProof/>
                <w:color w:val="000000"/>
                <w:sz w:val="18"/>
                <w:szCs w:val="18"/>
              </w:rPr>
              <w:br/>
              <w:t xml:space="preserve">c) asigurarea sustenabilității economice a rețelei feroviare; </w:t>
            </w:r>
            <w:r>
              <w:rPr>
                <w:rFonts w:ascii="Times New Roman" w:hAnsi="Times New Roman"/>
                <w:noProof/>
                <w:color w:val="000000"/>
                <w:sz w:val="18"/>
                <w:szCs w:val="18"/>
              </w:rPr>
              <w:br/>
              <w:t xml:space="preserve">d) acordarea de prioritate utilizării eficiente a resurselor, cu o evaluare ex ante și ex post a proiectelor de investiții; </w:t>
            </w:r>
            <w:r>
              <w:rPr>
                <w:rFonts w:ascii="Times New Roman" w:hAnsi="Times New Roman"/>
                <w:noProof/>
                <w:color w:val="000000"/>
                <w:sz w:val="18"/>
                <w:szCs w:val="18"/>
              </w:rPr>
              <w:br/>
              <w:t xml:space="preserve">e) îmbunătățirea interoperabilității rețelei, în special pe coridoarele rețelei transeuropene, și a intermodalității rețelei; </w:t>
            </w:r>
            <w:r>
              <w:rPr>
                <w:rFonts w:ascii="Times New Roman" w:hAnsi="Times New Roman"/>
                <w:noProof/>
                <w:color w:val="000000"/>
                <w:sz w:val="18"/>
                <w:szCs w:val="18"/>
              </w:rPr>
              <w:br/>
              <w:t xml:space="preserve">f) stimularea traficului feroviar de marfă; </w:t>
            </w:r>
            <w:r>
              <w:rPr>
                <w:rFonts w:ascii="Times New Roman" w:hAnsi="Times New Roman"/>
                <w:noProof/>
                <w:color w:val="000000"/>
                <w:sz w:val="18"/>
                <w:szCs w:val="18"/>
              </w:rPr>
              <w:br/>
              <w:t xml:space="preserve">g) sporirea siguranței în transportul feroviar; </w:t>
            </w:r>
            <w:r>
              <w:rPr>
                <w:rFonts w:ascii="Times New Roman" w:hAnsi="Times New Roman"/>
                <w:noProof/>
                <w:color w:val="000000"/>
                <w:sz w:val="18"/>
                <w:szCs w:val="18"/>
              </w:rPr>
              <w:br/>
              <w:t>h) promovarea digitalizării transporturilor și a inovării pentru a asigura mobilitatea conectată.</w:t>
            </w:r>
            <w:r>
              <w:rPr>
                <w:rFonts w:ascii="Times New Roman" w:hAnsi="Times New Roman"/>
                <w:noProof/>
                <w:color w:val="000000"/>
                <w:sz w:val="18"/>
                <w:szCs w:val="18"/>
              </w:rPr>
              <w:br/>
              <w:t>Pentru toate acțiunile incluse în „Strategia orientativă privind căile ferate”, asigurarea respectării dispozițiilor Legii nr. 21/2013 privind evaluarea impactului asupra mediului și ale Legii nr. 9/2018 din 5 decembrie de modificare a Legii nr. 21/2013 și punerea în aplicare a acțiunilor de atenuare necesare pentru protecția mediului din cadrul evaluării impactului asupra mediului (EIM).</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85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C6.I1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Rețeaua centrală TEN-T: atribuirea proiectelor</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Notificarea oficială a atribuirii proiectului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Un buget de cel puțin 1 400 000 000 EUR acordat rețelei centrale TEN-T pe următoarele coridoare: </w:t>
            </w:r>
            <w:r>
              <w:rPr>
                <w:rFonts w:ascii="Times New Roman" w:hAnsi="Times New Roman"/>
                <w:noProof/>
                <w:color w:val="000000"/>
                <w:sz w:val="18"/>
                <w:szCs w:val="18"/>
              </w:rPr>
              <w:br/>
              <w:t>CORIDORUL ATLANTIC</w:t>
            </w:r>
            <w:r>
              <w:rPr>
                <w:rFonts w:ascii="Times New Roman" w:hAnsi="Times New Roman"/>
                <w:noProof/>
                <w:color w:val="000000"/>
                <w:sz w:val="18"/>
                <w:szCs w:val="18"/>
              </w:rPr>
              <w:br/>
              <w:t>• Y Vasca: Vitoria-Bilbao-San Sebastian/Astigarraga-Irun</w:t>
            </w:r>
            <w:r>
              <w:rPr>
                <w:rFonts w:ascii="Times New Roman" w:hAnsi="Times New Roman"/>
                <w:noProof/>
                <w:color w:val="000000"/>
                <w:sz w:val="18"/>
                <w:szCs w:val="18"/>
              </w:rPr>
              <w:br/>
              <w:t>• Valladolid-Palencia-León</w:t>
            </w:r>
            <w:r>
              <w:rPr>
                <w:rFonts w:ascii="Times New Roman" w:hAnsi="Times New Roman"/>
                <w:noProof/>
                <w:color w:val="000000"/>
                <w:sz w:val="18"/>
                <w:szCs w:val="18"/>
              </w:rPr>
              <w:br/>
              <w:t>• León-La Robla-Pola de Lena</w:t>
            </w:r>
            <w:r>
              <w:rPr>
                <w:rFonts w:ascii="Times New Roman" w:hAnsi="Times New Roman"/>
                <w:noProof/>
                <w:color w:val="000000"/>
                <w:sz w:val="18"/>
                <w:szCs w:val="18"/>
              </w:rPr>
              <w:br/>
              <w:t>• Castejón-Pamplona</w:t>
            </w:r>
            <w:r>
              <w:rPr>
                <w:rFonts w:ascii="Times New Roman" w:hAnsi="Times New Roman"/>
                <w:noProof/>
                <w:color w:val="000000"/>
                <w:sz w:val="18"/>
                <w:szCs w:val="18"/>
              </w:rPr>
              <w:br/>
              <w:t>• Ourense-Monforte</w:t>
            </w:r>
            <w:r>
              <w:rPr>
                <w:rFonts w:ascii="Times New Roman" w:hAnsi="Times New Roman"/>
                <w:noProof/>
                <w:color w:val="000000"/>
                <w:sz w:val="18"/>
                <w:szCs w:val="18"/>
              </w:rPr>
              <w:br/>
              <w:t>• Talayuela-Plasencia-Cáceres-Mérida-Badajoz</w:t>
            </w:r>
            <w:r>
              <w:rPr>
                <w:rFonts w:ascii="Times New Roman" w:hAnsi="Times New Roman"/>
                <w:noProof/>
                <w:color w:val="000000"/>
                <w:sz w:val="18"/>
                <w:szCs w:val="18"/>
              </w:rPr>
              <w:br/>
              <w:t>CORIDORUL MEDITERANEEAN:</w:t>
            </w:r>
            <w:r>
              <w:rPr>
                <w:rFonts w:ascii="Times New Roman" w:hAnsi="Times New Roman"/>
                <w:noProof/>
                <w:color w:val="000000"/>
                <w:sz w:val="18"/>
                <w:szCs w:val="18"/>
              </w:rPr>
              <w:br/>
              <w:t>• Frontera francesa-Barcelona/Tarragona-Vandellós</w:t>
            </w:r>
            <w:r>
              <w:rPr>
                <w:rFonts w:ascii="Times New Roman" w:hAnsi="Times New Roman"/>
                <w:noProof/>
                <w:color w:val="000000"/>
                <w:sz w:val="18"/>
                <w:szCs w:val="18"/>
              </w:rPr>
              <w:br/>
              <w:t>• Sagunto-Teruel - Zaragoza</w:t>
            </w:r>
            <w:r>
              <w:rPr>
                <w:rFonts w:ascii="Times New Roman" w:hAnsi="Times New Roman"/>
                <w:noProof/>
                <w:color w:val="000000"/>
                <w:sz w:val="18"/>
                <w:szCs w:val="18"/>
              </w:rPr>
              <w:br/>
              <w:t>• Zaragoza-Tarragona</w:t>
            </w:r>
            <w:r>
              <w:rPr>
                <w:rFonts w:ascii="Times New Roman" w:hAnsi="Times New Roman"/>
                <w:noProof/>
                <w:color w:val="000000"/>
                <w:sz w:val="18"/>
                <w:szCs w:val="18"/>
              </w:rPr>
              <w:br/>
              <w:t>• Castellón-Valencia-La Encina-Alicante</w:t>
            </w:r>
            <w:r>
              <w:rPr>
                <w:rFonts w:ascii="Times New Roman" w:hAnsi="Times New Roman"/>
                <w:noProof/>
                <w:color w:val="000000"/>
                <w:sz w:val="18"/>
                <w:szCs w:val="18"/>
              </w:rPr>
              <w:br/>
              <w:t>• Murcia-Cartagena</w:t>
            </w:r>
            <w:r>
              <w:rPr>
                <w:rFonts w:ascii="Times New Roman" w:hAnsi="Times New Roman"/>
                <w:noProof/>
                <w:color w:val="000000"/>
                <w:sz w:val="18"/>
                <w:szCs w:val="18"/>
              </w:rPr>
              <w:br/>
              <w:t>• Murcia-Almería</w:t>
            </w:r>
            <w:r>
              <w:rPr>
                <w:rFonts w:ascii="Times New Roman" w:hAnsi="Times New Roman"/>
                <w:noProof/>
                <w:color w:val="000000"/>
                <w:sz w:val="18"/>
                <w:szCs w:val="18"/>
              </w:rPr>
              <w:br/>
              <w:t>COMUNE PENTRU AMBELE CORIDOARE</w:t>
            </w:r>
            <w:r>
              <w:rPr>
                <w:rFonts w:ascii="Times New Roman" w:hAnsi="Times New Roman"/>
                <w:noProof/>
                <w:color w:val="000000"/>
                <w:sz w:val="18"/>
                <w:szCs w:val="18"/>
              </w:rPr>
              <w:br/>
              <w:t>• Legături HSL Barcelona - HSL Levante</w:t>
            </w:r>
            <w:r>
              <w:rPr>
                <w:rFonts w:ascii="Times New Roman" w:hAnsi="Times New Roman"/>
                <w:noProof/>
                <w:color w:val="000000"/>
                <w:sz w:val="18"/>
                <w:szCs w:val="18"/>
              </w:rPr>
              <w:br/>
              <w:t>• Alcázar de San Juan-Manzanares</w:t>
            </w:r>
            <w:r>
              <w:rPr>
                <w:rFonts w:ascii="Times New Roman" w:hAnsi="Times New Roman"/>
                <w:noProof/>
                <w:color w:val="000000"/>
                <w:sz w:val="18"/>
                <w:szCs w:val="18"/>
              </w:rPr>
              <w:br/>
              <w:t>• Madrid-Seville</w:t>
            </w:r>
            <w:r>
              <w:rPr>
                <w:rFonts w:ascii="Times New Roman" w:hAnsi="Times New Roman"/>
                <w:noProof/>
                <w:color w:val="000000"/>
                <w:sz w:val="18"/>
                <w:szCs w:val="18"/>
              </w:rPr>
              <w:br/>
              <w:t>Lucrările includ următoarele tipuri de acțiuni:</w:t>
            </w:r>
            <w:r>
              <w:rPr>
                <w:rFonts w:ascii="Times New Roman" w:hAnsi="Times New Roman"/>
                <w:noProof/>
                <w:color w:val="000000"/>
                <w:sz w:val="18"/>
                <w:szCs w:val="18"/>
              </w:rPr>
              <w:br/>
              <w:t>• Platformă. Aceasta include proiecte care permit crearea infrastructurii care sprijină liniile și care include rambleiaje, degajări, viaducte, tuneluri etc. Acestea sunt, în principal, construcția de noi infrastructuri.</w:t>
            </w:r>
            <w:r>
              <w:rPr>
                <w:rFonts w:ascii="Times New Roman" w:hAnsi="Times New Roman"/>
                <w:noProof/>
                <w:color w:val="000000"/>
                <w:sz w:val="18"/>
                <w:szCs w:val="18"/>
              </w:rPr>
              <w:br/>
              <w:t>• Înlocuirea serviciilor. Aceasta include acțiuni care vizează restabilirea serviciilor existente (ușoare, de irigare, de apă etc.) care sunt afectate în timpul executării lucrărilor feroviare.</w:t>
            </w:r>
            <w:r>
              <w:rPr>
                <w:rFonts w:ascii="Times New Roman" w:hAnsi="Times New Roman"/>
                <w:noProof/>
                <w:color w:val="000000"/>
                <w:sz w:val="18"/>
                <w:szCs w:val="18"/>
              </w:rPr>
              <w:br/>
              <w:t>• Traiectorii. Aceasta include acțiuni de asamblare și furnizare a materialelor de cale ferată (balast, traverse, șine, comutatoare și dispozitive de expansiune) pe noi tronsoane de cale ferată, precum și de reînnoire a liniilor de cale ferată existente.</w:t>
            </w:r>
            <w:r>
              <w:rPr>
                <w:rFonts w:ascii="Times New Roman" w:hAnsi="Times New Roman"/>
                <w:noProof/>
                <w:color w:val="000000"/>
                <w:sz w:val="18"/>
                <w:szCs w:val="18"/>
              </w:rPr>
              <w:br/>
              <w:t>• Energie electrică. Aceasta include acțiuni care vizează electrificarea liniilor, inclusiv: linie aeriană de contact, substații de tracțiune, centre de transformare, comandă de la distanță, linii electrice de înaltă tensiune etc.;</w:t>
            </w:r>
            <w:r>
              <w:rPr>
                <w:rFonts w:ascii="Times New Roman" w:hAnsi="Times New Roman"/>
                <w:noProof/>
                <w:color w:val="000000"/>
                <w:sz w:val="18"/>
                <w:szCs w:val="18"/>
              </w:rPr>
              <w:br/>
              <w:t>• Semnalizare și control al traficului. Acesta include proiecte care vizează punerea în aplicare a unor noi sisteme de semnalizare și control al traficului (ERTMS etc.).</w:t>
            </w:r>
            <w:r>
              <w:rPr>
                <w:rFonts w:ascii="Times New Roman" w:hAnsi="Times New Roman"/>
                <w:noProof/>
                <w:color w:val="000000"/>
                <w:sz w:val="18"/>
                <w:szCs w:val="18"/>
              </w:rPr>
              <w:br/>
              <w:t>• Telecomunicații. Include proiecte legate de telecomunicațiile fixe și mobile pe liniile de cale ferată (cum ar fi fibra optică, GSM-R)</w:t>
            </w:r>
            <w:r>
              <w:rPr>
                <w:rFonts w:ascii="Times New Roman" w:hAnsi="Times New Roman"/>
                <w:noProof/>
                <w:color w:val="000000"/>
                <w:sz w:val="18"/>
                <w:szCs w:val="18"/>
              </w:rPr>
              <w:br/>
              <w:t>• Stații. Aceasta include modernizarea și reabilitarea stațiilor existente, precum și construirea de noi stații.</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86</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C6.I1</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156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Rețeaua centrală TEN-T: evoluția lucrărilor </w:t>
            </w:r>
          </w:p>
        </w:tc>
        <w:tc>
          <w:tcPr>
            <w:tcW w:w="113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Număr (km)</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335</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2024</w:t>
            </w:r>
          </w:p>
        </w:tc>
        <w:tc>
          <w:tcPr>
            <w:tcW w:w="606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Cel puțin 335 km de lucrări finalizate la rețeaua centrală TEN-T în coridoarele definite în criteriile de atribuire a proiectelor din T4 2022, ținta #85.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87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C6.I1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Rețeaua centrală TEN-T: finalizarea lucrărilor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 (km)</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335</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1 400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2026</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Cel puțin 1 400 km de lucrări finalizate la rețeaua centrală TEN-T în coridoarele definite în criteriile de selecție a premiilor pentru proiecte din T4 2022 la ținta #85. (valoare de referință: 31 decembrie 2024).</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88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C6.I2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Rețeaua TEN-T: diferite moduri de transport (feroviar și rutier): atribuirea parțială a bugetului</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Notificarea oficială a atribuirii proiectului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Alocarea unui buget cumulat de cel puțin 1 000 000 000 EUR (buget total de 1 717 000 000 EUR) pentru intervenții în cadrul rețelei centrale TEN-T în diferite moduri de transport (feroviar și rutier). Proiectele sunt selectate pe baza următoarelor criterii de selecție:</w:t>
            </w:r>
            <w:r>
              <w:rPr>
                <w:rFonts w:ascii="Times New Roman" w:hAnsi="Times New Roman"/>
                <w:noProof/>
                <w:color w:val="000000"/>
                <w:sz w:val="18"/>
                <w:szCs w:val="18"/>
              </w:rPr>
              <w:br/>
              <w:t>a) Dezvoltarea interoperabilității rețelei feroviare, în principal în raport cu TEN-T, cu lucrări la cel puțin 900 km de rețea (1 010 000 000 EUR). Aceasta include următoarele intervenții:</w:t>
            </w:r>
            <w:r>
              <w:rPr>
                <w:rFonts w:ascii="Times New Roman" w:hAnsi="Times New Roman"/>
                <w:noProof/>
                <w:color w:val="000000"/>
                <w:sz w:val="18"/>
                <w:szCs w:val="18"/>
              </w:rPr>
              <w:br/>
              <w:t>• Îmbunătățirea infrastructurii tehnologice pentru gestionarea traficului feroviar</w:t>
            </w:r>
            <w:r>
              <w:rPr>
                <w:rFonts w:ascii="Times New Roman" w:hAnsi="Times New Roman"/>
                <w:noProof/>
                <w:color w:val="000000"/>
                <w:sz w:val="18"/>
                <w:szCs w:val="18"/>
              </w:rPr>
              <w:br/>
              <w:t>• Securitate (cum ar fi securitatea cibernetică, instalarea detectoarelor de accidente)</w:t>
            </w:r>
            <w:r>
              <w:rPr>
                <w:rFonts w:ascii="Times New Roman" w:hAnsi="Times New Roman"/>
                <w:noProof/>
                <w:color w:val="000000"/>
                <w:sz w:val="18"/>
                <w:szCs w:val="18"/>
              </w:rPr>
              <w:br/>
              <w:t>• Protecții acustice/hărți acustice</w:t>
            </w:r>
            <w:r>
              <w:rPr>
                <w:rFonts w:ascii="Times New Roman" w:hAnsi="Times New Roman"/>
                <w:noProof/>
                <w:color w:val="000000"/>
                <w:sz w:val="18"/>
                <w:szCs w:val="18"/>
              </w:rPr>
              <w:br/>
              <w:t>• Dezvoltarea tehnologiei prin satelit aplicată semnalizării feroviare ERTMS</w:t>
            </w:r>
            <w:r>
              <w:rPr>
                <w:rFonts w:ascii="Times New Roman" w:hAnsi="Times New Roman"/>
                <w:noProof/>
                <w:color w:val="000000"/>
                <w:sz w:val="18"/>
                <w:szCs w:val="18"/>
              </w:rPr>
              <w:br/>
              <w:t>• Electrificarea tronsoanelor (cum ar fi Monforte-Lugo)</w:t>
            </w:r>
            <w:r>
              <w:rPr>
                <w:rFonts w:ascii="Times New Roman" w:hAnsi="Times New Roman"/>
                <w:noProof/>
                <w:color w:val="000000"/>
                <w:sz w:val="18"/>
                <w:szCs w:val="18"/>
              </w:rPr>
              <w:br/>
              <w:t>• Reînnoirea căilor ferate (cum ar fi Soria-Torralba, Xátiva-Ontinyent și Monforte-Lugo)</w:t>
            </w:r>
            <w:r>
              <w:rPr>
                <w:rFonts w:ascii="Times New Roman" w:hAnsi="Times New Roman"/>
                <w:noProof/>
                <w:color w:val="000000"/>
                <w:sz w:val="18"/>
                <w:szCs w:val="18"/>
              </w:rPr>
              <w:br/>
              <w:t>• Îmbunătățirea subsistemului control-comandă și semnalizare (cum ar fi Soria-Torralba și Ávila-Salamanca)</w:t>
            </w:r>
            <w:r>
              <w:rPr>
                <w:rFonts w:ascii="Times New Roman" w:hAnsi="Times New Roman"/>
                <w:noProof/>
                <w:color w:val="000000"/>
                <w:sz w:val="18"/>
                <w:szCs w:val="18"/>
              </w:rPr>
              <w:br/>
              <w:t xml:space="preserve">• Crearea de noi secțiuni sau variante (cum ar fi Palencia-Santander, variantă a Rincón de Soto și variantă a Ourense) </w:t>
            </w:r>
            <w:r>
              <w:rPr>
                <w:rFonts w:ascii="Times New Roman" w:hAnsi="Times New Roman"/>
                <w:noProof/>
                <w:color w:val="000000"/>
                <w:sz w:val="18"/>
                <w:szCs w:val="18"/>
              </w:rPr>
              <w:br/>
              <w:t>b) Creșterea siguranței rețelei rutiere în conformitate cu reglementările naționale și europene (707 000 000 EUR).</w:t>
            </w:r>
            <w:r>
              <w:rPr>
                <w:rFonts w:ascii="Times New Roman" w:hAnsi="Times New Roman"/>
                <w:noProof/>
                <w:color w:val="000000"/>
                <w:sz w:val="18"/>
                <w:szCs w:val="18"/>
              </w:rPr>
              <w:br/>
              <w:t>• Îmbunătățirea siguranței rutiere (inclusiv a siguranței rutiere în cel puțin 80 tuneluri) și protejarea speciilor sălbatice și a utilizatorilor vulnerabili (357 000 000 EUR)</w:t>
            </w:r>
            <w:r>
              <w:rPr>
                <w:rFonts w:ascii="Times New Roman" w:hAnsi="Times New Roman"/>
                <w:noProof/>
                <w:color w:val="000000"/>
                <w:sz w:val="18"/>
                <w:szCs w:val="18"/>
              </w:rPr>
              <w:br/>
              <w:t xml:space="preserve">• Sustenabilitate, eficiență energetică și acțiune de reducere a zgomotului (302 000 000 EUR) </w:t>
            </w:r>
            <w:r>
              <w:rPr>
                <w:rFonts w:ascii="Times New Roman" w:hAnsi="Times New Roman"/>
                <w:noProof/>
                <w:color w:val="000000"/>
                <w:sz w:val="18"/>
                <w:szCs w:val="18"/>
              </w:rPr>
              <w:br/>
              <w:t xml:space="preserve">• Digitalizare: Implementarea sistemelor de monitorizare pentru poduri, tuneluri, utilizând analiza volumelor mari de date și internetul obiectelor; digitalizarea drumurilor pentru monitorizare și întreținere (35 000 000 EUR). </w:t>
            </w:r>
            <w:r>
              <w:rPr>
                <w:rFonts w:ascii="Times New Roman" w:hAnsi="Times New Roman"/>
                <w:noProof/>
                <w:color w:val="000000"/>
                <w:sz w:val="18"/>
                <w:szCs w:val="18"/>
              </w:rPr>
              <w:br/>
              <w:t>• Implementarea sistemelor de transport inteligent pe traseele autobuzelor VAO (13 000 000 EUR)</w:t>
            </w:r>
            <w:r>
              <w:rPr>
                <w:rFonts w:ascii="Times New Roman" w:hAnsi="Times New Roman"/>
                <w:noProof/>
                <w:color w:val="000000"/>
                <w:sz w:val="18"/>
                <w:szCs w:val="18"/>
              </w:rPr>
              <w:br/>
              <w:t xml:space="preserve">• Actualizarea proiectului preliminar primar al legăturii fixe peste strâmtoarea Gibraltar (2 300 000 EUR) </w:t>
            </w:r>
            <w:r>
              <w:rPr>
                <w:rFonts w:ascii="Times New Roman" w:hAnsi="Times New Roman"/>
                <w:noProof/>
                <w:color w:val="000000"/>
                <w:sz w:val="18"/>
                <w:szCs w:val="18"/>
              </w:rPr>
              <w:br/>
              <w:t>Criteriile de selecție asigură faptul că la T2 2026 cel puțin 1 010 000 000 EUR contribuie la obiectivele legate de schimbările climatice cu un coeficient climatic de 100 % și cel puțin 301 000 000 EUR cu un coeficient climatic de 40 %, în conformitate cu anexa VI la Regulamentul (UE) 2021/241 privind Mecanismul de redresare și reziliență.</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89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C6.I2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Rețeaua TEN-T non-centrală: progresele înregistrate în ceea ce privește lucrările feroviare</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 (km)</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347</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Cel puțin 347 km de lucrări finalizate cu scopul de a face rețeaua feroviară mai interoperabilă, în principal în raport cu TEN-T, cu un obiectiv final de lucrări globale pe cel puțin 900 km de rețea. Lucrările se desfășoară în domeniile definite în atribuirea proiectului de la întrebarea 4 2022 litera (a) (jalonul 88).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90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C6.I2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Cerul unic european: proiectul atribuit și progresele înregistrate în ceea ce privește finalizarea proiectelor</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Număr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15</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Un total cumulat de cel puțin 15 proiecte finalizate (obiectivul final 20) în domeniul digitalizării și al securității pentru dezvoltarea cerului unic european, din următoarea listă de criterii de selecție: Un total cumulat de cel puțin 15 proiecte finalizate (obiectivul final 20) în domeniul digitalizării și al securității pentru dezvoltarea cerului unic european, din următoarea listă de criterii de selecție:</w:t>
            </w:r>
            <w:r>
              <w:rPr>
                <w:rFonts w:ascii="Times New Roman" w:hAnsi="Times New Roman"/>
                <w:noProof/>
                <w:color w:val="000000"/>
                <w:sz w:val="18"/>
                <w:szCs w:val="18"/>
              </w:rPr>
              <w:br/>
              <w:t>• Investiții directe prin intermediul ENAIRE (manager de navigație aeriană în Spania) pentru dezvoltarea cerului unic european, legate de modernizarea sistemelor de control al traficului aerian și a sistemelor de supraveghere, transformarea digitală a sistemelor de informații și evoluția sistemelor de comunicații.</w:t>
            </w:r>
            <w:r>
              <w:rPr>
                <w:rFonts w:ascii="Times New Roman" w:hAnsi="Times New Roman"/>
                <w:noProof/>
                <w:color w:val="000000"/>
                <w:sz w:val="18"/>
                <w:szCs w:val="18"/>
              </w:rPr>
              <w:br/>
              <w:t>• Digitalizarea documentației aeronautice (date și cartografiere) puse la dispoziția utilizatorilor pentru operarea zborurilor</w:t>
            </w:r>
            <w:r>
              <w:rPr>
                <w:rFonts w:ascii="Times New Roman" w:hAnsi="Times New Roman"/>
                <w:noProof/>
                <w:color w:val="000000"/>
                <w:sz w:val="18"/>
                <w:szCs w:val="18"/>
              </w:rPr>
              <w:br/>
              <w:t>• Extinderea acoperirii Pământului/aerului și digitalizarea vocii în comunicațiile pilot-controlor-pilot Îmbunătățirea acoperirii la un nivel scăzut în anumite zone ale spațiului aerian prin modernizarea infrastructurii de comunicații terestre</w:t>
            </w:r>
            <w:r>
              <w:rPr>
                <w:rFonts w:ascii="Times New Roman" w:hAnsi="Times New Roman"/>
                <w:noProof/>
                <w:color w:val="000000"/>
                <w:sz w:val="18"/>
                <w:szCs w:val="18"/>
              </w:rPr>
              <w:br/>
              <w:t>• Evoluția sistemului de comunicații vocale în centrele de control al traficului aerian prin digitalizare și tehnologie avansată, asigurând o calitate mai bună, o siguranță sporită, disponibilitatea informațiilor și o capacitate de urgență sporită</w:t>
            </w:r>
            <w:r>
              <w:rPr>
                <w:rFonts w:ascii="Times New Roman" w:hAnsi="Times New Roman"/>
                <w:noProof/>
                <w:color w:val="000000"/>
                <w:sz w:val="18"/>
                <w:szCs w:val="18"/>
              </w:rPr>
              <w:br/>
              <w:t>• Modernizarea tehnologică a rețelei radar primare, îmbunătățirea performanței și direcționarea sistemelor de navigație și direcționare către digitalizarea completă a radarelor primare, utilizând toate progresele tehnologice disponibile pentru creșterea eficienței operaționale</w:t>
            </w:r>
            <w:r>
              <w:rPr>
                <w:rFonts w:ascii="Times New Roman" w:hAnsi="Times New Roman"/>
                <w:noProof/>
                <w:color w:val="000000"/>
                <w:sz w:val="18"/>
                <w:szCs w:val="18"/>
              </w:rPr>
              <w:br/>
              <w:t>• Evoluția sistemelor radar secundare ale Modo S., care furnizează informații sistemului de control al traficului aerian</w:t>
            </w:r>
            <w:r>
              <w:rPr>
                <w:rFonts w:ascii="Times New Roman" w:hAnsi="Times New Roman"/>
                <w:noProof/>
                <w:color w:val="000000"/>
                <w:sz w:val="18"/>
                <w:szCs w:val="18"/>
              </w:rPr>
              <w:br/>
              <w:t>• Înlocuirea echipamentelor hardware ale diferitelor sisteme ENAIRE</w:t>
            </w:r>
            <w:r>
              <w:rPr>
                <w:rFonts w:ascii="Times New Roman" w:hAnsi="Times New Roman"/>
                <w:noProof/>
                <w:color w:val="000000"/>
                <w:sz w:val="18"/>
                <w:szCs w:val="18"/>
              </w:rPr>
              <w:br/>
              <w:t>• Dezvoltarea a diferite aplicații de management și operare pentru gestionarea ENAIRE</w:t>
            </w:r>
            <w:r>
              <w:rPr>
                <w:rFonts w:ascii="Times New Roman" w:hAnsi="Times New Roman"/>
                <w:noProof/>
                <w:color w:val="000000"/>
                <w:sz w:val="18"/>
                <w:szCs w:val="18"/>
              </w:rPr>
              <w:br/>
              <w:t>• Modernizarea tehnologică a sistemelor de transport prin prioritizarea digitalizării lor complete și implementarea sistemelor de monitorizare și soluții de control la distanță</w:t>
            </w:r>
            <w:r>
              <w:rPr>
                <w:rFonts w:ascii="Times New Roman" w:hAnsi="Times New Roman"/>
                <w:noProof/>
                <w:color w:val="000000"/>
                <w:sz w:val="18"/>
                <w:szCs w:val="18"/>
              </w:rPr>
              <w:br/>
              <w:t>• Crearea infrastructurii pentru implementarea noilor sisteme de control al traficului aerian. Esențial pentru a asigura punerea în aplicare a noilor concepte operaționale în Spania. În plus, este inclusă modernizarea instalațiilor pentru a asigura reziliența la defecțiuni.</w:t>
            </w:r>
            <w:r>
              <w:rPr>
                <w:rFonts w:ascii="Times New Roman" w:hAnsi="Times New Roman"/>
                <w:noProof/>
                <w:color w:val="000000"/>
                <w:sz w:val="18"/>
                <w:szCs w:val="18"/>
              </w:rPr>
              <w:br/>
              <w:t>• Digitalizarea și automatizarea gestionării operaționale tehnice pentru îmbunătățirea instrumentelor de monitorizare a sistemelor la distanță într-un mod integrat</w:t>
            </w:r>
            <w:r>
              <w:rPr>
                <w:rFonts w:ascii="Times New Roman" w:hAnsi="Times New Roman"/>
                <w:noProof/>
                <w:color w:val="000000"/>
                <w:sz w:val="18"/>
                <w:szCs w:val="18"/>
              </w:rPr>
              <w:br/>
              <w:t>• Modernizarea sistemului de control al traficului în vederea respectării criteriilor de reglementare, incorporând îmbunătățiri ale capacității, siguranței, securității cibernetice și conceptelor de digitalizare care decug din cerul unic european</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91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C6.I2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Digitalizarea Ministerului Transporturilor, Mobilității și Agendei urbane</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Notificarea oficială a finalizării lucrărilor</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Finalizarea următoarelor proiecte:</w:t>
            </w:r>
            <w:r>
              <w:rPr>
                <w:rFonts w:ascii="Times New Roman" w:hAnsi="Times New Roman"/>
                <w:noProof/>
                <w:color w:val="000000"/>
                <w:sz w:val="18"/>
                <w:szCs w:val="18"/>
              </w:rPr>
              <w:br/>
              <w:t>• Crearea unui mod de gestionare a informațiilor (Building Information Modeling - BIM), care lansează o platformă de colaborare pentru gestionarea informațiilor și modelelor digitale.</w:t>
            </w:r>
            <w:r>
              <w:rPr>
                <w:rFonts w:ascii="Times New Roman" w:hAnsi="Times New Roman"/>
                <w:noProof/>
                <w:color w:val="000000"/>
                <w:sz w:val="18"/>
                <w:szCs w:val="18"/>
              </w:rPr>
              <w:br/>
              <w:t>• Stimularea mobilității ca serviciu, furnizarea de date deschise și utilizarea noilor tehnologii pentru analiza și optimizarea mobilității.</w:t>
            </w:r>
            <w:r>
              <w:rPr>
                <w:rFonts w:ascii="Times New Roman" w:hAnsi="Times New Roman"/>
                <w:noProof/>
                <w:color w:val="000000"/>
                <w:sz w:val="18"/>
                <w:szCs w:val="18"/>
              </w:rPr>
              <w:br/>
              <w:t xml:space="preserve">• Punerea în aplicare a unui sistem de analiză, monitorizare, supraveghere, control al necesităților, implementare și implementare a noilor tehnologii în domeniul transportului terestru. </w:t>
            </w:r>
            <w:r>
              <w:rPr>
                <w:rFonts w:ascii="Times New Roman" w:hAnsi="Times New Roman"/>
                <w:noProof/>
                <w:color w:val="000000"/>
                <w:sz w:val="18"/>
                <w:szCs w:val="18"/>
              </w:rPr>
              <w:br/>
              <w:t>• Planul de digitalizare al Direcției Generale Drumuri.</w:t>
            </w:r>
            <w:r>
              <w:rPr>
                <w:rFonts w:ascii="Times New Roman" w:hAnsi="Times New Roman"/>
                <w:noProof/>
                <w:color w:val="000000"/>
                <w:sz w:val="18"/>
                <w:szCs w:val="18"/>
              </w:rPr>
              <w:br/>
              <w:t>• Dezvoltarea de noi servicii și îmbunătățirea gestionării în domeniul informațiilor aeriene, maritime și geografice, printre altele.</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92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C6.I2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Rețea TEN-T nouă sau modernizată, alte lucrări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Număr (km)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347</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900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2026</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Cel puțin 900 km de lucrări finalizate cu scopul de a face rețeaua feroviară mai interoperabilă, în principal în raport cu TEN-T cu lucrări. Lucrările se desfășoară în domeniile definite în criteriile de selecție a proiectelor de la întrebarea 4 2022 litera (a) (jalonul 88). (valoare de referință: 31 decembrie 2024).</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93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C6.I2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Cerul unic european: finalizarea proiectului</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15</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2026</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Cel puțin 20 proiecte finalizate în domeniul digitalizării și al securității pentru dezvoltarea cerului unic european, cu proiecte selectate în conformitate cu criteriile de selecție a proiectelor (jalonul 90). (nivel de referință: 31 decembrie 2024).</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94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C6.I2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Rețeaua rutieră de stat adaptată la reglementările actuale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Finalizarea proiectului</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2026</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Finalizarea lucrărilor pentru ca rețeaua rutieră de stat să fie mai sigură în conformitate cu reglementările naționale și europene. Lucrările se încadrează în domeniile definite în criteriile de selecție pentru atribuirea proiectelor din Q4 2022 litera (b) (jalonul 88) și includ lucrări în cel puțin 80 tuneluri, lucrări de îmbunătățire a gardurilor și a semnalizării pentru a reduce probabilitatea de a fi lovit fauna sălbatică, punerea în aplicare a unor acțiuni de îmbunătățire a condițiilor de siguranță ale celor mai vulnerabili utilizatori ai drumurilor, cum ar fi pietonii și bicicliștii (trotuare, piste pentru biciclete), acțiuni de reducere a zgomotului, digitalizare (punerea în aplicare a unor sisteme de monitorizare pentru utilizatori de date; digitalizarea drumului pentru monitorizare și întreținere), punerea în aplicare a sistemelor de transport inteligente în benzile de autobuz.</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95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C6.I3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Infrastructuri intermodale și logistice: atribuirea parțială a bugetului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Notificarea oficială a atribuirii proiectului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Buget cumulat acordat de cel puțin 3 300 000 000 EUR (buget țintă total de 974 000 000 EUR) pentru intervențiile furnizate pentru îmbunătățirea infrastructurilor intermodale și logistice</w:t>
            </w:r>
            <w:r>
              <w:rPr>
                <w:rFonts w:ascii="Times New Roman" w:hAnsi="Times New Roman"/>
                <w:noProof/>
                <w:color w:val="000000"/>
                <w:sz w:val="18"/>
                <w:szCs w:val="18"/>
              </w:rPr>
              <w:br/>
              <w:t>Proiectele sunt selectate pe baza următoarelor criterii de selecție:</w:t>
            </w:r>
            <w:r>
              <w:rPr>
                <w:rFonts w:ascii="Times New Roman" w:hAnsi="Times New Roman"/>
                <w:noProof/>
                <w:color w:val="000000"/>
                <w:sz w:val="18"/>
                <w:szCs w:val="18"/>
              </w:rPr>
              <w:br/>
              <w:t xml:space="preserve">a) dezvoltarea și modernizarea a nouă terminale strategice intermodale și logistice (TILOS 217 000 000 EUR), integrarea terminalului intermodal în zona logistică, în unele cazuri, și stimularea transferului modal al mărfurilor de la transportul rutier la cel feroviar, în toate cazurile. Aceste terminale și facilități logistice sunt: </w:t>
            </w:r>
            <w:r>
              <w:rPr>
                <w:rFonts w:ascii="Times New Roman" w:hAnsi="Times New Roman"/>
                <w:noProof/>
                <w:color w:val="000000"/>
                <w:sz w:val="18"/>
                <w:szCs w:val="18"/>
              </w:rPr>
              <w:br/>
              <w:t>• Vicálvaro la Madrid;</w:t>
            </w:r>
            <w:r>
              <w:rPr>
                <w:rFonts w:ascii="Times New Roman" w:hAnsi="Times New Roman"/>
                <w:noProof/>
                <w:color w:val="000000"/>
                <w:sz w:val="18"/>
                <w:szCs w:val="18"/>
              </w:rPr>
              <w:br/>
              <w:t>• La Llagosta în Barcelona</w:t>
            </w:r>
            <w:r>
              <w:rPr>
                <w:rFonts w:ascii="Times New Roman" w:hAnsi="Times New Roman"/>
                <w:noProof/>
                <w:color w:val="000000"/>
                <w:sz w:val="18"/>
                <w:szCs w:val="18"/>
              </w:rPr>
              <w:br/>
              <w:t>• San Luis în Valencia</w:t>
            </w:r>
            <w:r>
              <w:rPr>
                <w:rFonts w:ascii="Times New Roman" w:hAnsi="Times New Roman"/>
                <w:noProof/>
                <w:color w:val="000000"/>
                <w:sz w:val="18"/>
                <w:szCs w:val="18"/>
              </w:rPr>
              <w:br/>
              <w:t>• Júndiz în Álava.</w:t>
            </w:r>
            <w:r>
              <w:rPr>
                <w:rFonts w:ascii="Times New Roman" w:hAnsi="Times New Roman"/>
                <w:noProof/>
                <w:color w:val="000000"/>
                <w:sz w:val="18"/>
                <w:szCs w:val="18"/>
              </w:rPr>
              <w:br/>
              <w:t>• Facilitatea logistică de la Can Tunis (Barcelona)</w:t>
            </w:r>
            <w:r>
              <w:rPr>
                <w:rFonts w:ascii="Times New Roman" w:hAnsi="Times New Roman"/>
                <w:noProof/>
                <w:color w:val="000000"/>
                <w:sz w:val="18"/>
                <w:szCs w:val="18"/>
              </w:rPr>
              <w:br/>
              <w:t>• Terminalul Orduña (Bizkaia)</w:t>
            </w:r>
            <w:r>
              <w:rPr>
                <w:rFonts w:ascii="Times New Roman" w:hAnsi="Times New Roman"/>
                <w:noProof/>
                <w:color w:val="000000"/>
                <w:sz w:val="18"/>
                <w:szCs w:val="18"/>
              </w:rPr>
              <w:br/>
              <w:t>• Facilitatea logistică în Lezo (Gipuzkoa)</w:t>
            </w:r>
            <w:r>
              <w:rPr>
                <w:rFonts w:ascii="Times New Roman" w:hAnsi="Times New Roman"/>
                <w:noProof/>
                <w:color w:val="000000"/>
                <w:sz w:val="18"/>
                <w:szCs w:val="18"/>
              </w:rPr>
              <w:br/>
              <w:t>• Muriedas (Santander)</w:t>
            </w:r>
            <w:r>
              <w:rPr>
                <w:rFonts w:ascii="Times New Roman" w:hAnsi="Times New Roman"/>
                <w:noProof/>
                <w:color w:val="000000"/>
                <w:sz w:val="18"/>
                <w:szCs w:val="18"/>
              </w:rPr>
              <w:br/>
              <w:t>• Terminalul Escombreras (Murcia)</w:t>
            </w:r>
            <w:r>
              <w:rPr>
                <w:rFonts w:ascii="Times New Roman" w:hAnsi="Times New Roman"/>
                <w:noProof/>
                <w:color w:val="000000"/>
                <w:sz w:val="18"/>
                <w:szCs w:val="18"/>
              </w:rPr>
              <w:br/>
              <w:t xml:space="preserve">b) îmbunătățirea accesului feroviar la două porturi spaniole (407 700 000 EUR) și a accesului rutier la un port (43 000 000 EUR), inclusiv: </w:t>
            </w:r>
            <w:r>
              <w:rPr>
                <w:rFonts w:ascii="Times New Roman" w:hAnsi="Times New Roman"/>
                <w:noProof/>
                <w:color w:val="000000"/>
                <w:sz w:val="18"/>
                <w:szCs w:val="18"/>
              </w:rPr>
              <w:br/>
              <w:t>• Accesul feroviar la portul A Coruña</w:t>
            </w:r>
            <w:r>
              <w:rPr>
                <w:rFonts w:ascii="Times New Roman" w:hAnsi="Times New Roman"/>
                <w:noProof/>
                <w:color w:val="000000"/>
                <w:sz w:val="18"/>
                <w:szCs w:val="18"/>
              </w:rPr>
              <w:br/>
              <w:t>• Accesul feroviar la portul Castellón</w:t>
            </w:r>
            <w:r>
              <w:rPr>
                <w:rFonts w:ascii="Times New Roman" w:hAnsi="Times New Roman"/>
                <w:noProof/>
                <w:color w:val="000000"/>
                <w:sz w:val="18"/>
                <w:szCs w:val="18"/>
              </w:rPr>
              <w:br/>
              <w:t xml:space="preserve">• Accesul feroviar la portul Algeciras </w:t>
            </w:r>
            <w:r>
              <w:rPr>
                <w:rFonts w:ascii="Times New Roman" w:hAnsi="Times New Roman"/>
                <w:noProof/>
                <w:color w:val="000000"/>
                <w:sz w:val="18"/>
                <w:szCs w:val="18"/>
              </w:rPr>
              <w:br/>
              <w:t>• Construirea unor linii de cale ferată de 750 metri.</w:t>
            </w:r>
            <w:r>
              <w:rPr>
                <w:rFonts w:ascii="Times New Roman" w:hAnsi="Times New Roman"/>
                <w:noProof/>
                <w:color w:val="000000"/>
                <w:sz w:val="18"/>
                <w:szCs w:val="18"/>
              </w:rPr>
              <w:br/>
              <w:t>c) îmbunătățirea accesibilității (19 proiecte) și a sustenabilității (25 proiecte) în porturi (306 000 000 EUR), inclusiv:</w:t>
            </w:r>
            <w:r>
              <w:rPr>
                <w:rFonts w:ascii="Times New Roman" w:hAnsi="Times New Roman"/>
                <w:noProof/>
                <w:color w:val="000000"/>
                <w:sz w:val="18"/>
                <w:szCs w:val="18"/>
              </w:rPr>
              <w:br/>
              <w:t>• Accesibilitate (176 000 000 EUR,): lucrări de acces feroviar, inclusiv lucrări de renovare și modernizare, precum și un nou acces și o îmbunătățire a traficului intern în porturi, prin adaptarea infrastructurii care își continuă accesul extern terestru.</w:t>
            </w:r>
            <w:r>
              <w:rPr>
                <w:rFonts w:ascii="Times New Roman" w:hAnsi="Times New Roman"/>
                <w:noProof/>
                <w:color w:val="000000"/>
                <w:sz w:val="18"/>
                <w:szCs w:val="18"/>
              </w:rPr>
              <w:br/>
              <w:t xml:space="preserve">• Durabilitate: inclusiv adecvarea sistemelor de alimentare cu apă și de salubrizare; planurile de îmbunătățire a calității aerului; instalarea unor rețele energetice mai eficiente; instalații solare fotovoltaice; renovarea rețelelor de iluminat și instalarea tehnologiei LED; sisteme de control al consumului de putere; renovarea sistemelor de procesare </w:t>
            </w:r>
            <w:r>
              <w:rPr>
                <w:rFonts w:ascii="Times New Roman" w:hAnsi="Times New Roman"/>
                <w:noProof/>
                <w:color w:val="000000"/>
                <w:sz w:val="18"/>
                <w:szCs w:val="18"/>
              </w:rPr>
              <w:br/>
              <w:t>Obiectivul măsurii este de a pune în aplicare Domeniul 6 a Strategiei privind mobilitatea sigură, durabilă și conectată (R1) privind lanțurile logistice intermodale inteligente.</w:t>
            </w:r>
            <w:r>
              <w:rPr>
                <w:rFonts w:ascii="Times New Roman" w:hAnsi="Times New Roman"/>
                <w:noProof/>
                <w:color w:val="000000"/>
                <w:sz w:val="18"/>
                <w:szCs w:val="18"/>
              </w:rPr>
              <w:br/>
              <w:t>Criteriile de selecție garantează că, din bugetul total de 974 000 000 EUR, cel puțin 584 000 000 EUR contribuie la obiectivele legate de schimbările climatice cu un coeficient climatic de 100 % și cel puțin 217 000 000 EUR cu un coeficient climatic de 40 %, în conformitate cu anexa VI la Regulamentul (UE) 2021/241 privind Mecanismul de redresare și reziliență.</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96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C6.I3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Execuția bugetului pentru infrastructura intermodală și logistică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Notificarea oficială a execuției bugetare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Bugetul cumulat executat în valoare de cel puțin 590 000 000 EUR pentru structurile de infrastructură intermodală și logistică Lucrări în domeniile definite în criteriile de selecție pentru atribuirea proiectelor din T4 2022, literele (a), (b) și (c) (jalonul 95).</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97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C6.I3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Infrastructura intermodală și logistică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12</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2026</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Finalizarea lucrărilor în nouă terminale intermodale și logistice strategice (Tilos) și în trei porturi au acces la noi sau modernizate pentru a stimula transportul feroviar de marfă. Lucrările se desfășoară în domeniile definite în criteriile de selecție pentru atribuirea proiectelor din T4 2022, literele (a) și (b) (jalonul 95).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98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C6.I3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Finalizarea proiectelor privind accesibilitatea feroviară și a proiectelor de sustenabilitate în porturi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44</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2026</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Finalizarea a 44 acțiuni (19 + 25): cel puțin 19 proiecte privind accesibilitatea feroviară și finalizarea proiectelor de sustenabilitate în cadrul porturilor din diferite 25 autorități portuare. Lucrările se desfășoară în domeniile definite în criteriile de selecție pentru atribuirea proiectelor din T4 2022, litera (c) (jalonul 95).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99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C6.I4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Sprijin pentru programul de transport durabil și digital.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Publicarea în Jurnalul Oficial</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Publicarea în Jurnalul Oficial a acordării de 800 000 000 EUR în cadrul programului pentru transporturi durabile și digitale. </w:t>
            </w:r>
            <w:r>
              <w:rPr>
                <w:rFonts w:ascii="Times New Roman" w:hAnsi="Times New Roman"/>
                <w:noProof/>
                <w:color w:val="000000"/>
                <w:sz w:val="18"/>
                <w:szCs w:val="18"/>
              </w:rPr>
              <w:br/>
              <w:t>Proiectele se atribuie pentru următoarele 15 acțiuni.</w:t>
            </w:r>
            <w:r>
              <w:rPr>
                <w:rFonts w:ascii="Times New Roman" w:hAnsi="Times New Roman"/>
                <w:noProof/>
                <w:color w:val="000000"/>
                <w:sz w:val="18"/>
                <w:szCs w:val="18"/>
              </w:rPr>
              <w:br/>
              <w:t>Linia de acțiune 1. Interoperabilitatea transportului feroviar de marfă – 45 000 000 EUR</w:t>
            </w:r>
            <w:r>
              <w:rPr>
                <w:rFonts w:ascii="Times New Roman" w:hAnsi="Times New Roman"/>
                <w:noProof/>
                <w:color w:val="000000"/>
                <w:sz w:val="18"/>
                <w:szCs w:val="18"/>
              </w:rPr>
              <w:br/>
              <w:t xml:space="preserve">1. Sisteme europene de management al traficului feroviar (ERTMS) la bord </w:t>
            </w:r>
            <w:r>
              <w:rPr>
                <w:rFonts w:ascii="Times New Roman" w:hAnsi="Times New Roman"/>
                <w:noProof/>
                <w:color w:val="000000"/>
                <w:sz w:val="18"/>
                <w:szCs w:val="18"/>
              </w:rPr>
              <w:br/>
              <w:t>2. Acțiuni de eliminare a barierelor din calea interoperabilității feroviare în conformitate cu STI-urile.</w:t>
            </w:r>
            <w:r>
              <w:rPr>
                <w:rFonts w:ascii="Times New Roman" w:hAnsi="Times New Roman"/>
                <w:noProof/>
                <w:color w:val="000000"/>
                <w:sz w:val="18"/>
                <w:szCs w:val="18"/>
              </w:rPr>
              <w:br/>
              <w:t>Sisteme de reducere a zgomotului în materialul rulant</w:t>
            </w:r>
            <w:r>
              <w:rPr>
                <w:rFonts w:ascii="Times New Roman" w:hAnsi="Times New Roman"/>
                <w:noProof/>
                <w:color w:val="000000"/>
                <w:sz w:val="18"/>
                <w:szCs w:val="18"/>
              </w:rPr>
              <w:br/>
              <w:t>Adaptarea locomotivelor la diferite tensiuni de lucru</w:t>
            </w:r>
            <w:r>
              <w:rPr>
                <w:rFonts w:ascii="Times New Roman" w:hAnsi="Times New Roman"/>
                <w:noProof/>
                <w:color w:val="000000"/>
                <w:sz w:val="18"/>
                <w:szCs w:val="18"/>
              </w:rPr>
              <w:br/>
              <w:t>Instalarea osiilor cu ecartament variabil pe vagoanele de marfă</w:t>
            </w:r>
            <w:r>
              <w:rPr>
                <w:rFonts w:ascii="Times New Roman" w:hAnsi="Times New Roman"/>
                <w:noProof/>
                <w:color w:val="000000"/>
                <w:sz w:val="18"/>
                <w:szCs w:val="18"/>
              </w:rPr>
              <w:br/>
              <w:t>3. Inovarea și dezvoltarea axei cu ecartament variabil în locomotive.</w:t>
            </w:r>
            <w:r>
              <w:rPr>
                <w:rFonts w:ascii="Times New Roman" w:hAnsi="Times New Roman"/>
                <w:noProof/>
                <w:color w:val="000000"/>
                <w:sz w:val="18"/>
                <w:szCs w:val="18"/>
              </w:rPr>
              <w:br/>
              <w:t>Linia de acțiune 2. Promovarea intermodalității transporturilor 195 000 000 EUR</w:t>
            </w:r>
            <w:r>
              <w:rPr>
                <w:rFonts w:ascii="Times New Roman" w:hAnsi="Times New Roman"/>
                <w:noProof/>
                <w:color w:val="000000"/>
                <w:sz w:val="18"/>
                <w:szCs w:val="18"/>
              </w:rPr>
              <w:br/>
              <w:t xml:space="preserve">4. Construirea, adaptarea sau modernizarea încărcăturilor și a terminalelor intermodale feroviar-rutiere și a conexiunilor terestre ale acestora </w:t>
            </w:r>
            <w:r>
              <w:rPr>
                <w:rFonts w:ascii="Times New Roman" w:hAnsi="Times New Roman"/>
                <w:noProof/>
                <w:color w:val="000000"/>
                <w:sz w:val="18"/>
                <w:szCs w:val="18"/>
              </w:rPr>
              <w:br/>
              <w:t xml:space="preserve">5. Sprijin pentru un transport de marfă durabil (feroviar și maritim) bazat pe ecostimulente pentru cerere și ofertă </w:t>
            </w:r>
            <w:r>
              <w:rPr>
                <w:rFonts w:ascii="Times New Roman" w:hAnsi="Times New Roman"/>
                <w:noProof/>
                <w:color w:val="000000"/>
                <w:sz w:val="18"/>
                <w:szCs w:val="18"/>
              </w:rPr>
              <w:br/>
              <w:t>Linia de acțiune 3. Modernizarea echipamentelor de transport feroviar de marfă 125 000 000 EUR</w:t>
            </w:r>
            <w:r>
              <w:rPr>
                <w:rFonts w:ascii="Times New Roman" w:hAnsi="Times New Roman"/>
                <w:noProof/>
                <w:color w:val="000000"/>
                <w:sz w:val="18"/>
                <w:szCs w:val="18"/>
              </w:rPr>
              <w:br/>
              <w:t>6. Acțiuni de sprijinire a renovării sau modernizării vagoanelor pentru transportul feroviar de marfă, inclusiv pentru crearea de servicii de transport feroviar rutier.</w:t>
            </w:r>
            <w:r>
              <w:rPr>
                <w:rFonts w:ascii="Times New Roman" w:hAnsi="Times New Roman"/>
                <w:noProof/>
                <w:color w:val="000000"/>
                <w:sz w:val="18"/>
                <w:szCs w:val="18"/>
              </w:rPr>
              <w:br/>
              <w:t xml:space="preserve">7. Acțiuni de sprijinire a renovării sau adaptării echipamentelor tractoarelor feroviare cu alte materiale care utilizează combustibili alternativi (hidrogen sau energie electrică). </w:t>
            </w:r>
            <w:r>
              <w:rPr>
                <w:rFonts w:ascii="Times New Roman" w:hAnsi="Times New Roman"/>
                <w:noProof/>
                <w:color w:val="000000"/>
                <w:sz w:val="18"/>
                <w:szCs w:val="18"/>
              </w:rPr>
              <w:br/>
              <w:t>Linia de acțiune 4. Transport rutier sigur, durabil și conectat 56 500 000 EUR</w:t>
            </w:r>
            <w:r>
              <w:rPr>
                <w:rFonts w:ascii="Times New Roman" w:hAnsi="Times New Roman"/>
                <w:noProof/>
                <w:color w:val="000000"/>
                <w:sz w:val="18"/>
                <w:szCs w:val="18"/>
              </w:rPr>
              <w:br/>
              <w:t>8. Construirea și modernizarea unor zone de parcare securizate pentru vehicule comerciale și furnizarea de servicii de informare [regulamentul delegat (UE) nr. 885/2013].</w:t>
            </w:r>
            <w:r>
              <w:rPr>
                <w:rFonts w:ascii="Times New Roman" w:hAnsi="Times New Roman"/>
                <w:noProof/>
                <w:color w:val="000000"/>
                <w:sz w:val="18"/>
                <w:szCs w:val="18"/>
              </w:rPr>
              <w:br/>
              <w:t>9. Servicii de transport inteligente pentru sectorul rutier (STI) în cadrul concesiunilor de autostrăzi cu taxă și al altor servicii de siguranță rutieră și de conservare.</w:t>
            </w:r>
            <w:r>
              <w:rPr>
                <w:rFonts w:ascii="Times New Roman" w:hAnsi="Times New Roman"/>
                <w:noProof/>
                <w:color w:val="000000"/>
                <w:sz w:val="18"/>
                <w:szCs w:val="18"/>
              </w:rPr>
              <w:br/>
              <w:t>10. Acțiuni de sprijinire a instalării pe rețeaua rutieră a infrastructurii de realimentare cu combustibili alternativi pentru vehiculele grele</w:t>
            </w:r>
            <w:r>
              <w:rPr>
                <w:rFonts w:ascii="Times New Roman" w:hAnsi="Times New Roman"/>
                <w:noProof/>
                <w:color w:val="000000"/>
                <w:sz w:val="18"/>
                <w:szCs w:val="18"/>
              </w:rPr>
              <w:br/>
              <w:t xml:space="preserve">11. Acțiuni de sprijinire a renovării sau adaptării mijloacelor și a utilajelor pentru realizarea unui pavaj durabil: reducerea amprentei de carbon și reducerea sunetului </w:t>
            </w:r>
            <w:r>
              <w:rPr>
                <w:rFonts w:ascii="Times New Roman" w:hAnsi="Times New Roman"/>
                <w:noProof/>
                <w:color w:val="000000"/>
                <w:sz w:val="18"/>
                <w:szCs w:val="18"/>
              </w:rPr>
              <w:br/>
              <w:t>Linia de acțiune 5. Sustenabilitatea transportului maritim și aerian 111 000 000 EUR</w:t>
            </w:r>
            <w:r>
              <w:rPr>
                <w:rFonts w:ascii="Times New Roman" w:hAnsi="Times New Roman"/>
                <w:noProof/>
                <w:color w:val="000000"/>
                <w:sz w:val="18"/>
                <w:szCs w:val="18"/>
              </w:rPr>
              <w:br/>
              <w:t>12. Sprijin pentru instalarea combustibililor alternativi în porturi și aeroporturi.</w:t>
            </w:r>
            <w:r>
              <w:rPr>
                <w:rFonts w:ascii="Times New Roman" w:hAnsi="Times New Roman"/>
                <w:noProof/>
                <w:color w:val="000000"/>
                <w:sz w:val="18"/>
                <w:szCs w:val="18"/>
              </w:rPr>
              <w:br/>
              <w:t>13 Sprijin pentru adoptarea tehnologiilor energetice alternative de propulsie în sectorul maritim.</w:t>
            </w:r>
            <w:r>
              <w:rPr>
                <w:rFonts w:ascii="Times New Roman" w:hAnsi="Times New Roman"/>
                <w:noProof/>
                <w:color w:val="000000"/>
                <w:sz w:val="18"/>
                <w:szCs w:val="18"/>
              </w:rPr>
              <w:br/>
              <w:t>Linia de acțiune 6. Digitalizarea transporturilor 47 500 000 EUR</w:t>
            </w:r>
            <w:r>
              <w:rPr>
                <w:rFonts w:ascii="Times New Roman" w:hAnsi="Times New Roman"/>
                <w:noProof/>
                <w:color w:val="000000"/>
                <w:sz w:val="18"/>
                <w:szCs w:val="18"/>
              </w:rPr>
              <w:br/>
              <w:t>14. Proiecte pentru digitalizarea serviciilor de transport de călători și de mărfuri la nivel național.</w:t>
            </w:r>
            <w:r>
              <w:rPr>
                <w:rFonts w:ascii="Times New Roman" w:hAnsi="Times New Roman"/>
                <w:noProof/>
                <w:color w:val="000000"/>
                <w:sz w:val="18"/>
                <w:szCs w:val="18"/>
              </w:rPr>
              <w:br/>
              <w:t>Transfer către comunitățile autonome 220 000 000 EUR</w:t>
            </w:r>
            <w:r>
              <w:rPr>
                <w:rFonts w:ascii="Times New Roman" w:hAnsi="Times New Roman"/>
                <w:noProof/>
                <w:color w:val="000000"/>
                <w:sz w:val="18"/>
                <w:szCs w:val="18"/>
              </w:rPr>
              <w:br/>
              <w:t>15. Proiecte pentru digitalizarea serviciilor de transport de călători și de mărfuri la nivel regional și local.</w:t>
            </w:r>
            <w:r>
              <w:rPr>
                <w:rFonts w:ascii="Times New Roman" w:hAnsi="Times New Roman"/>
                <w:noProof/>
                <w:color w:val="000000"/>
                <w:sz w:val="18"/>
                <w:szCs w:val="18"/>
              </w:rPr>
              <w:br/>
              <w:t>Pentru acțiunile 10 și 12, criteriile de selecție trebuie să respecte Orientările tehnice privind principiul „de a nu prejudicia în mod semnificativ”(2021/C58/01), asigurând faptul că infrastructura este activată în momentul construcției pentru transportul gazelor regenerabile și cu emisii scăzute de dioxid de carbon.</w:t>
            </w:r>
            <w:r>
              <w:rPr>
                <w:rFonts w:ascii="Times New Roman" w:hAnsi="Times New Roman"/>
                <w:noProof/>
                <w:color w:val="000000"/>
                <w:sz w:val="18"/>
                <w:szCs w:val="18"/>
              </w:rPr>
              <w:br/>
              <w:t>Criteriile de selecție asigură faptul că cel puțin 63 500 000 EUR contribuie la obiectivele legate de schimbările climatice cu un coeficient climatic de 100 % și cel puțin 210 000 000 EUR cu un coeficient climatic de 40 %, în conformitate cu anexa VI la Regulamentul (UE) 2021/241 privind Mecanismul de redresare și reziliență.</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100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C6.I4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Transportul durabil și digital: demararea lucrărilor</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Notificarea oficială a începerii lucrărilor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Demararea lucrărilor în cadrul tuturor proiectelor atribuite în T4 2022 (jalonul 99) pentru promovarea transportului durabil și digital. Lucrările se desfășoară în domeniile definite în criteriile de selecție a proiectelor din T4 2022 (jalonul 99).</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101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C6.I4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Transportul durabil și digital: finalizarea lucrărilor</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Notificarea oficială a finalizării lucrărilor</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2026</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Finalizarea tuturor proiectelor atribuite în T4 2022 (jalonul 99) pentru promovarea transportului durabil și digital. Lucrările se desfășoară în domeniile definite în criteriile de selecție a proiectelor din T4 2022.</w:t>
            </w:r>
            <w:r>
              <w:rPr>
                <w:rFonts w:ascii="Times New Roman" w:hAnsi="Times New Roman"/>
                <w:noProof/>
                <w:color w:val="000000"/>
                <w:sz w:val="18"/>
                <w:szCs w:val="18"/>
              </w:rPr>
              <w:br/>
              <w:t>Pentru măsurile 10 și 12, criteriile de selecție trebuie să respecte Orientările tehnice privind principiul „de a nu prejudicia în mod semnificativ”(2021/C58/01), asigurând faptul că infrastructura este activată în momentul construcției pentru transportul gazelor regenerabile și cu emisii scăzute de dioxid de carbon.</w:t>
            </w:r>
          </w:p>
        </w:tc>
      </w:tr>
    </w:tbl>
    <w:p>
      <w:pPr>
        <w:spacing w:before="120" w:after="120" w:line="240" w:lineRule="auto"/>
        <w:ind w:left="709"/>
        <w:jc w:val="both"/>
        <w:rPr>
          <w:rFonts w:ascii="Times New Roman" w:hAnsi="Times New Roman" w:cs="Times New Roman"/>
          <w:noProof/>
          <w:sz w:val="24"/>
        </w:rPr>
      </w:pPr>
    </w:p>
    <w:p>
      <w:pPr>
        <w:spacing w:before="120" w:after="120" w:line="240" w:lineRule="auto"/>
        <w:ind w:left="709"/>
        <w:jc w:val="both"/>
        <w:rPr>
          <w:rFonts w:ascii="Times New Roman" w:hAnsi="Times New Roman" w:cs="Times New Roman"/>
          <w:noProof/>
          <w:sz w:val="24"/>
        </w:rPr>
        <w:sectPr>
          <w:headerReference w:type="even" r:id="rId85"/>
          <w:headerReference w:type="default" r:id="rId86"/>
          <w:footerReference w:type="even" r:id="rId87"/>
          <w:footerReference w:type="default" r:id="rId88"/>
          <w:headerReference w:type="first" r:id="rId89"/>
          <w:footerReference w:type="first" r:id="rId90"/>
          <w:pgSz w:w="16839" w:h="11907" w:orient="landscape"/>
          <w:pgMar w:top="1417" w:right="1134" w:bottom="1417" w:left="1134" w:header="709" w:footer="709" w:gutter="0"/>
          <w:cols w:space="720"/>
          <w:docGrid w:linePitch="360"/>
        </w:sectPr>
      </w:pPr>
    </w:p>
    <w:p>
      <w:pPr>
        <w:pStyle w:val="Heading1"/>
        <w:rPr>
          <w:noProof/>
        </w:rPr>
      </w:pPr>
      <w:r>
        <w:rPr>
          <w:noProof/>
        </w:rPr>
        <w:t>G. COMPONENTA 07: IMPLEMENTAREA ȘI INTEGRAREA SURSELOR REGENERABILE DE ENERGIE</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Planul național privind energia și clima (PNEC) al Spaniei pentru perioada 2021-2030 preconizează o creștere semnificativă a penetrării energiei din surse regenerabile în Spania, ajungând la 74 % în sectorul energiei electrice și la 42 % în utilizarea finală în 2030. În acest context, obiectivul acestei componente a planului spaniol de redresare și reziliență este de a spori utilizarea energiei din surse regenerabile prin următoarele elemente: </w:t>
      </w:r>
    </w:p>
    <w:p>
      <w:pPr>
        <w:numPr>
          <w:ilvl w:val="0"/>
          <w:numId w:val="19"/>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dezvoltarea unui cadru de reglementare clar și previzibil, care să promoveze investițiile în sursele regenerabile de energie; </w:t>
      </w:r>
    </w:p>
    <w:p>
      <w:pPr>
        <w:numPr>
          <w:ilvl w:val="0"/>
          <w:numId w:val="19"/>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crearea și consolidarea lanțului valoric industrial în domeniul surselor regenerabile de energie; </w:t>
      </w:r>
    </w:p>
    <w:p>
      <w:pPr>
        <w:numPr>
          <w:ilvl w:val="0"/>
          <w:numId w:val="19"/>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sprijinirea surselor inovatoare de tehnologii de generare a energiei din surse regenerabile, inclusiv integrarea acestora în utilizările finale; și </w:t>
      </w:r>
    </w:p>
    <w:p>
      <w:pPr>
        <w:numPr>
          <w:ilvl w:val="0"/>
          <w:numId w:val="19"/>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dezvoltarea competențelor ecologice.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În plus, componenta urmărește în mod specific să promoveze utilizarea energiei din surse regenerabile pe insulele spaniole, precum și participarea cetățenilor prin intermediul comunităților de energie din surse regenerabile.</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Componenta este legată de promovarea investițiilor în inovare și în eficiența energetică (recomandarea specifică țării 3 din 2019). De asemenea, promovează investițiile publice și private și promovează tranziția verde (recomandarea specifică țării 3 din 2020).</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Se preconizează că nicio măsură din cadrul acestei componente nu aduce prejudicii semnificative obiectivelor de mediu în sensul articolului 17 din Regulamentul (UE) 2020/852, ținând seama de descrierea măsurilor și a măsurilor de atenuare stabilite în planul de redresare și reziliență în conformitate cu Orientările tehnice DNSH (2021/C58/01).  </w:t>
      </w:r>
    </w:p>
    <w:p>
      <w:pPr>
        <w:spacing w:before="120" w:after="120" w:line="240" w:lineRule="auto"/>
        <w:ind w:left="709"/>
        <w:jc w:val="both"/>
        <w:rPr>
          <w:rFonts w:ascii="Times New Roman" w:hAnsi="Times New Roman" w:cs="Times New Roman"/>
          <w:b/>
          <w:bCs/>
          <w:i/>
          <w:iCs/>
          <w:noProof/>
          <w:color w:val="000000" w:themeColor="text1"/>
          <w:sz w:val="24"/>
        </w:rPr>
      </w:pPr>
      <w:r>
        <w:rPr>
          <w:rFonts w:ascii="Times New Roman" w:hAnsi="Times New Roman"/>
          <w:b/>
          <w:bCs/>
          <w:noProof/>
          <w:color w:val="000000" w:themeColor="text1"/>
          <w:sz w:val="24"/>
          <w:u w:val="single"/>
        </w:rPr>
        <w:t xml:space="preserve">G.1. </w:t>
      </w:r>
      <w:r>
        <w:rPr>
          <w:rFonts w:ascii="Times New Roman" w:hAnsi="Times New Roman"/>
          <w:b/>
          <w:noProof/>
          <w:color w:val="000000" w:themeColor="text1"/>
          <w:sz w:val="24"/>
          <w:u w:val="single"/>
        </w:rPr>
        <w:tab/>
      </w:r>
      <w:r>
        <w:rPr>
          <w:rFonts w:ascii="Times New Roman" w:hAnsi="Times New Roman"/>
          <w:b/>
          <w:bCs/>
          <w:noProof/>
          <w:color w:val="000000" w:themeColor="text1"/>
          <w:sz w:val="24"/>
          <w:u w:val="single"/>
        </w:rPr>
        <w:t>Descrierea reformelor și a investițiilor pentru care se prevede acordarea sprijinului financiar nerambursabil</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Reforma 1 (C7.R1) - Cadru de reglementare pentru promovarea producției de energie din surse regenerabile</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Obiectivul acestei măsuri este de a consolida cadrul de reglementare pentru promovarea generării de energie din surse regenerabile, cu scopul de a spori certitudinea și de a încuraja investițiile private în energia din surse regenerabile, de a elimina barierele din calea utilizării surselor regenerabile de energie și de a îmbunătăți integrarea acestora în mediu, în sistemul electric și în diferite sectoare.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Măsura include o serie de etape legislative și de reglementare, inclusiv: </w:t>
      </w:r>
    </w:p>
    <w:p>
      <w:pPr>
        <w:numPr>
          <w:ilvl w:val="0"/>
          <w:numId w:val="20"/>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adoptarea Decretului-lege regal nr. 23/2020 în iunie 2020, care instituie un nou sistem de licitație pentru producția de energie din surse regenerabile și îmbunătățește mecanismul de acces al producției de energie din surse regenerabile la rețeaua de energie electrică; </w:t>
      </w:r>
    </w:p>
    <w:p>
      <w:pPr>
        <w:numPr>
          <w:ilvl w:val="0"/>
          <w:numId w:val="20"/>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adoptarea Decretului regal nr. 960/2020 în noiembrie 2020, care sporește previzibilitatea veniturilor care urmează să fie obținute prin generarea de energie din surse regenerabile în cadrul noilor licitații; </w:t>
      </w:r>
    </w:p>
    <w:p>
      <w:pPr>
        <w:numPr>
          <w:ilvl w:val="0"/>
          <w:numId w:val="20"/>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Decretul regal nr. 1183/2020 din decembrie 2020, care reglementează condițiile de acces și de racordare pentru producerea de energie din surse regenerabile, în conformitate cu dispozițiile Decretului-lege regal nr. 23/2020; și</w:t>
      </w:r>
    </w:p>
    <w:p>
      <w:pPr>
        <w:numPr>
          <w:ilvl w:val="0"/>
          <w:numId w:val="20"/>
        </w:num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Legea privind schimbările climatice și tranziția energetică, prevăzută a fi adoptată în prima jumătate a anului 2021, care va stabili prin lege obiectivele privind energia din surse regenerabile pentru 2030 și obiectivul neutralității climatice până în 2050 (inclusiv un sistem de energie electrică din surse regenerabile de 100 %). Această lege include, de asemenea, elemente care sunt relevante pentru alte componente ale planului (cum ar fi reducerea barierelor administrative și cerințele pentru instalarea de puncte publice de reîncărcare).</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Punerea în aplicare a măsurii se finalizează până la 31 decembrie 2023. </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Reforma 2 (C7.R2) - Strategia națională privind autoconsumul</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Obiectivul acestei măsuri este de a stimula consumul propriu ca formă alternativă de producere a energiei din surse regenerabile, de a stabili obiective în acest domeniu pentru perioada 2021-2030 și de a identifica și elabora măsuri de atenuare a principalelor obstacole în calea implementării lor. Autoconsumul contribuie la integrarea producției de energie din surse regenerabile în clădiri și în mediul urban și stimulează ocuparea forței de muncă la nivel local.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Măsura include adoptarea de către guvernul spaniol a unei strategii naționale de autoconsum în a doua jumătate a anului 2021, în vederea reducerii barierelor administrative din calea autoconsumului. Strategia va diagnostica situația actuală și potențială din Spania și va identifica măsuri care vizează: (a) o mai bună coordonare între administrații; (b) difuzarea de informații către consumatori și sensibilizarea consumatorilor; (c) identificarea competențelor relevante existente, precum și a oportunităților de formare continuă legate de utilizarea autoconsumului.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Măsura abordează punerea în aplicare a elementelor-cheie ale strategiei naționale privind autoconsumul, inclusiv publicarea de orientări privind modul de promovare a autoconsumului și finalizarea cursurilor de formare care vizează îmbunătățirea competențelor necesare.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Punerea în aplicare a măsurii se finalizează până la 30 iunie 2023. </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Reforma 3 (C7.R3) - Dezvoltarea comunităților energetice</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Obiectivul acestei măsuri este de a dezvolta comunități energetice pentru a stimula participarea cetățenilor la tranziția energetică, prin intermediul comunităților de energie din surse regenerabile și al comunităților de energie ale cetățenilor. Măsura va sprijini formarea, procesele participative și de consolidare a comunității, precum și sprijinirea unor proiecte specifice.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Măsura atribuie un prim proiect-pilot pentru comunitățile energetice pe baza unei cereri competitive de oferte, pentru a demonstra viabilitatea acestui model. Aceasta va pune în aplicare 37 proiecte-pilot cu participarea comunității locale până la sfârșitul anului 2023, cu o foaie de parcurs a acțiunilor desfășurate și cu identificarea etapelor viitoare adecvate. Aceste proiecte se bazează pe energia din surse regenerabile.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Punerea în aplicare a măsurii se finalizează până la 31 decembrie 2023. </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Reforma 4 (C7.R4) - Cadrul pentru inovare și dezvoltare tehnologică în domeniul energiei din surse regenerabile</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Această măsură consolidează cadrul pentru inovare și dezvoltare tehnologică a unei serii de surse regenerabile de energie și contribuie la realizarea de progrese în vederea atingerii obiectivului ca 100 % din sursele regenerabile să reprezinte cererea de energie. Sursele regenerabile vizate de această măsură includ energia eoliană offshore și biogazul. Măsura urmărește, de asemenea, să faciliteze C &amp; D în domeniul tehnologiilor regenerabile. </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Măsura include publicarea unei foi de parcurs pentru energia eoliană offshore și alte tipuri de energie marină. Scopul acestei foi de parcurs este de a reduce barierele administrative în calea dezvoltării acestei surse de energie regenerabilă. Mai precis, foaia de parcurs urmărește: (a) să promoveze cercetarea, dezvoltarea și inovarea printr-un cadru de reglementare mai flexibil și prin consolidarea centrelor tehnologice și a platformelor de testare pentru noile prototipuri; (b) identificarea oportunităților și a sinergiilor cu principalele sectoare industriale; (c) dezvoltarea unui cadru de reglementare adecvat pentru implementarea în Spania (în special a tehnologiei plutitoare); și (d) identificarea măsurilor de reducere la minimum a efectelor asupra mediului (încercând, în același timp, să simplifice procedurile administrative). Măsura pune în aplicare principalele măsuri de reglementare identificate în foaia de parcurs pentru promovarea parcurilor eoliene offshore, stimularea cercetării și dezvoltării și sprijinirea implementării tehnologiilor plutitoare.</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Al doilea element al acestei măsuri este publicarea unei foi de parcurs pentru biogaz, care va analiza instrumentele de reglementare și sectoriale adecvate pentru promovarea biogazului, cu accent pe utilizarea eficientă a acestei surse de energie (cum ar fi în aplicațiile agroindustriale și pentru vehiculele grele în cazul cărora electrificarea nu este încă o alternativă). Această parte a reformei abordează punerea în aplicare a activităților-cheie din foaia de parcurs privind biogazul, inclusiv: (a) instituirea unui sistem de garanții de origine pentru gazele din surse regenerabile, care să vizeze stimularea investițiilor în biogaz și decarbonizarea sectoarelor precum industria și transporturile; (b) dezvoltarea unui instrument de calcul al contribuției biogazului la decarbonizare; și (c) studii de prefezabilitate pentru a promova punerea în aplicare a instalațiilor de producție a biogazului.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Punerea în aplicare a măsurii se finalizează până la 31 decembrie 2023.</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Investiția 1 (C7.I1) - Dezvoltarea energiilor regenerabile inovatoare, integrate în clădiri și în procesele de producție</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Obiectivul acestei măsuri este de a încuraja dezvoltarea energiilor regenerabile inovatoare și a celor care urmează să fie integrate în clădiri și în procesele de producție. Acesta sprijină autoconsumul de energie din surse regenerabile și tehnologiile care nu sunt încă pe deplin competitive, inclusiv sursele regenerabile de energie electrică și termică din sectorul agricol, sursele regenerabile care vizează cerințele de răcire/încălzire ale sectorului rezidențial și al serviciilor, energia termică din surse regenerabile pentru procesele industriale, bioenergia și energia din surse regenerabile marine. Sprijinul va lua forma unui ajutor pentru investiții, care urmează să fie acordat prin intermediul unor licitații care să asigure un rezultat eficient din punctul de vedere al costurilor, sau a unui sprijin direct sub formă de capitaluri proprii pentru proiectele din domeniul energiei din surse regenerabile. Investiția ar sprijini, de asemenea, recalificarea și perfecționarea în domeniul generării de energie din surse regenerabile.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În cadrul acestei investiții se instalează în cadrul acestei investiții cel puțin 3 800 MW de producție inovatoare sau cu valoare adăugată de energie din surse regenerabile până în prima jumătate a anului 2026.</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Punerea în aplicare a investiției se finalizează până la 30 iunie 2026. </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Investiția 2 (C7.I2) - Energie durabilă în insule</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Aceste investiții vor sprijini energia durabilă în insulele spaniole (Insulele Canare și Insulele Baleare) ca parte a unei strategii mai ample de sprijinire a tranziției energetice în insule, în special prin sprijinirea proiectelor de pătrundere și integrare a energiei din surse regenerabile în insule și în sistemele nepeninsulare. Acest lucru este în conformitate cu Planul național privind energia și clima al Spaniei, care include acțiuni de decarbonizare a insulelor și de reducere a dependenței acestora de petrol.</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Printre investițiile specifice care urmează să fie sprijinite se numără sursele regenerabile de energie electrică, soluțiile de stocare și proiectele inteligente (ca parte a programului „Insule inteligente”). O parte din activitățile din cadrul acestei investiții se vor baza pe cunoștințele dobândite prin programul „Energie curată pentru insulele UE”.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În cadrul acestei investiții se instalează o capacitate de producție inovatoare de energie din surse regenerabile de 200 MW, precum și aproximativ 200 de intervenții în cadrul programelor „Insule inteligente” și „Energie curată pentru insulele UE” și aproximativ 400 de proiecte de stocare.</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Punerea în aplicare a reformei se finalizează până la marți, 30 iunie 2026. </w:t>
      </w:r>
    </w:p>
    <w:p>
      <w:pPr>
        <w:keepNext/>
        <w:spacing w:before="120" w:after="120" w:line="240" w:lineRule="auto"/>
        <w:jc w:val="both"/>
        <w:rPr>
          <w:rFonts w:ascii="Times New Roman" w:hAnsi="Times New Roman" w:cs="Times New Roman"/>
          <w:b/>
          <w:bCs/>
          <w:noProof/>
          <w:color w:val="000000" w:themeColor="text1"/>
          <w:sz w:val="24"/>
          <w:u w:val="single"/>
        </w:rPr>
      </w:pPr>
      <w:r>
        <w:rPr>
          <w:rFonts w:ascii="Times New Roman" w:hAnsi="Times New Roman"/>
          <w:b/>
          <w:bCs/>
          <w:noProof/>
          <w:color w:val="000000" w:themeColor="text1"/>
          <w:sz w:val="24"/>
          <w:u w:val="single"/>
        </w:rPr>
        <w:t xml:space="preserve">G.2. </w:t>
      </w:r>
      <w:r>
        <w:rPr>
          <w:rFonts w:ascii="Times New Roman" w:hAnsi="Times New Roman"/>
          <w:b/>
          <w:bCs/>
          <w:noProof/>
          <w:color w:val="000000" w:themeColor="text1"/>
          <w:sz w:val="24"/>
          <w:u w:val="single"/>
        </w:rPr>
        <w:tab/>
        <w:t>Jaloane, ținte, indicatori și calendarul de monitorizare și implementare aplicabile sprijinului financiar nerambursabil</w:t>
      </w:r>
    </w:p>
    <w:p>
      <w:pPr>
        <w:keepNext/>
        <w:spacing w:before="120" w:after="120" w:line="240" w:lineRule="auto"/>
        <w:rPr>
          <w:rFonts w:ascii="Times New Roman" w:hAnsi="Times New Roman" w:cs="Times New Roman"/>
          <w:noProof/>
          <w:color w:val="000000" w:themeColor="text1"/>
          <w:sz w:val="24"/>
          <w:szCs w:val="24"/>
          <w:u w:val="single"/>
        </w:rPr>
        <w:sectPr>
          <w:headerReference w:type="even" r:id="rId91"/>
          <w:headerReference w:type="default" r:id="rId92"/>
          <w:footerReference w:type="even" r:id="rId93"/>
          <w:footerReference w:type="default" r:id="rId94"/>
          <w:headerReference w:type="first" r:id="rId95"/>
          <w:footerReference w:type="first" r:id="rId96"/>
          <w:pgSz w:w="11907" w:h="16839"/>
          <w:pgMar w:top="1134" w:right="1417" w:bottom="1134" w:left="1417" w:header="709" w:footer="709" w:gutter="0"/>
          <w:cols w:space="720"/>
          <w:docGrid w:linePitch="360"/>
        </w:sectPr>
      </w:pPr>
      <w:r>
        <w:rPr>
          <w:rFonts w:ascii="Times New Roman" w:hAnsi="Times New Roman"/>
          <w:i/>
          <w:noProof/>
          <w:color w:val="000000" w:themeColor="text1"/>
          <w:sz w:val="24"/>
          <w:szCs w:val="24"/>
        </w:rPr>
        <w:t>Tabelul de mai jos. Data de referință pentru toți indicatorii este 1 februarie 2020, cu excepția cazului în care se indică altfel în descrierea acțiunii. Sumele din tabel nu includ TVA.</w:t>
      </w: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2977"/>
        <w:gridCol w:w="1276"/>
        <w:gridCol w:w="850"/>
        <w:gridCol w:w="709"/>
        <w:gridCol w:w="737"/>
        <w:gridCol w:w="567"/>
        <w:gridCol w:w="567"/>
        <w:gridCol w:w="5217"/>
      </w:tblGrid>
      <w:tr>
        <w:trPr>
          <w:trHeight w:val="309"/>
          <w:tblHeader/>
        </w:trPr>
        <w:tc>
          <w:tcPr>
            <w:tcW w:w="70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Număr</w:t>
            </w:r>
          </w:p>
        </w:tc>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Măsură</w:t>
            </w:r>
          </w:p>
        </w:tc>
        <w:tc>
          <w:tcPr>
            <w:tcW w:w="85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Jalon</w:t>
            </w:r>
            <w:r>
              <w:rPr>
                <w:rFonts w:ascii="Times New Roman" w:hAnsi="Times New Roman"/>
                <w:b/>
                <w:noProof/>
                <w:color w:val="000000"/>
                <w:sz w:val="18"/>
                <w:szCs w:val="18"/>
              </w:rPr>
              <w:br/>
            </w:r>
            <w:r>
              <w:rPr>
                <w:rFonts w:ascii="Times New Roman" w:hAnsi="Times New Roman"/>
                <w:b/>
                <w:bCs/>
                <w:noProof/>
                <w:color w:val="000000"/>
                <w:sz w:val="18"/>
                <w:szCs w:val="18"/>
              </w:rPr>
              <w:t xml:space="preserve"> /Țintă</w:t>
            </w:r>
          </w:p>
        </w:tc>
        <w:tc>
          <w:tcPr>
            <w:tcW w:w="2977"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Denumire</w:t>
            </w:r>
          </w:p>
        </w:tc>
        <w:tc>
          <w:tcPr>
            <w:tcW w:w="1276"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Indicator calitativ pentru obiectivele de etapă</w:t>
            </w:r>
          </w:p>
        </w:tc>
        <w:tc>
          <w:tcPr>
            <w:tcW w:w="2296" w:type="dxa"/>
            <w:gridSpan w:val="3"/>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Indicator cantitativ pentru obiectiv</w:t>
            </w:r>
          </w:p>
        </w:tc>
        <w:tc>
          <w:tcPr>
            <w:tcW w:w="1134" w:type="dxa"/>
            <w:gridSpan w:val="2"/>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Timp</w:t>
            </w:r>
          </w:p>
        </w:tc>
        <w:tc>
          <w:tcPr>
            <w:tcW w:w="5217"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sz w:val="18"/>
                <w:szCs w:val="18"/>
              </w:rPr>
              <w:t>Descrierea fiecărui jalon și a fiecărei ținte</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2977"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276"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Unitate</w:t>
            </w:r>
          </w:p>
        </w:tc>
        <w:tc>
          <w:tcPr>
            <w:tcW w:w="709"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Valoare de referință</w:t>
            </w:r>
          </w:p>
        </w:tc>
        <w:tc>
          <w:tcPr>
            <w:tcW w:w="737"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Obiectiv</w:t>
            </w:r>
          </w:p>
        </w:tc>
        <w:tc>
          <w:tcPr>
            <w:tcW w:w="567"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Q</w:t>
            </w:r>
          </w:p>
        </w:tc>
        <w:tc>
          <w:tcPr>
            <w:tcW w:w="567"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An</w:t>
            </w:r>
          </w:p>
        </w:tc>
        <w:tc>
          <w:tcPr>
            <w:tcW w:w="5217"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lang w:val="en-IE"/>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102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C7.R1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Decretului-lege regal 23/2020 (măsuri privind energia)</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Dispoziție din Decretul-lege regal nr. 23/2020 privind intrarea în vigoare</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3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2020</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Decretul-lege regal nr. 23/2020 aprobă măsurile energetice menite să stabilească temeiul juridic pentru o nouă schemă de licitație, să definească noi participanți în sectorul energetic, cum ar fi agregatorii independenți și comunitățile de energie din surse regenerabile, și să contribuie la raționalizarea autorizațiilor de acces și conectare</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103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C7.R1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Decretului regal 960/2020 (regimul economic pentru energia regenerabilă)</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Dispoziție din Decretul regal nr. 960/2020 privind intrarea în vigoare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3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2020</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Decretul regal nr. 960/2020 reglementează regimul economic pentru energia din surse regenerabile</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104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C7.R1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Decretului regal nr. 1183/2020 (conectarea surselor regenerabile de energie la rețeaua de energie electrică)</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Dispoziție din Decretul regal nr. 1183/2020 privind intrarea în vigoare</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3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2020</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Decretul regal nr. 1183/2020 reglementează hibridizarea și dispunerea accesului la rețeaua de energie electrică și a conectării acestora la rețeaua de energie electrică.</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105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C7.R1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Intrarea în vigoare a Legii privind schimbările climatice și tranziția energetică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Dispoziție din Legea privind schimbările climatice și tranziția energetică la intrarea în vigoare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3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Legea privind schimbările climatice și tranziția energetică oferă o stabilitate alternativă în materie de reglementare pentru dezvoltarea resurselor regenerabile, bariere administrative reduse și cerințe minime pentru instalarea de puncte publice de reîncărcare în funcțiune.</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106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C7.R1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Capacitate de producție suplimentară pentru energia din surse regenerabile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 (MW)</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3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8 500</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Capacitatea de producție suplimentară cumulată pentru energia din surse regenerabile, sprijinită în temeiul noului cadru legislativ de abilitare inclus în reforma C7.R1 (inclusiv mecanismul de licitație instituit prin RD 960/2020, noul regulament privind autorizațiile de acces și de conectare și privind hibridizarea): cel puțin 8 500 MW atribuit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107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C7.R1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Capacitatea suplimentară cumulată de energie din surse regenerabile instalată în Spania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 (MW)</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3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1 500</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Capacitatea suplimentară cumulată de energie din surse regenerabile instalată în Spania în perioada T1 2020-T42023, în temeiul noului cadru legislativ de abilitare inclus în reforma C7.R1 (inclusiv mecanismul de licitație instituit prin RD 960/2020, noul regulament privind autorizațiile de acces și de conectare și hibridizarea): cel puțin 1 500 MW construiți</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108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C7.R2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Strategia națională privind autoconsumul</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Publicarea pe pagina web</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3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Adoptarea de către Consiliul de Miniștri și publicarea pe site-ul guvernului a Strategiei naționale privind autoconsumul, în vederea reducerii barierelor administrative din calea autoconsumului.</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109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C7.R2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Finalizarea măsurilor din cadrul Strategiei naționale pentru autoconsum</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Publicarea rezultatelor pe pagina web</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3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Finalizarea măsurilor-cheie din cadrul strategiei naționale de autoconsum, inclusiv: publicarea pe site-ul web al Ministerului Tranziției Ecologice a orientărilor tehnice și a orientărilor pentru municipalități cu privire la modul de promovare a autoconsumului și finalizarea cursurilor de formare realizate pentru îmbunătățirea competențelor tehnice necesare privind sursele regenerabile de autoconsum pentru cel puțin 500 de profesioniști.</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110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C7.R3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Proiect-pilot pentru comunitățile energetice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Publicarea pe pagina web</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3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Atribuirea primului proiect-pilot pentru comunitățile energetice pe baza unor cereri de oferte, pentru a demonstra viabilitatea acestui model.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111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C7.R3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Finalizarea proiectelor-pilot în domeniul energiei în comunitățile locale</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0</w:t>
            </w:r>
          </w:p>
        </w:tc>
        <w:tc>
          <w:tcPr>
            <w:tcW w:w="73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37</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Finalizarea a cel puțin 37 proiecte-pilot în domeniul energiei, cu participarea comunității locale, pe baza unei foi de parcurs care să descrie acțiunile desfășurate și etapele următoare. Aceste proiecte-pilot pot include procese participative, sprijin pentru crearea comunităților energetice locale sau implementarea proiectelor privind energia din surse regenerabile.</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112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C7.R4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Foaie de parcurs pentru energia eoliană offshore și alte surse de energie marină</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Publicarea pe pagina web</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3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Publicarea foii de parcurs pentru energia eoliană offshore și alte tipuri de energie marină în vederea reducerii barierelor administrative în calea dezvoltării acestei surse de energie regenerabilă</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113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C7.R4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măsurilor de reglementare identificate în harta energiei eoliene offshore și a altor tipuri de energie marină</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Dispoziții ale măsurilor de reglementare la intrarea în vigoare</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3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Publicarea în JO a principalelor măsuri de reglementare identificate în harta energiei eoliene offshore și a altor tipuri de energie marină, pentru a promova cercetarea și inovarea și pentru a sprijini implementarea tehnologiilor plutitoare. Aceste măsuri-cheie includ: aprobarea finală a planurilor de amenajare a spațiului maritim, o mai bună coordonare a planificării rețelei și a strategiei offshore și actualizarea cadrului de reglementare.</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114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C7.R4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Finalizarea măsurilor identificate în foaia de parcurs privind biogazul</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Publicarea pe pagina web</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3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Finalizarea măsurilor-cheie identificate în foaia de parcurs privind biogazul, inclusiv instituirea unui sistem de garanții de origine pentru gazele din surse regenerabile, pentru a îmbunătăți competitivitatea biogazului și pentru a încuraja investițiile în producția de biogaz, asigurând o decarbonizare mai rapidă în sectoare precum industria și transporturile.</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115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C7.I1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Licitație pentru sprijin pentru investiții în favoarea capacităților inovatoare sau cu valoare adăugată din surse regenerabile</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Publicarea în JO</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3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Publicarea în JO a primei licitații pentru sprijin pentru investiții în favoarea capacităților inovatoare sau cu valoare adăugată din surse regenerabile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116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C7.I1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Noi proiecte, tehnologii sau instalații de infrastructură marină pentru energia din surse regenerabile</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Decizia de atribuire/decizia autorității de investiții</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3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Q3</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Cel puțin 6 proiecte de dezvoltare premiate pentru promovarea de noi proiecte, tehnologii sau instalații de infrastructură marină pentru energia din surse regenerabile. Evoluțiile din 6 ar trebui să contribuie la punerea în aplicare a proiectelor privind energia din surse regenerabile marine în Spania. Printre aceste evoluții se pot număra IMM-urile care desfășoară activități în domeniul energiei din surse regenerabile marine, care primesc granturi, împrumuturi sau investiții de capital, participă la achizițiile publice înainte de comercializare, precum și granturile acordate direct proiectelor marine din domeniul energiei din surse regenerabile sau unui prototip al unei noi tehnologii de producție sau de implementare a unei noi tehnologii în domeniul energiei marine din surse regenerabile.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117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C7.I1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Capacitate suplimentară de producție pentru energie inovatoare sau cu valoare adăugată din surse regenerabile</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 (MW)</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3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3 800</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2026</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Capacitate de producție suplimentară cumulată pentru energia din surse regenerabile achiziționată prin licitații pentru o capacitate inovatoare sau cu valoare adăugată din surse regenerabile (cel puțin 3 800 MW instalați)</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118</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C7.I2</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977"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Biroul pentru energie curată și proiecte inteligente pentru insule </w:t>
            </w:r>
          </w:p>
        </w:tc>
        <w:tc>
          <w:tcPr>
            <w:tcW w:w="1276"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Publicarea pe pagina web</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3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Q3</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5217"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Crearea Biroului pentru proiecte în domeniul energiei curate și al proiectelor inteligente pentru insule, cu obiectivul de a gestiona programele de sprijin din cadrul Mecanismului de redresare și reziliență. Biroul va coordona dinamizarea și dezvoltarea tranziției energetice în insule.</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119</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C7.I2</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Finalizarea proiectelor de sprijinire a tranziției energetice pe insule</w:t>
            </w:r>
          </w:p>
        </w:tc>
        <w:tc>
          <w:tcPr>
            <w:tcW w:w="1276"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Număr</w:t>
            </w:r>
          </w:p>
        </w:tc>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73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500</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Q3</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2024</w:t>
            </w:r>
          </w:p>
        </w:tc>
        <w:tc>
          <w:tcPr>
            <w:tcW w:w="5217"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Cel puțin 500 de acțiuni, proiecte sau programe sprijinite sau desfășurate, inclusiv: programe sau birouri de dinamizare, foi de parcurs insulare, proiecte de investiții sau de ajutor legate de energia curată pentru insulele UE sau de programul „Insule inteligente”, de energie din surse regenerabile sau de stocare durabilă. </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120</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C7.I2</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Capacitate suplimentară de producție pentru energia din surse regenerabile în insule</w:t>
            </w:r>
          </w:p>
        </w:tc>
        <w:tc>
          <w:tcPr>
            <w:tcW w:w="1276"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Număr (MW)</w:t>
            </w:r>
          </w:p>
        </w:tc>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73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180</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2026</w:t>
            </w:r>
          </w:p>
        </w:tc>
        <w:tc>
          <w:tcPr>
            <w:tcW w:w="5217"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Capacitate de producție suplimentară cumulată pentru energia din surse regenerabile achiziționată prin licitații pentru capacitatea din surse regenerabile în insule (cel puțin 180 MW instalați).</w:t>
            </w:r>
          </w:p>
        </w:tc>
      </w:tr>
    </w:tbl>
    <w:p>
      <w:pPr>
        <w:spacing w:before="120" w:after="120" w:line="240" w:lineRule="auto"/>
        <w:ind w:left="709"/>
        <w:jc w:val="both"/>
        <w:rPr>
          <w:rFonts w:ascii="Times New Roman" w:hAnsi="Times New Roman" w:cs="Times New Roman"/>
          <w:noProof/>
          <w:color w:val="000000" w:themeColor="text1"/>
          <w:sz w:val="24"/>
        </w:rPr>
      </w:pPr>
    </w:p>
    <w:p>
      <w:pPr>
        <w:spacing w:before="120" w:after="120" w:line="240" w:lineRule="auto"/>
        <w:jc w:val="both"/>
        <w:rPr>
          <w:rFonts w:ascii="Times New Roman" w:hAnsi="Times New Roman" w:cs="Times New Roman"/>
          <w:noProof/>
          <w:sz w:val="24"/>
        </w:rPr>
        <w:sectPr>
          <w:headerReference w:type="even" r:id="rId97"/>
          <w:headerReference w:type="default" r:id="rId98"/>
          <w:footerReference w:type="even" r:id="rId99"/>
          <w:footerReference w:type="default" r:id="rId100"/>
          <w:headerReference w:type="first" r:id="rId101"/>
          <w:footerReference w:type="first" r:id="rId102"/>
          <w:pgSz w:w="16839" w:h="11907" w:orient="landscape"/>
          <w:pgMar w:top="1417" w:right="1134" w:bottom="1417" w:left="1134" w:header="709" w:footer="709" w:gutter="0"/>
          <w:cols w:space="720"/>
          <w:docGrid w:linePitch="360"/>
        </w:sectPr>
      </w:pPr>
    </w:p>
    <w:p>
      <w:pPr>
        <w:pStyle w:val="Heading1"/>
        <w:rPr>
          <w:noProof/>
        </w:rPr>
      </w:pPr>
      <w:r>
        <w:rPr>
          <w:noProof/>
        </w:rPr>
        <w:t>H. COMPONENTA 08: Infrastructura de energie electrică, rețelele inteligente și implementarea flexibilității și a stocării</w:t>
      </w:r>
    </w:p>
    <w:p>
      <w:pPr>
        <w:keepNext/>
        <w:spacing w:before="120" w:after="120" w:line="240" w:lineRule="auto"/>
        <w:jc w:val="both"/>
        <w:rPr>
          <w:rFonts w:ascii="Times New Roman" w:hAnsi="Times New Roman" w:cs="Times New Roman"/>
          <w:iCs/>
          <w:noProof/>
          <w:sz w:val="24"/>
        </w:rPr>
      </w:pPr>
      <w:r>
        <w:rPr>
          <w:rFonts w:ascii="Times New Roman" w:hAnsi="Times New Roman"/>
          <w:iCs/>
          <w:noProof/>
          <w:sz w:val="24"/>
        </w:rPr>
        <w:t>Planul național privind energia și clima (PNEC) al Spaniei vizează o pondere de 42 % a energiei din surse regenerabile în consumul final de energie până în 2030. Integrarea unei cantități tot mai mari de energie electrică din surse regenerabile (estimată să atingă 74 % din cerere în 2030 și 100 % până în 2050) necesită o serie de investiții complementare în digitalizarea rețelei, stocare și gestionarea cererii. În special, intermitența și previzibilitatea parțială a tehnologiilor din domeniul energiei din surse regenerabile înseamnă că stocarea energiei are un rol important de jucat, de a asigura flexibilitatea sistemului și de a asigura stabilitatea rețelei.</w:t>
      </w:r>
    </w:p>
    <w:p>
      <w:pPr>
        <w:keepNext/>
        <w:spacing w:before="120" w:after="120" w:line="240" w:lineRule="auto"/>
        <w:jc w:val="both"/>
        <w:rPr>
          <w:rFonts w:ascii="Times New Roman" w:hAnsi="Times New Roman" w:cs="Times New Roman"/>
          <w:iCs/>
          <w:noProof/>
          <w:sz w:val="24"/>
        </w:rPr>
      </w:pPr>
      <w:r>
        <w:rPr>
          <w:rFonts w:ascii="Times New Roman" w:hAnsi="Times New Roman"/>
          <w:iCs/>
          <w:noProof/>
          <w:sz w:val="24"/>
        </w:rPr>
        <w:t xml:space="preserve">În acest context, această componentă a planului spaniol de redresare și reziliență are următoarele obiective: </w:t>
      </w:r>
    </w:p>
    <w:p>
      <w:pPr>
        <w:keepNext/>
        <w:numPr>
          <w:ilvl w:val="0"/>
          <w:numId w:val="56"/>
        </w:numPr>
        <w:spacing w:before="120" w:after="120" w:line="240" w:lineRule="auto"/>
        <w:jc w:val="both"/>
        <w:rPr>
          <w:rFonts w:ascii="Times New Roman" w:hAnsi="Times New Roman" w:cs="Times New Roman"/>
          <w:iCs/>
          <w:noProof/>
          <w:sz w:val="24"/>
        </w:rPr>
      </w:pPr>
      <w:r>
        <w:rPr>
          <w:rFonts w:ascii="Times New Roman" w:hAnsi="Times New Roman"/>
          <w:iCs/>
          <w:noProof/>
          <w:sz w:val="24"/>
        </w:rPr>
        <w:t>Dezvoltarea unui sistem energetic mai flexibil, descentralizat și dinamic, capabil să absoarbă în mod eficient și în condiții de siguranță niveluri mai ridicate de producere a energiei din surse regenerabile;</w:t>
      </w:r>
    </w:p>
    <w:p>
      <w:pPr>
        <w:keepNext/>
        <w:numPr>
          <w:ilvl w:val="0"/>
          <w:numId w:val="56"/>
        </w:numPr>
        <w:spacing w:before="120" w:after="120" w:line="240" w:lineRule="auto"/>
        <w:jc w:val="both"/>
        <w:rPr>
          <w:rFonts w:ascii="Times New Roman" w:hAnsi="Times New Roman" w:cs="Times New Roman"/>
          <w:iCs/>
          <w:noProof/>
          <w:sz w:val="24"/>
        </w:rPr>
      </w:pPr>
      <w:r>
        <w:rPr>
          <w:rFonts w:ascii="Times New Roman" w:hAnsi="Times New Roman"/>
          <w:iCs/>
          <w:noProof/>
          <w:sz w:val="24"/>
        </w:rPr>
        <w:t xml:space="preserve">Dezvoltarea de noi modele de afaceri inovatoare; și </w:t>
      </w:r>
    </w:p>
    <w:p>
      <w:pPr>
        <w:keepNext/>
        <w:numPr>
          <w:ilvl w:val="0"/>
          <w:numId w:val="56"/>
        </w:numPr>
        <w:spacing w:before="120" w:after="120" w:line="240" w:lineRule="auto"/>
        <w:jc w:val="both"/>
        <w:rPr>
          <w:rFonts w:ascii="Times New Roman" w:hAnsi="Times New Roman" w:cs="Times New Roman"/>
          <w:iCs/>
          <w:noProof/>
          <w:sz w:val="24"/>
        </w:rPr>
      </w:pPr>
      <w:r>
        <w:rPr>
          <w:rFonts w:ascii="Times New Roman" w:hAnsi="Times New Roman"/>
          <w:iCs/>
          <w:noProof/>
          <w:sz w:val="24"/>
        </w:rPr>
        <w:t>Implicarea noilor actori în sistemul de energie electrică (producători, furnizori și consumatori, pe lângă operatorii de stocare și agregatori) și un cadru de reglementare mai flexibil, capabil să se adapteze la noile nevoi, prin intermediul unor spații de testare în materie de reglementare.</w:t>
      </w:r>
    </w:p>
    <w:p>
      <w:pPr>
        <w:spacing w:before="120" w:after="120" w:line="240" w:lineRule="auto"/>
        <w:jc w:val="both"/>
        <w:rPr>
          <w:rFonts w:ascii="Times New Roman" w:hAnsi="Times New Roman" w:cs="Times New Roman"/>
          <w:iCs/>
          <w:noProof/>
          <w:color w:val="000000" w:themeColor="text1"/>
          <w:sz w:val="24"/>
        </w:rPr>
      </w:pPr>
      <w:r>
        <w:rPr>
          <w:rFonts w:ascii="Times New Roman" w:hAnsi="Times New Roman"/>
          <w:iCs/>
          <w:noProof/>
          <w:color w:val="000000" w:themeColor="text1"/>
          <w:sz w:val="24"/>
        </w:rPr>
        <w:t>Componenta promovează investițiile în inovare și în eficiența energetică și încurajează adoptarea unor politici eficiente de încurajare a inovării (recomandarea specifică țării 3 din 2019). Aceasta promovează, de asemenea, investițiile publice și private și promovează tranziția verde (recomandarea specifică țării 3 din 2020).</w:t>
      </w:r>
    </w:p>
    <w:p>
      <w:pPr>
        <w:spacing w:before="120" w:after="120" w:line="240" w:lineRule="auto"/>
        <w:jc w:val="both"/>
        <w:rPr>
          <w:rFonts w:ascii="Times New Roman" w:hAnsi="Times New Roman" w:cs="Times New Roman"/>
          <w:i/>
          <w:noProof/>
          <w:color w:val="000000" w:themeColor="text1"/>
          <w:sz w:val="24"/>
          <w:szCs w:val="24"/>
        </w:rPr>
      </w:pPr>
      <w:r>
        <w:rPr>
          <w:rFonts w:ascii="Times New Roman" w:hAnsi="Times New Roman"/>
          <w:noProof/>
          <w:color w:val="000000" w:themeColor="text1"/>
          <w:sz w:val="24"/>
          <w:szCs w:val="24"/>
        </w:rPr>
        <w:t xml:space="preserve">Se preconizează că nicio măsură din cadrul acestei componente nu aduce prejudicii semnificative obiectivelor de mediu în sensul articolului 17 din Regulamentul (UE) 2020/852, ținând seama de descrierea măsurilor și a măsurilor de atenuare stabilite în planul de redresare și reziliență în conformitate cu Orientările tehnice DNSH (2021/C58/01). </w:t>
      </w:r>
    </w:p>
    <w:p>
      <w:pPr>
        <w:spacing w:before="120" w:after="120" w:line="240" w:lineRule="auto"/>
        <w:ind w:left="709"/>
        <w:jc w:val="both"/>
        <w:rPr>
          <w:rFonts w:ascii="Times New Roman" w:hAnsi="Times New Roman" w:cs="Times New Roman"/>
          <w:b/>
          <w:i/>
          <w:noProof/>
          <w:color w:val="4F81BD" w:themeColor="accent1"/>
          <w:sz w:val="24"/>
        </w:rPr>
      </w:pPr>
      <w:r>
        <w:rPr>
          <w:rFonts w:ascii="Times New Roman" w:hAnsi="Times New Roman"/>
          <w:b/>
          <w:bCs/>
          <w:noProof/>
          <w:sz w:val="24"/>
          <w:u w:val="single"/>
        </w:rPr>
        <w:t xml:space="preserve">H.1. </w:t>
      </w:r>
      <w:r>
        <w:rPr>
          <w:rFonts w:ascii="Times New Roman" w:hAnsi="Times New Roman"/>
          <w:b/>
          <w:noProof/>
          <w:sz w:val="24"/>
          <w:u w:val="single"/>
        </w:rPr>
        <w:tab/>
      </w:r>
      <w:r>
        <w:rPr>
          <w:rFonts w:ascii="Times New Roman" w:hAnsi="Times New Roman"/>
          <w:b/>
          <w:bCs/>
          <w:noProof/>
          <w:sz w:val="24"/>
          <w:u w:val="single"/>
        </w:rPr>
        <w:t>Descrierea reformelor și a investițiilor pentru care se prevede acordarea sprijinului financiar nerambursabil</w:t>
      </w:r>
    </w:p>
    <w:p>
      <w:pPr>
        <w:spacing w:before="120" w:after="120" w:line="240" w:lineRule="auto"/>
        <w:jc w:val="both"/>
        <w:rPr>
          <w:rFonts w:ascii="Times New Roman" w:hAnsi="Times New Roman" w:cs="Times New Roman"/>
          <w:noProof/>
          <w:sz w:val="24"/>
        </w:rPr>
      </w:pPr>
      <w:r>
        <w:rPr>
          <w:rFonts w:ascii="Times New Roman" w:hAnsi="Times New Roman"/>
          <w:noProof/>
          <w:sz w:val="24"/>
          <w:u w:val="single"/>
        </w:rPr>
        <w:t>Reforma 1 (C8.R1) - Asigurarea unui cadru pentru integrarea surselor regenerabile de energie în sistemul energetic: rețele, stocare și infrastructură</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Obiectivul acestei măsuri este de a permite un cadru de reglementare transparent și stabil, care să creeze certitudine și să permită o integrare sporită a surselor regenerabile de energie în sistemul energetic, prin investiții în rețele, stocare și infrastructură.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Reforma include strategia de decarbonizare pe termen lung pentru 2050 („ELP 2050”). Obiectivul acestei strategii este de a pune bazele unui cadru strategic și de reglementare pentru integrarea efectivă a energiilor regenerabile într-un sistem energetic flexibil și inteligent. Printre obiectivele ELP 2050 se numără: (a) reducerea emisiilor de GES cu 90 % față de 1990 (neutralitate climatică); (b) realizarea a 97 % din energia din surse regenerabile la consumul final de energie; și (c) un sistem de energie electrică din surse regenerabile de 100 %.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Punerea în aplicare a măsurii se finalizează până la 31 martie 2021.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Reforma 2 (C8.R2) - Strategia de stocare a energiei și adaptarea cadrului de reglementare pentru implementarea stocării energiei</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Această măsură vizează dezvoltarea, aprobarea și implementarea unui cadru de reglementare și strategic pentru promovarea stocării energiei. Reforma asigură cadrul necesar pentru investițiile planificate în temeiul C8.I1 și C8.I3, legate de implementarea stocării energiei și, respectiv, de noile modele de afaceri în tranziția energetică.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Reforma include aprobarea de către guvernul spaniol a strategiei de stocare a energiei. Obiectivul acestei strategii este de a avea la dispoziție 20 GW de stocare a energiei în 2030 și 30 GW în 2050.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Reforma include trei acte legislative și de reglementare: (i) Decretul regal nr. 1183/2020 de reglementare a accesului la rețea pentru instalațiile de stocare; (ii) </w:t>
      </w:r>
      <w:r>
        <w:rPr>
          <w:rFonts w:ascii="Times New Roman" w:hAnsi="Times New Roman"/>
          <w:i/>
          <w:noProof/>
          <w:sz w:val="24"/>
        </w:rPr>
        <w:t>Comisión Nacional de los Mercados y la Competencia</w:t>
      </w:r>
      <w:r>
        <w:rPr>
          <w:rFonts w:ascii="Times New Roman" w:hAnsi="Times New Roman"/>
          <w:noProof/>
          <w:sz w:val="24"/>
        </w:rPr>
        <w:t xml:space="preserve"> Circular 1/2021 pentru a stabili metodologia și condițiile de acces și de conectare la rețelele de transport și distribuție ale instalațiilor de producere a energiei electrice; (iii) Rezoluția Comisión Nacional de los Mercados y la Competencia din 10 decembrie 2020, care reglementează participarea instalațiilor de stocare a energiei la furnizarea de servicii auxiliare. </w:t>
      </w:r>
    </w:p>
    <w:p>
      <w:pPr>
        <w:spacing w:before="120" w:after="120" w:line="240" w:lineRule="auto"/>
        <w:jc w:val="both"/>
        <w:rPr>
          <w:rFonts w:ascii="Times New Roman" w:hAnsi="Times New Roman" w:cs="Times New Roman"/>
          <w:noProof/>
          <w:sz w:val="24"/>
        </w:rPr>
      </w:pPr>
      <w:r>
        <w:rPr>
          <w:rFonts w:ascii="Times New Roman" w:hAnsi="Times New Roman"/>
          <w:noProof/>
          <w:sz w:val="24"/>
        </w:rPr>
        <w:t>Punerea în aplicare a măsurii se finalizează până la 30 iunie 2022.</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Reforma 3 (C8.R3) - Dezvoltarea cadrului de reglementare pentru serviciile de agregare, de gestionare a cererii și de flexibilitate</w:t>
      </w:r>
    </w:p>
    <w:p>
      <w:pPr>
        <w:spacing w:before="120" w:after="120" w:line="240" w:lineRule="auto"/>
        <w:jc w:val="both"/>
        <w:rPr>
          <w:rFonts w:ascii="Times New Roman" w:hAnsi="Times New Roman" w:cs="Times New Roman"/>
          <w:noProof/>
          <w:sz w:val="24"/>
        </w:rPr>
      </w:pPr>
      <w:r>
        <w:rPr>
          <w:rFonts w:ascii="Times New Roman" w:hAnsi="Times New Roman"/>
          <w:noProof/>
          <w:sz w:val="24"/>
        </w:rPr>
        <w:t>Această măsură are ca obiectiv dezvoltarea cadrului de reglementare necesar pentru dezvoltarea unui sistem energetic inteligent și dinamic, inclusiv: (i) reglementarea gestionării cererii și a serviciilor de flexibilitate în cadrul național de reglementare, (ii) dezvoltarea cadrului de reglementare pentru a surprinde diferitele servicii de flexibilitate și (iii) dezvoltarea unui cadru care să asigure accesul consumatorilor la datele lor privind consumul de energie.</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Reforma este în conformitate cu Planul național privind clima, care recunoaște în mod explicit necesitatea de a stabili cerințele tehnice pentru participarea pe piețele existente și în curs de dezvoltare a participanților care oferă energie din surse regenerabile, a operatorilor de stocare a energiei și a celor care furnizează servicii de consum dispecerizabil.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Planul național privind energia și clima subliniază, de asemenea, necesitatea de a dezvolta statutul agregatorilor, în special al agregatorilor independenți, pentru a facilita participarea acestora la piață. În acest scop, reforma prevede crearea statutului de agregator independent al cererii prin Decretul-lege regal nr. 23/2020, pentru a permite intrarea unor noi actori pe piața cu amănuntul. </w:t>
      </w:r>
    </w:p>
    <w:p>
      <w:pPr>
        <w:spacing w:before="120" w:after="120" w:line="240" w:lineRule="auto"/>
        <w:jc w:val="both"/>
        <w:rPr>
          <w:rFonts w:ascii="Times New Roman" w:hAnsi="Times New Roman" w:cs="Times New Roman"/>
          <w:noProof/>
          <w:sz w:val="24"/>
        </w:rPr>
      </w:pPr>
      <w:r>
        <w:rPr>
          <w:rFonts w:ascii="Times New Roman" w:hAnsi="Times New Roman"/>
          <w:noProof/>
          <w:sz w:val="24"/>
        </w:rPr>
        <w:t>Pe lângă sprijinirea Planului național privind clima, reforma vizează, de asemenea, transpunerea Directiva (UE) 2019/944 a Parlamentului European și a Consiliului din 5 iunie 2019 privind normele comune pentru piața internă de energie electrică, care prevede obligația de a asigura participarea consumatorilor pe piețe, inclusiv prin reacția din partea cererii, de a promova participarea consumatorilor pe bază individuală sau agregată sau prin agregatori independenți, precum și de a permite utilizarea flexibilității în rețelele de distribuție.</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Punerea în aplicare a măsurii se finalizează până la 31 decembrie 2023. </w:t>
      </w:r>
    </w:p>
    <w:p>
      <w:pPr>
        <w:spacing w:before="120" w:after="120" w:line="240" w:lineRule="auto"/>
        <w:jc w:val="both"/>
        <w:rPr>
          <w:rFonts w:ascii="Times New Roman" w:eastAsia="Times New Roman" w:hAnsi="Times New Roman" w:cs="Times New Roman"/>
          <w:noProof/>
          <w:sz w:val="24"/>
          <w:u w:val="single"/>
        </w:rPr>
      </w:pPr>
      <w:r>
        <w:rPr>
          <w:rFonts w:ascii="Times New Roman" w:hAnsi="Times New Roman"/>
          <w:noProof/>
          <w:sz w:val="24"/>
          <w:u w:val="single"/>
        </w:rPr>
        <w:t>Reforma 4 (C8.R4) - Spații de testare în materie de reglementare sau bancuri de testare</w:t>
      </w:r>
      <w:r>
        <w:rPr>
          <w:rFonts w:ascii="Times New Roman" w:hAnsi="Times New Roman"/>
          <w:noProof/>
          <w:sz w:val="24"/>
        </w:rPr>
        <w:t> </w:t>
      </w:r>
    </w:p>
    <w:p>
      <w:pPr>
        <w:spacing w:before="120" w:after="120" w:line="240" w:lineRule="auto"/>
        <w:jc w:val="both"/>
        <w:rPr>
          <w:rFonts w:ascii="Times New Roman" w:hAnsi="Times New Roman" w:cs="Times New Roman"/>
          <w:noProof/>
          <w:sz w:val="24"/>
        </w:rPr>
      </w:pPr>
      <w:r>
        <w:rPr>
          <w:rFonts w:ascii="Times New Roman" w:hAnsi="Times New Roman"/>
          <w:noProof/>
          <w:sz w:val="24"/>
        </w:rPr>
        <w:t>Această măsură vizează dezvoltarea unor bande de testare în materie de reglementare (sandboxes) în cadrul național de reglementare, permițând introducerea de noi produse sau soluții tehnologice, excepții sau garanții de reglementare pentru a facilita cercetarea și inovarea în sectorul energetic. Reforma este direct legată de reforma C8.R3 și de investițiile C8.I3.</w:t>
      </w:r>
    </w:p>
    <w:p>
      <w:pPr>
        <w:spacing w:before="120" w:after="120" w:line="240" w:lineRule="auto"/>
        <w:jc w:val="both"/>
        <w:rPr>
          <w:rFonts w:ascii="Times New Roman" w:hAnsi="Times New Roman" w:cs="Times New Roman"/>
          <w:noProof/>
          <w:sz w:val="24"/>
        </w:rPr>
      </w:pPr>
      <w:r>
        <w:rPr>
          <w:rFonts w:ascii="Times New Roman" w:hAnsi="Times New Roman"/>
          <w:noProof/>
          <w:sz w:val="24"/>
        </w:rPr>
        <w:t>Spațiile de testare în materie de reglementare permit industriei să testeze noile tehnologii, sisteme și servicii legate de flexibilitate, consumul dispecerizabil și stocarea energiei într-un mediu sigur în care părțile interesate să poată experimenta soluții inovatoare fără a face obiectul unor cerințe de reglementare care să împiedice. În plus, spațiile de testare trebuie să prevadă un dialog bidirecțional în materie de reglementare între administrație și autoritatea de reglementare, care să accelereze și să faciliteze revizuirea reglementărilor existente și să le adapteze la intrarea pe piață a unor noi agenți. Se preconizează că acest lucru va facilita crearea de noi întreprinderi tehnologice, oferindu-le posibilitatea de a-și testa modelele de afaceri.</w:t>
      </w:r>
    </w:p>
    <w:p>
      <w:pPr>
        <w:spacing w:before="120" w:after="120" w:line="240" w:lineRule="auto"/>
        <w:jc w:val="both"/>
        <w:rPr>
          <w:rFonts w:ascii="Times New Roman" w:hAnsi="Times New Roman" w:cs="Times New Roman"/>
          <w:noProof/>
          <w:sz w:val="24"/>
        </w:rPr>
      </w:pPr>
      <w:r>
        <w:rPr>
          <w:rFonts w:ascii="Times New Roman" w:hAnsi="Times New Roman"/>
          <w:noProof/>
          <w:sz w:val="24"/>
        </w:rPr>
        <w:t>Reforma include adoptarea unui decret regal privind dezvoltarea spațiilor de testare în materie de reglementare pentru a permite dezvoltarea de noi proiecte-pilot, cu scopul de a încuraja cercetarea și inovarea în sectorul energiei electrice.</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Punerea în aplicare a măsurii se finalizează până la 30 iunie 2023. </w:t>
      </w:r>
    </w:p>
    <w:p>
      <w:pPr>
        <w:spacing w:before="120" w:after="120" w:line="240" w:lineRule="auto"/>
        <w:jc w:val="both"/>
        <w:rPr>
          <w:rFonts w:ascii="Times New Roman" w:eastAsia="Times New Roman" w:hAnsi="Times New Roman" w:cs="Times New Roman"/>
          <w:noProof/>
          <w:sz w:val="24"/>
          <w:u w:val="single"/>
        </w:rPr>
      </w:pPr>
      <w:r>
        <w:rPr>
          <w:rFonts w:ascii="Times New Roman" w:hAnsi="Times New Roman"/>
          <w:noProof/>
          <w:sz w:val="24"/>
          <w:u w:val="single"/>
        </w:rPr>
        <w:t>Investiția 1 (C8.I1) - Implementarea stocării energiei</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Obiectivul acestei inițiative este de a implementa stocarea energiei prin lansarea unor inițiative de sprijin și de investiții în trei domenii principale:</w:t>
      </w:r>
    </w:p>
    <w:p>
      <w:pPr>
        <w:numPr>
          <w:ilvl w:val="0"/>
          <w:numId w:val="58"/>
        </w:numPr>
        <w:spacing w:before="120" w:after="160" w:line="259" w:lineRule="auto"/>
        <w:ind w:left="426" w:hanging="426"/>
        <w:contextualSpacing/>
        <w:jc w:val="both"/>
        <w:rPr>
          <w:rFonts w:ascii="Times New Roman" w:eastAsia="Times New Roman" w:hAnsi="Times New Roman" w:cs="Times New Roman"/>
          <w:noProof/>
          <w:sz w:val="24"/>
        </w:rPr>
      </w:pPr>
      <w:r>
        <w:rPr>
          <w:rFonts w:ascii="Times New Roman" w:hAnsi="Times New Roman"/>
          <w:noProof/>
          <w:sz w:val="24"/>
        </w:rPr>
        <w:t>Dezvoltarea stocării la scară largă. Stocarea la scară largă este necesară pentru a integra cantități mai mari de energie din surse regenerabile și pentru a furniza servicii sistemului, de la reglementarea frecvențelor, sprijinul la platformă (flexibilitate) sau pornirea la negru;</w:t>
      </w:r>
    </w:p>
    <w:p>
      <w:pPr>
        <w:numPr>
          <w:ilvl w:val="0"/>
          <w:numId w:val="58"/>
        </w:numPr>
        <w:spacing w:before="120" w:after="160" w:line="259" w:lineRule="auto"/>
        <w:ind w:left="426" w:hanging="426"/>
        <w:contextualSpacing/>
        <w:jc w:val="both"/>
        <w:rPr>
          <w:rFonts w:ascii="Times New Roman" w:eastAsia="Times New Roman" w:hAnsi="Times New Roman" w:cs="Times New Roman"/>
          <w:noProof/>
          <w:sz w:val="24"/>
        </w:rPr>
      </w:pPr>
      <w:r>
        <w:rPr>
          <w:rFonts w:ascii="Times New Roman" w:hAnsi="Times New Roman"/>
          <w:noProof/>
          <w:sz w:val="24"/>
        </w:rPr>
        <w:t>Promovarea stocării în spatele contorului și integrată la nivel sectorial. Tehnologiile din spatele contorului pot include instalații pentru consumul propriu, baterii cu litiu și sisteme de stocare a căldurii; și</w:t>
      </w:r>
    </w:p>
    <w:p>
      <w:pPr>
        <w:numPr>
          <w:ilvl w:val="0"/>
          <w:numId w:val="58"/>
        </w:numPr>
        <w:spacing w:before="120" w:after="120" w:line="259" w:lineRule="auto"/>
        <w:ind w:left="425" w:hanging="425"/>
        <w:jc w:val="both"/>
        <w:rPr>
          <w:rFonts w:ascii="Times New Roman" w:eastAsia="Times New Roman" w:hAnsi="Times New Roman" w:cs="Times New Roman"/>
          <w:noProof/>
        </w:rPr>
      </w:pPr>
      <w:r>
        <w:rPr>
          <w:rFonts w:ascii="Times New Roman" w:hAnsi="Times New Roman"/>
          <w:noProof/>
          <w:sz w:val="24"/>
        </w:rPr>
        <w:t>O inițiativă publică de creare a unui cluster ecologic deschis pentru dezvoltarea tehnologică și industrială a stocării în Spania, în vederea mobilizării și integrării diferitelor întreprinderi din sectorul energetic și din alte sectoare industriale din jurul stocării, consolidând capacitățile industriale și tehnologice ale țării.</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Investițiile propuse sunt sprijinite în cadrul definit de reformele acestei componente, în special reformele C8.R1 și C8.R2, care oferă baza juridică și strategică pentru o implementare eficace a stocării energiei.</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Măsura este pusă în aplicare prin proiecte inovatoare de stocare care contribuie la tranziția energetică, în special pentru a oferi o nouă flexibilitate sectorului energetic, inclusiv integrarea surselor regenerabile de energie. Sunt operaționale cel puțin cinci proiecte inovatoare de stocare sau se instalează o capacitate agregată de cel puțin 600 MW [sau o alimentare totală echivalentă cu energie (MWh)].</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Punerea în aplicare a investiției se finalizează până la 30 iunie 2026.   </w:t>
      </w:r>
    </w:p>
    <w:p>
      <w:pPr>
        <w:spacing w:before="120" w:after="120" w:line="240" w:lineRule="auto"/>
        <w:jc w:val="both"/>
        <w:rPr>
          <w:rFonts w:ascii="Times New Roman" w:eastAsia="Times New Roman" w:hAnsi="Times New Roman" w:cs="Times New Roman"/>
          <w:noProof/>
          <w:sz w:val="24"/>
          <w:u w:val="single"/>
        </w:rPr>
      </w:pPr>
      <w:r>
        <w:rPr>
          <w:rFonts w:ascii="Times New Roman" w:hAnsi="Times New Roman"/>
          <w:noProof/>
          <w:sz w:val="24"/>
          <w:u w:val="single"/>
        </w:rPr>
        <w:t>Investiția 2 (C8.I2) - Digitalizarea rețelelor</w:t>
      </w:r>
    </w:p>
    <w:p>
      <w:pPr>
        <w:spacing w:before="120" w:after="120" w:line="240" w:lineRule="auto"/>
        <w:jc w:val="both"/>
        <w:rPr>
          <w:rFonts w:ascii="Times New Roman" w:eastAsiaTheme="minorEastAsia" w:hAnsi="Times New Roman" w:cs="Times New Roman"/>
          <w:iCs/>
          <w:noProof/>
          <w:sz w:val="24"/>
        </w:rPr>
      </w:pPr>
      <w:r>
        <w:rPr>
          <w:rFonts w:ascii="Times New Roman" w:hAnsi="Times New Roman"/>
          <w:iCs/>
          <w:noProof/>
          <w:sz w:val="24"/>
        </w:rPr>
        <w:t xml:space="preserve">Această măsură oferă sprijin pentru investițiile legate de digitalizarea rețelelor de distribuție, cu scopul de a le alinia la cerințele necesare pentru punerea în aplicare a tranziției energetice. </w:t>
      </w:r>
      <w:r>
        <w:rPr>
          <w:rFonts w:ascii="Times New Roman" w:hAnsi="Times New Roman"/>
          <w:noProof/>
          <w:sz w:val="24"/>
        </w:rPr>
        <w:t>Necesitatea digitalizării rețelelor de energie electrică face parte din Directiva (UE) 2019/944 a Parlamentului European și a Consiliului din 5 iunie 2019 privind normele comune pentru piața internă de energie electrică, care prevede că statele membre ar trebui să încurajeze modernizarea rețelelor, de exemplu prin introducerea rețelelor inteligente.</w:t>
      </w:r>
      <w:r>
        <w:rPr>
          <w:rFonts w:ascii="Times New Roman" w:hAnsi="Times New Roman"/>
          <w:iCs/>
          <w:noProof/>
          <w:sz w:val="24"/>
        </w:rPr>
        <w:t xml:space="preserve"> Digitalizarea rețelelor este necesară pentru a avansa transformarea sistemului energetic cu o prezență mai mare a energiei din surse regenerabile, pentru a avea un sistem de energie electrică sigur și rezilient. Este deosebit de important în teritoriile nepeninsulare, caracterizate de o mai mare vulnerabilitate și dependență energetică. </w:t>
      </w:r>
    </w:p>
    <w:p>
      <w:pPr>
        <w:spacing w:before="120" w:after="120" w:line="240" w:lineRule="auto"/>
        <w:jc w:val="both"/>
        <w:rPr>
          <w:rFonts w:ascii="Times New Roman" w:eastAsiaTheme="minorEastAsia" w:hAnsi="Times New Roman" w:cs="Times New Roman"/>
          <w:iCs/>
          <w:noProof/>
          <w:sz w:val="24"/>
        </w:rPr>
      </w:pPr>
      <w:r>
        <w:rPr>
          <w:rFonts w:ascii="Times New Roman" w:hAnsi="Times New Roman"/>
          <w:iCs/>
          <w:noProof/>
          <w:sz w:val="24"/>
        </w:rPr>
        <w:t>Obiectivul general al măsurii este de a spori competitivitatea energiei electrice, accelerând electrificarea economiei. În acest scop, măsura prevede un mecanism de sprijin inițial pentru a maximiza potențialul oferit de digitalizarea rețelelor prin: (i) reducerea pierderilor și a deversărilor de energie din surse regenerabile (ii) favorizarea participării cererii la gestionarea sistemului de energie electrică și (iii) optimizarea configurării rețelei.</w:t>
      </w:r>
    </w:p>
    <w:p>
      <w:pPr>
        <w:spacing w:before="120" w:after="120" w:line="240" w:lineRule="auto"/>
        <w:jc w:val="both"/>
        <w:rPr>
          <w:rFonts w:ascii="Times New Roman" w:eastAsiaTheme="minorEastAsia" w:hAnsi="Times New Roman" w:cs="Times New Roman"/>
          <w:iCs/>
          <w:noProof/>
          <w:sz w:val="24"/>
        </w:rPr>
      </w:pPr>
      <w:r>
        <w:rPr>
          <w:rFonts w:ascii="Times New Roman" w:hAnsi="Times New Roman"/>
          <w:noProof/>
          <w:sz w:val="24"/>
        </w:rPr>
        <w:t>Măsura prevede acordarea la nivelul a cel puțin 35 de proiecte inovatoare de digitalizare (pentru distribuția inteligentă de energie electrică) întreprinderilor de distribuție.</w:t>
      </w:r>
    </w:p>
    <w:p>
      <w:pPr>
        <w:spacing w:before="120" w:after="120" w:line="240" w:lineRule="auto"/>
        <w:jc w:val="both"/>
        <w:rPr>
          <w:rFonts w:ascii="Times New Roman" w:eastAsiaTheme="minorEastAsia" w:hAnsi="Times New Roman" w:cs="Times New Roman"/>
          <w:iCs/>
          <w:noProof/>
          <w:sz w:val="24"/>
        </w:rPr>
      </w:pPr>
      <w:r>
        <w:rPr>
          <w:rFonts w:ascii="Times New Roman" w:hAnsi="Times New Roman"/>
          <w:iCs/>
          <w:noProof/>
          <w:sz w:val="24"/>
        </w:rPr>
        <w:t xml:space="preserve">Punerea în aplicare a investiției se finalizează până la 31 decembrie 2023.  </w:t>
      </w:r>
    </w:p>
    <w:p>
      <w:pPr>
        <w:keepNext/>
        <w:spacing w:before="120" w:after="120" w:line="240" w:lineRule="auto"/>
        <w:jc w:val="both"/>
        <w:rPr>
          <w:rFonts w:ascii="Times New Roman" w:eastAsia="Times New Roman" w:hAnsi="Times New Roman" w:cs="Times New Roman"/>
          <w:noProof/>
          <w:sz w:val="24"/>
          <w:u w:val="single"/>
        </w:rPr>
      </w:pPr>
      <w:r>
        <w:rPr>
          <w:rFonts w:ascii="Times New Roman" w:hAnsi="Times New Roman"/>
          <w:noProof/>
          <w:sz w:val="24"/>
          <w:u w:val="single"/>
        </w:rPr>
        <w:t>Investiția 3 (C8.I3) - Noi modele de afaceri în tranziția energetică</w:t>
      </w:r>
    </w:p>
    <w:p>
      <w:pPr>
        <w:keepNext/>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Această măsură cuprinde investiții și mecanisme de sprijin menite să stimuleze noi modele de afaceri pentru tranziția legată de implementarea stocării energiei, precum și gestionarea și reciclarea celei de-a doua durate de viață, gestionarea cererii, agregatori, servicii de flexibilitate, acces la date și spații de testare. În special, măsura include: </w:t>
      </w:r>
    </w:p>
    <w:p>
      <w:pPr>
        <w:numPr>
          <w:ilvl w:val="0"/>
          <w:numId w:val="57"/>
        </w:numPr>
        <w:spacing w:before="120" w:after="160" w:line="259" w:lineRule="auto"/>
        <w:ind w:left="426" w:hanging="426"/>
        <w:contextualSpacing/>
        <w:jc w:val="both"/>
        <w:rPr>
          <w:rFonts w:ascii="Times New Roman" w:eastAsia="Times New Roman" w:hAnsi="Times New Roman" w:cs="Times New Roman"/>
          <w:noProof/>
          <w:sz w:val="24"/>
        </w:rPr>
      </w:pPr>
      <w:r>
        <w:rPr>
          <w:rFonts w:ascii="Times New Roman" w:hAnsi="Times New Roman"/>
          <w:noProof/>
          <w:sz w:val="24"/>
        </w:rPr>
        <w:t>Sprijin pentru implementarea agregatorilor pe piața națională a energiei electrice, cu un accent deosebit pe agregatorii independenți, prin instalarea de echipamente de măsurare în timp real (subcontorizare) și de centre de control și comunicare, precum și prin promovarea platformelor de agregare;</w:t>
      </w:r>
    </w:p>
    <w:p>
      <w:pPr>
        <w:numPr>
          <w:ilvl w:val="0"/>
          <w:numId w:val="57"/>
        </w:numPr>
        <w:spacing w:before="120" w:after="160" w:line="259" w:lineRule="auto"/>
        <w:ind w:left="426" w:hanging="426"/>
        <w:contextualSpacing/>
        <w:jc w:val="both"/>
        <w:rPr>
          <w:rFonts w:ascii="Times New Roman" w:eastAsia="Times New Roman" w:hAnsi="Times New Roman" w:cs="Times New Roman"/>
          <w:noProof/>
          <w:sz w:val="24"/>
        </w:rPr>
      </w:pPr>
      <w:r>
        <w:rPr>
          <w:rFonts w:ascii="Times New Roman" w:hAnsi="Times New Roman"/>
          <w:noProof/>
          <w:sz w:val="24"/>
        </w:rPr>
        <w:t>Desfășurarea stocării de-a lungul întregului lanț valoric;</w:t>
      </w:r>
    </w:p>
    <w:p>
      <w:pPr>
        <w:numPr>
          <w:ilvl w:val="0"/>
          <w:numId w:val="57"/>
        </w:numPr>
        <w:spacing w:before="120" w:after="160" w:line="259" w:lineRule="auto"/>
        <w:ind w:left="426" w:hanging="426"/>
        <w:contextualSpacing/>
        <w:jc w:val="both"/>
        <w:rPr>
          <w:rFonts w:ascii="Times New Roman" w:eastAsia="Times New Roman" w:hAnsi="Times New Roman" w:cs="Times New Roman"/>
          <w:noProof/>
          <w:sz w:val="24"/>
        </w:rPr>
      </w:pPr>
      <w:r>
        <w:rPr>
          <w:rFonts w:ascii="Times New Roman" w:hAnsi="Times New Roman"/>
          <w:noProof/>
          <w:sz w:val="24"/>
        </w:rPr>
        <w:t>Sprijin pentru proiecte de gestionare a cererii în diferite profiluri ale consumatorilor (industrie mare, IMM-uri, comunități de energie din surse regenerabile/comunități de energie ale cetățenilor, agregatori etc.);</w:t>
      </w:r>
    </w:p>
    <w:p>
      <w:pPr>
        <w:numPr>
          <w:ilvl w:val="0"/>
          <w:numId w:val="57"/>
        </w:numPr>
        <w:spacing w:before="120" w:after="160" w:line="259" w:lineRule="auto"/>
        <w:ind w:left="426" w:hanging="426"/>
        <w:contextualSpacing/>
        <w:jc w:val="both"/>
        <w:rPr>
          <w:rFonts w:ascii="Times New Roman" w:eastAsia="Times New Roman" w:hAnsi="Times New Roman" w:cs="Times New Roman"/>
          <w:noProof/>
          <w:sz w:val="24"/>
        </w:rPr>
      </w:pPr>
      <w:r>
        <w:rPr>
          <w:rFonts w:ascii="Times New Roman" w:hAnsi="Times New Roman"/>
          <w:noProof/>
          <w:sz w:val="24"/>
        </w:rPr>
        <w:t>Solicită depunerea de cereri pentru realizarea de standuri de testare în materie de reglementare, sub forma unor ajutoare directe, competitive sau a unor acorduri de colaborare; și</w:t>
      </w:r>
    </w:p>
    <w:p>
      <w:pPr>
        <w:numPr>
          <w:ilvl w:val="0"/>
          <w:numId w:val="57"/>
        </w:numPr>
        <w:spacing w:before="120" w:after="120" w:line="259" w:lineRule="auto"/>
        <w:ind w:left="425" w:hanging="425"/>
        <w:jc w:val="both"/>
        <w:rPr>
          <w:rFonts w:ascii="Times New Roman" w:eastAsia="Times New Roman" w:hAnsi="Times New Roman" w:cs="Times New Roman"/>
          <w:noProof/>
          <w:sz w:val="24"/>
        </w:rPr>
      </w:pPr>
      <w:r>
        <w:rPr>
          <w:rFonts w:ascii="Times New Roman" w:hAnsi="Times New Roman"/>
          <w:noProof/>
          <w:sz w:val="24"/>
        </w:rPr>
        <w:t>Sprijinirea întreprinderilor nou-înființate sau a inițiativelor inovatoare în domeniul energiei.</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Investiția este strâns legată de reforma C8.R4, care vizează dezvoltarea unor spații de testare în materie de reglementare pentru proiectele inovatoare. Aceasta se bazează, de asemenea, pe cadrul strategic și de reglementare definit de celelalte reforme, în special reforma C8.R3.</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Se preconizează că se vor atribui aproximativ 20 de proiecte pentru promovarea unor noi modele de afaceri pentru tranziția energetică, inclusiv contorizarea inteligentă, stocarea, reacția din partea cererii, serviciile de flexibilitate și datele.</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Punerea în aplicare a investiției se finalizează până la 31 decembrie 2023.</w:t>
      </w:r>
    </w:p>
    <w:p>
      <w:pPr>
        <w:spacing w:before="120" w:after="120" w:line="240" w:lineRule="auto"/>
        <w:ind w:left="709"/>
        <w:jc w:val="both"/>
        <w:rPr>
          <w:rFonts w:ascii="Times New Roman" w:hAnsi="Times New Roman" w:cs="Times New Roman"/>
          <w:b/>
          <w:bCs/>
          <w:noProof/>
          <w:sz w:val="24"/>
          <w:u w:val="single"/>
        </w:rPr>
      </w:pPr>
      <w:r>
        <w:rPr>
          <w:rFonts w:ascii="Times New Roman" w:hAnsi="Times New Roman"/>
          <w:b/>
          <w:bCs/>
          <w:noProof/>
          <w:sz w:val="24"/>
          <w:u w:val="single"/>
        </w:rPr>
        <w:t xml:space="preserve">H.2. </w:t>
      </w:r>
      <w:r>
        <w:rPr>
          <w:rFonts w:ascii="Times New Roman" w:hAnsi="Times New Roman"/>
          <w:b/>
          <w:noProof/>
          <w:sz w:val="24"/>
          <w:u w:val="single"/>
        </w:rPr>
        <w:tab/>
      </w:r>
      <w:r>
        <w:rPr>
          <w:rFonts w:ascii="Times New Roman" w:hAnsi="Times New Roman"/>
          <w:b/>
          <w:bCs/>
          <w:noProof/>
          <w:sz w:val="24"/>
          <w:u w:val="single"/>
        </w:rPr>
        <w:t>Jaloane, ținte, indicatori și calendarul de monitorizare și implementare aplicabile sprijinului financiar nerambursabil</w:t>
      </w:r>
    </w:p>
    <w:p>
      <w:pPr>
        <w:spacing w:before="120" w:after="120" w:line="240" w:lineRule="auto"/>
        <w:jc w:val="both"/>
        <w:rPr>
          <w:rFonts w:ascii="Times New Roman" w:hAnsi="Times New Roman" w:cs="Times New Roman"/>
          <w:b/>
          <w:noProof/>
          <w:sz w:val="24"/>
          <w:u w:val="single"/>
        </w:rPr>
      </w:pPr>
      <w:r>
        <w:rPr>
          <w:rFonts w:ascii="Times New Roman" w:hAnsi="Times New Roman"/>
          <w:i/>
          <w:iCs/>
          <w:noProof/>
          <w:color w:val="000000"/>
          <w:sz w:val="24"/>
        </w:rPr>
        <w:t>Tabelul de mai jos.</w:t>
      </w:r>
      <w:r>
        <w:rPr>
          <w:rFonts w:ascii="Times New Roman" w:hAnsi="Times New Roman"/>
          <w:noProof/>
          <w:color w:val="1F497D"/>
          <w:sz w:val="24"/>
        </w:rPr>
        <w:t xml:space="preserve"> </w:t>
      </w:r>
      <w:r>
        <w:rPr>
          <w:rFonts w:ascii="Times New Roman" w:hAnsi="Times New Roman"/>
          <w:i/>
          <w:iCs/>
          <w:noProof/>
          <w:color w:val="000000"/>
          <w:sz w:val="24"/>
        </w:rPr>
        <w:t>Data de referință pentru toți indicatorii este 1 februarie 2020, cu excepția cazului în care se indică altfel în descrierea acțiunii. Sumele din tabel nu includ TVA.</w:t>
      </w:r>
    </w:p>
    <w:p>
      <w:pPr>
        <w:spacing w:before="120" w:after="120" w:line="240" w:lineRule="auto"/>
        <w:jc w:val="both"/>
        <w:rPr>
          <w:rFonts w:ascii="Times New Roman" w:hAnsi="Times New Roman" w:cs="Times New Roman"/>
          <w:i/>
          <w:noProof/>
          <w:sz w:val="24"/>
          <w:lang w:val="en-IE"/>
        </w:rPr>
      </w:pPr>
    </w:p>
    <w:p>
      <w:pPr>
        <w:spacing w:before="120" w:after="120" w:line="240" w:lineRule="auto"/>
        <w:ind w:left="709"/>
        <w:jc w:val="both"/>
        <w:rPr>
          <w:rFonts w:ascii="Times New Roman" w:hAnsi="Times New Roman" w:cs="Times New Roman"/>
          <w:noProof/>
          <w:sz w:val="24"/>
          <w:lang w:val="en-IE"/>
        </w:rPr>
        <w:sectPr>
          <w:headerReference w:type="even" r:id="rId103"/>
          <w:headerReference w:type="default" r:id="rId104"/>
          <w:footerReference w:type="even" r:id="rId105"/>
          <w:footerReference w:type="default" r:id="rId106"/>
          <w:headerReference w:type="first" r:id="rId107"/>
          <w:footerReference w:type="first" r:id="rId108"/>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2410"/>
        <w:gridCol w:w="1134"/>
        <w:gridCol w:w="851"/>
        <w:gridCol w:w="567"/>
        <w:gridCol w:w="567"/>
        <w:gridCol w:w="567"/>
        <w:gridCol w:w="567"/>
        <w:gridCol w:w="6237"/>
      </w:tblGrid>
      <w:tr>
        <w:trPr>
          <w:trHeight w:val="309"/>
          <w:tblHeader/>
        </w:trPr>
        <w:tc>
          <w:tcPr>
            <w:tcW w:w="70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Număr</w:t>
            </w:r>
          </w:p>
        </w:tc>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Măsură</w:t>
            </w:r>
          </w:p>
        </w:tc>
        <w:tc>
          <w:tcPr>
            <w:tcW w:w="85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Jalon</w:t>
            </w:r>
            <w:r>
              <w:rPr>
                <w:rFonts w:ascii="Times New Roman" w:hAnsi="Times New Roman"/>
                <w:b/>
                <w:noProof/>
                <w:color w:val="000000"/>
                <w:sz w:val="18"/>
                <w:szCs w:val="18"/>
              </w:rPr>
              <w:br/>
              <w:t xml:space="preserve"> /Țintă</w:t>
            </w:r>
          </w:p>
        </w:tc>
        <w:tc>
          <w:tcPr>
            <w:tcW w:w="241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Denumire</w:t>
            </w:r>
          </w:p>
        </w:tc>
        <w:tc>
          <w:tcPr>
            <w:tcW w:w="1134"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Indicator calitativ pentru obiectivele de etapă</w:t>
            </w:r>
          </w:p>
        </w:tc>
        <w:tc>
          <w:tcPr>
            <w:tcW w:w="1985" w:type="dxa"/>
            <w:gridSpan w:val="3"/>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Indicator cantitativ pentru obiectiv</w:t>
            </w:r>
          </w:p>
        </w:tc>
        <w:tc>
          <w:tcPr>
            <w:tcW w:w="1134" w:type="dxa"/>
            <w:gridSpan w:val="2"/>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Timp</w:t>
            </w:r>
          </w:p>
        </w:tc>
        <w:tc>
          <w:tcPr>
            <w:tcW w:w="6237"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bCs/>
                <w:noProof/>
                <w:sz w:val="18"/>
                <w:szCs w:val="18"/>
              </w:rPr>
              <w:t>Descrierea fiecărui jalon și a fiecărei ținte</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2410"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134"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Unitate</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Scenariu de bază</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Obiectiv</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Q</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An</w:t>
            </w:r>
          </w:p>
        </w:tc>
        <w:tc>
          <w:tcPr>
            <w:tcW w:w="6237"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lang w:val="en-IE"/>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121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C8.R1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41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Aprobarea strategiei de decarbonizare pe termen lung („ELP2050”).</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Aprobarea de către Consiliul de Miniștri</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623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Aprobarea strategiei de decarbonizare pe termen lung („ELP2050”). ELP50 stabilește baza pentru definirea cadrului strategic și de reglementare pentru integrarea efectivă a energiilor regenerabile într-un sistem energetic flexibil și inteligent, care urmează să fie citit în contextul abordării mai largi prevăzute în PNEC.</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122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C8.R2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41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reformelor de planificare, legislative și de reglementare pentru a promova dezvoltarea unei soluții de stocare a energiei.</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Dispoziții ale măsurilor legislative și de reglementare privind intrarea în vigoare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623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Adoptarea și intrarea în vigoare a următoarelor reforme de planificare, legislative și reglementare pentru promovarea dezvoltării de soluții de stocare a energiei:</w:t>
            </w:r>
            <w:r>
              <w:rPr>
                <w:rFonts w:ascii="Times New Roman" w:hAnsi="Times New Roman"/>
                <w:noProof/>
                <w:color w:val="000000"/>
                <w:sz w:val="18"/>
                <w:szCs w:val="18"/>
              </w:rPr>
              <w:br/>
              <w:t xml:space="preserve">a) Aprobarea în cadrul Consiliului de Miniștri a Strategiei privind stocarea energiei, cu obiectivul de a încuraja utilizarea stocării energiei prin intermediul a 66 de măsuri specifice grupate în cele 10 linii de acțiune incluse în strategie. Obiectivul este ca 20 GW de stocare a energiei să fie disponibile în 2030 și 30 GW în 2050; </w:t>
            </w:r>
            <w:r>
              <w:rPr>
                <w:rFonts w:ascii="Times New Roman" w:hAnsi="Times New Roman"/>
                <w:noProof/>
                <w:color w:val="000000"/>
                <w:sz w:val="18"/>
                <w:szCs w:val="18"/>
              </w:rPr>
              <w:br/>
              <w:t>b) Publicarea în JO a Decretului regal 1183/2020, pentru a reglementa accesul la rețea pentru instalațiile de stocare.</w:t>
            </w:r>
            <w:r>
              <w:rPr>
                <w:rFonts w:ascii="Times New Roman" w:hAnsi="Times New Roman"/>
                <w:noProof/>
                <w:color w:val="000000"/>
                <w:sz w:val="18"/>
                <w:szCs w:val="18"/>
              </w:rPr>
              <w:br/>
              <w:t xml:space="preserve">c) Publicarea în JO a Circularei 1/2021 de către Comisión Nacional de los Mercados y la Competencia pentru a stabili metodologia și condițiile de acces și de conectare la rețelele de transport și distribuție ale instalațiilor de producere a energiei electrice. </w:t>
            </w:r>
            <w:r>
              <w:rPr>
                <w:rFonts w:ascii="Times New Roman" w:hAnsi="Times New Roman"/>
                <w:noProof/>
                <w:color w:val="000000"/>
                <w:sz w:val="18"/>
                <w:szCs w:val="18"/>
              </w:rPr>
              <w:br/>
              <w:t>d) Publicarea în JO a Rezoluției din 10 decembrie 2020 de reglementare a participării instalațiilor de stocare a energiei la furnizarea de servicii auxiliare</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123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C8.R3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41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măsurilor de reglementare pentru integrarea flexibilității și a redistribuirii cererii.</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Dispoziții ale măsurilor legislative și de reglementare privind intrarea în vigoare</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23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Dezvoltarea cadrului de reglementare pentru integrarea flexibilității și a răspunsului din partea cererii, prin următoarele acțiuni.</w:t>
            </w:r>
            <w:r>
              <w:rPr>
                <w:rFonts w:ascii="Times New Roman" w:hAnsi="Times New Roman"/>
                <w:noProof/>
                <w:color w:val="000000"/>
                <w:sz w:val="18"/>
                <w:szCs w:val="18"/>
              </w:rPr>
              <w:br/>
              <w:t>a) Publicarea rezoluției din 2020 decembrie 10 de către Comisión Nacional de los Mercados y la Competencia de adaptare a anumitor proceduri operaționale pentru participarea la servicii echilibrate.</w:t>
            </w:r>
            <w:r>
              <w:rPr>
                <w:rFonts w:ascii="Times New Roman" w:hAnsi="Times New Roman"/>
                <w:noProof/>
                <w:color w:val="000000"/>
                <w:sz w:val="18"/>
                <w:szCs w:val="18"/>
              </w:rPr>
              <w:br/>
              <w:t xml:space="preserve">b) Adoptarea legislației care transpune integral Directiva 2019/944 </w:t>
            </w:r>
            <w:r>
              <w:rPr>
                <w:rFonts w:ascii="Times New Roman" w:hAnsi="Times New Roman"/>
                <w:noProof/>
                <w:color w:val="000000"/>
                <w:sz w:val="18"/>
                <w:szCs w:val="18"/>
              </w:rPr>
              <w:br/>
              <w:t>c) Adoptarea RDL23/2020 pentru crearea statutului de agregator independent</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124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C8.R4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41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măsurilor de promovare a spațiilor de testare în materie de reglementare pentru a încuraja cercetarea și inovarea în sectorul energiei electrice.</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Dispozițiile decretului regal privind intrarea în vigoare</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23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Publicarea Decretului regal privind dezvoltarea spațiilor de testare în materie de reglementare pentru a permite dezvoltarea de noi proiecte-pilot, cu scopul de a încuraja cercetarea și inovarea în sectorul energiei electrice.</w:t>
            </w:r>
            <w:r>
              <w:rPr>
                <w:rFonts w:ascii="Times New Roman" w:hAnsi="Times New Roman"/>
                <w:noProof/>
                <w:color w:val="000000"/>
                <w:sz w:val="18"/>
                <w:szCs w:val="18"/>
              </w:rPr>
              <w:br/>
              <w:t>Legislația permite industriei să testeze noile tehnologii, sisteme și servicii legate de flexibilitate, de consumul dispecerizabil și de stocarea energiei, într-un spațiu sigur și favorabil, în care părțile interesate să poată experimenta cu soluții inovatoare fără a fi supuse cerințelor de reglementare predominante. În plus, acest lucru va asigura un dialog bidirecțional în materie de reglementare între administrație și autoritatea de reglementare, care să accelereze și să faciliteze revizuirea reglementărilor existente și să le adapteze la intrarea pe piață a unor noi agenți, încurajând crearea de noi întreprinderi tehnologice, oferindu-le posibilitatea de a-și testa modelele de afaceri.</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125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C8.I1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41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Proiecte inovatoare de stocare atribuite</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5</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23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Cel puțin cinci proiecte inovatoare de stocare atribuite, echivalente cu o capacitate instalată totală de cel puțin 600 MW sau cu o cantitate totală de energie echivalentă (MWh).</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126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C8.I1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41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Proiecte de stocare inovatoare operaționale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5</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2026</w:t>
            </w:r>
          </w:p>
        </w:tc>
        <w:tc>
          <w:tcPr>
            <w:tcW w:w="623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Cel puțin cinci proiecte inovatoare de stocare operaționale, echivalente cu o capacitate instalată totală de cel puțin 600 MW sau cu o cantitate totală de energie echivalentă (MWh).</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127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C8.I2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41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Proiecte inovatoare de digitalizare pentru distribuția energiei electrice</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35</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23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Cel puțin 35 proiecte inovatoare de digitalizare (inclusiv automatizarea rețelei) atribuite societăților de distribuție, în conformitate cu caracteristicile și definițiile stabilite în Circulara 6/2019 a Comisión Nacional de los Mercados y la Competencia.</w:t>
            </w:r>
            <w:r>
              <w:rPr>
                <w:rFonts w:ascii="Times New Roman" w:hAnsi="Times New Roman"/>
                <w:i/>
                <w:noProof/>
                <w:color w:val="000000"/>
                <w:sz w:val="18"/>
                <w:szCs w:val="18"/>
              </w:rPr>
              <w:t xml:space="preserve">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128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C8.I3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41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Proiecte de promovare a unor noi modele de afaceri pentru tranziția energetică</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18</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23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Cel puțin 18 proiecte care promovează noi modele de afaceri pentru tranziția energetică, inclusiv contorizarea inteligentă, stocarea, reacția din partea cererii, serviciile de flexibilitate și datele.</w:t>
            </w:r>
          </w:p>
        </w:tc>
      </w:tr>
    </w:tbl>
    <w:p>
      <w:pPr>
        <w:spacing w:before="120" w:after="120" w:line="240" w:lineRule="auto"/>
        <w:ind w:left="709"/>
        <w:jc w:val="both"/>
        <w:rPr>
          <w:rFonts w:ascii="Times New Roman" w:hAnsi="Times New Roman" w:cs="Times New Roman"/>
          <w:noProof/>
          <w:sz w:val="24"/>
        </w:rPr>
        <w:sectPr>
          <w:headerReference w:type="even" r:id="rId109"/>
          <w:headerReference w:type="default" r:id="rId110"/>
          <w:footerReference w:type="even" r:id="rId111"/>
          <w:footerReference w:type="default" r:id="rId112"/>
          <w:headerReference w:type="first" r:id="rId113"/>
          <w:footerReference w:type="first" r:id="rId114"/>
          <w:pgSz w:w="16839" w:h="11907" w:orient="landscape"/>
          <w:pgMar w:top="1417" w:right="1134" w:bottom="1417" w:left="1134" w:header="709" w:footer="709" w:gutter="0"/>
          <w:cols w:space="720"/>
          <w:docGrid w:linePitch="360"/>
        </w:sectPr>
      </w:pPr>
    </w:p>
    <w:p>
      <w:pPr>
        <w:pStyle w:val="Heading1"/>
        <w:rPr>
          <w:noProof/>
        </w:rPr>
      </w:pPr>
      <w:r>
        <w:rPr>
          <w:noProof/>
        </w:rPr>
        <w:t>I. COMPONENTA 09: Hidrogen din surse regenerabile</w:t>
      </w:r>
    </w:p>
    <w:p>
      <w:pPr>
        <w:spacing w:before="100" w:beforeAutospacing="1"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Planul național privind energia și clima al Spaniei pentru perioada 2021-2030 vizează reducerea emisiilor de gaze cu efect de seră cu 23 % față de 1990. În acest context, principalul obiectiv al componentei 9 a planului spaniol de redresare și reziliență este de a dezvolta tehnologii pe bază de hidrogen pe bază de energie din surse regenerabile:</w:t>
      </w:r>
    </w:p>
    <w:p>
      <w:pPr>
        <w:numPr>
          <w:ilvl w:val="0"/>
          <w:numId w:val="59"/>
        </w:numPr>
        <w:spacing w:before="120" w:after="100" w:afterAutospacing="1" w:line="240" w:lineRule="auto"/>
        <w:ind w:left="714" w:hanging="357"/>
        <w:jc w:val="both"/>
        <w:rPr>
          <w:rFonts w:ascii="Times New Roman" w:eastAsia="Times New Roman" w:hAnsi="Times New Roman" w:cs="Times New Roman"/>
          <w:noProof/>
          <w:color w:val="000000"/>
          <w:sz w:val="24"/>
          <w:szCs w:val="24"/>
        </w:rPr>
      </w:pPr>
      <w:r>
        <w:rPr>
          <w:rFonts w:ascii="Times New Roman" w:hAnsi="Times New Roman"/>
          <w:noProof/>
          <w:sz w:val="24"/>
          <w:szCs w:val="24"/>
        </w:rPr>
        <w:t>Ca mijloc de stocare a energiei pentru a gestiona diferențele dintre cererea și oferta de energie electrică, oferind flexibilitate sistemului de energie electrică.</w:t>
      </w:r>
    </w:p>
    <w:p>
      <w:pPr>
        <w:numPr>
          <w:ilvl w:val="0"/>
          <w:numId w:val="59"/>
        </w:numPr>
        <w:spacing w:before="100" w:beforeAutospacing="1" w:after="100" w:afterAutospacing="1" w:line="240" w:lineRule="auto"/>
        <w:jc w:val="both"/>
        <w:rPr>
          <w:rFonts w:ascii="Times New Roman" w:eastAsia="Times New Roman" w:hAnsi="Times New Roman" w:cs="Times New Roman"/>
          <w:noProof/>
          <w:color w:val="000000"/>
          <w:sz w:val="24"/>
          <w:szCs w:val="24"/>
        </w:rPr>
      </w:pPr>
      <w:r>
        <w:rPr>
          <w:rFonts w:ascii="Times New Roman" w:hAnsi="Times New Roman"/>
          <w:noProof/>
          <w:sz w:val="24"/>
          <w:szCs w:val="24"/>
        </w:rPr>
        <w:t>Prin promovarea dezvoltării și consolidării lor de-a lungul lanțului valoric industrial, având în vedere că aceste tehnologii nu sunt în prezent pregătite să funcționeze în condițiile pieței;</w:t>
      </w:r>
    </w:p>
    <w:p>
      <w:pPr>
        <w:numPr>
          <w:ilvl w:val="0"/>
          <w:numId w:val="59"/>
        </w:numPr>
        <w:spacing w:before="100" w:beforeAutospacing="1" w:after="100" w:afterAutospacing="1"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Prin sprijinirea integrării acestora în utilizările finale, inclusiv pentru a înlocui hidrogenul pe bază de combustibili fosili în industrie; și</w:t>
      </w:r>
    </w:p>
    <w:p>
      <w:pPr>
        <w:numPr>
          <w:ilvl w:val="0"/>
          <w:numId w:val="59"/>
        </w:numPr>
        <w:spacing w:before="100" w:beforeAutospacing="1" w:after="100" w:afterAutospacing="1"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Prin dezvoltarea competențelor ecologice.</w:t>
      </w:r>
    </w:p>
    <w:p>
      <w:pP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Această componentă a planului spaniol de redresare și reziliență abordează recomandările specifice fiecărei țări pentru a promova investițiile în inovare și în eficiența energetică (recomandarea specifică țării 3 din 2019) și pentru a promova tranziția verde (recomandarea specifică țării 3 din 2020).</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Componenta face parte din strategia privind energia din surse regenerabile care stă la baza componentelor 1 și 6 (utilizarea hidrogenului pentru mobilitate &amp; scopuri de transport), a componentei 7 (generarea de energie din surse regenerabile) și a componentei 8 (stocare și rețele inteligente) din planul spaniol de redresare și reziliență.</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Se preconizează că nicio măsură din cadrul acestei componente nu aduce prejudicii semnificative obiectivelor de mediu în sensul articolului 17 din Regulamentul (UE) 2020/852, ținând seama de descrierea măsurilor și a măsurilor de atenuare stabilite în planul de redresare și reziliență în conformitate cu Orientările tehnice ale DNSH (2021/C58/01).</w:t>
      </w:r>
    </w:p>
    <w:p>
      <w:pPr>
        <w:spacing w:before="120" w:after="120" w:line="240" w:lineRule="auto"/>
        <w:jc w:val="both"/>
        <w:rPr>
          <w:rFonts w:ascii="Times New Roman" w:hAnsi="Times New Roman" w:cs="Times New Roman"/>
          <w:b/>
          <w:i/>
          <w:noProof/>
          <w:color w:val="4F81BD" w:themeColor="accent1"/>
          <w:sz w:val="24"/>
        </w:rPr>
      </w:pPr>
      <w:r>
        <w:rPr>
          <w:rFonts w:ascii="Times New Roman" w:hAnsi="Times New Roman"/>
          <w:b/>
          <w:bCs/>
          <w:noProof/>
          <w:sz w:val="24"/>
          <w:u w:val="single"/>
        </w:rPr>
        <w:t xml:space="preserve">I.1. </w:t>
      </w:r>
      <w:r>
        <w:rPr>
          <w:rFonts w:ascii="Times New Roman" w:hAnsi="Times New Roman"/>
          <w:b/>
          <w:noProof/>
          <w:sz w:val="24"/>
          <w:u w:val="single"/>
        </w:rPr>
        <w:tab/>
      </w:r>
      <w:r>
        <w:rPr>
          <w:rFonts w:ascii="Times New Roman" w:hAnsi="Times New Roman"/>
          <w:b/>
          <w:bCs/>
          <w:noProof/>
          <w:sz w:val="24"/>
          <w:u w:val="single"/>
        </w:rPr>
        <w:t>Descrierea reformelor și a investițiilor pentru care se prevede acordarea sprijinului financiar nerambursabil</w:t>
      </w:r>
    </w:p>
    <w:p>
      <w:pPr>
        <w:spacing w:before="120" w:after="120" w:line="240" w:lineRule="auto"/>
        <w:jc w:val="both"/>
        <w:rPr>
          <w:rFonts w:ascii="Times New Roman" w:hAnsi="Times New Roman" w:cs="Times New Roman"/>
          <w:noProof/>
          <w:sz w:val="24"/>
        </w:rPr>
      </w:pPr>
      <w:r>
        <w:rPr>
          <w:rFonts w:ascii="Times New Roman" w:hAnsi="Times New Roman"/>
          <w:noProof/>
          <w:sz w:val="24"/>
          <w:u w:val="single"/>
        </w:rPr>
        <w:t>Reforma 1 (C9.R1) - Foaia de parcurs privind hidrogenul</w:t>
      </w:r>
    </w:p>
    <w:p>
      <w:pPr>
        <w:spacing w:before="120" w:after="120" w:line="240" w:lineRule="auto"/>
        <w:jc w:val="both"/>
        <w:rPr>
          <w:rFonts w:ascii="Times New Roman" w:hAnsi="Times New Roman" w:cs="Times New Roman"/>
          <w:noProof/>
          <w:sz w:val="24"/>
        </w:rPr>
      </w:pPr>
      <w:r>
        <w:rPr>
          <w:rFonts w:ascii="Times New Roman" w:hAnsi="Times New Roman"/>
          <w:noProof/>
          <w:sz w:val="24"/>
        </w:rPr>
        <w:t>Această măsură oferă un cadru pentru dezvoltarea hidrogenului din surse regenerabile în Spania („foaia de parcurs privind hidrogenul”). În acest scop, raportul identifică obiectivele care trebuie atinse până în 2030 în ceea ce privește capacitatea instalată pe sectoare (industrie și transporturi). Foaia de parcurs privind hidrogenul a fost aprobată de Consiliul de Miniștri în octombrie 2020. Măsura stabilește, de asemenea, un mijloc concret de sprijinire a punerii în aplicare a foii de parcurs prin asigurarea faptului că electrolizoarele pe bază de hidrogen sunt alimentate cu energie din surse regenerabile. Acțiunile de reglementare conexe includ i) instituirea unui instrument de reglementare care include numirea și guvernanța organismelor naționale care emit garanții de origine pentru gazele regenerabile, inclusiv hidrogenul regenerabil; și ii) un mecanism de reglementare care să stabilească modul în care este verificată originea regenerabilă a hidrogenului.</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sz w:val="24"/>
        </w:rPr>
        <w:t>Această reformă se finalizează până la 30 iunie 2022.</w:t>
      </w:r>
    </w:p>
    <w:p>
      <w:pPr>
        <w:spacing w:before="120" w:after="120" w:line="240" w:lineRule="auto"/>
        <w:jc w:val="both"/>
        <w:rPr>
          <w:rFonts w:ascii="Times New Roman" w:hAnsi="Times New Roman" w:cs="Times New Roman"/>
          <w:noProof/>
          <w:sz w:val="24"/>
        </w:rPr>
      </w:pPr>
      <w:r>
        <w:rPr>
          <w:rFonts w:ascii="Times New Roman" w:hAnsi="Times New Roman"/>
          <w:noProof/>
          <w:sz w:val="24"/>
          <w:u w:val="single"/>
        </w:rPr>
        <w:t>Investiția 1 (C9.I1) - Hidrogen din surse regenerabile, un proiect de țară</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Această măsură urmărește să contribuie la punerea în aplicare a foii de parcurs privind hidrogenul în patru direcții de acțiune.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Prima este consolidarea cunoștințelor și a lanțului valoric inovator din Spania, în special în ceea ce privește IMM-urile.</w:t>
      </w:r>
      <w:r>
        <w:rPr>
          <w:rFonts w:ascii="Times New Roman" w:hAnsi="Times New Roman"/>
          <w:noProof/>
          <w:color w:val="000000"/>
          <w:sz w:val="24"/>
          <w:szCs w:val="24"/>
        </w:rPr>
        <w:t xml:space="preserve"> </w:t>
      </w:r>
      <w:r>
        <w:rPr>
          <w:rFonts w:ascii="Times New Roman" w:hAnsi="Times New Roman"/>
          <w:noProof/>
          <w:sz w:val="24"/>
          <w:szCs w:val="24"/>
        </w:rPr>
        <w:t>Având în vedere nivelul de pregătire tehnologică timpurie al acestei tehnologii, această măsură are în vedere necesitatea de a sprijini cel puțin zece IMM-uri în vederea consolidării și consolidării lanțului valoric spaniol existent prin consolidarea uneia sau a mai multora dintre următoarele activități: capacitățile de producție, competențele, competitivitatea, transferul de cunoștințe și tehnologie și/sau dimensiunea internațională. Spania vizează, de asemenea, cinci evoluții tehnologice sau prototipuri (cum ar fi electrolizoarele, compresoarele, recipientele de stocare, pilele de combustie și sistemele de transport bazate pe H2), inclusiv „primul gen”, pentru a sprijini validarea noilor modele sau prototipuri modernizate asociate fie producției, logisticii distribuției, fie consumului de hidrogen. În plus, Spania prevede cel puțin zece acțiuni care vizează îmbunătățirea instalațiilor de testare sau punerea în aplicare a unor noi linii de producție de tehnologii sau sisteme generice esențiale în cadrul lanțului de aprovizionare cu hidrogen, cum ar fi electrolizoarele sau pilele de combustie. Acestea: i) îmbunătățirea instalațiilor de testare sau a laboratoarelor legate de C &amp; D &amp; I și/sau a echipamentelor aferente; sau ii) îmbunătățirea instalațiilor și/sau achiziționarea de echipamente noi (cum ar fi mașinile-unelte) pentru fabricarea sistemelor, echipamentelor sau componentelor legate de hidrogen și pile de combustie.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A doua linie de acțiune vizează crearea a două clustere de hidrogen din surse regenerabile care să integreze producția, prelucrarea și consumul la scară largă. Obiectivul a cel puțin unuia dintre aceste clustere este de a integra un electrolizor pe bază de hidrogen din surse regenerabile de mare capacitate, care furnizează în mod direct hidrogen consumatorilor industriali locali. Electrolizorul trebuie să fie alimentat cu energie electrică din surse regenerabile. Hidrogenul generat rezultat este integrat în procesele industriale și în lanțurile de aprovizionare ale întreprinderilor (inclusiv adaptarea și schimbarea modelelor de afaceri de la consumul de hidrogen pe bază de combustibili fosili) pentru a înlocui cel puțin 5 % din consumul lor anual de hidrogen pe bază de combustibili fosili. Capacitatea totală de producție a tuturor electrolizoarelor va fi de cel puțin 500 MW.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sz w:val="24"/>
        </w:rPr>
        <w:t>A treia linie de acțiune preconizează sprijinirea implementării hidrogenului în mai multe (cel puțin zece) alte proiecte de pionierat cu o dimensiune mai mică decât clusterul.</w:t>
      </w:r>
      <w:r>
        <w:rPr>
          <w:rFonts w:ascii="Times New Roman" w:hAnsi="Times New Roman"/>
          <w:noProof/>
          <w:color w:val="000000" w:themeColor="text1"/>
          <w:sz w:val="24"/>
        </w:rPr>
        <w:t xml:space="preserve"> </w:t>
      </w:r>
      <w:r>
        <w:rPr>
          <w:rFonts w:ascii="Times New Roman" w:hAnsi="Times New Roman"/>
          <w:noProof/>
          <w:sz w:val="24"/>
        </w:rPr>
        <w:t>Acestea introduc hidrogenul din surse regenerabile dincolo de un singur nod industrial în sisteme energetice izolate care permit integrarea hidrogenului din surse regenerabile în domenii precum transportul.</w:t>
      </w:r>
      <w:r>
        <w:rPr>
          <w:rFonts w:ascii="Times New Roman" w:hAnsi="Times New Roman"/>
          <w:noProof/>
          <w:color w:val="000000" w:themeColor="text1"/>
          <w:sz w:val="24"/>
        </w:rPr>
        <w:t xml:space="preserve"> Se preconizează că aceste intervenții vor include producția, distribuția și consumul de hidrogen din surse regenerabile, extinzând acoperirea în diferite sectoare și părți ale teritoriului spaniol.</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În cele din urmă, Spania urmărește să promoveze hidrogenul ca parte a unei strategii mai ample a UE de dezvoltare a unui lanț valoric al Uniunii. Prin urmare, unele dintre firmele sprijinite prin această măsură pot deveni parte a unui PIIEC planificat pe bază de hidrogen, împreună cu întreprinderi din alte state membre, ca un cadru adecvat pentru colaborarea în cadrul Uniunii în vederea integrării lanțurilor valorice naționale pentru a stimula competitivitatea.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Se preconizează că această măsură nu aduce prejudicii semnificative obiectivelor de mediu în sensul articolului 17 din Regulamentul (UE) 2020/852, ținând seama de descrierea măsurii și de măsurile de atenuare stabilite în planul de redresare și reziliență în conformitate cu Orientările tehnice DNSH (2021/C58/01). În special, integrarea hidrogenului din surse regenerabile promovează electrificarea proceselor industriale.</w:t>
      </w:r>
    </w:p>
    <w:p>
      <w:pPr>
        <w:spacing w:before="120" w:after="120" w:line="240" w:lineRule="auto"/>
        <w:jc w:val="both"/>
        <w:rPr>
          <w:rFonts w:ascii="Times New Roman" w:hAnsi="Times New Roman" w:cs="Times New Roman"/>
          <w:noProof/>
          <w:sz w:val="24"/>
        </w:rPr>
      </w:pPr>
      <w:r>
        <w:rPr>
          <w:rFonts w:ascii="Times New Roman" w:hAnsi="Times New Roman"/>
          <w:noProof/>
          <w:sz w:val="24"/>
        </w:rPr>
        <w:t>Acțiunile din cadrul acestei investiții se finalizează până la 30 iunie 2026.</w:t>
      </w:r>
    </w:p>
    <w:p>
      <w:pPr>
        <w:spacing w:before="120" w:after="120" w:line="240" w:lineRule="auto"/>
        <w:jc w:val="both"/>
        <w:rPr>
          <w:rFonts w:ascii="Times New Roman" w:hAnsi="Times New Roman" w:cs="Times New Roman"/>
          <w:b/>
          <w:bCs/>
          <w:noProof/>
          <w:sz w:val="24"/>
          <w:u w:val="single"/>
        </w:rPr>
      </w:pPr>
      <w:r>
        <w:rPr>
          <w:rFonts w:ascii="Times New Roman" w:hAnsi="Times New Roman"/>
          <w:b/>
          <w:bCs/>
          <w:noProof/>
          <w:sz w:val="24"/>
          <w:u w:val="single"/>
        </w:rPr>
        <w:t xml:space="preserve">I.2. </w:t>
      </w:r>
      <w:r>
        <w:rPr>
          <w:rFonts w:ascii="Times New Roman" w:hAnsi="Times New Roman"/>
          <w:b/>
          <w:noProof/>
          <w:sz w:val="24"/>
          <w:u w:val="single"/>
        </w:rPr>
        <w:tab/>
      </w:r>
      <w:r>
        <w:rPr>
          <w:rFonts w:ascii="Times New Roman" w:hAnsi="Times New Roman"/>
          <w:b/>
          <w:bCs/>
          <w:noProof/>
          <w:sz w:val="24"/>
          <w:u w:val="single"/>
        </w:rPr>
        <w:t>Jaloane, ținte, indicatori și calendarul de monitorizare și implementare aplicabile sprijinului financiar nerambursabil</w:t>
      </w:r>
    </w:p>
    <w:p>
      <w:pPr>
        <w:spacing w:before="120" w:after="120" w:line="240" w:lineRule="auto"/>
        <w:jc w:val="both"/>
        <w:rPr>
          <w:rFonts w:ascii="Times New Roman" w:hAnsi="Times New Roman" w:cs="Times New Roman"/>
          <w:noProof/>
          <w:color w:val="1F497D"/>
        </w:rPr>
      </w:pPr>
      <w:r>
        <w:rPr>
          <w:rFonts w:ascii="Times New Roman" w:hAnsi="Times New Roman"/>
          <w:i/>
          <w:iCs/>
          <w:noProof/>
          <w:color w:val="000000"/>
          <w:sz w:val="24"/>
        </w:rPr>
        <w:t>Tabelul de mai jos.</w:t>
      </w:r>
      <w:r>
        <w:rPr>
          <w:rFonts w:ascii="Times New Roman" w:hAnsi="Times New Roman"/>
          <w:noProof/>
          <w:color w:val="1F497D"/>
          <w:sz w:val="24"/>
        </w:rPr>
        <w:t xml:space="preserve"> </w:t>
      </w:r>
      <w:r>
        <w:rPr>
          <w:rFonts w:ascii="Times New Roman" w:hAnsi="Times New Roman"/>
          <w:i/>
          <w:iCs/>
          <w:noProof/>
          <w:color w:val="000000"/>
          <w:sz w:val="24"/>
        </w:rPr>
        <w:t>Data de referință pentru toți indicatorii este 1 februarie 2020, cu excepția cazului în care se indică altfel în descrierea acțiunii. Sumele din tabel nu includ TVA.</w:t>
      </w:r>
    </w:p>
    <w:p>
      <w:pPr>
        <w:spacing w:before="120" w:after="120" w:line="240" w:lineRule="auto"/>
        <w:ind w:left="709"/>
        <w:jc w:val="both"/>
        <w:rPr>
          <w:rFonts w:ascii="Times New Roman" w:hAnsi="Times New Roman" w:cs="Times New Roman"/>
          <w:noProof/>
          <w:sz w:val="24"/>
          <w:lang w:val="en-IE"/>
        </w:rPr>
        <w:sectPr>
          <w:headerReference w:type="even" r:id="rId115"/>
          <w:headerReference w:type="default" r:id="rId116"/>
          <w:footerReference w:type="even" r:id="rId117"/>
          <w:footerReference w:type="default" r:id="rId118"/>
          <w:headerReference w:type="first" r:id="rId119"/>
          <w:footerReference w:type="first" r:id="rId120"/>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1560"/>
        <w:gridCol w:w="1275"/>
        <w:gridCol w:w="851"/>
        <w:gridCol w:w="567"/>
        <w:gridCol w:w="567"/>
        <w:gridCol w:w="425"/>
        <w:gridCol w:w="567"/>
        <w:gridCol w:w="7088"/>
      </w:tblGrid>
      <w:tr>
        <w:trPr>
          <w:trHeight w:val="309"/>
          <w:tblHeader/>
        </w:trPr>
        <w:tc>
          <w:tcPr>
            <w:tcW w:w="70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Număr</w:t>
            </w:r>
          </w:p>
        </w:tc>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Măsură</w:t>
            </w:r>
          </w:p>
        </w:tc>
        <w:tc>
          <w:tcPr>
            <w:tcW w:w="85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Jalon</w:t>
            </w:r>
            <w:r>
              <w:rPr>
                <w:rFonts w:ascii="Times New Roman" w:hAnsi="Times New Roman"/>
                <w:b/>
                <w:noProof/>
                <w:color w:val="000000"/>
                <w:sz w:val="18"/>
                <w:szCs w:val="18"/>
              </w:rPr>
              <w:br/>
            </w:r>
            <w:r>
              <w:rPr>
                <w:rFonts w:ascii="Times New Roman" w:hAnsi="Times New Roman"/>
                <w:b/>
                <w:bCs/>
                <w:noProof/>
                <w:color w:val="000000"/>
                <w:sz w:val="18"/>
                <w:szCs w:val="18"/>
              </w:rPr>
              <w:t xml:space="preserve"> /Țintă</w:t>
            </w:r>
          </w:p>
        </w:tc>
        <w:tc>
          <w:tcPr>
            <w:tcW w:w="156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Denumire</w:t>
            </w:r>
          </w:p>
        </w:tc>
        <w:tc>
          <w:tcPr>
            <w:tcW w:w="1275"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Indicator calitativ pentru obiectivele de etapă</w:t>
            </w:r>
          </w:p>
        </w:tc>
        <w:tc>
          <w:tcPr>
            <w:tcW w:w="1985" w:type="dxa"/>
            <w:gridSpan w:val="3"/>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Indicator cantitativ pentru obiectiv</w:t>
            </w:r>
          </w:p>
        </w:tc>
        <w:tc>
          <w:tcPr>
            <w:tcW w:w="992" w:type="dxa"/>
            <w:gridSpan w:val="2"/>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Timp</w:t>
            </w:r>
          </w:p>
        </w:tc>
        <w:tc>
          <w:tcPr>
            <w:tcW w:w="7088"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sz w:val="18"/>
                <w:szCs w:val="18"/>
              </w:rPr>
              <w:t>Descrierea fiecărui jalon și a fiecărei ținte</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1560"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275"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Unitate</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Scenariu de bază</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Obiectiv</w:t>
            </w:r>
          </w:p>
        </w:tc>
        <w:tc>
          <w:tcPr>
            <w:tcW w:w="425"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Q</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An</w:t>
            </w:r>
          </w:p>
        </w:tc>
        <w:tc>
          <w:tcPr>
            <w:tcW w:w="7088"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lang w:val="en-IE"/>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129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C9.R1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Foaia de parcurs privind hidrogenul </w:t>
            </w:r>
          </w:p>
        </w:tc>
        <w:tc>
          <w:tcPr>
            <w:tcW w:w="127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Aprobarea de către Consiliul de Miniștri</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2020</w:t>
            </w:r>
          </w:p>
        </w:tc>
        <w:tc>
          <w:tcPr>
            <w:tcW w:w="7088" w:type="dxa"/>
            <w:shd w:val="clear" w:color="auto" w:fill="C6EFCE"/>
            <w:noWrap/>
          </w:tcPr>
          <w:p>
            <w:pPr>
              <w:spacing w:after="0" w:line="240" w:lineRule="auto"/>
              <w:jc w:val="both"/>
              <w:rPr>
                <w:rFonts w:ascii="Times New Roman" w:eastAsia="Times New Roman" w:hAnsi="Times New Roman" w:cs="Times New Roman"/>
                <w:noProof/>
                <w:sz w:val="18"/>
                <w:szCs w:val="18"/>
              </w:rPr>
            </w:pPr>
            <w:r>
              <w:rPr>
                <w:rFonts w:ascii="Times New Roman" w:hAnsi="Times New Roman"/>
                <w:noProof/>
                <w:color w:val="000000"/>
                <w:sz w:val="18"/>
                <w:szCs w:val="18"/>
              </w:rPr>
              <w:t>Aprobarea foii de parcurs privind hidrogenul de către Consiliul de Miniștri. Foaia de parcurs privind hidrogenul stabilește orientările definite de Spania pentru dezvoltarea sectorului hidrogenului din surse regenerabile. În acest scop, acesta identifică obiectivele care trebuie atinse în ceea ce privește capacitatea instalată, industria și mobilitatea până în 2030.</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130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C9.R1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regulamentului de instituire a garanțiilor de origine pentru gazele regenerabile</w:t>
            </w:r>
          </w:p>
        </w:tc>
        <w:tc>
          <w:tcPr>
            <w:tcW w:w="127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Dispoziție din regulament care indică intrarea în vigoare a regulamentului</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7088" w:type="dxa"/>
            <w:shd w:val="clear" w:color="auto" w:fill="C6EFCE"/>
            <w:noWrap/>
          </w:tcPr>
          <w:p>
            <w:pPr>
              <w:spacing w:after="0" w:line="240" w:lineRule="auto"/>
              <w:jc w:val="both"/>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regulamentului de instituire a unui sistem național de garanții de origine pentru gazele regenerabile, inclusiv hidrogenul din surse regenerabile, asigurând 100 % din energia din surse regenerabile. Sistemul care urmează să fie instituit prin instrumentul de reglementare include numirea organismelor naționale emitente și adoptarea guvernanței acestora; și un mecanism de reglementare care să stabilească modul în care este verificată originea regenerabilă a hidrogenului.</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131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C9.I1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Finanțarea IMM-urilor pentru consolidarea lanțului valoric în domeniul hidrogenului</w:t>
            </w:r>
          </w:p>
        </w:tc>
        <w:tc>
          <w:tcPr>
            <w:tcW w:w="1275" w:type="dxa"/>
            <w:shd w:val="clear" w:color="auto" w:fill="C6EFCE"/>
            <w:noWrap/>
          </w:tcPr>
          <w:p>
            <w:pPr>
              <w:spacing w:after="0" w:line="240" w:lineRule="auto"/>
              <w:jc w:val="center"/>
              <w:rPr>
                <w:rFonts w:ascii="Times New Roman" w:eastAsia="Times New Roman" w:hAnsi="Times New Roman" w:cs="Times New Roman"/>
                <w:noProof/>
                <w:sz w:val="18"/>
                <w:szCs w:val="18"/>
                <w:lang w:eastAsia="en-GB"/>
              </w:rPr>
            </w:pP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7088" w:type="dxa"/>
            <w:shd w:val="clear" w:color="auto" w:fill="C6EFCE"/>
            <w:noWrap/>
          </w:tcPr>
          <w:p>
            <w:pPr>
              <w:spacing w:after="0" w:line="240" w:lineRule="auto"/>
              <w:jc w:val="both"/>
              <w:rPr>
                <w:rFonts w:ascii="Times New Roman" w:eastAsia="Times New Roman" w:hAnsi="Times New Roman" w:cs="Times New Roman"/>
                <w:noProof/>
                <w:sz w:val="18"/>
                <w:szCs w:val="18"/>
              </w:rPr>
            </w:pPr>
            <w:r>
              <w:rPr>
                <w:rFonts w:ascii="Times New Roman" w:hAnsi="Times New Roman"/>
                <w:noProof/>
                <w:color w:val="000000"/>
                <w:sz w:val="18"/>
                <w:szCs w:val="18"/>
              </w:rPr>
              <w:t>Cel puțin zece IMM-uri finanțate pentru consolidarea și consolidarea lanțului valoric spaniol existent în domeniul hidrogenului prin consolidarea uneia sau a mai multora dintre următoarele caracteristici: capacități de producție, competențe, competitivitate, transfer de cunoștințe și tehnologie, dimensiune internațională.</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132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C9.I1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Evoluții tehnologice în lanțul valoric al hidrogenului din surse regenerabile </w:t>
            </w:r>
          </w:p>
        </w:tc>
        <w:tc>
          <w:tcPr>
            <w:tcW w:w="1275" w:type="dxa"/>
            <w:shd w:val="clear" w:color="auto" w:fill="C6EFCE"/>
            <w:noWrap/>
          </w:tcPr>
          <w:p>
            <w:pPr>
              <w:spacing w:after="0" w:line="240" w:lineRule="auto"/>
              <w:jc w:val="center"/>
              <w:rPr>
                <w:rFonts w:ascii="Times New Roman" w:eastAsia="Times New Roman" w:hAnsi="Times New Roman" w:cs="Times New Roman"/>
                <w:noProof/>
                <w:sz w:val="18"/>
                <w:szCs w:val="18"/>
                <w:lang w:val="en-IE" w:eastAsia="en-GB"/>
              </w:rPr>
            </w:pP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5</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7088" w:type="dxa"/>
            <w:shd w:val="clear" w:color="auto" w:fill="C6EFCE"/>
            <w:noWrap/>
          </w:tcPr>
          <w:p>
            <w:pPr>
              <w:spacing w:after="0" w:line="240" w:lineRule="auto"/>
              <w:jc w:val="both"/>
              <w:rPr>
                <w:rFonts w:ascii="Times New Roman" w:eastAsia="Times New Roman" w:hAnsi="Times New Roman" w:cs="Times New Roman"/>
                <w:noProof/>
                <w:sz w:val="18"/>
                <w:szCs w:val="18"/>
              </w:rPr>
            </w:pPr>
            <w:r>
              <w:rPr>
                <w:rFonts w:ascii="Times New Roman" w:hAnsi="Times New Roman"/>
                <w:noProof/>
                <w:color w:val="000000"/>
                <w:sz w:val="18"/>
                <w:szCs w:val="18"/>
              </w:rPr>
              <w:t>Finanțarea a cel puțin cinci evoluții tehnologice sau prototipuri de-a lungul întregului lanț valoric al hidrogenului din surse regenerabile. Acestea (cum ar fi electrolizoarele, compresoarele, recipientele de stocare, sistemele de transport pe bază de pile de combustie și hidrogen) pot include „primul tip” de dezvoltare, pentru a permite validarea unui nou proiect sau prototip actualizat asociat producției, logisticii și consumului de hidrogen.</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133</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C9.I1</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156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Clustere de hidrogen regenerabil (sau văi)  </w:t>
            </w:r>
          </w:p>
        </w:tc>
        <w:tc>
          <w:tcPr>
            <w:tcW w:w="1275" w:type="dxa"/>
            <w:shd w:val="clear" w:color="auto" w:fill="C6EFCE"/>
            <w:noWrap/>
          </w:tcPr>
          <w:p>
            <w:pPr>
              <w:spacing w:after="0" w:line="240" w:lineRule="auto"/>
              <w:jc w:val="center"/>
              <w:rPr>
                <w:rFonts w:ascii="Times New Roman" w:hAnsi="Times New Roman" w:cs="Times New Roman"/>
                <w:noProof/>
                <w:color w:val="000000"/>
                <w:sz w:val="18"/>
                <w:szCs w:val="18"/>
                <w:lang w:val="de-DE"/>
              </w:rPr>
            </w:pP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Număr</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7088" w:type="dxa"/>
            <w:shd w:val="clear" w:color="auto" w:fill="C6EFCE"/>
            <w:noWrap/>
          </w:tcPr>
          <w:p>
            <w:pPr>
              <w:spacing w:after="0" w:line="240" w:lineRule="auto"/>
              <w:jc w:val="both"/>
              <w:rPr>
                <w:rFonts w:ascii="Times New Roman" w:hAnsi="Times New Roman" w:cs="Times New Roman"/>
                <w:noProof/>
                <w:sz w:val="18"/>
                <w:szCs w:val="18"/>
              </w:rPr>
            </w:pPr>
            <w:r>
              <w:rPr>
                <w:rFonts w:ascii="Times New Roman" w:hAnsi="Times New Roman"/>
                <w:noProof/>
                <w:color w:val="000000"/>
                <w:sz w:val="18"/>
                <w:szCs w:val="18"/>
              </w:rPr>
              <w:t>Cel puțin două clustere de hidrogen regenerabil (sau văi) pentru integrarea sectorială finanțată. Clusterele sau văile mari de hidrogen se concentrează și integrează la nivel local oferta, distribuția (logistica) și cererea de hidrogen din surse regenerabile în locuri specifice pentru a înlocui hidrogenul gri și combustibilii fosili.</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134</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C9.I1</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1560" w:type="dxa"/>
            <w:shd w:val="clear" w:color="auto" w:fill="C6EFCE"/>
            <w:noWrap/>
          </w:tcPr>
          <w:p>
            <w:pPr>
              <w:spacing w:after="0" w:line="240" w:lineRule="auto"/>
              <w:jc w:val="both"/>
              <w:rPr>
                <w:rFonts w:ascii="Times New Roman" w:hAnsi="Times New Roman" w:cs="Times New Roman"/>
                <w:noProof/>
                <w:sz w:val="18"/>
                <w:szCs w:val="18"/>
              </w:rPr>
            </w:pPr>
            <w:r>
              <w:rPr>
                <w:rFonts w:ascii="Times New Roman" w:hAnsi="Times New Roman"/>
                <w:noProof/>
                <w:color w:val="000000"/>
                <w:sz w:val="18"/>
                <w:szCs w:val="18"/>
              </w:rPr>
              <w:t xml:space="preserve">Proiecte de pionierat pe bază de hidrogen  </w:t>
            </w:r>
          </w:p>
        </w:tc>
        <w:tc>
          <w:tcPr>
            <w:tcW w:w="1275" w:type="dxa"/>
            <w:shd w:val="clear" w:color="auto" w:fill="C6EFCE"/>
            <w:noWrap/>
          </w:tcPr>
          <w:p>
            <w:pPr>
              <w:spacing w:after="0" w:line="240" w:lineRule="auto"/>
              <w:jc w:val="center"/>
              <w:rPr>
                <w:rFonts w:ascii="Times New Roman" w:hAnsi="Times New Roman" w:cs="Times New Roman"/>
                <w:noProof/>
                <w:color w:val="000000"/>
                <w:sz w:val="18"/>
                <w:szCs w:val="18"/>
                <w:lang w:val="fr-BE"/>
              </w:rPr>
            </w:pP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Număr</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10</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7088" w:type="dxa"/>
            <w:shd w:val="clear" w:color="auto" w:fill="C6EFCE"/>
            <w:noWrap/>
          </w:tcPr>
          <w:p>
            <w:pPr>
              <w:spacing w:after="0" w:line="240" w:lineRule="auto"/>
              <w:jc w:val="both"/>
              <w:rPr>
                <w:rFonts w:ascii="Times New Roman" w:hAnsi="Times New Roman" w:cs="Times New Roman"/>
                <w:noProof/>
                <w:sz w:val="18"/>
                <w:szCs w:val="18"/>
              </w:rPr>
            </w:pPr>
            <w:r>
              <w:rPr>
                <w:rFonts w:ascii="Times New Roman" w:hAnsi="Times New Roman"/>
                <w:noProof/>
                <w:color w:val="000000"/>
                <w:sz w:val="18"/>
                <w:szCs w:val="18"/>
              </w:rPr>
              <w:t>Au fost finanțate cel puțin zece proiecte de pionierat singulare. Acestea includ proiecte integrate care cuprind producția, distribuția și consumul de hidrogen din surse regenerabile, în locuri diferite de clustere. Proiectele pot include integrarea altor activități necesare, cum ar fi cercetarea bazată pe cunoaștere și capacitarea.</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135</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C9.I1</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1560" w:type="dxa"/>
            <w:shd w:val="clear" w:color="auto" w:fill="C6EFCE"/>
            <w:noWrap/>
          </w:tcPr>
          <w:p>
            <w:pPr>
              <w:spacing w:after="0" w:line="240" w:lineRule="auto"/>
              <w:jc w:val="both"/>
              <w:rPr>
                <w:rFonts w:ascii="Times New Roman" w:hAnsi="Times New Roman" w:cs="Times New Roman"/>
                <w:noProof/>
                <w:sz w:val="18"/>
                <w:szCs w:val="18"/>
              </w:rPr>
            </w:pPr>
            <w:r>
              <w:rPr>
                <w:rFonts w:ascii="Times New Roman" w:hAnsi="Times New Roman"/>
                <w:noProof/>
                <w:color w:val="000000"/>
                <w:sz w:val="18"/>
                <w:szCs w:val="18"/>
              </w:rPr>
              <w:t>Instalații de testare sau noi linii de producție.</w:t>
            </w:r>
          </w:p>
        </w:tc>
        <w:tc>
          <w:tcPr>
            <w:tcW w:w="1275" w:type="dxa"/>
            <w:shd w:val="clear" w:color="auto" w:fill="C6EFCE"/>
            <w:noWrap/>
          </w:tcPr>
          <w:p>
            <w:pPr>
              <w:spacing w:after="0" w:line="240" w:lineRule="auto"/>
              <w:jc w:val="center"/>
              <w:rPr>
                <w:rFonts w:ascii="Times New Roman" w:hAnsi="Times New Roman" w:cs="Times New Roman"/>
                <w:noProof/>
                <w:color w:val="000000"/>
                <w:sz w:val="18"/>
                <w:szCs w:val="18"/>
                <w:lang w:val="fr-BE"/>
              </w:rPr>
            </w:pP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Număr</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10</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7088" w:type="dxa"/>
            <w:shd w:val="clear" w:color="auto" w:fill="C6EFCE"/>
            <w:noWrap/>
          </w:tcPr>
          <w:p>
            <w:pPr>
              <w:spacing w:after="0" w:line="240" w:lineRule="auto"/>
              <w:jc w:val="both"/>
              <w:rPr>
                <w:rFonts w:ascii="Times New Roman" w:hAnsi="Times New Roman" w:cs="Times New Roman"/>
                <w:noProof/>
                <w:sz w:val="18"/>
                <w:szCs w:val="18"/>
              </w:rPr>
            </w:pPr>
            <w:r>
              <w:rPr>
                <w:rFonts w:ascii="Times New Roman" w:hAnsi="Times New Roman"/>
                <w:noProof/>
                <w:color w:val="000000"/>
                <w:sz w:val="18"/>
                <w:szCs w:val="18"/>
              </w:rPr>
              <w:t>Cel puțin zece intervenții finanțate vizează îmbunătățirea instalațiilor de testare sau punerea în aplicare a unor noi linii de producție. Intervențiile:  1) îmbunătățirea instalațiilor de testare sau a laboratoarelor legate de C &amp; D &amp; I și/sau a echipamentelor aferente; sau 2) îmbunătățirea instalațiilor și/sau achiziționarea de echipamente noi (cum ar fi mașinile-unelte) sau tehnici de fabricare a sistemelor, echipamentelor sau componentelor legate de hidrogen și pile de combustie.</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136</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C9.I1</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1560" w:type="dxa"/>
            <w:shd w:val="clear" w:color="auto" w:fill="C6EFCE"/>
            <w:noWrap/>
          </w:tcPr>
          <w:p>
            <w:pPr>
              <w:spacing w:after="0" w:line="240" w:lineRule="auto"/>
              <w:jc w:val="both"/>
              <w:rPr>
                <w:rFonts w:ascii="Times New Roman" w:hAnsi="Times New Roman" w:cs="Times New Roman"/>
                <w:noProof/>
                <w:sz w:val="18"/>
                <w:szCs w:val="18"/>
              </w:rPr>
            </w:pPr>
            <w:r>
              <w:rPr>
                <w:rFonts w:ascii="Times New Roman" w:hAnsi="Times New Roman"/>
                <w:noProof/>
                <w:color w:val="000000"/>
                <w:sz w:val="18"/>
                <w:szCs w:val="18"/>
              </w:rPr>
              <w:t>Capacitatea electrolizorului autorizată</w:t>
            </w:r>
          </w:p>
        </w:tc>
        <w:tc>
          <w:tcPr>
            <w:tcW w:w="1275" w:type="dxa"/>
            <w:shd w:val="clear" w:color="auto" w:fill="C6EFCE"/>
            <w:noWrap/>
          </w:tcPr>
          <w:p>
            <w:pPr>
              <w:spacing w:after="0" w:line="240" w:lineRule="auto"/>
              <w:jc w:val="center"/>
              <w:rPr>
                <w:rFonts w:ascii="Times New Roman" w:hAnsi="Times New Roman" w:cs="Times New Roman"/>
                <w:noProof/>
                <w:color w:val="000000"/>
                <w:sz w:val="18"/>
                <w:szCs w:val="18"/>
                <w:lang w:val="en-IE"/>
              </w:rPr>
            </w:pP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Număr</w:t>
            </w:r>
          </w:p>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500</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2026</w:t>
            </w:r>
          </w:p>
        </w:tc>
        <w:tc>
          <w:tcPr>
            <w:tcW w:w="7088" w:type="dxa"/>
            <w:shd w:val="clear" w:color="auto" w:fill="C6EFCE"/>
            <w:noWrap/>
          </w:tcPr>
          <w:p>
            <w:pPr>
              <w:spacing w:after="0" w:line="240" w:lineRule="auto"/>
              <w:jc w:val="both"/>
              <w:rPr>
                <w:rFonts w:ascii="Times New Roman" w:hAnsi="Times New Roman" w:cs="Times New Roman"/>
                <w:noProof/>
                <w:sz w:val="18"/>
                <w:szCs w:val="18"/>
              </w:rPr>
            </w:pPr>
            <w:r>
              <w:rPr>
                <w:rFonts w:ascii="Times New Roman" w:hAnsi="Times New Roman"/>
                <w:noProof/>
                <w:color w:val="000000"/>
                <w:sz w:val="18"/>
                <w:szCs w:val="18"/>
              </w:rPr>
              <w:t>O capacitate totală de electrolizor de cel puțin 500 MW autorizată, inclusiv infrastructura complementară. Acreditarea prin unul dintre următoarele trei mijloace: introducerea în registru a sistemului național de garanții privind originea gazelor regenerabile sau autorizarea administrativă a instalației emisă de organismul competent sau decizia finală de investiție (FID) furnizată de beneficiar.</w:t>
            </w:r>
          </w:p>
        </w:tc>
      </w:tr>
    </w:tbl>
    <w:p>
      <w:pPr>
        <w:spacing w:before="120" w:after="120" w:line="240" w:lineRule="auto"/>
        <w:ind w:left="709"/>
        <w:jc w:val="both"/>
        <w:rPr>
          <w:rFonts w:ascii="Times New Roman" w:hAnsi="Times New Roman" w:cs="Times New Roman"/>
          <w:noProof/>
          <w:sz w:val="24"/>
        </w:rPr>
      </w:pPr>
    </w:p>
    <w:p>
      <w:pPr>
        <w:spacing w:before="120" w:after="120" w:line="240" w:lineRule="auto"/>
        <w:ind w:left="709"/>
        <w:jc w:val="both"/>
        <w:rPr>
          <w:rFonts w:ascii="Times New Roman" w:hAnsi="Times New Roman" w:cs="Times New Roman"/>
          <w:noProof/>
          <w:sz w:val="24"/>
          <w:szCs w:val="24"/>
        </w:rPr>
        <w:sectPr>
          <w:headerReference w:type="even" r:id="rId121"/>
          <w:headerReference w:type="default" r:id="rId122"/>
          <w:footerReference w:type="even" r:id="rId123"/>
          <w:footerReference w:type="default" r:id="rId124"/>
          <w:headerReference w:type="first" r:id="rId125"/>
          <w:footerReference w:type="first" r:id="rId126"/>
          <w:pgSz w:w="16839" w:h="11907" w:orient="landscape"/>
          <w:pgMar w:top="1417" w:right="1134" w:bottom="1417" w:left="1134" w:header="709" w:footer="709" w:gutter="0"/>
          <w:cols w:space="720"/>
          <w:docGrid w:linePitch="360"/>
        </w:sectPr>
      </w:pPr>
    </w:p>
    <w:p>
      <w:pPr>
        <w:pStyle w:val="Heading1"/>
        <w:rPr>
          <w:noProof/>
        </w:rPr>
      </w:pPr>
      <w:r>
        <w:rPr>
          <w:noProof/>
        </w:rPr>
        <w:t>J. COMPONENTA 10: Tranziția justă</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Această componentă a planului spaniol de redresare și reziliență abordează impactul economic și social în zonele geografice afectate de închiderea minelor de cărbune și a centralelor pe cărbune/nucleare, care a fost exacerbat și mai mult de impactul pandemiei de COVID-19 și de închiderea centralelor termice. Un alt obiectiv este acela de a schimba modelul de producție și de a stimula transformarea în sprijinul unui model economic și social mai rezilient al teritoriilor pentru viitor. Strategia este concepută în paralel cu planul teritorial spaniol al Fondului pentru o tranziție justă (FTJ), acesta din urmă urmând să aibă un domeniu de aplicare mai larg, o durată mai lungă și un accent mai strategic pe dezvoltarea și sprijinirea afacerilor.</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sz w:val="24"/>
          <w:szCs w:val="24"/>
        </w:rPr>
        <w:t>Componenta contribuie la punerea în aplicare a recomandării specifice țării de sprijinire a ocupării forței de muncă prin măsuri de menținere a locurilor de muncă, stimulente eficace pentru recrutare și dezvoltarea competențelor (recomandarea specifică țării 2 din 2020); promovarea investițiilor publice și private care promovează tranziția verde (recomandarea specifică țării 3 din 2020); și consolidarea cooperării la toate nivelurile de guvernare (recomandarea specifică țării 4 din 2019).</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themeColor="text1"/>
          <w:sz w:val="24"/>
          <w:szCs w:val="24"/>
        </w:rPr>
        <w:t>Se preconizează că nicio măsură din cadrul acestei componente nu aduce prejudicii semnificative obiectivelor de mediu în sensul articolului 17 din Regulamentul (UE) 2020/852, ținând seama de descrierea măsurilor și a măsurilor de atenuare stabilite în planul de redresare și reziliență în conformitate cu Orientările tehnice DNSH (2021/C58/01).</w:t>
      </w:r>
    </w:p>
    <w:p>
      <w:pPr>
        <w:spacing w:before="120" w:after="120" w:line="240" w:lineRule="auto"/>
        <w:jc w:val="both"/>
        <w:rPr>
          <w:rFonts w:ascii="Times New Roman" w:hAnsi="Times New Roman" w:cs="Times New Roman"/>
          <w:b/>
          <w:bCs/>
          <w:i/>
          <w:iCs/>
          <w:noProof/>
          <w:color w:val="4F81BD" w:themeColor="accent1"/>
          <w:sz w:val="24"/>
        </w:rPr>
      </w:pPr>
      <w:r>
        <w:rPr>
          <w:rFonts w:ascii="Times New Roman" w:hAnsi="Times New Roman"/>
          <w:b/>
          <w:bCs/>
          <w:noProof/>
          <w:sz w:val="24"/>
          <w:u w:val="single"/>
        </w:rPr>
        <w:t xml:space="preserve">J.1. </w:t>
      </w:r>
      <w:r>
        <w:rPr>
          <w:rFonts w:ascii="Times New Roman" w:hAnsi="Times New Roman"/>
          <w:b/>
          <w:noProof/>
          <w:sz w:val="24"/>
          <w:u w:val="single"/>
        </w:rPr>
        <w:tab/>
      </w:r>
      <w:r>
        <w:rPr>
          <w:rFonts w:ascii="Times New Roman" w:hAnsi="Times New Roman"/>
          <w:b/>
          <w:bCs/>
          <w:noProof/>
          <w:sz w:val="24"/>
          <w:u w:val="single"/>
        </w:rPr>
        <w:t>Descrierea reformelor și a investițiilor pentru care se prevede acordarea sprijinului financiar nerambursabil</w:t>
      </w:r>
    </w:p>
    <w:p>
      <w:pPr>
        <w:spacing w:before="120" w:after="120" w:line="240" w:lineRule="auto"/>
        <w:jc w:val="both"/>
        <w:rPr>
          <w:rFonts w:ascii="Times New Roman" w:hAnsi="Times New Roman" w:cs="Times New Roman"/>
          <w:noProof/>
          <w:color w:val="000000"/>
          <w:sz w:val="24"/>
          <w:szCs w:val="24"/>
          <w:u w:val="single"/>
          <w:shd w:val="clear" w:color="auto" w:fill="FFFFFF"/>
        </w:rPr>
      </w:pPr>
      <w:r>
        <w:rPr>
          <w:rFonts w:ascii="Times New Roman" w:hAnsi="Times New Roman"/>
          <w:noProof/>
          <w:color w:val="000000"/>
          <w:sz w:val="24"/>
          <w:szCs w:val="24"/>
          <w:u w:val="single"/>
          <w:shd w:val="clear" w:color="auto" w:fill="FFFFFF"/>
        </w:rPr>
        <w:t>Reforma 1 (C10.R1) - Protocoale pentru o tranziție justă</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 xml:space="preserve">În februarie 2020, guvernul a aprobat Strategia pentru o tranziție justă, astfel cum este reflectată în Planul național privind energia și clima (PNEC). În contextul prezentei strategii și în cadrul planului spaniol de redresare și reziliență, această reformă stabilește 12 protocoale pentru o tranziție justă care acoperă fiecare zonă afectată de închiderea minelor de cărbune și a centralelor electrice pe bază de cărbune. Fiecare dintre protocoalele Fondului pentru o tranziție justă acoperă cel puțin o zonă afectată de închiderea unei centrale electrice pe bază de cărbune. Protocoalele stabilesc planuri de acțiune teritorială cuprinzătoare și detaliate ca instrumente pentru durabilitatea ecologică, economică și socială a teritoriilor afectate. Accentul se pune, printre altele, pe susținerea și crearea de locuri de muncă, pe promovarea diversificării și specializării, pe creșterea atractivității zonelor pentru combaterea depopulării și pe refacerea ecologică a terenurilor. Aceste protocoale includ cooperarea actorilor locali relevanți (publici și privați, inclusiv întreprinderi, parteneri sociali, sectorul educației, ONG-uri etc.). </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 xml:space="preserve">Această reformă include, de asemenea, înființarea Institutului pentru o tranziție justă. Obiectivul institutului este de a identifica și de a adopta acțiuni care să garanteze tratamentul echitabil al lucrătorilor și al teritoriilor afectate de tranziția către o economie cu emisii scăzute de dioxid de carbon, minimizarea impactului negativ asupra ocupării forței de muncă și a populației acestor teritorii și optimizarea oportunităților oferite de procesul de transformare. Principalele funcții ale institutului sunt promovarea politicilor industriale, a cercetării și dezvoltării, a promovării activității economice, a ocupării forței de muncă și a formării profesionale. </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 xml:space="preserve">Măsura include, de asemenea, instituirea unui consiliu consultativ compus din reprezentanți ai departamentelor ministeriale și din reprezentanți ai autorităților locale și regionale, care oferă consiliere și evaluează impactul politicilor de tranziție justă. </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Punerea în aplicare a măsurii se finalizează până la 30 iunie 2023.</w:t>
      </w:r>
    </w:p>
    <w:p>
      <w:pPr>
        <w:spacing w:before="120" w:after="120" w:line="240" w:lineRule="auto"/>
        <w:jc w:val="both"/>
        <w:rPr>
          <w:rFonts w:ascii="Times New Roman" w:hAnsi="Times New Roman" w:cs="Times New Roman"/>
          <w:noProof/>
          <w:color w:val="000000"/>
          <w:sz w:val="24"/>
          <w:szCs w:val="24"/>
          <w:u w:val="single"/>
          <w:shd w:val="clear" w:color="auto" w:fill="FFFFFF"/>
        </w:rPr>
      </w:pPr>
      <w:r>
        <w:rPr>
          <w:rFonts w:ascii="Times New Roman" w:hAnsi="Times New Roman"/>
          <w:noProof/>
          <w:color w:val="000000"/>
          <w:sz w:val="24"/>
          <w:szCs w:val="24"/>
          <w:u w:val="single"/>
          <w:shd w:val="clear" w:color="auto" w:fill="FFFFFF"/>
        </w:rPr>
        <w:t>Investiția 1 (C10.I1) - Investiții în tranziția justă</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 xml:space="preserve">Protocoalele pentru o tranziție justă sunt însoțite de investiții în teritorii pentru: </w:t>
      </w:r>
    </w:p>
    <w:p>
      <w:pPr>
        <w:numPr>
          <w:ilvl w:val="0"/>
          <w:numId w:val="61"/>
        </w:num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 xml:space="preserve">crearea de locuri de muncă și sprijinirea activității pe termen scurt; </w:t>
      </w:r>
    </w:p>
    <w:p>
      <w:pPr>
        <w:numPr>
          <w:ilvl w:val="0"/>
          <w:numId w:val="61"/>
        </w:num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să accelereze schimbarea prin concentrarea pe proiecte-pilot la scară mai mică care - dacă se consideră că au succes - ar fi extinse în contextul FTJ; și</w:t>
      </w:r>
    </w:p>
    <w:p>
      <w:pPr>
        <w:numPr>
          <w:ilvl w:val="0"/>
          <w:numId w:val="61"/>
        </w:num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 xml:space="preserve">stimularea dezvoltării economice, contribuind la coeziunea socială și teritorială. </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 xml:space="preserve">Proiectele vizează patru domenii specifice: </w:t>
      </w:r>
    </w:p>
    <w:p>
      <w:pPr>
        <w:numPr>
          <w:ilvl w:val="0"/>
          <w:numId w:val="60"/>
        </w:numPr>
        <w:spacing w:before="120" w:after="120" w:line="240" w:lineRule="auto"/>
        <w:jc w:val="both"/>
        <w:rPr>
          <w:rFonts w:ascii="Times New Roman" w:hAnsi="Times New Roman" w:cs="Times New Roman"/>
          <w:noProof/>
          <w:sz w:val="24"/>
          <w:szCs w:val="24"/>
          <w:shd w:val="clear" w:color="auto" w:fill="FFFFFF"/>
        </w:rPr>
      </w:pPr>
      <w:r>
        <w:rPr>
          <w:rFonts w:ascii="Times New Roman" w:hAnsi="Times New Roman"/>
          <w:noProof/>
          <w:sz w:val="24"/>
          <w:szCs w:val="24"/>
          <w:shd w:val="clear" w:color="auto" w:fill="FFFFFF"/>
        </w:rPr>
        <w:t>Planuri de refacere a mediului</w:t>
      </w:r>
      <w:r>
        <w:rPr>
          <w:rFonts w:ascii="Times New Roman" w:hAnsi="Times New Roman"/>
          <w:noProof/>
          <w:sz w:val="24"/>
          <w:szCs w:val="24"/>
        </w:rPr>
        <w:t xml:space="preserve"> (de exemplu, reîmpădurire sau refacerea vegetației) </w:t>
      </w:r>
      <w:r>
        <w:rPr>
          <w:rFonts w:ascii="Times New Roman" w:hAnsi="Times New Roman"/>
          <w:noProof/>
          <w:sz w:val="24"/>
          <w:szCs w:val="24"/>
          <w:shd w:val="clear" w:color="auto" w:fill="FFFFFF"/>
        </w:rPr>
        <w:t>pentru siturile miniere închise sau abandonate și pentru terenurile deteriorate adiacente centralelor termice sau nucleare, care acoperă cel puțin 2 000 hectare de teren reabilitat. Ca parte a acestor planuri, instalațiile de producție și minerit urmează să fie dezmembrate, iar solul urmează să fie reabilitat și supus proceselor de reîmpădurire sau de refacere a vegetației, instalațiilor de energie din surse regenerabile sau dezvoltării economice ecoalternative;</w:t>
      </w:r>
    </w:p>
    <w:p>
      <w:pPr>
        <w:numPr>
          <w:ilvl w:val="0"/>
          <w:numId w:val="60"/>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shd w:val="clear" w:color="auto" w:fill="FFFFFF"/>
        </w:rPr>
        <w:t xml:space="preserve">Cel puțin 100 de proiecte de infrastructură de mediu, digitale și sociale în municipalități și teritorii în tranziție către o economie cu emisii scăzute de dioxid de carbon, pentru o investiție financiară totală de cel puțin 91 000 000 EUR. Proiectele acoperă o serie de domenii, inclusiv: </w:t>
      </w:r>
      <w:r>
        <w:rPr>
          <w:rFonts w:ascii="Times New Roman" w:hAnsi="Times New Roman"/>
          <w:noProof/>
          <w:sz w:val="24"/>
          <w:szCs w:val="24"/>
        </w:rPr>
        <w:t>reabilitarea infrastructurii și a clădirilor publice; proiecte inovatoare de comunicare între municipalități sau zone cu populație izolată, bazate pe soluții de mobilitate durabilă, precum și recuperarea și utilizarea alternativă a infrastructurii de transport existente; reabilitarea infrastructurii publice care sprijină economia circulară, inclusiv a instalațiilor care compun comunitățile, a centrelor de gestionare a deșeurilor; proiecte de mediu pentru reabilitarea și îmbunătățirea zonelor aflate în proprietate publică (cum ar fi rezervele, pasarelele fluviale sau cheiurile și zonele de interpretare a naturii); infrastructuri și servicii digitale pentru dezvoltarea de cooperative de produse ecologice sau scheme comunitare pentru achiziții și vânzări în comun pe internet.</w:t>
      </w:r>
    </w:p>
    <w:p>
      <w:pPr>
        <w:numPr>
          <w:ilvl w:val="0"/>
          <w:numId w:val="60"/>
        </w:numPr>
        <w:spacing w:before="120" w:after="120" w:line="240" w:lineRule="auto"/>
        <w:jc w:val="both"/>
        <w:rPr>
          <w:rFonts w:ascii="Times New Roman" w:hAnsi="Times New Roman" w:cs="Times New Roman"/>
          <w:noProof/>
          <w:sz w:val="24"/>
          <w:szCs w:val="24"/>
          <w:shd w:val="clear" w:color="auto" w:fill="FFFFFF"/>
        </w:rPr>
      </w:pPr>
      <w:r>
        <w:rPr>
          <w:rFonts w:ascii="Times New Roman" w:hAnsi="Times New Roman"/>
          <w:noProof/>
          <w:sz w:val="24"/>
          <w:szCs w:val="24"/>
          <w:shd w:val="clear" w:color="auto" w:fill="FFFFFF"/>
        </w:rPr>
        <w:t>Sprijin pentru două proiecte CDI în domeniul stocării energiei și al hidrogenului ecologic</w:t>
      </w:r>
      <w:r>
        <w:rPr>
          <w:rFonts w:ascii="Times New Roman" w:hAnsi="Times New Roman"/>
          <w:noProof/>
          <w:sz w:val="24"/>
          <w:szCs w:val="24"/>
        </w:rPr>
        <w:t>. Proiectele adaptează instalațiile și laboratoarele CIUDEN (</w:t>
      </w:r>
      <w:r>
        <w:rPr>
          <w:rFonts w:ascii="Times New Roman" w:hAnsi="Times New Roman"/>
          <w:i/>
          <w:noProof/>
          <w:sz w:val="24"/>
          <w:szCs w:val="24"/>
        </w:rPr>
        <w:t>Ciudad de la Energía</w:t>
      </w:r>
      <w:r>
        <w:rPr>
          <w:rFonts w:ascii="Times New Roman" w:hAnsi="Times New Roman"/>
          <w:noProof/>
          <w:sz w:val="24"/>
          <w:szCs w:val="24"/>
        </w:rPr>
        <w:t>) - o fundație guvernamentală de CDI înființată în Bierzo (Leon), atașată Institutului pentru o tranziție justă și în funcție de Ministerul tranziției ecologice și al schimbărilor demografice - pentru două proiecte CDI privind producția de hidrogen ecologic și stocarea energiei; și</w:t>
      </w:r>
    </w:p>
    <w:p>
      <w:pPr>
        <w:numPr>
          <w:ilvl w:val="0"/>
          <w:numId w:val="60"/>
        </w:numPr>
        <w:spacing w:before="120" w:after="120" w:line="240" w:lineRule="auto"/>
        <w:jc w:val="both"/>
        <w:rPr>
          <w:rFonts w:ascii="Times New Roman" w:hAnsi="Times New Roman" w:cs="Times New Roman"/>
          <w:noProof/>
          <w:sz w:val="24"/>
          <w:szCs w:val="24"/>
          <w:shd w:val="clear" w:color="auto" w:fill="FFFFFF"/>
        </w:rPr>
      </w:pPr>
      <w:r>
        <w:rPr>
          <w:rFonts w:ascii="Times New Roman" w:hAnsi="Times New Roman"/>
          <w:noProof/>
          <w:sz w:val="24"/>
          <w:szCs w:val="24"/>
          <w:shd w:val="clear" w:color="auto" w:fill="FFFFFF"/>
        </w:rPr>
        <w:t xml:space="preserve">Sprijin pentru recalificarea și îmbunătățirea capacității de inserție profesională a lucrătorilor și a persoanelor afectate de tranziția către o economie cu emisii scăzute de dioxid de carbon, cel puțin 4 000 de persoane beneficiind de asistență personalizată pentru căutarea unui loc de muncă și de recalificare. Asistența pentru recalificare ar trebui să acopere cel puțin următoarele domenii: instalarea și distribuirea energiei din surse regenerabile (eoliană și fotovoltaică), regenerarea și gestionarea mediului și/sau reabilitarea integrată și energetică a locuințelor. </w:t>
      </w:r>
    </w:p>
    <w:p>
      <w:pPr>
        <w:spacing w:before="120" w:after="120" w:line="240" w:lineRule="auto"/>
        <w:jc w:val="both"/>
        <w:rPr>
          <w:rFonts w:ascii="Times New Roman" w:hAnsi="Times New Roman" w:cs="Times New Roman"/>
          <w:b/>
          <w:bCs/>
          <w:noProof/>
          <w:sz w:val="24"/>
          <w:u w:val="single"/>
        </w:rPr>
      </w:pPr>
      <w:r>
        <w:rPr>
          <w:rFonts w:ascii="Times New Roman" w:hAnsi="Times New Roman"/>
          <w:bCs/>
          <w:noProof/>
          <w:sz w:val="24"/>
        </w:rPr>
        <w:t>Punerea în aplicare a investiției se finalizează până la 30 iunie 2026.</w:t>
      </w:r>
    </w:p>
    <w:p>
      <w:pPr>
        <w:spacing w:before="120" w:after="120" w:line="240" w:lineRule="auto"/>
        <w:ind w:left="709"/>
        <w:jc w:val="both"/>
        <w:rPr>
          <w:rFonts w:ascii="Times New Roman" w:hAnsi="Times New Roman" w:cs="Times New Roman"/>
          <w:b/>
          <w:bCs/>
          <w:noProof/>
          <w:sz w:val="24"/>
          <w:u w:val="single"/>
        </w:rPr>
      </w:pPr>
      <w:r>
        <w:rPr>
          <w:rFonts w:ascii="Times New Roman" w:hAnsi="Times New Roman"/>
          <w:b/>
          <w:bCs/>
          <w:noProof/>
          <w:sz w:val="24"/>
          <w:u w:val="single"/>
        </w:rPr>
        <w:t xml:space="preserve">J.2. </w:t>
      </w:r>
      <w:r>
        <w:rPr>
          <w:rFonts w:ascii="Times New Roman" w:hAnsi="Times New Roman"/>
          <w:b/>
          <w:noProof/>
          <w:sz w:val="24"/>
          <w:u w:val="single"/>
        </w:rPr>
        <w:tab/>
      </w:r>
      <w:r>
        <w:rPr>
          <w:rFonts w:ascii="Times New Roman" w:hAnsi="Times New Roman"/>
          <w:b/>
          <w:bCs/>
          <w:noProof/>
          <w:sz w:val="24"/>
          <w:u w:val="single"/>
        </w:rPr>
        <w:t>Jaloane, ținte, indicatori și calendarul de monitorizare și implementare aplicabile sprijinului financiar nerambursabil</w:t>
      </w:r>
    </w:p>
    <w:p>
      <w:pPr>
        <w:spacing w:before="120" w:after="120" w:line="240" w:lineRule="auto"/>
        <w:rPr>
          <w:rFonts w:ascii="Times New Roman" w:hAnsi="Times New Roman" w:cs="Times New Roman"/>
          <w:noProof/>
          <w:sz w:val="24"/>
          <w:szCs w:val="24"/>
        </w:rPr>
        <w:sectPr>
          <w:headerReference w:type="even" r:id="rId127"/>
          <w:headerReference w:type="default" r:id="rId128"/>
          <w:footerReference w:type="even" r:id="rId129"/>
          <w:footerReference w:type="default" r:id="rId130"/>
          <w:headerReference w:type="first" r:id="rId131"/>
          <w:footerReference w:type="first" r:id="rId132"/>
          <w:pgSz w:w="11907" w:h="16839"/>
          <w:pgMar w:top="1134" w:right="1417" w:bottom="1134" w:left="1417" w:header="709" w:footer="709" w:gutter="0"/>
          <w:cols w:space="720"/>
          <w:docGrid w:linePitch="360"/>
        </w:sectPr>
      </w:pPr>
      <w:r>
        <w:rPr>
          <w:rFonts w:ascii="Times New Roman" w:hAnsi="Times New Roman"/>
          <w:i/>
          <w:noProof/>
          <w:color w:val="000000"/>
          <w:sz w:val="24"/>
          <w:szCs w:val="24"/>
        </w:rPr>
        <w:t>Tabelul de mai jos.</w:t>
      </w:r>
      <w:r>
        <w:rPr>
          <w:rFonts w:ascii="Times New Roman" w:hAnsi="Times New Roman"/>
          <w:noProof/>
          <w:color w:val="1F497D"/>
          <w:sz w:val="24"/>
          <w:szCs w:val="24"/>
        </w:rPr>
        <w:t xml:space="preserve"> </w:t>
      </w:r>
      <w:r>
        <w:rPr>
          <w:rFonts w:ascii="Times New Roman" w:hAnsi="Times New Roman"/>
          <w:i/>
          <w:noProof/>
          <w:color w:val="000000"/>
          <w:sz w:val="24"/>
          <w:szCs w:val="24"/>
        </w:rPr>
        <w:t>Data de referință pentru toți indicatorii este 1 februarie 2020, cu excepția cazului în care se indică altfel în descrierea acțiunii. Sumele din tabel nu includ TVA.</w:t>
      </w: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3261"/>
        <w:gridCol w:w="992"/>
        <w:gridCol w:w="850"/>
        <w:gridCol w:w="567"/>
        <w:gridCol w:w="709"/>
        <w:gridCol w:w="425"/>
        <w:gridCol w:w="567"/>
        <w:gridCol w:w="5529"/>
      </w:tblGrid>
      <w:tr>
        <w:trPr>
          <w:trHeight w:val="309"/>
          <w:tblHeader/>
        </w:trPr>
        <w:tc>
          <w:tcPr>
            <w:tcW w:w="70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sz w:val="18"/>
                <w:szCs w:val="18"/>
              </w:rPr>
              <w:t>Număr</w:t>
            </w:r>
          </w:p>
        </w:tc>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Măsură</w:t>
            </w:r>
          </w:p>
        </w:tc>
        <w:tc>
          <w:tcPr>
            <w:tcW w:w="85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Jalon</w:t>
            </w:r>
            <w:r>
              <w:rPr>
                <w:rFonts w:ascii="Times New Roman" w:hAnsi="Times New Roman"/>
                <w:b/>
                <w:noProof/>
                <w:color w:val="000000"/>
                <w:sz w:val="18"/>
                <w:szCs w:val="18"/>
              </w:rPr>
              <w:br/>
            </w:r>
            <w:r>
              <w:rPr>
                <w:rFonts w:ascii="Times New Roman" w:hAnsi="Times New Roman"/>
                <w:b/>
                <w:bCs/>
                <w:noProof/>
                <w:color w:val="000000"/>
                <w:sz w:val="18"/>
                <w:szCs w:val="18"/>
              </w:rPr>
              <w:t xml:space="preserve"> /Țintă</w:t>
            </w:r>
          </w:p>
        </w:tc>
        <w:tc>
          <w:tcPr>
            <w:tcW w:w="326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Denumire</w:t>
            </w:r>
          </w:p>
        </w:tc>
        <w:tc>
          <w:tcPr>
            <w:tcW w:w="992"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Indicator calitativ pentru obiectivele de etapă</w:t>
            </w:r>
          </w:p>
        </w:tc>
        <w:tc>
          <w:tcPr>
            <w:tcW w:w="2126" w:type="dxa"/>
            <w:gridSpan w:val="3"/>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Indicator cantitativ pentru obiectiv</w:t>
            </w:r>
          </w:p>
        </w:tc>
        <w:tc>
          <w:tcPr>
            <w:tcW w:w="992" w:type="dxa"/>
            <w:gridSpan w:val="2"/>
            <w:shd w:val="clear" w:color="auto" w:fill="C6D9F1" w:themeFill="text2" w:themeFillTint="33"/>
            <w:noWrap/>
            <w:vAlign w:val="center"/>
          </w:tcPr>
          <w:p>
            <w:pPr>
              <w:spacing w:after="0" w:line="240" w:lineRule="auto"/>
              <w:jc w:val="center"/>
              <w:rPr>
                <w:rFonts w:ascii="Times New Roman" w:hAnsi="Times New Roman" w:cs="Times New Roman"/>
                <w:noProof/>
                <w:sz w:val="18"/>
                <w:szCs w:val="18"/>
              </w:rPr>
            </w:pPr>
            <w:r>
              <w:rPr>
                <w:rFonts w:ascii="Times New Roman" w:hAnsi="Times New Roman"/>
                <w:b/>
                <w:bCs/>
                <w:noProof/>
                <w:color w:val="000000"/>
                <w:sz w:val="18"/>
                <w:szCs w:val="18"/>
              </w:rPr>
              <w:t>Timp</w:t>
            </w:r>
          </w:p>
        </w:tc>
        <w:tc>
          <w:tcPr>
            <w:tcW w:w="552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sz w:val="18"/>
                <w:szCs w:val="18"/>
              </w:rPr>
              <w:t>Descrierea fiecărui jalon și a fiecărei ținte</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3261"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992"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Unitate</w:t>
            </w:r>
          </w:p>
        </w:tc>
        <w:tc>
          <w:tcPr>
            <w:tcW w:w="567"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Scenariu de bază</w:t>
            </w:r>
          </w:p>
        </w:tc>
        <w:tc>
          <w:tcPr>
            <w:tcW w:w="709"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Obiectiv</w:t>
            </w:r>
          </w:p>
        </w:tc>
        <w:tc>
          <w:tcPr>
            <w:tcW w:w="425"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Q</w:t>
            </w:r>
          </w:p>
        </w:tc>
        <w:tc>
          <w:tcPr>
            <w:tcW w:w="567"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An</w:t>
            </w:r>
          </w:p>
        </w:tc>
        <w:tc>
          <w:tcPr>
            <w:tcW w:w="5529"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lang w:val="en-IE"/>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137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C10.R1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26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Crearea Institutului pentru Fondul pentru o tranziție justă </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Publicarea în JO</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2020</w:t>
            </w:r>
          </w:p>
        </w:tc>
        <w:tc>
          <w:tcPr>
            <w:tcW w:w="552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Prin Decretul regal nr. 500/2020, crearea Institutului pentru Fondul pentru o tranziție justă. Obiectivul institutului este de a identifica și de a adopta măsuri, bazate pe solidaritate, care să garanteze un tratament echitabil al lucrătorilor și al teritoriilor afectate de tranziția către o economie cu emisii scăzute de dioxid de carbon, să reducă la minimum impactul negativ asupra ocupării forței de muncă și a populației acestor teritorii și să optimizeze oportunitățile procesului de transformare.</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138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C10.R1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326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Protocoale pentru o tranziție justă </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12</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52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După un proces participativ, publicarea pe site-ul internet al tranziției juste a 12 protocoale pentru o tranziție justă, care includ angajamente privind ocuparea forței de muncă, refacerea mediului și dezvoltarea economică și socială pentru populația locală din 12 zone afectate. Fiecare dintre protocoalele Fondului pentru o tranziție justă acoperă cel puțin o zonă afectată de închiderea unei centrale electrice pe bază de cărbune.</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139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C10.I1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26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Programul de ajutor pentru formare pentru „tranziția justă” și acordarea de ajutoare pentru dezvoltarea economică a zonelor de tranziție justă</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Publicarea în JO</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52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Publicarea în Jurnalul Oficial a: (a) Ordin de aprobare a cadrului de reglementare pentru programul de ajutor pentru formare „Tranziția echitabilă”, specificând planul de sprijin pentru calificarea profesională și integrarea pe piața muncii a lucrătorilor și a persoanelor afectate de tranziția către o economie cu emisii scăzute de dioxid de carbon; și (b) ordinul de stabilire a bazelor de reglementare pentru acordarea de ajutoare pentru dezvoltarea economică a zonelor de tranziție justă, prin dezvoltarea infrastructurii de mediu, digitale și sociale în municipalitățile și teritoriile aflate în tranziție către o economie cu emisii scăzute de dioxid de carbon.</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140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C10.I1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326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Sprijin pentru proiecte de infrastructură de mediu, digitale și sociale.</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52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Publicarea în Jurnalul Oficial a premiului de cel puțin 91 000 000 EUR pentru cel puțin 100 de proiecte de infrastructură de mediu, digitale și sociale în municipalități și teritorii în tranziție către o economie cu emisii scăzute de dioxid de carbon. Cele 100 de proiecte de infrastructură de mediu, digitale și sociale trebuie să fie situate în localități și teritorii din zonele de tranziție justă.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141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C10.I1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326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Asistență pentru căutarea unui loc de muncă și recalificare pentru șomeri </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4 000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Q3</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52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Cel puțin 4 000 de persoane au beneficiat de asistență personală pentru căutarea unui loc de muncă și de căi individuale de recalificare pentru șomerii din zonele de tranziție justă. Căile de recalificare acoperă cel puțin următoarele domenii: instalarea și distribuirea energiei din surse regenerabile (eoliană și fotovoltaică), regenerarea și gestionarea mediului și/sau reabilitarea integrată și energetică a locuințelor.</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142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C10.I1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326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Proiecte de investiții pentru adaptarea instalațiilor industriale pentru hidrogen ecologic și stocarea energiei.</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52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Finalizarea a două proiecte de investiții pentru adaptarea instalațiilor industriale ca viitoare </w:t>
            </w:r>
            <w:r>
              <w:rPr>
                <w:rFonts w:ascii="Times New Roman" w:hAnsi="Times New Roman"/>
                <w:i/>
                <w:noProof/>
                <w:color w:val="000000"/>
                <w:sz w:val="18"/>
                <w:szCs w:val="18"/>
              </w:rPr>
              <w:t>Infraestructura Científica y Técnica Singular</w:t>
            </w:r>
            <w:r>
              <w:rPr>
                <w:rFonts w:ascii="Times New Roman" w:hAnsi="Times New Roman"/>
                <w:noProof/>
                <w:color w:val="000000"/>
                <w:sz w:val="18"/>
                <w:szCs w:val="18"/>
              </w:rPr>
              <w:t xml:space="preserve"> (ICTP) pentru validarea producției de hidrogen ecologic și a stocării energiei. Proiectele adaptează instalațiile și laboratoarele Ciudad de la Energía (CIUDEN) pentru două proiecte CDI privind producția de hidrogen ecologic și stocarea energiei.</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143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C10.I1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326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Terenuri reabilitate în mine de cărbune închise sau în zone adiacente centralelor electrice.</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Număr (hectare)</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2026</w:t>
            </w:r>
          </w:p>
        </w:tc>
        <w:tc>
          <w:tcPr>
            <w:tcW w:w="552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Cel puțin 2 000 hectare de teren reabilitat în situri de extracție a cărbunelui închise sau în zone adiacente centralelor termice sau nucleare. Suprafața terenurilor reabilitate din zonele contaminate, în special siturile de extracție a cărbunelui sau terenurile adiacente centralelor termice sau nucleare, în care sunt dezmembrate centrale și miniere, iar solul este reabilitat și supus proceselor de reîmpădurire sau de refacere a vegetației, instalațiilor de producere a energiei din surse regenerabile sau dezvoltării economice ecoalternative.</w:t>
            </w:r>
          </w:p>
        </w:tc>
      </w:tr>
    </w:tbl>
    <w:p>
      <w:pPr>
        <w:spacing w:before="120" w:after="120" w:line="240" w:lineRule="auto"/>
        <w:ind w:left="709"/>
        <w:jc w:val="both"/>
        <w:rPr>
          <w:rFonts w:ascii="Times New Roman" w:hAnsi="Times New Roman" w:cs="Times New Roman"/>
          <w:noProof/>
          <w:sz w:val="24"/>
        </w:rPr>
      </w:pPr>
    </w:p>
    <w:p>
      <w:pPr>
        <w:spacing w:before="120" w:after="120" w:line="240" w:lineRule="auto"/>
        <w:ind w:left="709"/>
        <w:jc w:val="both"/>
        <w:rPr>
          <w:rFonts w:ascii="Times New Roman" w:hAnsi="Times New Roman" w:cs="Times New Roman"/>
          <w:noProof/>
          <w:sz w:val="24"/>
          <w:szCs w:val="24"/>
        </w:rPr>
        <w:sectPr>
          <w:headerReference w:type="even" r:id="rId133"/>
          <w:headerReference w:type="default" r:id="rId134"/>
          <w:footerReference w:type="even" r:id="rId135"/>
          <w:footerReference w:type="default" r:id="rId136"/>
          <w:headerReference w:type="first" r:id="rId137"/>
          <w:footerReference w:type="first" r:id="rId138"/>
          <w:pgSz w:w="16839" w:h="11907" w:orient="landscape"/>
          <w:pgMar w:top="1417" w:right="1134" w:bottom="1417" w:left="1134" w:header="709" w:footer="709" w:gutter="0"/>
          <w:cols w:space="720"/>
          <w:docGrid w:linePitch="360"/>
        </w:sectPr>
      </w:pPr>
    </w:p>
    <w:p>
      <w:pPr>
        <w:pStyle w:val="Heading1"/>
        <w:jc w:val="left"/>
        <w:rPr>
          <w:noProof/>
        </w:rPr>
      </w:pPr>
      <w:r>
        <w:rPr>
          <w:noProof/>
        </w:rPr>
        <w:t>K. COMPONENTA 11: Modernizarea administrațiilor publice</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Această componentă a planului spaniol de redresare și reziliență abordează provocările legate de administrația publică, inclusiv eficiența sistemului de justiție, capacitatea administrativă și cooperarea dintre diferitele niveluri de guvernare. Aceasta vizează modernizarea administrațiilor publice spaniole, prin reformarea proceselor administrative, a achizițiilor publice, a justiției, a ocupării forței de muncă în sectorul public, inclusiv a politicilor privind resursele umane; să sporească accesibilitatea și eficiența serviciilor publice prin digitalizarea în continuare a acestora; promovarea economiilor de energie, a utilizării energiei din surse regenerabile în clădirile și infrastructura publică, stimularea mobilității durabile a funcționarilor publici; și consolidarea capacității administrative a administrațiilor publice de a monitoriza, controla și pune în aplicare politicile publice. Principalele măsuri pentru atingerea acestor obiective sunt următoarele:</w:t>
      </w:r>
    </w:p>
    <w:p>
      <w:pPr>
        <w:numPr>
          <w:ilvl w:val="0"/>
          <w:numId w:val="62"/>
        </w:numPr>
        <w:spacing w:before="120" w:after="120" w:line="240" w:lineRule="auto"/>
        <w:ind w:left="714" w:hanging="357"/>
        <w:contextualSpacing/>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Să reformeze administrațiile publice centrale, regionale și locale prin îmbunătățirea cooperării dintre acestea, consolidarea cadrului de achiziții publice, evaluarea politicilor publice și promovarea tranziției către contracte pe durată nedeterminată;</w:t>
      </w:r>
    </w:p>
    <w:p>
      <w:pPr>
        <w:numPr>
          <w:ilvl w:val="0"/>
          <w:numId w:val="62"/>
        </w:numPr>
        <w:spacing w:before="120" w:after="120" w:line="240" w:lineRule="auto"/>
        <w:ind w:left="714" w:hanging="357"/>
        <w:contextualSpacing/>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Digitalizarea administrațiilor și a proceselor cu cinci proiecte prioritare în domenii strategice: Justiție, servicii publice de ocupare a forței de muncă, date privind sănătatea publică, gestionarea consulatelor și administrația teritorială;</w:t>
      </w:r>
    </w:p>
    <w:p>
      <w:pPr>
        <w:numPr>
          <w:ilvl w:val="0"/>
          <w:numId w:val="62"/>
        </w:numPr>
        <w:spacing w:before="120" w:after="120" w:line="240" w:lineRule="auto"/>
        <w:ind w:left="714" w:hanging="357"/>
        <w:contextualSpacing/>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Planul de tranziție energetică al administrației centrale;</w:t>
      </w:r>
    </w:p>
    <w:p>
      <w:pPr>
        <w:numPr>
          <w:ilvl w:val="0"/>
          <w:numId w:val="62"/>
        </w:numPr>
        <w:spacing w:before="120" w:after="120" w:line="259" w:lineRule="auto"/>
        <w:ind w:left="714" w:hanging="357"/>
        <w:contextualSpacing/>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Consolidarea capacităților administrative.</w:t>
      </w:r>
    </w:p>
    <w:p>
      <w:pPr>
        <w:spacing w:before="120" w:after="120" w:line="240" w:lineRule="auto"/>
        <w:jc w:val="both"/>
        <w:rPr>
          <w:rFonts w:ascii="Times New Roman" w:hAnsi="Times New Roman" w:cs="Times New Roman"/>
          <w:noProof/>
          <w:sz w:val="24"/>
        </w:rPr>
      </w:pPr>
      <w:r>
        <w:rPr>
          <w:rFonts w:ascii="Times New Roman" w:hAnsi="Times New Roman"/>
          <w:noProof/>
          <w:sz w:val="24"/>
        </w:rPr>
        <w:t>Această componentă a planului de redresare și reziliență al Spaniei abordează recomandările specifice fiecărei țări privind consolidarea cadrului de achiziții publice (recomandările specifice fiecărei țări 1 2019 și 4 2020), promovarea tranziției către contracte pe durată nedeterminată (recomandarea specifică țării 2 din 2019), concentrarea la începutul perioadei a proiectelor de investiții publice și concentrarea investițiilor asupra tranziției verzi și digitale (recomandările specifice fiecărei țări 3 din 2019 și 3 din 2020) și îmbunătățirea cooperării dintre administrații (recomandările specifice fiecărei țări 4 din 2019 și 2020).</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Se preconizează că nicio măsură din cadrul acestei componente nu aduce prejudicii semnificative obiectivelor de mediu în sensul articolului 17 din Regulamentul (UE) 2020/852, ținând seama de descrierea măsurilor și a măsurilor de atenuare stabilite în planul de redresare și reziliență în conformitate cu Orientările tehnice DNSH (2021/C58/01).</w:t>
      </w:r>
    </w:p>
    <w:p>
      <w:pPr>
        <w:spacing w:before="120" w:after="120" w:line="240" w:lineRule="auto"/>
        <w:jc w:val="both"/>
        <w:rPr>
          <w:rFonts w:ascii="Times New Roman" w:hAnsi="Times New Roman" w:cs="Times New Roman"/>
          <w:b/>
          <w:bCs/>
          <w:i/>
          <w:iCs/>
          <w:noProof/>
          <w:color w:val="000000" w:themeColor="text1"/>
          <w:sz w:val="24"/>
        </w:rPr>
      </w:pPr>
      <w:r>
        <w:rPr>
          <w:rFonts w:ascii="Times New Roman" w:hAnsi="Times New Roman"/>
          <w:b/>
          <w:bCs/>
          <w:noProof/>
          <w:color w:val="000000" w:themeColor="text1"/>
          <w:sz w:val="24"/>
          <w:u w:val="single"/>
        </w:rPr>
        <w:t xml:space="preserve">K.1. </w:t>
      </w:r>
      <w:r>
        <w:rPr>
          <w:rFonts w:ascii="Times New Roman" w:hAnsi="Times New Roman"/>
          <w:b/>
          <w:noProof/>
          <w:color w:val="000000" w:themeColor="text1"/>
          <w:sz w:val="24"/>
          <w:u w:val="single"/>
        </w:rPr>
        <w:tab/>
      </w:r>
      <w:r>
        <w:rPr>
          <w:rFonts w:ascii="Times New Roman" w:hAnsi="Times New Roman"/>
          <w:b/>
          <w:bCs/>
          <w:noProof/>
          <w:color w:val="000000" w:themeColor="text1"/>
          <w:sz w:val="24"/>
          <w:u w:val="single"/>
        </w:rPr>
        <w:t>Descrierea reformelor și a investițiilor pentru care se prevede acordarea sprijinului financiar nerambursabil</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 xml:space="preserve">Reforma 1 (C11.R1) - Reformă pentru modernizarea și digitalizarea administrației </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themeColor="text1"/>
          <w:sz w:val="24"/>
          <w:szCs w:val="24"/>
        </w:rPr>
        <w:t xml:space="preserve">Această măsură este articulată în mai multe direcții de acțiune pentru a aborda deficiențele din politicile de ocupare a forței de muncă ale administrațiilor publice, pentru a consolida cooperarea și coordonarea între diferitele niveluri de guvernare și pentru a îmbunătăți modul în care administrația centrală pune în aplicare politicile publice. În ceea ce privește politicile de ocupare a forței de muncă, obiectivul este de a reduce rata angajaților temporari din administrațiile publice și de a consolida capacitățile publice de ocupare a forței de muncă prin trecerea la un model de resurse umane bazat pe competențe, inclusiv în scopul recrutării. </w:t>
      </w:r>
      <w:r>
        <w:rPr>
          <w:rFonts w:ascii="Times New Roman" w:hAnsi="Times New Roman"/>
          <w:noProof/>
          <w:sz w:val="24"/>
          <w:szCs w:val="24"/>
        </w:rPr>
        <w:t>A doua linie de acțiune este de a dezvolta în continuare evaluarea ex ante a politicilor și de a spori transparența și participarea cetățenilor la elaborarea politicilor publice. În cele din urmă, reforma consolidează instrumentele existente de cooperare între diferitele niveluri de guvernare din Spania. Acest lucru consolidează rolul conferințelor sectoriale, organismele existente de cooperare cu regiunile, prin clarificarea momentului în care acestea pot ajunge la acorduri de conformitate obligatorie. Reforma consolidează, de asemenea, Conferința președinților (în cadrul căreia prim-ministrul și președinții comunităților autonome se reunesc la cel mai înalt nivel). Reforma vizează, de asemenea, instrumentele prin care este posibilă cooperarea între administrațiile publice și stabilește interconectarea și interoperabilitatea interadministrativă digitală între platformele informatice ale administrației centrale și regionale.</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sz w:val="24"/>
        </w:rPr>
        <w:t>Punerea în aplicare a acestei reforme se finalizează până la 31 decembrie 2024.</w:t>
      </w:r>
    </w:p>
    <w:p>
      <w:pPr>
        <w:keepNext/>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Reforma 2 (C11.R2) - Reformă pentru consolidarea statului de drept și a eficienței sistemului judiciar</w:t>
      </w:r>
    </w:p>
    <w:p>
      <w:pPr>
        <w:keepNext/>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Legea nr. 3/2020 din 18 septembrie și programul „Justiție 2030” stabilesc o foaie de parcurs pentru reforma administrării justiției în Spania. În acest context, această măsură urmărește modernizarea sistemului judiciar prin intrarea în vigoare (ținând seama de </w:t>
      </w:r>
      <w:r>
        <w:rPr>
          <w:rFonts w:ascii="Times New Roman" w:hAnsi="Times New Roman"/>
          <w:i/>
          <w:noProof/>
          <w:sz w:val="24"/>
          <w:szCs w:val="24"/>
        </w:rPr>
        <w:t>vacatio legis</w:t>
      </w:r>
      <w:r>
        <w:rPr>
          <w:rFonts w:ascii="Times New Roman" w:hAnsi="Times New Roman"/>
          <w:noProof/>
          <w:sz w:val="24"/>
          <w:szCs w:val="24"/>
        </w:rPr>
        <w:t xml:space="preserve"> stabilită în fiecare lege),  </w:t>
      </w:r>
    </w:p>
    <w:p>
      <w:pPr>
        <w:spacing w:before="120" w:after="120" w:line="240" w:lineRule="auto"/>
        <w:jc w:val="both"/>
        <w:rPr>
          <w:rFonts w:ascii="Times New Roman" w:hAnsi="Times New Roman" w:cs="Times New Roman"/>
          <w:noProof/>
          <w:sz w:val="24"/>
        </w:rPr>
      </w:pPr>
      <w:r>
        <w:rPr>
          <w:rFonts w:ascii="Times New Roman" w:hAnsi="Times New Roman"/>
          <w:noProof/>
          <w:sz w:val="24"/>
        </w:rPr>
        <w:t>până la 31 decembrie 2022:</w:t>
      </w:r>
    </w:p>
    <w:p>
      <w:pPr>
        <w:numPr>
          <w:ilvl w:val="0"/>
          <w:numId w:val="65"/>
        </w:numPr>
        <w:spacing w:before="120" w:after="120" w:line="240" w:lineRule="auto"/>
        <w:jc w:val="both"/>
        <w:rPr>
          <w:rFonts w:ascii="Times New Roman" w:hAnsi="Times New Roman" w:cs="Times New Roman"/>
          <w:noProof/>
          <w:sz w:val="24"/>
        </w:rPr>
      </w:pPr>
      <w:r>
        <w:rPr>
          <w:rFonts w:ascii="Times New Roman" w:hAnsi="Times New Roman"/>
          <w:noProof/>
          <w:sz w:val="24"/>
        </w:rPr>
        <w:t xml:space="preserve">Legea privind eficiența procedurală, pentru a scurta durata procedurilor în toate jurisdicțiile, păstrând, în același timp, garanțiile procedurale ale cetățenilor, precum și stabilirea unor mijloace alternative adecvate de soluționare a litigiilor; </w:t>
      </w:r>
    </w:p>
    <w:p>
      <w:pPr>
        <w:numPr>
          <w:ilvl w:val="0"/>
          <w:numId w:val="65"/>
        </w:numPr>
        <w:spacing w:before="120" w:after="120" w:line="240" w:lineRule="auto"/>
        <w:jc w:val="both"/>
        <w:rPr>
          <w:rFonts w:ascii="Times New Roman" w:hAnsi="Times New Roman" w:cs="Times New Roman"/>
          <w:bCs/>
          <w:noProof/>
          <w:sz w:val="24"/>
        </w:rPr>
      </w:pPr>
      <w:r>
        <w:rPr>
          <w:rFonts w:ascii="Times New Roman" w:hAnsi="Times New Roman"/>
          <w:noProof/>
          <w:sz w:val="24"/>
        </w:rPr>
        <w:t>o reformă a Codului de procedură penală, pentru a atribui procurorilor conducerea anchetei judiciare, în loc să fie condusă de judecători de instrucție;</w:t>
      </w:r>
    </w:p>
    <w:p>
      <w:pPr>
        <w:spacing w:before="120" w:after="120" w:line="240" w:lineRule="auto"/>
        <w:jc w:val="both"/>
        <w:rPr>
          <w:rFonts w:ascii="Times New Roman" w:hAnsi="Times New Roman" w:cs="Times New Roman"/>
          <w:bCs/>
          <w:noProof/>
          <w:sz w:val="24"/>
        </w:rPr>
      </w:pPr>
      <w:r>
        <w:rPr>
          <w:rFonts w:ascii="Times New Roman" w:hAnsi="Times New Roman"/>
          <w:bCs/>
          <w:noProof/>
          <w:sz w:val="24"/>
        </w:rPr>
        <w:t>până la 31 decembrie 2023:</w:t>
      </w:r>
    </w:p>
    <w:p>
      <w:pPr>
        <w:numPr>
          <w:ilvl w:val="0"/>
          <w:numId w:val="65"/>
        </w:numPr>
        <w:spacing w:before="120" w:after="120" w:line="240" w:lineRule="auto"/>
        <w:jc w:val="both"/>
        <w:rPr>
          <w:rFonts w:ascii="Times New Roman" w:hAnsi="Times New Roman" w:cs="Times New Roman"/>
          <w:bCs/>
          <w:noProof/>
          <w:sz w:val="24"/>
        </w:rPr>
      </w:pPr>
      <w:r>
        <w:rPr>
          <w:rFonts w:ascii="Times New Roman" w:hAnsi="Times New Roman"/>
          <w:noProof/>
          <w:sz w:val="24"/>
        </w:rPr>
        <w:t xml:space="preserve">Legea privind eficiența digitală, promovând o arhitectură bazată pe date pentru gestionarea informațiilor; </w:t>
      </w:r>
    </w:p>
    <w:p>
      <w:pPr>
        <w:numPr>
          <w:ilvl w:val="0"/>
          <w:numId w:val="65"/>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Legea privind eficiența organizațională a sistemului judiciar, pentru a modifica organizarea hărții judiciare. Măsura înlocuiește numărul mare de instanțe unipersonale de prim grad de jurisdicție cu 431 de organe colegiale (</w:t>
      </w:r>
      <w:r>
        <w:rPr>
          <w:rFonts w:ascii="Times New Roman" w:hAnsi="Times New Roman"/>
          <w:i/>
          <w:noProof/>
          <w:sz w:val="24"/>
          <w:szCs w:val="24"/>
        </w:rPr>
        <w:t>Tribunales de Instancia</w:t>
      </w:r>
      <w:r>
        <w:rPr>
          <w:rFonts w:ascii="Times New Roman" w:hAnsi="Times New Roman"/>
          <w:noProof/>
          <w:sz w:val="24"/>
          <w:szCs w:val="24"/>
        </w:rPr>
        <w:t>) și pune în aplicare Biroul Judiciar.</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sz w:val="24"/>
        </w:rPr>
        <w:t>Punerea în aplicare a măsurii se finalizează până la 31 decembrie 2022.</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Reforma 3 (C11.R3) - Reformă în vederea modernizării arhitecturii instituționale a guvernanței economice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Această măsură reformează aspecte ale cadrului instituțional de guvernanță economică, inclusiv prin accelerarea și promovarea digitalizării proceselor. Acestea includ: a) reforma modului în care Caja General de Depósitos (Fondul general de garantare a depozitelor) gestionează garanțiile, pentru a le face electronice; b) crearea Autorității pentru protecția clienților financiari, cu scopul de a garanta drepturile clienților financiari; c) îmbunătățirea cadrului instituțional de rezoluție a instituțiilor financiare, printr-o lege de modificare a actualului cadru instituțional de rezoluție; și d) modernizarea supravegherii în domeniile financiar și de audit, prin reforma planului general de contabilitate și a Regulamentului privind auditul.</w:t>
      </w:r>
    </w:p>
    <w:p>
      <w:pPr>
        <w:spacing w:before="120" w:after="120" w:line="240" w:lineRule="auto"/>
        <w:jc w:val="both"/>
        <w:rPr>
          <w:rFonts w:ascii="Times New Roman" w:hAnsi="Times New Roman" w:cs="Times New Roman"/>
          <w:noProof/>
          <w:sz w:val="24"/>
        </w:rPr>
      </w:pPr>
      <w:r>
        <w:rPr>
          <w:rFonts w:ascii="Times New Roman" w:hAnsi="Times New Roman"/>
          <w:noProof/>
          <w:sz w:val="24"/>
        </w:rPr>
        <w:t>Punerea în aplicare a măsurii se finalizează până la 31 decembrie 2022.</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sz w:val="24"/>
          <w:u w:val="single"/>
        </w:rPr>
        <w:t>Reforma 4 (C11.R4) - Strategia națională privind achizițiile publice</w:t>
      </w:r>
      <w:r>
        <w:rPr>
          <w:rFonts w:ascii="Times New Roman" w:hAnsi="Times New Roman"/>
          <w:noProof/>
          <w:color w:val="000000" w:themeColor="text1"/>
          <w:sz w:val="24"/>
          <w:u w:val="single"/>
        </w:rPr>
        <w:t xml:space="preserve"> </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Această reformă finalizează punerea în aplicare a reformei achizițiilor publice prevăzute în Legea nr. 9/2017 privind contractele din sectorul public (actul principal de transpunere a Directiva 2014/24/UE a Parlamentului European și a Consiliului din 26 februarie 2014 privind achizițiile publice și de abrogare a Directiva 2004/18/CE Text cu relevanță pentru SEE). Aceasta instituie o structură de guvernanță care să abordeze necesitatea unui cadru coerent privind achizițiile publice, care să asigure transparența, mecanisme eficace de control, interconectarea bazelor de date privind achizițiile publice între toate nivelurile de guvernare și coordonarea între diferitele niveluri de guvernare, pentru: i) să facă Biroul național de evaluare pe deplin operațional și ii) să adopte strategia națională privind achizițiile publice. </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Spania a creat deja Biroul independent pentru reglementarea și supravegherea achizițiilor publice și Biroul național de evaluare. Această reformă abordează, de asemenea, problemele legate de furnizarea limitată de informații și baze de date privind achizițiile publice, precum și deficiențele în structura contractelor de achiziții publice. În acest scop, reforma: a) îmbunătățirea eficienței achizițiilor publice (procese, rezultate, date și informații); b) promovarea profesionalizării actorilor (în conformitate cu recomandarea Comisiei din octombrie 2017); c) îmbunătățirea accesului IMM-urilor; și d) consolidarea cadrului juridic al achizițiilor publice digitale.</w:t>
      </w:r>
    </w:p>
    <w:p>
      <w:pPr>
        <w:spacing w:before="120" w:after="120" w:line="240" w:lineRule="auto"/>
        <w:jc w:val="both"/>
        <w:rPr>
          <w:rFonts w:ascii="Times New Roman" w:hAnsi="Times New Roman" w:cs="Times New Roman"/>
          <w:noProof/>
          <w:sz w:val="24"/>
        </w:rPr>
      </w:pPr>
      <w:r>
        <w:rPr>
          <w:rFonts w:ascii="Times New Roman" w:hAnsi="Times New Roman"/>
          <w:noProof/>
          <w:sz w:val="24"/>
        </w:rPr>
        <w:t>Punerea în aplicare a măsurii se finalizează până la 31 decembrie 2022.</w:t>
      </w:r>
    </w:p>
    <w:p>
      <w:pPr>
        <w:keepNext/>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sz w:val="24"/>
          <w:u w:val="single"/>
        </w:rPr>
        <w:t>Reforma 5 (C11.R5) - Capacitate administrativă</w:t>
      </w:r>
      <w:r>
        <w:rPr>
          <w:rFonts w:ascii="Times New Roman" w:hAnsi="Times New Roman"/>
          <w:noProof/>
          <w:color w:val="000000" w:themeColor="text1"/>
          <w:sz w:val="24"/>
          <w:u w:val="single"/>
        </w:rPr>
        <w:t xml:space="preserve">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Această reformă modernizează funcționarea internă a administrațiilor publice pentru a îmbunătăți punerea în aplicare a planului spaniol de redresare și reziliență, cu scopul de a avea un impact de lungă durată asupra punerii în aplicare a viitoarelor reforme și investiții de către administrația publică spaniolă. În ansamblu, aceasta, împreună cu investițiile 5, reformează capacitatea administrațiilor publice de a asigura punerea în aplicare corespunzătoare a planului de redresare și reziliență. Acest lucru implică crearea unui sistem integrat de informare și gestionare; să dezvolte activități de formare pentru cei implicați în planul de redresare și reziliență; și să desfășoare activități de comunicare pentru a se adresa participanților potențiali și beneficiarilor planului de redresare și reziliență, precum și firmelor și gospodăriilor în general, pentru a se informa cu privire la posibilitățile oferite de planul de redresare și reziliență. </w:t>
      </w:r>
    </w:p>
    <w:p>
      <w:pPr>
        <w:spacing w:before="120" w:after="120" w:line="240" w:lineRule="auto"/>
        <w:jc w:val="both"/>
        <w:rPr>
          <w:rFonts w:ascii="Times New Roman" w:hAnsi="Times New Roman" w:cs="Times New Roman"/>
          <w:noProof/>
          <w:sz w:val="24"/>
        </w:rPr>
      </w:pPr>
      <w:r>
        <w:rPr>
          <w:rFonts w:ascii="Times New Roman" w:hAnsi="Times New Roman"/>
          <w:noProof/>
          <w:sz w:val="24"/>
        </w:rPr>
        <w:t>Guvernanța, raportarea și monitorizarea acțiunilor incluse în planul de redresare și reziliență se implementează prin intermediul unui nou model de gestiune administrativă și financiară pentru a se asigura că acțiunile prevăzute în planul de redresare și reziliență sunt puse în aplicare în mod corespunzător. Acest model uniform urmează să fie centralizat în cadrul Secretariatului General pentru fondurile europene și va fi utilizat la ministerele raportoare, la unitățile TIC corespunzătoare ale acestora și, eventual, la administrațiile omoloage din regiuni (comunități autonome). În acest scop, guvernul central a adoptat Decretul-lege regal nr. 36/2020.</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sz w:val="24"/>
        </w:rPr>
        <w:t>Punerea în aplicare a măsurii se finalizează până la 30 septembrie 2021.</w:t>
      </w:r>
    </w:p>
    <w:p>
      <w:pPr>
        <w:spacing w:before="120" w:after="120" w:line="240" w:lineRule="auto"/>
        <w:jc w:val="both"/>
        <w:rPr>
          <w:rFonts w:ascii="Times New Roman" w:hAnsi="Times New Roman" w:cs="Times New Roman"/>
          <w:noProof/>
          <w:color w:val="000000" w:themeColor="text1"/>
          <w:sz w:val="24"/>
          <w:szCs w:val="24"/>
          <w:u w:val="single"/>
        </w:rPr>
      </w:pPr>
      <w:r>
        <w:rPr>
          <w:rFonts w:ascii="Times New Roman" w:hAnsi="Times New Roman"/>
          <w:noProof/>
          <w:color w:val="000000" w:themeColor="text1"/>
          <w:sz w:val="24"/>
          <w:szCs w:val="24"/>
          <w:u w:val="single"/>
        </w:rPr>
        <w:t>Investiția 1 (C11.I1) - Modernizarea administrației generale de stat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Acțiunile din cadrul investițiilor în C11.I1 și C11.I3 sunt elaborate în conformitate cu aceleași principii, I1 vizând administrația centrală, iar I3 autoritățile regionale și locale. Pentru toate aceste entități, se întreprind următoarele acțiuni:</w:t>
      </w:r>
    </w:p>
    <w:p>
      <w:pPr>
        <w:numPr>
          <w:ilvl w:val="0"/>
          <w:numId w:val="63"/>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O administrație orientată către cetățeni, îmbunătățirea serviciilor publice digitale furnizate cetățenilor și întreprinderilor și punerea în aplicare a unor măsuri în conformitate cu Agenda digitală spaniolă 2025;</w:t>
      </w:r>
    </w:p>
    <w:p>
      <w:pPr>
        <w:numPr>
          <w:ilvl w:val="0"/>
          <w:numId w:val="63"/>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Operațiuni inteligente și administrarea de date, îmbunătățirea calității și eficienței gestionării serviciilor administrațiilor publice (de exemplu, achizițiile publice), inclusiv a fluxului de date, prin utilizarea tehnologiilor de automatizare inteligentă și a infrastructurilor digitale;</w:t>
      </w:r>
    </w:p>
    <w:p>
      <w:pPr>
        <w:numPr>
          <w:ilvl w:val="0"/>
          <w:numId w:val="63"/>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Infrastructurile digitale și securitatea cibernetică, cu scopul de a asigura infrastructura tehnologică a administrației publice spaniole necesară pentru modernizarea acestora.</w:t>
      </w:r>
      <w:r>
        <w:rPr>
          <w:rFonts w:ascii="Times New Roman" w:hAnsi="Times New Roman"/>
          <w:b/>
          <w:bCs/>
          <w:noProof/>
          <w:sz w:val="24"/>
          <w:szCs w:val="24"/>
        </w:rPr>
        <w:t xml:space="preserve"> </w:t>
      </w:r>
      <w:r>
        <w:rPr>
          <w:rFonts w:ascii="Times New Roman" w:hAnsi="Times New Roman"/>
          <w:noProof/>
          <w:sz w:val="24"/>
          <w:szCs w:val="24"/>
        </w:rPr>
        <w:t>În ceea ce privește securitatea cibernetică, această măsură instituie un centru de operațiuni de securitate cibernetică pentru întreaga administrație generală de stat și agențiile sale publice, pentru protecția împotriva amenințărilor la adresa securității cibernetice;</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themeColor="text1"/>
          <w:sz w:val="24"/>
          <w:szCs w:val="24"/>
        </w:rPr>
        <w:t xml:space="preserve">Punerea în aplicare a investiției se finalizează până la 31 decembrie 2025. </w:t>
      </w:r>
    </w:p>
    <w:p>
      <w:pPr>
        <w:spacing w:before="120" w:after="120" w:line="240" w:lineRule="auto"/>
        <w:jc w:val="both"/>
        <w:rPr>
          <w:rFonts w:ascii="Times New Roman" w:hAnsi="Times New Roman" w:cs="Times New Roman"/>
          <w:noProof/>
          <w:color w:val="000000" w:themeColor="text1"/>
          <w:sz w:val="24"/>
          <w:szCs w:val="24"/>
          <w:u w:val="single"/>
        </w:rPr>
      </w:pPr>
      <w:r>
        <w:rPr>
          <w:rFonts w:ascii="Times New Roman" w:hAnsi="Times New Roman"/>
          <w:noProof/>
          <w:color w:val="000000" w:themeColor="text1"/>
          <w:sz w:val="24"/>
          <w:szCs w:val="24"/>
          <w:u w:val="single"/>
        </w:rPr>
        <w:t>Investiția 2 (C11.I2) - Proiecte specifice pentru digitalizarea administrației centrale</w:t>
      </w: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Această investiție va duce la o adoptare mai generalizată a digitalizării și dezvoltării serviciilor digitale în întreaga administrație publică. Domeniile de politică pentru punerea în aplicare a unei transformări digitale sunt:</w:t>
      </w:r>
    </w:p>
    <w:p>
      <w:pPr>
        <w:numPr>
          <w:ilvl w:val="0"/>
          <w:numId w:val="64"/>
        </w:numPr>
        <w:spacing w:before="120" w:after="0" w:line="259" w:lineRule="auto"/>
        <w:contextualSpacing/>
        <w:jc w:val="both"/>
        <w:rPr>
          <w:rFonts w:ascii="Times New Roman" w:hAnsi="Times New Roman" w:cs="Times New Roman"/>
          <w:bCs/>
          <w:iCs/>
          <w:noProof/>
          <w:sz w:val="24"/>
          <w:szCs w:val="24"/>
        </w:rPr>
      </w:pPr>
      <w:r>
        <w:rPr>
          <w:rFonts w:ascii="Times New Roman" w:hAnsi="Times New Roman"/>
          <w:noProof/>
          <w:sz w:val="24"/>
          <w:szCs w:val="24"/>
        </w:rPr>
        <w:t>Sistemul de sănătate. Investiția îmbunătățește interoperabilitatea dintre administrația centrală și comunitățile autonome, precum și prin promovarea analizei datelor;</w:t>
      </w:r>
    </w:p>
    <w:p>
      <w:pPr>
        <w:numPr>
          <w:ilvl w:val="0"/>
          <w:numId w:val="64"/>
        </w:numPr>
        <w:spacing w:before="120" w:after="0" w:line="259" w:lineRule="auto"/>
        <w:contextualSpacing/>
        <w:jc w:val="both"/>
        <w:rPr>
          <w:rFonts w:ascii="Times New Roman" w:hAnsi="Times New Roman" w:cs="Times New Roman"/>
          <w:bCs/>
          <w:iCs/>
          <w:noProof/>
          <w:sz w:val="24"/>
          <w:szCs w:val="24"/>
        </w:rPr>
      </w:pPr>
      <w:r>
        <w:rPr>
          <w:rFonts w:ascii="Times New Roman" w:hAnsi="Times New Roman"/>
          <w:noProof/>
          <w:sz w:val="24"/>
          <w:szCs w:val="24"/>
        </w:rPr>
        <w:t>Sistemul judiciar. Investiția pune la dispoziția cetățenilor și a operatorilor legali instrumente digitale pentru o mai bună gestionare a relației lor cu administrarea justiției;</w:t>
      </w:r>
    </w:p>
    <w:p>
      <w:pPr>
        <w:numPr>
          <w:ilvl w:val="0"/>
          <w:numId w:val="64"/>
        </w:numPr>
        <w:spacing w:before="120" w:after="0" w:line="259" w:lineRule="auto"/>
        <w:contextualSpacing/>
        <w:jc w:val="both"/>
        <w:rPr>
          <w:rFonts w:ascii="Times New Roman" w:hAnsi="Times New Roman" w:cs="Times New Roman"/>
          <w:bCs/>
          <w:iCs/>
          <w:noProof/>
          <w:sz w:val="24"/>
          <w:szCs w:val="24"/>
        </w:rPr>
      </w:pPr>
      <w:r>
        <w:rPr>
          <w:rFonts w:ascii="Times New Roman" w:hAnsi="Times New Roman"/>
          <w:noProof/>
          <w:sz w:val="24"/>
          <w:szCs w:val="24"/>
        </w:rPr>
        <w:t>Servicii publice de ocupare a forței de muncă. Investiția actualizează sistemele informatice care stau la baza gestionării politicilor active în domeniul pieței forței de muncă;</w:t>
      </w:r>
    </w:p>
    <w:p>
      <w:pPr>
        <w:numPr>
          <w:ilvl w:val="0"/>
          <w:numId w:val="64"/>
        </w:numPr>
        <w:spacing w:before="120" w:after="0" w:line="259" w:lineRule="auto"/>
        <w:contextualSpacing/>
        <w:jc w:val="both"/>
        <w:rPr>
          <w:rFonts w:ascii="Times New Roman" w:hAnsi="Times New Roman" w:cs="Times New Roman"/>
          <w:bCs/>
          <w:iCs/>
          <w:noProof/>
          <w:sz w:val="24"/>
          <w:szCs w:val="24"/>
        </w:rPr>
      </w:pPr>
      <w:r>
        <w:rPr>
          <w:rFonts w:ascii="Times New Roman" w:hAnsi="Times New Roman"/>
          <w:noProof/>
          <w:sz w:val="24"/>
          <w:szCs w:val="24"/>
        </w:rPr>
        <w:t>Incluziune, securitate socială și migrație. Investiția dotează ministerul competent cu instrumente digitale care facilitează punerea în aplicare a politicilor relevante pentru grupurile cele mai defavorizate, precum și utilizarea informațiilor pentru elaborarea de măsuri corective sau de atenuare suplimentare;</w:t>
      </w:r>
    </w:p>
    <w:p>
      <w:pPr>
        <w:numPr>
          <w:ilvl w:val="0"/>
          <w:numId w:val="64"/>
        </w:numPr>
        <w:spacing w:before="120" w:after="0" w:line="259" w:lineRule="auto"/>
        <w:contextualSpacing/>
        <w:jc w:val="both"/>
        <w:rPr>
          <w:rFonts w:ascii="Times New Roman" w:hAnsi="Times New Roman" w:cs="Times New Roman"/>
          <w:bCs/>
          <w:iCs/>
          <w:noProof/>
          <w:sz w:val="24"/>
          <w:szCs w:val="24"/>
        </w:rPr>
      </w:pPr>
      <w:r>
        <w:rPr>
          <w:rFonts w:ascii="Times New Roman" w:hAnsi="Times New Roman"/>
          <w:noProof/>
          <w:sz w:val="24"/>
          <w:szCs w:val="24"/>
        </w:rPr>
        <w:t>Servicii consulare. Investiția va îmbunătăți accesul la serviciile digitale ale administrației publice spaniole atât pentru cetățenii spanioli care locuiesc în străinătate, cât și pentru cetățenii străini care locuiesc în Spania;</w:t>
      </w:r>
    </w:p>
    <w:p>
      <w:pPr>
        <w:numPr>
          <w:ilvl w:val="0"/>
          <w:numId w:val="64"/>
        </w:numPr>
        <w:spacing w:before="120" w:after="0" w:line="259" w:lineRule="auto"/>
        <w:contextualSpacing/>
        <w:jc w:val="both"/>
        <w:rPr>
          <w:rFonts w:ascii="Times New Roman" w:hAnsi="Times New Roman" w:cs="Times New Roman"/>
          <w:bCs/>
          <w:iCs/>
          <w:noProof/>
          <w:sz w:val="24"/>
          <w:szCs w:val="24"/>
        </w:rPr>
      </w:pPr>
      <w:r>
        <w:rPr>
          <w:rFonts w:ascii="Times New Roman" w:hAnsi="Times New Roman"/>
          <w:noProof/>
          <w:sz w:val="24"/>
          <w:szCs w:val="24"/>
        </w:rPr>
        <w:t>Inițiative-pilot în domeniul securității și al agriculturii.</w:t>
      </w:r>
    </w:p>
    <w:p>
      <w:pPr>
        <w:spacing w:before="120" w:after="120" w:line="240" w:lineRule="auto"/>
        <w:jc w:val="both"/>
        <w:rPr>
          <w:rFonts w:ascii="Times New Roman" w:hAnsi="Times New Roman" w:cs="Times New Roman"/>
          <w:noProof/>
          <w:color w:val="000000" w:themeColor="text1"/>
          <w:sz w:val="24"/>
          <w:szCs w:val="24"/>
          <w:u w:val="single"/>
        </w:rPr>
      </w:pPr>
      <w:r>
        <w:rPr>
          <w:rFonts w:ascii="Times New Roman" w:hAnsi="Times New Roman"/>
          <w:noProof/>
          <w:color w:val="000000" w:themeColor="text1"/>
          <w:sz w:val="24"/>
          <w:szCs w:val="24"/>
        </w:rPr>
        <w:t xml:space="preserve">Punerea în aplicare a investiției se finalizează până la 31 decembrie 2025. </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 xml:space="preserve">Investiția 3 (C11.I3) - Transformarea digitală și modernizarea Ministerului Politicii Teritoriale și a funcției publice, precum și a administrației comunităților autonome și a autorităților locale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Acțiunile din cadrul acestei investiții urmează aceleași principii descrise în C11.I1, care vizează administrațiile regionale și locale.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Punerea în aplicare a investiției se finalizează până la 30 iunie 2026.</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Investiția 4 (C11.I4) - Plan de tranziție energetică în administrația generală de stat</w:t>
      </w:r>
    </w:p>
    <w:p>
      <w:pPr>
        <w:spacing w:before="120" w:after="120" w:line="240" w:lineRule="auto"/>
        <w:jc w:val="both"/>
        <w:rPr>
          <w:rFonts w:ascii="Times New Roman" w:hAnsi="Times New Roman" w:cs="Times New Roman"/>
          <w:noProof/>
          <w:sz w:val="24"/>
        </w:rPr>
      </w:pPr>
      <w:r>
        <w:rPr>
          <w:rFonts w:ascii="Times New Roman" w:hAnsi="Times New Roman"/>
          <w:noProof/>
          <w:color w:val="000000" w:themeColor="text1"/>
          <w:sz w:val="24"/>
        </w:rPr>
        <w:t xml:space="preserve">Măsura promovează economiile de energie și eficiența energetică în clădirile și infrastructura administrației centrale. Măsura trebuie să ducă, în medie, la o reducere a cererii de energie primară de cel puțin 30 %, verificată prin certificate de performanță energetică. În special, în ceea ce privește economisirea de energie, investiția contribuie la renovarea suprafeței clădirilor pentru a crește numărul de instalații cu un nivel ridicat de energie și, în special, al clădirilor al căror consum de energie este aproape egal cu zero. În ceea ce privește energia din surse regenerabile, investițiile promovează implementarea sistemelor fotovoltaice solare sau a altor energii regenerabile în instalațiile administrației publice centrale. </w:t>
      </w:r>
      <w:r>
        <w:rPr>
          <w:rFonts w:ascii="Times New Roman" w:hAnsi="Times New Roman"/>
          <w:noProof/>
          <w:sz w:val="24"/>
        </w:rPr>
        <w:t>Măsurile încurajează, de asemenea, transformarea parcului de vehicule de vehicule publice în vehicule cu emisii zero sau cu emisii scăzute</w:t>
      </w:r>
      <w:r>
        <w:rPr>
          <w:rFonts w:ascii="Times New Roman" w:hAnsi="Times New Roman" w:cs="Times New Roman"/>
          <w:bCs/>
          <w:noProof/>
          <w:sz w:val="24"/>
          <w:vertAlign w:val="superscript"/>
          <w:lang w:val="en-IE"/>
        </w:rPr>
        <w:footnoteReference w:id="14"/>
      </w:r>
      <w:r>
        <w:rPr>
          <w:rFonts w:ascii="Times New Roman" w:hAnsi="Times New Roman"/>
          <w:noProof/>
          <w:sz w:val="24"/>
        </w:rPr>
        <w:t xml:space="preserve">.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szCs w:val="24"/>
        </w:rPr>
        <w:t xml:space="preserve">Se preconizează că această măsură nu aduce prejudicii semnificative obiectivelor de mediu în sensul articolului 17 din Regulamentul (UE) 2020/852, ținând seama de descrierea măsurii și de măsurile de atenuare stabilite în planul de redresare și reziliență în conformitate cu Orientările tehnice DNSH (2021/C58/01). </w:t>
      </w:r>
      <w:r>
        <w:rPr>
          <w:rFonts w:ascii="Times New Roman" w:hAnsi="Times New Roman"/>
          <w:noProof/>
          <w:sz w:val="24"/>
        </w:rPr>
        <w:t>În special, transformarea parcului de vehicule de vehicule publice sprijină numai vehiculele cu emisii zero sau cu emisii scăzute</w:t>
      </w:r>
      <w:r>
        <w:rPr>
          <w:rFonts w:ascii="Times New Roman" w:hAnsi="Times New Roman" w:cs="Times New Roman"/>
          <w:bCs/>
          <w:noProof/>
          <w:sz w:val="24"/>
          <w:vertAlign w:val="superscript"/>
          <w:lang w:val="en-IE"/>
        </w:rPr>
        <w:footnoteReference w:id="15"/>
      </w:r>
      <w:r>
        <w:rPr>
          <w:rFonts w:ascii="Times New Roman" w:hAnsi="Times New Roman"/>
          <w:noProof/>
          <w:sz w:val="24"/>
        </w:rPr>
        <w:t>.</w:t>
      </w:r>
    </w:p>
    <w:p>
      <w:pPr>
        <w:spacing w:before="120" w:after="120" w:line="240" w:lineRule="auto"/>
        <w:jc w:val="both"/>
        <w:rPr>
          <w:rFonts w:ascii="Times New Roman" w:hAnsi="Times New Roman" w:cs="Times New Roman"/>
          <w:noProof/>
          <w:sz w:val="24"/>
        </w:rPr>
      </w:pPr>
      <w:r>
        <w:rPr>
          <w:rFonts w:ascii="Times New Roman" w:hAnsi="Times New Roman"/>
          <w:noProof/>
          <w:sz w:val="24"/>
        </w:rPr>
        <w:t>Investițiile includ atât investițiile în capital fix (infrastructură și clădiri publice), cât și în capitalul natural (toate acțiunile contribuie la reducerea emisiilor de gaze cu efect de seră).</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Punerea în aplicare a investiției se finalizează până la 30 iunie 2026.</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Investiția 5 (C11.I5) - Transformarea administrației pentru punerea în aplicare a planului spaniol de redresare și reziliență</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Această investiție este legată de reforma R5 a acestei componente. Aceasta adaptează funcționarea administrației publice pentru a face față provocărilor generate de punerea în aplicare și monitorizarea planului de redresare și reziliență. Măsura modernizează sistemul de informații și canalele de comunicare pentru a face schimb de informații la toate nivelurile de guvernare și cu cetățenii, întreprinderile și potențialii beneficiari. Măsura cuprinde, de asemenea, cursuri de formare specifice destinate personalului din administrația publică generală, despre care se estimează că vor ajunge la cel puțin 3 150 de persoane pe tot parcursul punerii în aplicare a planului de redresare și reziliență.</w:t>
      </w:r>
    </w:p>
    <w:p>
      <w:pPr>
        <w:spacing w:before="120" w:after="120" w:line="240" w:lineRule="auto"/>
        <w:jc w:val="both"/>
        <w:rPr>
          <w:rFonts w:ascii="Times New Roman" w:hAnsi="Times New Roman" w:cs="Times New Roman"/>
          <w:b/>
          <w:bCs/>
          <w:noProof/>
          <w:sz w:val="24"/>
          <w:u w:val="single"/>
        </w:rPr>
      </w:pPr>
      <w:r>
        <w:rPr>
          <w:rFonts w:ascii="Times New Roman" w:hAnsi="Times New Roman"/>
          <w:noProof/>
          <w:color w:val="000000" w:themeColor="text1"/>
          <w:sz w:val="24"/>
        </w:rPr>
        <w:t xml:space="preserve">Punerea în aplicare a investiției se finalizează până la 31 august 2026. </w:t>
      </w:r>
    </w:p>
    <w:p>
      <w:pPr>
        <w:keepNext/>
        <w:spacing w:before="120" w:after="120" w:line="240" w:lineRule="auto"/>
        <w:jc w:val="both"/>
        <w:rPr>
          <w:rFonts w:ascii="Times New Roman" w:hAnsi="Times New Roman" w:cs="Times New Roman"/>
          <w:b/>
          <w:bCs/>
          <w:noProof/>
          <w:sz w:val="24"/>
          <w:u w:val="single"/>
        </w:rPr>
      </w:pPr>
      <w:r>
        <w:rPr>
          <w:rFonts w:ascii="Times New Roman" w:hAnsi="Times New Roman"/>
          <w:b/>
          <w:bCs/>
          <w:noProof/>
          <w:sz w:val="24"/>
          <w:u w:val="single"/>
        </w:rPr>
        <w:t xml:space="preserve">K.2. </w:t>
      </w:r>
      <w:r>
        <w:rPr>
          <w:rFonts w:ascii="Times New Roman" w:hAnsi="Times New Roman"/>
          <w:b/>
          <w:noProof/>
          <w:sz w:val="24"/>
          <w:u w:val="single"/>
        </w:rPr>
        <w:tab/>
      </w:r>
      <w:r>
        <w:rPr>
          <w:rFonts w:ascii="Times New Roman" w:hAnsi="Times New Roman"/>
          <w:b/>
          <w:bCs/>
          <w:noProof/>
          <w:sz w:val="24"/>
          <w:u w:val="single"/>
        </w:rPr>
        <w:t>Jaloane, ținte, indicatori și calendarul de monitorizare și implementare aplicabile sprijinului financiar nerambursabil</w:t>
      </w:r>
    </w:p>
    <w:p>
      <w:pPr>
        <w:keepNext/>
        <w:spacing w:before="120" w:after="120" w:line="240" w:lineRule="auto"/>
        <w:rPr>
          <w:rFonts w:ascii="Times New Roman" w:hAnsi="Times New Roman" w:cs="Times New Roman"/>
          <w:i/>
          <w:noProof/>
          <w:color w:val="000000"/>
          <w:sz w:val="24"/>
          <w:szCs w:val="24"/>
        </w:rPr>
        <w:sectPr>
          <w:headerReference w:type="even" r:id="rId139"/>
          <w:headerReference w:type="default" r:id="rId140"/>
          <w:footerReference w:type="even" r:id="rId141"/>
          <w:footerReference w:type="default" r:id="rId142"/>
          <w:headerReference w:type="first" r:id="rId143"/>
          <w:footerReference w:type="first" r:id="rId144"/>
          <w:pgSz w:w="11907" w:h="16839"/>
          <w:pgMar w:top="1134" w:right="1417" w:bottom="1134" w:left="1417" w:header="709" w:footer="709" w:gutter="0"/>
          <w:cols w:space="720"/>
          <w:docGrid w:linePitch="360"/>
        </w:sectPr>
      </w:pPr>
      <w:r>
        <w:rPr>
          <w:rFonts w:ascii="Times New Roman" w:hAnsi="Times New Roman"/>
          <w:i/>
          <w:noProof/>
          <w:color w:val="000000"/>
          <w:sz w:val="24"/>
          <w:szCs w:val="24"/>
        </w:rPr>
        <w:t>Tabelul de mai jos.</w:t>
      </w:r>
      <w:r>
        <w:rPr>
          <w:rFonts w:ascii="Times New Roman" w:hAnsi="Times New Roman"/>
          <w:noProof/>
          <w:color w:val="1F497D"/>
          <w:sz w:val="24"/>
          <w:szCs w:val="24"/>
        </w:rPr>
        <w:t xml:space="preserve"> </w:t>
      </w:r>
      <w:r>
        <w:rPr>
          <w:rFonts w:ascii="Times New Roman" w:hAnsi="Times New Roman"/>
          <w:i/>
          <w:noProof/>
          <w:color w:val="000000"/>
          <w:sz w:val="24"/>
          <w:szCs w:val="24"/>
        </w:rPr>
        <w:t>Data de referință pentru toți indicatorii este 1 februarie 2020, cu excepția cazului în care se indică altfel în descrierea acțiunii. Sumele din tabel nu includ TVA.</w:t>
      </w:r>
    </w:p>
    <w:tbl>
      <w:tblPr>
        <w:tblW w:w="1519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5"/>
        <w:gridCol w:w="845"/>
        <w:gridCol w:w="844"/>
        <w:gridCol w:w="2710"/>
        <w:gridCol w:w="1370"/>
        <w:gridCol w:w="704"/>
        <w:gridCol w:w="704"/>
        <w:gridCol w:w="844"/>
        <w:gridCol w:w="422"/>
        <w:gridCol w:w="563"/>
        <w:gridCol w:w="5486"/>
      </w:tblGrid>
      <w:tr>
        <w:trPr>
          <w:trHeight w:val="309"/>
          <w:tblHeader/>
        </w:trPr>
        <w:tc>
          <w:tcPr>
            <w:tcW w:w="705"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Număr</w:t>
            </w:r>
          </w:p>
        </w:tc>
        <w:tc>
          <w:tcPr>
            <w:tcW w:w="845"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Măsură</w:t>
            </w:r>
          </w:p>
        </w:tc>
        <w:tc>
          <w:tcPr>
            <w:tcW w:w="844"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Jalon</w:t>
            </w:r>
            <w:r>
              <w:rPr>
                <w:rFonts w:ascii="Times New Roman" w:hAnsi="Times New Roman"/>
                <w:noProof/>
                <w:sz w:val="18"/>
                <w:szCs w:val="18"/>
              </w:rPr>
              <w:br/>
            </w:r>
            <w:r>
              <w:rPr>
                <w:rFonts w:ascii="Times New Roman" w:hAnsi="Times New Roman"/>
                <w:b/>
                <w:bCs/>
                <w:noProof/>
                <w:color w:val="000000" w:themeColor="text1"/>
                <w:sz w:val="18"/>
                <w:szCs w:val="18"/>
              </w:rPr>
              <w:t xml:space="preserve"> /Țintă</w:t>
            </w:r>
          </w:p>
        </w:tc>
        <w:tc>
          <w:tcPr>
            <w:tcW w:w="271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Denumire</w:t>
            </w:r>
          </w:p>
        </w:tc>
        <w:tc>
          <w:tcPr>
            <w:tcW w:w="137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Indicator calitativ pentru obiectivele de etapă</w:t>
            </w:r>
          </w:p>
        </w:tc>
        <w:tc>
          <w:tcPr>
            <w:tcW w:w="2252" w:type="dxa"/>
            <w:gridSpan w:val="3"/>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Indicator cantitativ pentru obiectiv</w:t>
            </w:r>
          </w:p>
        </w:tc>
        <w:tc>
          <w:tcPr>
            <w:tcW w:w="985" w:type="dxa"/>
            <w:gridSpan w:val="2"/>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Timp</w:t>
            </w:r>
          </w:p>
        </w:tc>
        <w:tc>
          <w:tcPr>
            <w:tcW w:w="5486"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sz w:val="18"/>
                <w:szCs w:val="18"/>
              </w:rPr>
              <w:t>Descrierea fiecărui jalon și a fiecărei ținte</w:t>
            </w:r>
          </w:p>
        </w:tc>
      </w:tr>
      <w:tr>
        <w:trPr>
          <w:trHeight w:val="309"/>
          <w:tblHeader/>
        </w:trPr>
        <w:tc>
          <w:tcPr>
            <w:tcW w:w="705"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45"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44"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2710"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37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704"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Unitate</w:t>
            </w:r>
          </w:p>
        </w:tc>
        <w:tc>
          <w:tcPr>
            <w:tcW w:w="704"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Scenariu de bază</w:t>
            </w:r>
          </w:p>
        </w:tc>
        <w:tc>
          <w:tcPr>
            <w:tcW w:w="844"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Obiectiv</w:t>
            </w:r>
          </w:p>
        </w:tc>
        <w:tc>
          <w:tcPr>
            <w:tcW w:w="422"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Q</w:t>
            </w:r>
          </w:p>
        </w:tc>
        <w:tc>
          <w:tcPr>
            <w:tcW w:w="563"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An</w:t>
            </w:r>
          </w:p>
        </w:tc>
        <w:tc>
          <w:tcPr>
            <w:tcW w:w="5486"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lang w:val="en-IE"/>
              </w:rPr>
            </w:pPr>
          </w:p>
        </w:tc>
      </w:tr>
      <w:tr>
        <w:trPr>
          <w:trHeight w:val="309"/>
        </w:trPr>
        <w:tc>
          <w:tcPr>
            <w:tcW w:w="70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144</w:t>
            </w:r>
          </w:p>
        </w:tc>
        <w:tc>
          <w:tcPr>
            <w:tcW w:w="84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C11.R1</w:t>
            </w:r>
          </w:p>
        </w:tc>
        <w:tc>
          <w:tcPr>
            <w:tcW w:w="84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71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unui act legislativ pentru reducerea numărului de locuri de muncă temporare în administrațiile publice</w:t>
            </w:r>
          </w:p>
        </w:tc>
        <w:tc>
          <w:tcPr>
            <w:tcW w:w="137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Dispoziție din actul legislativ care indică intrarea în vigoare a actului</w:t>
            </w:r>
          </w:p>
        </w:tc>
        <w:tc>
          <w:tcPr>
            <w:tcW w:w="704"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4"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44"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3"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48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unui act legislativ care prevede măsuri de reducere a locurilor de muncă temporare în sectorul public și dispoziții eficiente pentru prevenirea și sancționarea abuzurilor, inclusiv obligația de a publica toate cererile de proceduri de stabilizare a personalului temporar până la 31 decembrie 2022. Prezentul act legislativ se aplică administrațiilor publice de stat, regionale și locale.</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145</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C11.R1</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Intrarea în vigoare a modificărilor aduse Legii nr. 40/2015 de consolidare a cooperării interteritoriale</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Dispoziție din actul juridic care indică intrarea în vigoare a reformei</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2022</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Intrarea în vigoare a modificărilor aduse Legii nr. 40/2015 în vederea consolidării cooperării interteritoriale cu obiectivele: i) permiterea creării de conferințe multisectoriale, ii) definirea procedurilor decizionale în cadrul conferințelor sectoriale, inclusiv atunci când acestea generează acorduri de conformitate obligatorie; consolidarea Conferinței președinților prin crearea unui secretariat permanent; să prevadă pregătirea, aprobarea și publicarea obligatorie a obiectivelor de politică multianuale și a indicatorilor de rezultat, precum și mecanisme transparente de monitorizare și evaluare; și v) stabilirea interconectării și interoperabilității interadministrative digitale între platformele IT ale administrației centrale și regionale.</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146</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C11.R1</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Intrarea în vigoare a legii pentru consolidarea evaluării politicilor publice</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Dispoziție din lege care indică intrarea în vigoare a legii</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2022</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Intrarea în vigoare a Legii privind evaluarea, cu un set de acțiuni menite să consolideze politicile publice pe baza evaluării ex ante. Obiectivele sunt: consolidarea regimului actualului Institut Național de Evaluare (Instituto de Evaluación de Políticas Públicas) pentru a-i acorda independență organizațională și funcțională; punerea la dispoziția institutului a capacității și mijloacelor necesare pentru a-și exercita funcțiile; includerea principiului evaluării sistematice ex ante a politicilor; și iv) menținerea mandatului altor organisme și agenții, inclusiv al AIReF.</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147</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C11.R1</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Intrarea în vigoare a reformei Legii nr. 7/1985 privind regimurile administrative locale</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Dispoziție din legea de punere în aplicare a reformei care indică intrarea în vigoare a reformei</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2022</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Intrarea în vigoare a reformei Legii nr. 7/1985 de reglementare a regimurilor administrative locale. Aceasta are ca obiective i) accelerarea și extinderea implementării serviciilor publice locale, inclusiv prin mijloace digitale, cum ar fi aplicațiile, ii) sprijinirea orașelor mici în furnizarea de servicii publice. Reforma este însoțită de o evaluare a impactului, care include aspecte legate de sustenabilitatea fiscală.</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148</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C11.R1</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Intrarea în vigoare a Ley de Función Pública de la Administración del Estado</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xml:space="preserve">Dispoziție din legea de punere în aplicare a reformei care indică intrarea în vigoare a reformei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2022</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Intrarea în vigoare a Legii privind funcția publică a guvernului central (Ley de Función Pública de la Administración del Estado). Acestea consolidează capacitatea administrației de a atrage și de a păstra talentul necesar pentru a-și îndeplini sarcinile curente, inclusiv în domeniul informației și al telecomunicațiilor. Aceasta include următoarele elemente: revitalizarea instrumentelor de planificare, organizare și gestionare a resurselor umane; garantarea eficacității principiilor egalității, meritului și capacității de acces, precum și a transparenței și agilității proceselor de selecție; reglementarea evaluării și a performanței în conformitate cu un cadru bazat pe competențe, inclusiv pentru noile recrutări; și iv) accesul la posturile de înalți funcționari publici (și anume directori generali și subdirectori generali) pe baza meritelor și a concurenței.</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149</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C11.R1</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Statutul noului organism public de evaluare</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xml:space="preserve">Dispoziție din decretul regal care indică intrarea în vigoare a decretului regal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Q3</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Intrarea în vigoare a unui decret regal privind statutul noului organism public național de evaluare. Obiectivele prezentului decret regal sunt: (i) să furnizeze organismului public național de evaluare capacitatea și mijloacele necesare pentru a-și exercita funcțiile în ceea ce privește standardizarea metodologică pentru evaluarea ex ante a politicilor publice; (ii) efectuarea de evaluări ale politicilor publice; și (iii) includerea principiului evaluării sistematice ex ante a politicilor, cu excepțiile prevăzute în lege.</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150</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C11.R1</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Stabilizarea ocupării forței de muncă în sectorul public</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Număr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0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300 000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2024</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Finalizarea procedurilor de recrutare pentru stabilizarea ocupării forței de muncă (prin contracte pe durată nedeterminată sau prin posturi de personal statutar) care implică cel puțin 300 000 de posturi (inclusiv cele care decurg din procedurile de stabilizare din 2017 și 2018)</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151</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C11.R2</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Intrarea în vigoare a Legii nr. 3/2020 privind măsurile procedurale și organizatorice în domeniul justiției</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Dispoziție din lege care indică intrarea în vigoare a legii</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Q3</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2020</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Intrarea în vigoare a Legii nr. 3/2020 din 18 septembrie privind măsurile procedurale și organizatorice pentru gestionarea COVID-19 în domeniul administrării justiției. </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152</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C11.R2</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Intrarea în vigoare a Legii privind îmbunătățirea eficienței procedurilor judiciare</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Dispoziție din lege care indică intrarea în vigoare a legii</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2022</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Intrarea în vigoare a Legii privind îmbunătățirea eficienței procedurilor din sistemul judiciar național (Ley de Eficiencia Procesal), inclusiv prin (i) utilizarea mai intensivă a tehnologiei pentru a furniza un serviciu public eficient și de înaltă calitate; (ii) introducerea de reforme în dreptul procedural pentru a crește rapiditatea procedurilor; (iii) introducerea unor mijloace de soluționare alternativă a litigiilor; (iv) introducerea de reforme în legislația procedurală care soluționează litigiile înainte de a ajunge în instanță; (v) realizarea unei gestionări mai eficiente și a unui răspuns mai rapid la cererile cetățenilor și ale întreprinderilor; (vi) în general, realizarea unei administrații a justiției mai flexibile, mai eficiente, mai accesibile cetățenilor, mai durabile și mai transparente. </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153</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C11.R3</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Intrarea în vigoare a Decretului regal nr. 937/2020 privind reglementarea Caja General de Depósitos</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Dispoziție din decret care indică intrarea în vigoare a decretului</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2020</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Intrarea în vigoare a Decretului regal nr. 937/2020 din 27 octombrie de aprobare a Regulamentului Caja General de Depósitos privind punerea în aplicare a gestionării digitale a garanțiilor și depozitelor acordate Caja, eliminând documentația fizică. Decretul regal actualizează procedura de constituire, anulare și executare a garanțiilor și a ratelor în numerar depuse în Caja. Aceasta promovează, de asemenea, punerea în aplicare a procedurilor electronice în Caja, prin definirea normelor și a canalelor de transmitere a documentelor electronice și furnizează cadrul juridic necesar pentru digitalizarea procedurii.</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154</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C11.R3</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Intrarea în vigoare a Decretului regal de aprobare a Regulamentului de punere în aplicare a Legii nr. 22/2015 din 20 iulie privind auditul conturilor</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Dispoziție din decretul regal care indică intrarea în vigoare a decretului regal</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Q1</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2021</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Intrarea în vigoare a Decretului regal de aprobare a Regulamentului de punere în aplicare a Legii nr. 22/2015 din 20 iulie 2015 privind auditul conturilor. Această reformă are ca obiectiv asigurarea cadrului juridic pentru activitatea de audit cu un grad mai ridicat de securitate juridică, astfel încât să se asigure o calitate adecvată a activității de audit. Auditorii, societățile de audit și toate subiectele vizate de prezentul regulament beneficiază, prin urmare, de o mai mare garanție și securitate în interpretarea și aplicarea dispozițiilor incluse în Legea privind auditul, ceea ce duce, în același timp, la o mai bună performanță a auditurilor, precum și la îndeplinirea obligațiilor prevăzute în legislație.</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155</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C11.R4</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Intrarea în vigoare a Ordinului ministerial de instituire a Biroului Național de Evaluare </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xml:space="preserve">Dispoziție din ordinul ministerial care indică intrarea în vigoare a ordinului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2021</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Intrarea în vigoare a Ordinului ministerial de instituire a Oficiului Național de Evaluare (</w:t>
            </w:r>
            <w:r>
              <w:rPr>
                <w:rFonts w:ascii="Times New Roman" w:hAnsi="Times New Roman"/>
                <w:i/>
                <w:noProof/>
                <w:color w:val="000000"/>
                <w:sz w:val="18"/>
                <w:szCs w:val="18"/>
              </w:rPr>
              <w:t>Oficina Nacional de Evaluación</w:t>
            </w:r>
            <w:r>
              <w:rPr>
                <w:rFonts w:ascii="Times New Roman" w:hAnsi="Times New Roman"/>
                <w:noProof/>
                <w:color w:val="000000"/>
                <w:sz w:val="18"/>
                <w:szCs w:val="18"/>
              </w:rPr>
              <w:t>) în cadrul Oficiului Independent pentru Reglementarea și Supravegherea Achizițiilor Publice (OIReScon). În conformitate cu articolul 333 din Legea nr. 9/2017 privind achizițiile publice, acest oficiu evaluează sustenabilitatea financiară a contractelor de concesiune, astfel cum sunt definite la articolele 14 și 15 din Legea nr. 9/2017 privind achizițiile publice. Ordinul ministerial conferă oficiului capacitatea și mijloacele necesare pentru exercitarea funcțiilor sale.</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156</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C11.R4</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Strategia națională privind achizițiile publice</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Adoptarea de către Biroul independent pentru reglementarea și supravegherea achizițiilor publice a strategiei naționale în materie de achiziții publice</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2022</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În conformitate cu cerințele prevăzute la articolul 334 din Ley 9/2017, strategia națională privind achizițiile publice are ca obiectiv îmbunătățirea eficienței și sustenabilității achizițiilor publice. Strategia include următoarele elemente: (i) promovarea achizițiilor publice strategice; (ii) profesionalizarea; (iii) facilitarea accesului IMM-urilor la achizițiile publice; (iv) îmbunătățirea datelor disponibile; (v) promovarea eficienței în domeniul achizițiilor publice; (vi) Transformarea digitală completă a achizițiilor publice; (vii) sporirea securității juridice; (viii) îmbunătățirea supravegherii și controlului achizițiilor publice, inclusiv prevenirea corupției, pe baza unei hărți a riscurilor identificate. </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157</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C11.R5</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Intrarea în vigoare a Decretului-lege regal nr. 36/2020 privind punerea în aplicare a planului de redresare, transformare și reziliență</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Dispoziție din decretul regal care indică intrarea în vigoare a decretului regal</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Q1</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2021</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Intrarea în vigoare a Decretului-lege regal nr. 36/2020 din 30 decembrie de aprobare a unor măsuri urgente pentru modernizarea administrației publice și pentru punerea în aplicare a planului spaniol de redresare și reziliență, dotând administrațiile publice din Spania cu mijloacele, inclusiv instrumentele juridice, pentru a pune în aplicare planul de redresare și reziliență, în timp util și în conformitate cu dreptul UE, inclusiv cu Regulamentul privind Mecanismul de redresare și reziliență. Decretul-lege regal introduce reforme de reglementare care accelerează punerea în aplicare a proiectelor și permit o mai mare eficiență a cheltuielilor publice, menținând în permanență garanțiile și controalele impuse de cadrul de reglementare al UE.</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158</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C11.R5</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Crearea de noi organisme în cadrul administrației centrale pentru monitorizarea punerii în aplicare, a controlului și a auditului planului.</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Publicarea în JO</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Q2</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2021</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Crearea Secretarului General al Fondurilor Europene (Secretaría General de Fondos Europeos) și a unor noi divizii în cadrul Oficiului de Informatică pentru Buget (Oficina de Informática Presupuestaria) și al Oficiului Național de Audit (Oficina Nacional de Auditoría) din cadrul Inspectorului General al Administrației de Stat (Intervención General de la Administración del Estado), pentru a promova o planificare și o cultură administrativă de lungă durată bazată pe performanță prin experiența în gestionarea și controlarea dispozițiilor Regale în conformitate cu planul regal 1182/2020.</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159</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C11.R5</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Ordin de definire a procedurilor și a formatului informațiilor care urmează să fie partajate pentru monitorizarea PRP și execuția contabilă a cheltuielilor</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Dispoziție în ordinea în care se indică intrarea în vigoare a ordonanței</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Q3</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2021</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Intrarea în vigoare a ordinului care definește procedurile și formatul informațiilor care trebuie partajate pentru monitorizarea RRP și execuția contabilă a cheltuielilor</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160</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C11.I1</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Interconectarea platformelor naționale de achiziții publice</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xml:space="preserve">Administrațiile publice centrale și regionale furnizează certificate semnate care confirmă funcționalitățile platformei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Continuarea interconectării (schimbul de date) între toate platformele de achiziții publice existente (administrația centrală și regională): cel puțin 142 câmpuri de date deschise 52 date agregate pe platforma administrației centrale. </w:t>
            </w:r>
            <w:r>
              <w:rPr>
                <w:rFonts w:ascii="Times New Roman" w:hAnsi="Times New Roman"/>
                <w:noProof/>
                <w:color w:val="000000"/>
                <w:sz w:val="18"/>
                <w:szCs w:val="18"/>
              </w:rPr>
              <w:br/>
              <w:t>Numărul de câmpuri de date deschise pe platforma administrației centrale în ianuarie 2021: 119</w:t>
            </w:r>
            <w:r>
              <w:rPr>
                <w:rFonts w:ascii="Times New Roman" w:hAnsi="Times New Roman"/>
                <w:noProof/>
                <w:color w:val="000000"/>
                <w:sz w:val="18"/>
                <w:szCs w:val="18"/>
              </w:rPr>
              <w:br/>
              <w:t>Numărul de date agregate pe platforma administrației centrale în ianuarie 2021: 43</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161</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C11.I1</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Atribuirea proiectelor care sprijină transformarea digitală a administrației publice centrale</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Milioane EUR</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960</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Publicarea în JO sau pe platforma de achiziții publice a atribuirii unei sume de cel puțin 960 000 000 EUR în proiecte din următoarele domenii: </w:t>
            </w:r>
            <w:r>
              <w:rPr>
                <w:rFonts w:ascii="Times New Roman" w:hAnsi="Times New Roman"/>
                <w:noProof/>
                <w:color w:val="000000"/>
                <w:sz w:val="18"/>
                <w:szCs w:val="18"/>
              </w:rPr>
              <w:br/>
              <w:t>Transformarea digitală în ceea ce privește proactivitatea, mobilitatea, experiența utilizatorilor;</w:t>
            </w:r>
            <w:r>
              <w:rPr>
                <w:rFonts w:ascii="Times New Roman" w:hAnsi="Times New Roman"/>
                <w:noProof/>
                <w:color w:val="000000"/>
                <w:sz w:val="18"/>
                <w:szCs w:val="18"/>
              </w:rPr>
              <w:br/>
              <w:t>Transformarea digitală în ceea ce privește automatizarea și administrația publică axată pe date;</w:t>
            </w:r>
            <w:r>
              <w:rPr>
                <w:rFonts w:ascii="Times New Roman" w:hAnsi="Times New Roman"/>
                <w:noProof/>
                <w:color w:val="000000"/>
                <w:sz w:val="18"/>
                <w:szCs w:val="18"/>
              </w:rPr>
              <w:br/>
              <w:t>Transformarea digitală în ceea ce privește infrastructurile fizice, logice și software;</w:t>
            </w:r>
            <w:r>
              <w:rPr>
                <w:rFonts w:ascii="Times New Roman" w:hAnsi="Times New Roman"/>
                <w:noProof/>
                <w:color w:val="000000"/>
                <w:sz w:val="18"/>
                <w:szCs w:val="18"/>
              </w:rPr>
              <w:br/>
              <w:t>Transformarea digitală în materie de securitate cibernetică.</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162</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C11.I1</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Finalizarea proiectelor de sprijinire a transformării digitale a administrației publice centrale</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Certificate semnate de autoritatea competentă care atestă că proiectele au fost finalizate și sunt operaționale</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2025</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Finalizarea proiectelor atribuite în conformitate cu ținta #161</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163</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C11.I2</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Platforme interoperabile pentru schimbul de date privind securitatea socială și sănătatea</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Administrațiile centrale și regionale de securitate socială furnizează certificate semnate care confirmă funcționalitățile platformei</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Q3</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Administrația centrală și regiunile dispun de platforme complet interoperabile care permit schimbul de date și informații privind securitatea socială în următoarele domenii: i) asistență medicală primară, ii) spitalizări, iii) cadre medicale, prescriere/eliberare de medicamente</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164</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C11.I2</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Procedura judiciară care trebuie efectuată pe cale electronică</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70</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Cel puțin 70 % din cele 4 056 de organisme judiciare existente dispun de infrastructura necesară pentru a permite desfășurarea a cel puțin 30 % din proceduri pe cale electronică. Acest lucru presupune desfășurarea de acțiuni judiciare telematice în diferitele instanțe jurisdicționale, cu deplină securitate juridică. Pentru a îndeplini acest obiectiv, toți participanții trebuie să poată avea acces la sălile de judecată prin videoconferință. În plus, aceasta permite crearea unor săli de judecată complet virtuale, la care pot avea acces toți participanții prin videoconferință. Se creează o platformă de promptitudine pentru a stabili noi modele de relații și prelucrare față în față. Acest lucru va îmbunătăți accesul de la distanță al cetățenilor la serviciile furnizate de administrația publică.</w:t>
            </w:r>
          </w:p>
        </w:tc>
      </w:tr>
      <w:tr>
        <w:trPr>
          <w:trHeight w:val="343"/>
        </w:trPr>
        <w:tc>
          <w:tcPr>
            <w:tcW w:w="70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165</w:t>
            </w:r>
          </w:p>
        </w:tc>
        <w:tc>
          <w:tcPr>
            <w:tcW w:w="84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C11.I2</w:t>
            </w:r>
          </w:p>
        </w:tc>
        <w:tc>
          <w:tcPr>
            <w:tcW w:w="844"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271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Atribuirea de proiecte care sprijină proiectele de stimulare a digitalizării ale administrației publice centrale</w:t>
            </w:r>
          </w:p>
        </w:tc>
        <w:tc>
          <w:tcPr>
            <w:tcW w:w="137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4"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Milioane EUR</w:t>
            </w:r>
          </w:p>
        </w:tc>
        <w:tc>
          <w:tcPr>
            <w:tcW w:w="704"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844"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1 205</w:t>
            </w:r>
          </w:p>
        </w:tc>
        <w:tc>
          <w:tcPr>
            <w:tcW w:w="42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548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Publicarea în JO sau pe platforma de achiziții publice a atribuirii de proiecte care acoperă următoarele domenii:</w:t>
            </w:r>
            <w:r>
              <w:rPr>
                <w:rFonts w:ascii="Times New Roman" w:hAnsi="Times New Roman"/>
                <w:noProof/>
                <w:color w:val="000000"/>
                <w:sz w:val="18"/>
                <w:szCs w:val="18"/>
              </w:rPr>
              <w:br/>
              <w:t>Transformarea digitală în sectorul sănătății;</w:t>
            </w:r>
            <w:r>
              <w:rPr>
                <w:rFonts w:ascii="Times New Roman" w:hAnsi="Times New Roman"/>
                <w:noProof/>
                <w:color w:val="000000"/>
                <w:sz w:val="18"/>
                <w:szCs w:val="18"/>
              </w:rPr>
              <w:br/>
              <w:t>Transformarea digitală a administrației justiției;</w:t>
            </w:r>
            <w:r>
              <w:rPr>
                <w:rFonts w:ascii="Times New Roman" w:hAnsi="Times New Roman"/>
                <w:noProof/>
                <w:color w:val="000000"/>
                <w:sz w:val="18"/>
                <w:szCs w:val="18"/>
              </w:rPr>
              <w:br/>
              <w:t>- Transformarea digitală în ceea ce privește ocuparea forței de muncă;</w:t>
            </w:r>
            <w:r>
              <w:rPr>
                <w:rFonts w:ascii="Times New Roman" w:hAnsi="Times New Roman"/>
                <w:noProof/>
                <w:color w:val="000000"/>
                <w:sz w:val="18"/>
                <w:szCs w:val="18"/>
              </w:rPr>
              <w:br/>
              <w:t>Transformarea digitală în ceea ce privește incluziunea, securitatea socială și migrația;</w:t>
            </w:r>
            <w:r>
              <w:rPr>
                <w:rFonts w:ascii="Times New Roman" w:hAnsi="Times New Roman"/>
                <w:noProof/>
                <w:color w:val="000000"/>
                <w:sz w:val="18"/>
                <w:szCs w:val="18"/>
              </w:rPr>
              <w:br/>
              <w:t>- Planul de digitizare consulară;</w:t>
            </w:r>
            <w:r>
              <w:rPr>
                <w:rFonts w:ascii="Times New Roman" w:hAnsi="Times New Roman"/>
                <w:noProof/>
                <w:color w:val="000000"/>
                <w:sz w:val="18"/>
                <w:szCs w:val="18"/>
              </w:rPr>
              <w:br/>
              <w:t>Transformarea digitală în alte domenii ale administrației generale de stat.</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166</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C11.I2</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Finalizarea proiectelor care sprijină proiectele de stimulare a digitalizării ale administrației publice centrale</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Certificate semnate de autoritatea competentă care atestă că proiectele au fost finalizate și sunt operaționale</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2025</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Finalizarea proiectelor atribuite în conformitate cu ținta #165</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167</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C11.I3</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Digitalizarea entităților regionale și locale</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Ministerul Politicii Teritoriale și Funcției Publice furnizează un certificat semnat care confirmă că ținta a fost atinsă</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Comunitățile autonome și administrațiile locale au finalizat proiecte în cadrul liniilor strategice ale Strategiei digitale 2025, ale Planului de digitalizare pentru administrațiile publice și ale celorlalte acțiuni de modernizare planificate pentru sectorul public. În special: a) Fiecare comunitate autonomă a finalizat cel puțin un proiect în cadrul a cinci linii strategice (1. Administrația orientată către cetățeni, 2. Operațiuni inteligente, 3. Un guvern de date, 4. Infrastructuri digitale și/sau 5. Securitatea cibernetică); b) 60 % din procedurile digitale ale administrațiilor regionale (</w:t>
            </w:r>
            <w:r>
              <w:rPr>
                <w:rFonts w:ascii="Times New Roman" w:hAnsi="Times New Roman"/>
                <w:i/>
                <w:noProof/>
                <w:color w:val="000000"/>
                <w:sz w:val="18"/>
                <w:szCs w:val="18"/>
              </w:rPr>
              <w:t>Comunidades Autónomas</w:t>
            </w:r>
            <w:r>
              <w:rPr>
                <w:rFonts w:ascii="Times New Roman" w:hAnsi="Times New Roman"/>
                <w:noProof/>
                <w:color w:val="000000"/>
                <w:sz w:val="18"/>
                <w:szCs w:val="18"/>
              </w:rPr>
              <w:t xml:space="preserve">) permit utilizarea acestora pe dispozitive mobile (în prezent: 48 %). </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168</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C11.I3</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Atribuirea proiectelor de sprijinire a transformării digitale a administrațiilor publice regionale și locale și a Ministerului pentru Politică Teritorială și Administrație Publică</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Milioane EUR</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1 000</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Q2</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2025</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Publicarea în JO sau pe platforma de achiziții publice a atribuirii de proiecte care acoperă următoarele domenii: </w:t>
            </w:r>
            <w:r>
              <w:rPr>
                <w:rFonts w:ascii="Times New Roman" w:hAnsi="Times New Roman"/>
                <w:noProof/>
                <w:color w:val="000000"/>
                <w:sz w:val="18"/>
                <w:szCs w:val="18"/>
              </w:rPr>
              <w:br/>
              <w:t>Transformarea digitală în ceea ce privește proactivitatea, mobilitatea, experiența utilizatorilor;</w:t>
            </w:r>
            <w:r>
              <w:rPr>
                <w:rFonts w:ascii="Times New Roman" w:hAnsi="Times New Roman"/>
                <w:noProof/>
                <w:color w:val="000000"/>
                <w:sz w:val="18"/>
                <w:szCs w:val="18"/>
              </w:rPr>
              <w:br/>
              <w:t>Transformarea digitală în ceea ce privește automatizarea și administrația publică axată pe date;</w:t>
            </w:r>
            <w:r>
              <w:rPr>
                <w:rFonts w:ascii="Times New Roman" w:hAnsi="Times New Roman"/>
                <w:noProof/>
                <w:color w:val="000000"/>
                <w:sz w:val="18"/>
                <w:szCs w:val="18"/>
              </w:rPr>
              <w:br/>
              <w:t>Transformarea digitală în ceea ce privește infrastructurile fizice, logice și software;</w:t>
            </w:r>
            <w:r>
              <w:rPr>
                <w:rFonts w:ascii="Times New Roman" w:hAnsi="Times New Roman"/>
                <w:noProof/>
                <w:color w:val="000000"/>
                <w:sz w:val="18"/>
                <w:szCs w:val="18"/>
              </w:rPr>
              <w:br/>
              <w:t>Transformarea digitală în materie de securitate cibernetică.</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169</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C11.I3</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Finalizarea tuturor proiectelor de sprijinire a transformării digitale a administrațiilor publice regionale și locale și a Ministerului pentru Politică Teritorială și Administrație Publică</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Certificate semnate de autoritatea competentă care atestă că proiectele au fost finalizate și sunt operaționale</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Q2</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2026</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Finalizarea tuturor proiectelor care acoperă următoarele domenii (în conformitate cu ținta #168)</w:t>
            </w:r>
            <w:r>
              <w:rPr>
                <w:rFonts w:ascii="Times New Roman" w:hAnsi="Times New Roman"/>
                <w:noProof/>
                <w:color w:val="000000"/>
                <w:sz w:val="18"/>
                <w:szCs w:val="18"/>
              </w:rPr>
              <w:br/>
              <w:t>- Transformarea digitală în ceea ce privește proactivitatea, mobilitatea, experiența utilizatorilor</w:t>
            </w:r>
            <w:r>
              <w:rPr>
                <w:rFonts w:ascii="Times New Roman" w:hAnsi="Times New Roman"/>
                <w:noProof/>
                <w:color w:val="000000"/>
                <w:sz w:val="18"/>
                <w:szCs w:val="18"/>
              </w:rPr>
              <w:br/>
              <w:t>- Transformarea digitală în ceea ce privește automatizarea și administrația publică axată pe date</w:t>
            </w:r>
            <w:r>
              <w:rPr>
                <w:rFonts w:ascii="Times New Roman" w:hAnsi="Times New Roman"/>
                <w:noProof/>
                <w:color w:val="000000"/>
                <w:sz w:val="18"/>
                <w:szCs w:val="18"/>
              </w:rPr>
              <w:br/>
              <w:t>- Transformarea digitală în ceea ce privește infrastructurile fizice, logice și software</w:t>
            </w:r>
            <w:r>
              <w:rPr>
                <w:rFonts w:ascii="Times New Roman" w:hAnsi="Times New Roman"/>
                <w:noProof/>
                <w:color w:val="000000"/>
                <w:sz w:val="18"/>
                <w:szCs w:val="18"/>
              </w:rPr>
              <w:br/>
              <w:t>Transformarea digitală în materie de securitate cibernetică.</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170</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C11.I4</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Renovarea vehiculelor în administrația publică</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Număr</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7 000</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Q3</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2024</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7 000 vehicule cu emisii zero sau scăzute de CO</w:t>
            </w:r>
            <w:r>
              <w:rPr>
                <w:rFonts w:ascii="Times New Roman" w:hAnsi="Times New Roman"/>
                <w:noProof/>
                <w:color w:val="000000"/>
                <w:sz w:val="18"/>
                <w:szCs w:val="18"/>
                <w:vertAlign w:val="subscript"/>
              </w:rPr>
              <w:t>2</w:t>
            </w:r>
            <w:r>
              <w:rPr>
                <w:rFonts w:ascii="Times New Roman" w:hAnsi="Times New Roman"/>
                <w:noProof/>
                <w:color w:val="000000"/>
                <w:sz w:val="18"/>
                <w:szCs w:val="18"/>
              </w:rPr>
              <w:t xml:space="preserve"> (BEV, REEV, PHEV, FCEV) care înlocuiesc vehiculele pe bază de combustibili fosili utilizați în administrația publică. </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171</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C11.I4</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Renovarea energetică a clădirilor publice (140 000 m²)</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Număr (m²)</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140 000</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2024</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Cel puțin 140 000 m² de renovări de energie finalizate în clădirile publice, obținând, în medie, o reducere cu cel puțin 30 % a cererii de energie primară. </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172</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C11.I4</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Renovări energetice în clădirile publice (1 000 000 m²)</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Număr (m²)</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140 000</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1 000 000</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Q2</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2026</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Cel puțin 1 000 000 m² de renovări de energie finalizate în clădirile publice, obținând, în medie, o reducere cu cel puțin 30 % a cererii de energie primară. (valoare de referință: 31 decembrie 2024)</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173</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C11.I5</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Sistemul informatic integrat al Mecanismului de redresare și reziliență</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Raport de audit</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Q3</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2021</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Punerea în aplicare a unui sistem care să permită (a) încărcarea planului de redresare și reziliență și a informațiilor privind punerea în aplicare și monitorizarea îndeplinirii obiectivelor de etapă și a țintelor; (b) pentru pregătirea declarațiilor de gestiune și a rezumatului auditului, precum și a cererilor de plată și (c) pentru colectarea și stocarea datelor privind beneficiarii, contractanții, subcontractanții și beneficiarii reali, în conformitate cu articolul 22 din Regulamentul privind Mecanismul de redresare și reziliență. Se întocmește un raport de audit specific privind sistemul utilizat. În cazul în care raportul identifică eventuale deficiențe, raportul de audit recomandă măsuri corective.</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174</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C11.I5</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Noi instrumente și activități de comunicare</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Număr</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4</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2022</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Cel puțin 2 manageri comunitari angajați pentru a spori prezența pe platformele de comunicare socială, sporind numărul potențialilor participanți și beneficiari ai planului pentru a se informa cu privire la posibilitățile oferite de plan; și 2 site-uri web sunt operaționale pentru a contribui la maximizarea absorbției resurselor.</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175</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C11.I5</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Formarea personalului din administrația publică </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Număr</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3 150</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Q3</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2026</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Cel puțin 3 150 de angajați ai administrației publice au fost instruiți în domenii legate de punerea în aplicare, controlul și auditul planului de redresare și reziliență (RRP). </w:t>
            </w:r>
          </w:p>
        </w:tc>
      </w:tr>
    </w:tbl>
    <w:p>
      <w:pPr>
        <w:spacing w:before="120" w:after="120" w:line="240" w:lineRule="auto"/>
        <w:ind w:left="709"/>
        <w:jc w:val="both"/>
        <w:rPr>
          <w:rFonts w:ascii="Times New Roman" w:hAnsi="Times New Roman" w:cs="Times New Roman"/>
          <w:noProof/>
          <w:sz w:val="24"/>
          <w:lang w:val="fr-BE"/>
        </w:rPr>
        <w:sectPr>
          <w:headerReference w:type="even" r:id="rId145"/>
          <w:headerReference w:type="default" r:id="rId146"/>
          <w:footerReference w:type="even" r:id="rId147"/>
          <w:footerReference w:type="default" r:id="rId148"/>
          <w:headerReference w:type="first" r:id="rId149"/>
          <w:footerReference w:type="first" r:id="rId150"/>
          <w:pgSz w:w="16839" w:h="11907" w:orient="landscape"/>
          <w:pgMar w:top="1417" w:right="1134" w:bottom="1417" w:left="1134" w:header="709" w:footer="709" w:gutter="0"/>
          <w:cols w:space="720"/>
          <w:docGrid w:linePitch="360"/>
        </w:sectPr>
      </w:pPr>
    </w:p>
    <w:p>
      <w:pPr>
        <w:pStyle w:val="Heading1"/>
        <w:rPr>
          <w:noProof/>
        </w:rPr>
      </w:pPr>
      <w:r>
        <w:rPr>
          <w:noProof/>
        </w:rPr>
        <w:t>L. COMPONENTA 12: Politica industrială</w:t>
      </w:r>
    </w:p>
    <w:p>
      <w:pPr>
        <w:spacing w:before="120" w:after="120" w:line="240" w:lineRule="auto"/>
        <w:jc w:val="both"/>
        <w:rPr>
          <w:rFonts w:ascii="Times New Roman" w:hAnsi="Times New Roman" w:cs="Times New Roman"/>
          <w:noProof/>
          <w:sz w:val="24"/>
        </w:rPr>
      </w:pPr>
      <w:r>
        <w:rPr>
          <w:rFonts w:ascii="Times New Roman" w:hAnsi="Times New Roman"/>
          <w:noProof/>
          <w:sz w:val="24"/>
        </w:rPr>
        <w:t>Obiectivul componentei 12 a planului spaniol de redresare și reziliență este de a stimula modernizarea și productivitatea ecosistemului spaniol al serviciilor industriale printr-o adoptare mai rapidă a tranziției digitale și verzi.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Această componentă a planului spaniol de redresare și reziliență contribuie la abordarea recomandării specifice țării 3 din 2019 privind promovarea investițiilor în inovare și, respectiv, în eficiența energetică. Acesta este, de asemenea, aliniat la recomandările specifice fiecărei țări 3 din 2020 (prin promovarea investițiilor publice și private și prin promovarea tranziției verzi). Componenta contribuie, de asemenea, la abordarea Recomandării specifice fiecărei țări 2 2019 privind promovarea cooperării dintre întreprinderi și educație în vederea furnizării de competențe relevante pentru piața muncii, precum și a recomandării specifice fiecărei țări 1 2020 privind consolidarea rezilienței sistemului de sănătate.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Obiectivul măsurii este, de asemenea, de a facilita participarea întreprinderilor spaniole la proiecte importante de interes european comun (PIIEC) planificate.</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themeColor="text1"/>
          <w:sz w:val="24"/>
          <w:szCs w:val="24"/>
        </w:rPr>
        <w:t>Se preconizează că nicio măsură din cadrul acestei componente nu aduce prejudicii semnificative obiectivelor de mediu în sensul articolului 17 din Regulamentul (UE) 2020/852, ținând seama de descrierea măsurilor și a măsurilor de atenuare stabilite în planul de redresare și reziliență în conformitate cu Orientările tehnice DNSH (2021/C58/01).</w:t>
      </w:r>
    </w:p>
    <w:p>
      <w:pPr>
        <w:spacing w:before="120" w:after="120" w:line="240" w:lineRule="auto"/>
        <w:jc w:val="both"/>
        <w:rPr>
          <w:rFonts w:ascii="Times New Roman" w:hAnsi="Times New Roman" w:cs="Times New Roman"/>
          <w:b/>
          <w:i/>
          <w:noProof/>
          <w:color w:val="4F81BD" w:themeColor="accent1"/>
          <w:sz w:val="24"/>
        </w:rPr>
      </w:pPr>
      <w:r>
        <w:rPr>
          <w:rFonts w:ascii="Times New Roman" w:hAnsi="Times New Roman"/>
          <w:b/>
          <w:bCs/>
          <w:noProof/>
          <w:sz w:val="24"/>
          <w:u w:val="single"/>
        </w:rPr>
        <w:t xml:space="preserve">L.1. </w:t>
      </w:r>
      <w:r>
        <w:rPr>
          <w:rFonts w:ascii="Times New Roman" w:hAnsi="Times New Roman"/>
          <w:b/>
          <w:noProof/>
          <w:sz w:val="24"/>
          <w:u w:val="single"/>
        </w:rPr>
        <w:tab/>
      </w:r>
      <w:r>
        <w:rPr>
          <w:rFonts w:ascii="Times New Roman" w:hAnsi="Times New Roman"/>
          <w:b/>
          <w:bCs/>
          <w:noProof/>
          <w:sz w:val="24"/>
          <w:u w:val="single"/>
        </w:rPr>
        <w:t>Descrierea reformelor și a investițiilor pentru care se prevede acordarea sprijinului financiar nerambursabil</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Reforma 1 (C12.R1) - Strategia spaniolă de stimulare a industriei 2030</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Obiectivul strategiei spaniole de a stimula industria 2030 este de a adapta cadrul de reglementare pentru a ajuta industria să facă față provocărilor reprezentate de servicializare, digitalizare, durabilitatea mediului și economia circulară. Strategia include, în special, o reformă a Legii privind industria, care datează din 1992. Obiectivul măsurii este de a îmbunătăți mecanismele de coordonare între diferitele niveluri de guvernare în politica industrială și de a îmbunătăți calitatea și siguranța industrială printr-un sistem consolidat de supraveghere a pieței, în conformitate cu Regulamentul (UE) 2019/1020 al Parlamentului European și al Consiliului din 20 iunie 2019 privind supravegherea pieței și conformitatea produselor și de modificare a Directiva 2004/42/CE și a Regulamentelor (CE) nr. 765/2008 și (UE) nr. 305/2011</w:t>
      </w:r>
      <w:r>
        <w:rPr>
          <w:rStyle w:val="FootnoteReference"/>
          <w:rFonts w:ascii="Times New Roman" w:hAnsi="Times New Roman" w:cs="Times New Roman"/>
          <w:noProof/>
          <w:sz w:val="24"/>
          <w:szCs w:val="24"/>
          <w:lang w:val="en-IE"/>
        </w:rPr>
        <w:footnoteReference w:id="16"/>
      </w:r>
      <w:r>
        <w:rPr>
          <w:rFonts w:ascii="Times New Roman" w:hAnsi="Times New Roman"/>
          <w:noProof/>
          <w:sz w:val="24"/>
          <w:szCs w:val="24"/>
        </w:rPr>
        <w:t>. În cele din urmă, definiția încălcărilor în politica industrială este revizuită, iar nivelul sancțiunilor care pot fi aplicate este actualizat.</w:t>
      </w:r>
    </w:p>
    <w:p>
      <w:pPr>
        <w:spacing w:before="120" w:after="120" w:line="240" w:lineRule="auto"/>
        <w:jc w:val="both"/>
        <w:rPr>
          <w:rFonts w:ascii="Times New Roman" w:hAnsi="Times New Roman" w:cs="Times New Roman"/>
          <w:noProof/>
          <w:sz w:val="24"/>
        </w:rPr>
      </w:pPr>
      <w:r>
        <w:rPr>
          <w:rFonts w:ascii="Times New Roman" w:hAnsi="Times New Roman"/>
          <w:bCs/>
          <w:noProof/>
          <w:sz w:val="24"/>
        </w:rPr>
        <w:t>Punerea în aplicare a măsurii se finalizează până la 31 decembrie 2023.</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Reforma 2 (C12.R2) - Politica privind deșeurile și stimularea economiei circulare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Obiectivul măsurii este de a promova modele de producție și consum care să mențină produsele, materialele și resursele naturale în economie cât mai mult timp posibil. Scopul este de a reduce la minimum generarea de deșeuri, iar deșeurile care nu pot fi evitate sunt exploatate pe deplin. Această reformă include aprobarea, în iunie 2020, a unei strategii spaniole pentru economia circulară, în conformitate cu planurile de acțiune ale UE privind economia circulară.</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Măsura include, de asemenea, un pachet de acte privind economia circulară pentru a reglementa transferul și eliminarea deșeurilor și pentru a gestiona anvelopele scoase din uz, precum și măsuri privind vehiculele scoase din uz. În acest scop, au fost aprobate Decretele regale 553/2020, din 2 iunie 2020, 646/2020 din 7 iulie 2020 și 731/2020 din 4 august 2020, precum și Decretele Regale 27/2021 din 19 ianuarie și 265/2021 din 13 aprilie. În plus, reforma include aprobarea măsurilor de reglementare privind ambalajele și deșeurile de ambalaje de către Consiliul de Miniștri în cursul anului 2022.</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În cele din urmă, măsura include intrarea în vigoare a unei noi legi privind deșeurile și solul contaminat până la 31 decembrie 2022. Legea cuprinde: </w:t>
      </w:r>
    </w:p>
    <w:p>
      <w:pPr>
        <w:numPr>
          <w:ilvl w:val="0"/>
          <w:numId w:val="66"/>
        </w:numPr>
        <w:spacing w:before="120" w:after="120" w:line="240" w:lineRule="auto"/>
        <w:jc w:val="both"/>
        <w:rPr>
          <w:rFonts w:ascii="Times New Roman" w:hAnsi="Times New Roman" w:cs="Times New Roman"/>
          <w:noProof/>
          <w:sz w:val="24"/>
        </w:rPr>
      </w:pPr>
      <w:r>
        <w:rPr>
          <w:rFonts w:ascii="Times New Roman" w:hAnsi="Times New Roman"/>
          <w:noProof/>
          <w:sz w:val="24"/>
        </w:rPr>
        <w:t xml:space="preserve">Punerea în aplicare a Directivei-cadru privind deșeurile și a Directivei privind materialele plastice de unică folosință, precum și adaptarea reglementărilor spaniole în lumina experienței ultimilor zece ani; </w:t>
      </w:r>
    </w:p>
    <w:p>
      <w:pPr>
        <w:numPr>
          <w:ilvl w:val="0"/>
          <w:numId w:val="66"/>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Introducerea obiectivelor UE privind deșeurile și a obligațiilor privind colectarea separată care decurg din reglementările UE, anticipând punerea lor în aplicare în deșeurile biologice în municipalitățile cu peste 5 000 de locuitori. În plus, măsura introduce obligații de colectare separată care depășesc cerințele stabilite de dreptul Uniunii;</w:t>
      </w:r>
    </w:p>
    <w:p>
      <w:pPr>
        <w:numPr>
          <w:ilvl w:val="0"/>
          <w:numId w:val="66"/>
        </w:numPr>
        <w:spacing w:before="120" w:after="120" w:line="240" w:lineRule="auto"/>
        <w:jc w:val="both"/>
        <w:rPr>
          <w:rFonts w:ascii="Times New Roman" w:hAnsi="Times New Roman" w:cs="Times New Roman"/>
          <w:noProof/>
          <w:sz w:val="24"/>
        </w:rPr>
      </w:pPr>
      <w:r>
        <w:rPr>
          <w:rFonts w:ascii="Times New Roman" w:hAnsi="Times New Roman"/>
          <w:noProof/>
          <w:sz w:val="24"/>
        </w:rPr>
        <w:t>Revizuirea regulamentului privind răspunderea extinsă a producătorilor, prin instituirea unui nou cadru de reglementare (impus de reglementările UE și de cele suplimentare); și</w:t>
      </w:r>
    </w:p>
    <w:p>
      <w:pPr>
        <w:numPr>
          <w:ilvl w:val="0"/>
          <w:numId w:val="66"/>
        </w:numPr>
        <w:spacing w:before="120" w:after="120" w:line="240" w:lineRule="auto"/>
        <w:jc w:val="both"/>
        <w:rPr>
          <w:rFonts w:ascii="Times New Roman" w:hAnsi="Times New Roman" w:cs="Times New Roman"/>
          <w:noProof/>
          <w:sz w:val="24"/>
        </w:rPr>
      </w:pPr>
      <w:r>
        <w:rPr>
          <w:rFonts w:ascii="Times New Roman" w:hAnsi="Times New Roman"/>
          <w:noProof/>
          <w:sz w:val="24"/>
        </w:rPr>
        <w:t>Introducerea unei taxe de stat pentru deșeuri (inclusiv pentru depozitarea, incinerarea și coincinerarea deșeurilor și pentru recipientele din plastic de unică folosință).</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Punerea în aplicare a măsurii se finalizează până la 31 decembrie 2022.</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 xml:space="preserve">Investiția (C12.I1) - Spații sectoriale de date pentru digitalizarea sectoarelor de producție strategice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Obiectivul acestei măsuri este de a crea spații de date sigure și extinse în sectoarele industriale strategice, cum ar fi sectorul agroalimentar, mobilitatea durabilă, sănătatea și sectorul comercial. Inovarea, eficiența și economiile de scară sunt încurajate prin dezvoltarea unor componente comune (elemente constitutive) și prin partajarea de infrastructuri și date comune (platforme de tip cloud, supercalcul și rețele de stocare, analiza volumelor mari de date și inteligența artificială). </w:t>
      </w:r>
    </w:p>
    <w:p>
      <w:pPr>
        <w:spacing w:before="120" w:after="120" w:line="240" w:lineRule="auto"/>
        <w:jc w:val="both"/>
        <w:rPr>
          <w:rFonts w:ascii="Times New Roman" w:hAnsi="Times New Roman" w:cs="Times New Roman"/>
          <w:noProof/>
          <w:sz w:val="24"/>
        </w:rPr>
      </w:pPr>
      <w:r>
        <w:rPr>
          <w:rFonts w:ascii="Times New Roman" w:hAnsi="Times New Roman"/>
          <w:bCs/>
          <w:noProof/>
          <w:sz w:val="24"/>
        </w:rPr>
        <w:t>Structurile de guvernanță sunt consolidate pentru a articula cooperarea dintre sectorul public și cel privat în dezvoltarea spațiilor de date. În plus, se definesc mecanisme de asigurare a interoperabilității și se elaborează norme și mecanisme adecvate pentru a promova schimbul de date între întreprinderi. Investiția va fi realizată în conformitate cu Comunicarea Comisiei Europene intitulată „O strategie europeană privind datele”</w:t>
      </w:r>
      <w:r>
        <w:rPr>
          <w:rStyle w:val="FootnoteReference"/>
          <w:rFonts w:ascii="Times New Roman" w:hAnsi="Times New Roman" w:cs="Times New Roman"/>
          <w:bCs/>
          <w:noProof/>
          <w:sz w:val="24"/>
          <w:lang w:val="en-IE"/>
        </w:rPr>
        <w:footnoteReference w:id="17"/>
      </w:r>
      <w:r>
        <w:rPr>
          <w:rFonts w:ascii="Times New Roman" w:hAnsi="Times New Roman"/>
          <w:bCs/>
          <w:noProof/>
          <w:sz w:val="24"/>
        </w:rPr>
        <w:t xml:space="preserve"> și cu acțiunile prevăzute în aceasta, în special cu viitorul Act privind datele și Regulamentul privind guvernanța</w:t>
      </w:r>
      <w:r>
        <w:rPr>
          <w:rStyle w:val="FootnoteReference"/>
          <w:rFonts w:ascii="Times New Roman" w:hAnsi="Times New Roman" w:cs="Times New Roman"/>
          <w:bCs/>
          <w:noProof/>
          <w:sz w:val="24"/>
          <w:lang w:val="en-IE"/>
        </w:rPr>
        <w:footnoteReference w:id="18"/>
      </w:r>
      <w:r>
        <w:rPr>
          <w:rFonts w:ascii="Times New Roman" w:hAnsi="Times New Roman"/>
          <w:bCs/>
          <w:noProof/>
          <w:sz w:val="24"/>
        </w:rPr>
        <w:t>, precum și cu Federația UE în domeniul cloud computingului. Sinergiile asigură complementaritatea cu programul Europa digitală</w:t>
      </w:r>
      <w:r>
        <w:rPr>
          <w:rStyle w:val="FootnoteReference"/>
          <w:rFonts w:ascii="Times New Roman" w:hAnsi="Times New Roman" w:cs="Times New Roman"/>
          <w:bCs/>
          <w:noProof/>
          <w:sz w:val="24"/>
          <w:lang w:val="en-IE"/>
        </w:rPr>
        <w:footnoteReference w:id="19"/>
      </w:r>
      <w:r>
        <w:rPr>
          <w:rFonts w:ascii="Times New Roman" w:hAnsi="Times New Roman"/>
          <w:bCs/>
          <w:noProof/>
          <w:sz w:val="24"/>
        </w:rPr>
        <w:t>. Investiția va fi, de asemenea, aliniată la principalele referințe și standarde, cum ar fi cele promovate de Asociația Spațiilor Internaționale de Date (IDS).</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rPr>
        <w:t>Până la 31 decembrie 2023, sunt prevăzute cel puțin patru spații de date sectoriale și interoperabile de mare valoare, în sectorul agroalimentar, în sectorul mobilității durabile, în sectorul sănătății și în sectorul comercial.</w:t>
      </w:r>
      <w:r>
        <w:rPr>
          <w:rFonts w:ascii="Times New Roman" w:hAnsi="Times New Roman"/>
          <w:noProof/>
          <w:sz w:val="24"/>
          <w:u w:val="single"/>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Punerea în aplicare a investiției se finalizează până la 30 iunie 2026. </w:t>
      </w:r>
    </w:p>
    <w:p>
      <w:pPr>
        <w:keepNext/>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 xml:space="preserve">Investiția 2 (C12.I2) - Program de stimulare a competitivității și a sustenabilității industriale </w:t>
      </w:r>
    </w:p>
    <w:p>
      <w:pPr>
        <w:keepNext/>
        <w:spacing w:before="120" w:after="120" w:line="240" w:lineRule="auto"/>
        <w:jc w:val="both"/>
        <w:rPr>
          <w:rFonts w:ascii="Times New Roman" w:hAnsi="Times New Roman" w:cs="Times New Roman"/>
          <w:noProof/>
          <w:sz w:val="24"/>
        </w:rPr>
      </w:pPr>
      <w:r>
        <w:rPr>
          <w:rFonts w:ascii="Times New Roman" w:hAnsi="Times New Roman"/>
          <w:noProof/>
          <w:sz w:val="24"/>
        </w:rPr>
        <w:t xml:space="preserve">Obiectivul acestei măsuri este de a promova transformarea sectoarelor strategice care sunt esențiale pentru tranziția industrială a Spaniei, cum ar fi autovehiculele și vehiculele electrice, sectorul agroalimentar, sectorul sănătății, sectorul aeronautic și naval, sectoarele industriale legate de energia din surse regenerabile și capacitățile de proiectare și producție a procesoarelor și a tehnologiilor semiconductoare. Cel puțin trei proiecte strategice majore care pot fi sprijinite în cadrul acestei acțiuni (așa-numitele „PERTE”) cuprind întregul lanț valoric din sectorul relevant și includ sprijin pentru IMM-uri. </w:t>
      </w:r>
    </w:p>
    <w:p>
      <w:pPr>
        <w:spacing w:before="120" w:after="120" w:line="240" w:lineRule="auto"/>
        <w:jc w:val="both"/>
        <w:rPr>
          <w:rFonts w:ascii="Times New Roman" w:hAnsi="Times New Roman" w:cs="Times New Roman"/>
          <w:noProof/>
          <w:sz w:val="24"/>
        </w:rPr>
      </w:pPr>
      <w:r>
        <w:rPr>
          <w:rFonts w:ascii="Times New Roman" w:hAnsi="Times New Roman"/>
          <w:noProof/>
          <w:sz w:val="24"/>
        </w:rPr>
        <w:t>Această măsură finanțează, de asemenea, proiecte la scară mai mică, cum ar fi simularea industrială, materialele avansate, realitatea virtuală și robotica colaborativă și cognitivă. Măsura sprijină în continuare infrastructurile industriale durabile, cum ar fi parcurile industriale sau zonele logistice. Ca parte a acestui element al măsurii, planul spaniol de redresare și reziliență va finanța cel puțin 78 de proiecte inovatoare care implică o transformare industrială substanțială în ceea ce privește eficiența energetică, sustenabilitatea și transformarea digitală.</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După aprobarea unui anumit aspect de către Consiliul de Miniștri, ministerul competent lansează o cerere de propuneri cu scopul de a primi propuneri specifice care urmează să fie elaborate în cadrul subiectului aprobat. Punerea în aplicare a măsurilor de sprijin care pot constitui ajutor de stat în conformitate cu articolul 107 din TFUE și care pot necesita notificarea prealabilă a Comisiei nu are loc înainte ca Spania să obțină aprobarea ajutorului de stat din partea Comisiei. </w:t>
      </w:r>
    </w:p>
    <w:p>
      <w:pPr>
        <w:pStyle w:val="Text1"/>
        <w:ind w:left="0"/>
        <w:rPr>
          <w:noProof/>
        </w:rPr>
      </w:pPr>
      <w:r>
        <w:rPr>
          <w:noProof/>
        </w:rPr>
        <w:t>Decizia Consiliului de Miniștri de aprobare a pernei conține criterii detaliate de selecție pentru a asigura conformitatea cu Orientările tehnice privind principiul „de a nu prejudicia în mod semnificativ”(2021/C58/01). Pentru a se asigura că măsura respectă Orientările tehnice „Fără prejudicii semnificative” (2021/C58/01), criteriile de eligibilitate cuprinse în termeni de referință pentru viitoarele cereri de propuneri de proiecte exclud următoarea listă de activități:</w:t>
      </w:r>
      <w:r>
        <w:rPr>
          <w:noProof/>
          <w:color w:val="FF0000"/>
        </w:rPr>
        <w:t xml:space="preserve"> </w:t>
      </w:r>
      <w:r>
        <w:rPr>
          <w:noProof/>
        </w:rPr>
        <w:t>(i) activități legate de combustibilii fosili, inclusiv utilizarea în aval</w:t>
      </w:r>
      <w:r>
        <w:rPr>
          <w:rStyle w:val="FootnoteReference"/>
          <w:noProof/>
          <w:lang w:val="en-IE"/>
        </w:rPr>
        <w:footnoteReference w:id="20"/>
      </w:r>
      <w:r>
        <w:rPr>
          <w:noProof/>
        </w:rPr>
        <w:t>; (ii) activitățile din cadrul schemei UE de comercializare a certificatelor de emisii (ETS) care ating previziuni privind emisiile de gaze cu efect de seră care nu sunt mai mici decât valorile de referință relevante</w:t>
      </w:r>
      <w:r>
        <w:rPr>
          <w:rStyle w:val="FootnoteReference"/>
          <w:noProof/>
          <w:lang w:val="en-IE"/>
        </w:rPr>
        <w:footnoteReference w:id="21"/>
      </w:r>
      <w:r>
        <w:rPr>
          <w:noProof/>
        </w:rPr>
        <w:t>; (iii) compensarea costurilor indirecte ETS; (iv) activități legate de depozitele de deșeuri, incineratoare</w:t>
      </w:r>
      <w:r>
        <w:rPr>
          <w:rStyle w:val="FootnoteReference"/>
          <w:noProof/>
          <w:lang w:val="en-IE"/>
        </w:rPr>
        <w:footnoteReference w:id="22"/>
      </w:r>
      <w:r>
        <w:rPr>
          <w:noProof/>
        </w:rPr>
        <w:t xml:space="preserve"> și stații de tratare mecano-biologică</w:t>
      </w:r>
      <w:r>
        <w:rPr>
          <w:rStyle w:val="FootnoteReference"/>
          <w:noProof/>
          <w:lang w:val="en-IE"/>
        </w:rPr>
        <w:footnoteReference w:id="23"/>
      </w:r>
      <w:r>
        <w:rPr>
          <w:noProof/>
        </w:rPr>
        <w:t xml:space="preserve">; și (v) activități în cadrul cărora eliminarea pe termen lung a deșeurilor poate dăuna mediului. În plus, mandatul impune ca numai activitățile care respectă legislația UE și națională relevantă în materie de mediu să poată fi selectate. </w:t>
      </w:r>
    </w:p>
    <w:p>
      <w:pPr>
        <w:pStyle w:val="Text1"/>
        <w:ind w:left="0"/>
        <w:rPr>
          <w:iCs/>
          <w:noProof/>
          <w:highlight w:val="green"/>
        </w:rPr>
      </w:pPr>
      <w:r>
        <w:rPr>
          <w:noProof/>
        </w:rPr>
        <w:t>Următoarele acțiuni C &amp; D &amp; I din cadrul acestei investiții sunt considerate conforme cu Orientările tehnice privind principiul de „a nu prejudicia în mod semnificativ” (2021/C58/01): C &amp; D &amp; I acțiunile din cadrul acestei investiții dedicate creșterii substanțiale a sustenabilității de mediu a întreprinderilor (cum ar fi decarbonizarea, reducerea poluării și economia circulară) dacă acțiunile C &amp; D &amp; I din cadrul acestei investiții se axează în principal pe dezvoltarea sau adaptarea alternativelor cu cel mai redus impact posibil asupra mediului în acest sector.</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Criteriile de selecție asigură faptul că cel puțin 455 000 000 EUR contribuie la obiectivele legate de schimbările climatice cu un coeficient climatic de 100 %, și cel puțin 1 500 000 000 EUR cu un coeficient climatic de 40 %, în conformitate cu anexa VI la Regulamentul (UE) 2021/241 al Parlamentului European și al Consiliului din 12 februarie 2021 de instituire a Mecanismului de redresare și reziliență[</w:t>
      </w:r>
      <w:r>
        <w:rPr>
          <w:rStyle w:val="FootnoteReference"/>
          <w:rFonts w:ascii="Times New Roman" w:hAnsi="Times New Roman" w:cs="Times New Roman"/>
          <w:noProof/>
          <w:sz w:val="24"/>
          <w:szCs w:val="24"/>
          <w:lang w:val="en-IE"/>
        </w:rPr>
        <w:footnoteReference w:id="24"/>
      </w:r>
      <w:r>
        <w:rPr>
          <w:rFonts w:ascii="Times New Roman" w:hAnsi="Times New Roman"/>
          <w:noProof/>
          <w:sz w:val="24"/>
          <w:szCs w:val="24"/>
        </w:rPr>
        <w:t>]. Alternativ, dacă este bine justificat prin furnizarea unei explicații cu privire la motivele pentru care este posibil ca abordarea alternativă să nu fie fezabilă, criteriile de selecție garantează că cel puțin 2 531 500 000 EUR contribuie la obiectivele legate de schimbările climatice, cu un coeficient climatic mediu de cel puțin 40 %, în conformitate cu anexa VI la Regulamentul (UE) 2021/241.</w:t>
      </w:r>
    </w:p>
    <w:p>
      <w:pPr>
        <w:spacing w:before="120" w:after="120" w:line="240" w:lineRule="auto"/>
        <w:jc w:val="both"/>
        <w:rPr>
          <w:rFonts w:ascii="Times New Roman" w:hAnsi="Times New Roman" w:cs="Times New Roman"/>
          <w:bCs/>
          <w:noProof/>
          <w:sz w:val="24"/>
        </w:rPr>
      </w:pPr>
      <w:r>
        <w:rPr>
          <w:rFonts w:ascii="Times New Roman" w:hAnsi="Times New Roman"/>
          <w:noProof/>
          <w:sz w:val="24"/>
        </w:rPr>
        <w:t xml:space="preserve">Punerea în aplicare a investiției se finalizează până la 30 iunie 2026. </w:t>
      </w:r>
    </w:p>
    <w:p>
      <w:pPr>
        <w:keepNext/>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Investiția 3 (C12.I3) - Plan de sprijinire a punerii în aplicare a legislației privind deșeurile și de promovare a economiei circulare</w:t>
      </w:r>
    </w:p>
    <w:p>
      <w:pPr>
        <w:keepNext/>
        <w:spacing w:before="120" w:after="120" w:line="240" w:lineRule="auto"/>
        <w:jc w:val="both"/>
        <w:rPr>
          <w:rFonts w:ascii="Times New Roman" w:hAnsi="Times New Roman" w:cs="Times New Roman"/>
          <w:noProof/>
          <w:sz w:val="24"/>
        </w:rPr>
      </w:pPr>
      <w:r>
        <w:rPr>
          <w:rFonts w:ascii="Times New Roman" w:hAnsi="Times New Roman"/>
          <w:noProof/>
          <w:sz w:val="24"/>
        </w:rPr>
        <w:t xml:space="preserve">Obiectivul acestei măsuri este de a contribui la promovarea economiei circulare în Spania, prin finanțarea de proiecte menite să pună în aplicare cadrul național de reglementare a deșeurilor și să atingă obiectivele UE în domeniul deșeurilor, precum și proiecte inovatoare de economie circulară în sectorul privat pentru a facilita tranziția către economia circulară.  </w:t>
      </w:r>
    </w:p>
    <w:p>
      <w:pPr>
        <w:spacing w:before="120" w:after="120" w:line="240" w:lineRule="auto"/>
        <w:jc w:val="both"/>
        <w:rPr>
          <w:rFonts w:ascii="Times New Roman" w:hAnsi="Times New Roman" w:cs="Times New Roman"/>
          <w:noProof/>
          <w:sz w:val="24"/>
        </w:rPr>
      </w:pPr>
      <w:r>
        <w:rPr>
          <w:rFonts w:ascii="Times New Roman" w:hAnsi="Times New Roman"/>
          <w:noProof/>
          <w:sz w:val="24"/>
        </w:rPr>
        <w:t>Măsura sprijină modernizarea sistemelor existente de colectare separată a deșeurilor, acțiunile întreprinse în cadrul acestei investiții în punctele de colectare pentru a îmbunătăți reciclarea, construirea de noi stații de tratare a deșeurilor și creșterea eficienței resurselor în stațiile de tratare mecano-biologică existente, fără a le crește durata de viață sau capacitatea, care trebuie verificate la nivel de instalație. Obiectivul măsurii acoperă, de asemenea, soluțiile digitale în domeniu și promovarea economiei circulare la nivel de întreprindere. Obiectivul propus este finalizarea a cel puțin 30 dintre proiectele planificate. Măsura trebuie să atingă un procent minim de 30 % din deșeurile municipale colectate separat ca procent din totalul deșeurilor municipale generate în 2024 (datele din 2024 trebuie să fie disponibile în 2026), în conformitate cu Directiva 2008/98/CE.</w:t>
      </w:r>
    </w:p>
    <w:p>
      <w:pPr>
        <w:pStyle w:val="Text1"/>
        <w:ind w:left="0"/>
        <w:rPr>
          <w:iCs/>
          <w:noProof/>
          <w:highlight w:val="green"/>
        </w:rPr>
      </w:pPr>
      <w:r>
        <w:rPr>
          <w:noProof/>
        </w:rPr>
        <w:t>Pentru a se asigura că măsura respectă Orientările tehnice „Fără prejudicii semnificative” (2021/C58/01), criteriile de eligibilitate cuprinse în termeni de referință pentru viitoarele cereri de propuneri de proiecte exclud următoarea listă de activități:</w:t>
      </w:r>
      <w:r>
        <w:rPr>
          <w:noProof/>
          <w:color w:val="FF0000"/>
        </w:rPr>
        <w:t xml:space="preserve"> </w:t>
      </w:r>
      <w:r>
        <w:rPr>
          <w:noProof/>
        </w:rPr>
        <w:t>(i) activități legate de combustibilii fosili, inclusiv utilizarea în aval</w:t>
      </w:r>
      <w:r>
        <w:rPr>
          <w:rStyle w:val="FootnoteReference"/>
          <w:noProof/>
          <w:lang w:val="en-IE"/>
        </w:rPr>
        <w:footnoteReference w:id="25"/>
      </w:r>
      <w:r>
        <w:rPr>
          <w:noProof/>
        </w:rPr>
        <w:t>; (ii) activitățile din cadrul schemei UE de comercializare a certificatelor de emisii (ETS) care ating previziuni privind emisiile de gaze cu efect de seră care nu sunt mai mici decât valorile de referință relevante</w:t>
      </w:r>
      <w:r>
        <w:rPr>
          <w:rStyle w:val="FootnoteReference"/>
          <w:noProof/>
          <w:lang w:val="en-IE"/>
        </w:rPr>
        <w:footnoteReference w:id="26"/>
      </w:r>
      <w:r>
        <w:rPr>
          <w:noProof/>
        </w:rPr>
        <w:t>; (iii) activități legate de depozitele de deșeuri, incineratoare</w:t>
      </w:r>
      <w:r>
        <w:rPr>
          <w:rStyle w:val="FootnoteReference"/>
          <w:noProof/>
          <w:lang w:val="en-IE"/>
        </w:rPr>
        <w:footnoteReference w:id="27"/>
      </w:r>
      <w:r>
        <w:rPr>
          <w:noProof/>
        </w:rPr>
        <w:t xml:space="preserve"> și instalații de tratare mecano-biologică</w:t>
      </w:r>
      <w:r>
        <w:rPr>
          <w:rStyle w:val="FootnoteReference"/>
          <w:noProof/>
          <w:lang w:val="en-IE"/>
        </w:rPr>
        <w:footnoteReference w:id="28"/>
      </w:r>
      <w:r>
        <w:rPr>
          <w:noProof/>
        </w:rPr>
        <w:t>; și (iv) activități în cadrul cărora eliminarea pe termen lung a deșeurilor poate dăuna mediului. În plus, mandatul impune ca numai activitățile care respectă legislația UE și națională relevantă în materie de mediu să poată fi selectate.</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Punerea în aplicare a investiției va fi finalizată până la 30 iunie 2026. </w:t>
      </w:r>
    </w:p>
    <w:p>
      <w:pPr>
        <w:spacing w:before="120" w:after="120" w:line="240" w:lineRule="auto"/>
        <w:ind w:left="709"/>
        <w:jc w:val="both"/>
        <w:rPr>
          <w:rFonts w:ascii="Times New Roman" w:hAnsi="Times New Roman" w:cs="Times New Roman"/>
          <w:b/>
          <w:bCs/>
          <w:noProof/>
          <w:sz w:val="24"/>
          <w:u w:val="single"/>
        </w:rPr>
      </w:pPr>
      <w:r>
        <w:rPr>
          <w:rFonts w:ascii="Times New Roman" w:hAnsi="Times New Roman"/>
          <w:b/>
          <w:noProof/>
          <w:sz w:val="24"/>
          <w:u w:val="single"/>
        </w:rPr>
        <w:t xml:space="preserve">L.2. </w:t>
      </w:r>
      <w:r>
        <w:rPr>
          <w:rFonts w:ascii="Times New Roman" w:hAnsi="Times New Roman"/>
          <w:b/>
          <w:noProof/>
          <w:sz w:val="24"/>
          <w:u w:val="single"/>
        </w:rPr>
        <w:tab/>
      </w:r>
      <w:r>
        <w:rPr>
          <w:rFonts w:ascii="Times New Roman" w:hAnsi="Times New Roman"/>
          <w:b/>
          <w:bCs/>
          <w:noProof/>
          <w:sz w:val="24"/>
          <w:u w:val="single"/>
        </w:rPr>
        <w:t>Jaloane, ținte, indicatori și calendarul de monitorizare și implementare aplicabile sprijinului financiar nerambursabil</w:t>
      </w:r>
    </w:p>
    <w:p>
      <w:pPr>
        <w:spacing w:before="120" w:after="120" w:line="240" w:lineRule="auto"/>
        <w:jc w:val="both"/>
        <w:rPr>
          <w:rFonts w:ascii="Times New Roman" w:hAnsi="Times New Roman" w:cs="Times New Roman"/>
          <w:noProof/>
          <w:sz w:val="24"/>
          <w:u w:val="single"/>
        </w:rPr>
      </w:pPr>
      <w:r>
        <w:rPr>
          <w:rFonts w:ascii="Times New Roman" w:hAnsi="Times New Roman"/>
          <w:i/>
          <w:iCs/>
          <w:noProof/>
          <w:color w:val="000000"/>
          <w:sz w:val="24"/>
        </w:rPr>
        <w:t>Tabelul de mai jos.</w:t>
      </w:r>
      <w:r>
        <w:rPr>
          <w:rFonts w:ascii="Times New Roman" w:hAnsi="Times New Roman"/>
          <w:noProof/>
          <w:color w:val="1F497D"/>
          <w:sz w:val="24"/>
        </w:rPr>
        <w:t xml:space="preserve"> </w:t>
      </w:r>
      <w:r>
        <w:rPr>
          <w:rFonts w:ascii="Times New Roman" w:hAnsi="Times New Roman"/>
          <w:i/>
          <w:iCs/>
          <w:noProof/>
          <w:color w:val="000000"/>
          <w:sz w:val="24"/>
        </w:rPr>
        <w:t>Data de referință pentru toți indicatorii este 1 februarie 2020, cu excepția cazului în care se indică altfel în descrierea acțiunii. Sumele din tabel nu includ TVA.</w:t>
      </w:r>
    </w:p>
    <w:p>
      <w:pPr>
        <w:spacing w:before="120" w:after="120" w:line="240" w:lineRule="auto"/>
        <w:ind w:left="709"/>
        <w:jc w:val="both"/>
        <w:rPr>
          <w:rFonts w:ascii="Times New Roman" w:hAnsi="Times New Roman" w:cs="Times New Roman"/>
          <w:noProof/>
          <w:sz w:val="24"/>
          <w:lang w:val="en-IE"/>
        </w:rPr>
      </w:pPr>
    </w:p>
    <w:p>
      <w:pPr>
        <w:spacing w:before="120" w:after="120" w:line="240" w:lineRule="auto"/>
        <w:jc w:val="both"/>
        <w:rPr>
          <w:rFonts w:ascii="Times New Roman" w:hAnsi="Times New Roman" w:cs="Times New Roman"/>
          <w:noProof/>
          <w:sz w:val="24"/>
          <w:lang w:val="en-IE"/>
        </w:rPr>
        <w:sectPr>
          <w:headerReference w:type="even" r:id="rId151"/>
          <w:headerReference w:type="default" r:id="rId152"/>
          <w:footerReference w:type="even" r:id="rId153"/>
          <w:footerReference w:type="default" r:id="rId154"/>
          <w:headerReference w:type="first" r:id="rId155"/>
          <w:footerReference w:type="first" r:id="rId156"/>
          <w:pgSz w:w="11907" w:h="16839"/>
          <w:pgMar w:top="1134" w:right="1417" w:bottom="1134" w:left="1417" w:header="709" w:footer="709" w:gutter="0"/>
          <w:cols w:space="720"/>
          <w:docGrid w:linePitch="360"/>
        </w:sectPr>
      </w:pPr>
    </w:p>
    <w:tbl>
      <w:tblPr>
        <w:tblW w:w="1519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1323"/>
        <w:gridCol w:w="1087"/>
        <w:gridCol w:w="851"/>
        <w:gridCol w:w="425"/>
        <w:gridCol w:w="567"/>
        <w:gridCol w:w="425"/>
        <w:gridCol w:w="567"/>
        <w:gridCol w:w="7542"/>
      </w:tblGrid>
      <w:tr>
        <w:trPr>
          <w:trHeight w:val="309"/>
          <w:tblHeader/>
        </w:trPr>
        <w:tc>
          <w:tcPr>
            <w:tcW w:w="709" w:type="dxa"/>
            <w:vMerge w:val="restart"/>
            <w:tcBorders>
              <w:top w:val="single" w:sz="4" w:space="0" w:color="auto"/>
              <w:left w:val="single" w:sz="4" w:space="0" w:color="auto"/>
              <w:right w:val="single" w:sz="4" w:space="0" w:color="auto"/>
            </w:tcBorders>
            <w:shd w:val="clear" w:color="auto" w:fill="C6D9F1" w:themeFill="text2" w:themeFillTint="33"/>
            <w:noWrap/>
            <w:vAlign w:val="center"/>
          </w:tcPr>
          <w:p>
            <w:pPr>
              <w:spacing w:after="0" w:line="240" w:lineRule="auto"/>
              <w:jc w:val="both"/>
              <w:rPr>
                <w:rFonts w:ascii="Times New Roman" w:hAnsi="Times New Roman" w:cs="Times New Roman"/>
                <w:noProof/>
                <w:color w:val="000000"/>
                <w:sz w:val="18"/>
                <w:szCs w:val="18"/>
              </w:rPr>
            </w:pPr>
            <w:r>
              <w:rPr>
                <w:rFonts w:ascii="Times New Roman" w:hAnsi="Times New Roman"/>
                <w:b/>
                <w:noProof/>
                <w:color w:val="000000"/>
                <w:sz w:val="18"/>
                <w:szCs w:val="18"/>
              </w:rPr>
              <w:t>Număr</w:t>
            </w:r>
          </w:p>
        </w:tc>
        <w:tc>
          <w:tcPr>
            <w:tcW w:w="851" w:type="dxa"/>
            <w:vMerge w:val="restart"/>
            <w:tcBorders>
              <w:top w:val="single" w:sz="4" w:space="0" w:color="auto"/>
              <w:left w:val="single" w:sz="4" w:space="0" w:color="auto"/>
              <w:right w:val="single" w:sz="4" w:space="0" w:color="auto"/>
            </w:tcBorders>
            <w:shd w:val="clear" w:color="auto" w:fill="C6D9F1" w:themeFill="text2" w:themeFillTint="33"/>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b/>
                <w:noProof/>
                <w:color w:val="000000"/>
                <w:sz w:val="18"/>
                <w:szCs w:val="18"/>
              </w:rPr>
              <w:t>Măsură</w:t>
            </w:r>
          </w:p>
        </w:tc>
        <w:tc>
          <w:tcPr>
            <w:tcW w:w="850" w:type="dxa"/>
            <w:vMerge w:val="restart"/>
            <w:tcBorders>
              <w:top w:val="single" w:sz="4" w:space="0" w:color="auto"/>
              <w:left w:val="single" w:sz="4" w:space="0" w:color="auto"/>
              <w:right w:val="single" w:sz="4" w:space="0" w:color="auto"/>
            </w:tcBorders>
            <w:shd w:val="clear" w:color="auto" w:fill="C6D9F1" w:themeFill="text2" w:themeFillTint="33"/>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b/>
                <w:noProof/>
                <w:color w:val="000000"/>
                <w:sz w:val="18"/>
                <w:szCs w:val="18"/>
              </w:rPr>
              <w:t>Jalon</w:t>
            </w:r>
            <w:r>
              <w:rPr>
                <w:rFonts w:ascii="Times New Roman" w:hAnsi="Times New Roman"/>
                <w:b/>
                <w:noProof/>
                <w:color w:val="000000"/>
                <w:sz w:val="18"/>
                <w:szCs w:val="18"/>
              </w:rPr>
              <w:br/>
              <w:t xml:space="preserve"> /Țintă</w:t>
            </w:r>
          </w:p>
        </w:tc>
        <w:tc>
          <w:tcPr>
            <w:tcW w:w="1323" w:type="dxa"/>
            <w:vMerge w:val="restart"/>
            <w:tcBorders>
              <w:top w:val="single" w:sz="4" w:space="0" w:color="auto"/>
              <w:left w:val="single" w:sz="4" w:space="0" w:color="auto"/>
              <w:right w:val="single" w:sz="4" w:space="0" w:color="auto"/>
            </w:tcBorders>
            <w:shd w:val="clear" w:color="auto" w:fill="C6D9F1" w:themeFill="text2" w:themeFillTint="33"/>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b/>
                <w:noProof/>
                <w:color w:val="000000"/>
                <w:sz w:val="18"/>
                <w:szCs w:val="18"/>
              </w:rPr>
              <w:t>Denumire</w:t>
            </w:r>
          </w:p>
        </w:tc>
        <w:tc>
          <w:tcPr>
            <w:tcW w:w="108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pPr>
              <w:spacing w:after="0" w:line="240" w:lineRule="auto"/>
              <w:jc w:val="center"/>
              <w:rPr>
                <w:rFonts w:ascii="Times New Roman" w:hAnsi="Times New Roman" w:cs="Times New Roman"/>
                <w:noProof/>
                <w:color w:val="000000"/>
                <w:sz w:val="18"/>
                <w:szCs w:val="18"/>
                <w:lang w:val="en-IE"/>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b/>
                <w:noProof/>
                <w:color w:val="000000"/>
                <w:sz w:val="18"/>
                <w:szCs w:val="18"/>
              </w:rPr>
              <w:t>Indicator cantitativ pentru obiectiv</w:t>
            </w:r>
          </w:p>
        </w:tc>
        <w:tc>
          <w:tcPr>
            <w:tcW w:w="99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b/>
                <w:noProof/>
                <w:color w:val="000000"/>
                <w:sz w:val="18"/>
                <w:szCs w:val="18"/>
              </w:rPr>
              <w:t>Timp</w:t>
            </w:r>
          </w:p>
        </w:tc>
        <w:tc>
          <w:tcPr>
            <w:tcW w:w="7542" w:type="dxa"/>
            <w:vMerge w:val="restart"/>
            <w:tcBorders>
              <w:top w:val="single" w:sz="4" w:space="0" w:color="auto"/>
              <w:left w:val="single" w:sz="4" w:space="0" w:color="auto"/>
              <w:right w:val="single" w:sz="4" w:space="0" w:color="auto"/>
            </w:tcBorders>
            <w:shd w:val="clear" w:color="auto" w:fill="C6D9F1" w:themeFill="text2" w:themeFillTint="33"/>
            <w:noWrap/>
            <w:vAlign w:val="center"/>
          </w:tcPr>
          <w:p>
            <w:pPr>
              <w:spacing w:after="0" w:line="240" w:lineRule="auto"/>
              <w:jc w:val="center"/>
              <w:rPr>
                <w:rFonts w:ascii="Times New Roman" w:hAnsi="Times New Roman" w:cs="Times New Roman"/>
                <w:noProof/>
                <w:color w:val="000000"/>
                <w:sz w:val="18"/>
                <w:szCs w:val="18"/>
              </w:rPr>
            </w:pPr>
          </w:p>
          <w:p>
            <w:pPr>
              <w:spacing w:after="0" w:line="240" w:lineRule="auto"/>
              <w:jc w:val="center"/>
              <w:rPr>
                <w:rFonts w:ascii="Times New Roman" w:hAnsi="Times New Roman" w:cs="Times New Roman"/>
                <w:noProof/>
                <w:color w:val="000000"/>
                <w:sz w:val="18"/>
                <w:szCs w:val="18"/>
              </w:rPr>
            </w:pPr>
            <w:r>
              <w:rPr>
                <w:rFonts w:ascii="Times New Roman" w:hAnsi="Times New Roman"/>
                <w:b/>
                <w:noProof/>
                <w:sz w:val="18"/>
                <w:szCs w:val="18"/>
              </w:rPr>
              <w:t>Descrierea fiecărui jalon și a fiecărei ținte</w:t>
            </w:r>
          </w:p>
        </w:tc>
      </w:tr>
      <w:tr>
        <w:trPr>
          <w:trHeight w:val="309"/>
          <w:tblHeader/>
        </w:trPr>
        <w:tc>
          <w:tcPr>
            <w:tcW w:w="709" w:type="dxa"/>
            <w:vMerge/>
            <w:tcBorders>
              <w:left w:val="single" w:sz="4" w:space="0" w:color="auto"/>
              <w:bottom w:val="single" w:sz="4" w:space="0" w:color="auto"/>
              <w:right w:val="single" w:sz="4" w:space="0" w:color="auto"/>
            </w:tcBorders>
            <w:shd w:val="clear" w:color="auto" w:fill="C6D9F1" w:themeFill="text2" w:themeFillTint="33"/>
            <w:noWrap/>
          </w:tcPr>
          <w:p>
            <w:pPr>
              <w:spacing w:after="0" w:line="240" w:lineRule="auto"/>
              <w:jc w:val="center"/>
              <w:rPr>
                <w:rFonts w:ascii="Times New Roman" w:hAnsi="Times New Roman" w:cs="Times New Roman"/>
                <w:noProof/>
                <w:color w:val="000000"/>
                <w:sz w:val="18"/>
                <w:szCs w:val="18"/>
              </w:rPr>
            </w:pPr>
          </w:p>
        </w:tc>
        <w:tc>
          <w:tcPr>
            <w:tcW w:w="851" w:type="dxa"/>
            <w:vMerge/>
            <w:tcBorders>
              <w:left w:val="single" w:sz="4" w:space="0" w:color="auto"/>
              <w:bottom w:val="single" w:sz="4" w:space="0" w:color="auto"/>
              <w:right w:val="single" w:sz="4" w:space="0" w:color="auto"/>
            </w:tcBorders>
            <w:shd w:val="clear" w:color="auto" w:fill="C6D9F1" w:themeFill="text2" w:themeFillTint="33"/>
            <w:noWrap/>
          </w:tcPr>
          <w:p>
            <w:pPr>
              <w:spacing w:after="0" w:line="240" w:lineRule="auto"/>
              <w:jc w:val="center"/>
              <w:rPr>
                <w:rFonts w:ascii="Times New Roman" w:hAnsi="Times New Roman" w:cs="Times New Roman"/>
                <w:noProof/>
                <w:color w:val="000000"/>
                <w:sz w:val="18"/>
                <w:szCs w:val="18"/>
              </w:rPr>
            </w:pPr>
          </w:p>
        </w:tc>
        <w:tc>
          <w:tcPr>
            <w:tcW w:w="850" w:type="dxa"/>
            <w:vMerge/>
            <w:tcBorders>
              <w:left w:val="single" w:sz="4" w:space="0" w:color="auto"/>
              <w:bottom w:val="single" w:sz="4" w:space="0" w:color="auto"/>
              <w:right w:val="single" w:sz="4" w:space="0" w:color="auto"/>
            </w:tcBorders>
            <w:shd w:val="clear" w:color="auto" w:fill="C6D9F1" w:themeFill="text2" w:themeFillTint="33"/>
            <w:noWrap/>
          </w:tcPr>
          <w:p>
            <w:pPr>
              <w:spacing w:after="0" w:line="240" w:lineRule="auto"/>
              <w:jc w:val="center"/>
              <w:rPr>
                <w:rFonts w:ascii="Times New Roman" w:hAnsi="Times New Roman" w:cs="Times New Roman"/>
                <w:noProof/>
                <w:color w:val="000000"/>
                <w:sz w:val="18"/>
                <w:szCs w:val="18"/>
              </w:rPr>
            </w:pPr>
          </w:p>
        </w:tc>
        <w:tc>
          <w:tcPr>
            <w:tcW w:w="1323" w:type="dxa"/>
            <w:vMerge/>
            <w:tcBorders>
              <w:left w:val="single" w:sz="4" w:space="0" w:color="auto"/>
              <w:bottom w:val="single" w:sz="4" w:space="0" w:color="auto"/>
              <w:right w:val="single" w:sz="4" w:space="0" w:color="auto"/>
            </w:tcBorders>
            <w:shd w:val="clear" w:color="auto" w:fill="C6D9F1" w:themeFill="text2" w:themeFillTint="33"/>
            <w:noWrap/>
          </w:tcPr>
          <w:p>
            <w:pPr>
              <w:spacing w:after="0" w:line="240" w:lineRule="auto"/>
              <w:jc w:val="center"/>
              <w:rPr>
                <w:rFonts w:ascii="Times New Roman" w:hAnsi="Times New Roman" w:cs="Times New Roman"/>
                <w:noProof/>
                <w:color w:val="000000"/>
                <w:sz w:val="18"/>
                <w:szCs w:val="18"/>
              </w:rPr>
            </w:pPr>
          </w:p>
        </w:tc>
        <w:tc>
          <w:tcPr>
            <w:tcW w:w="108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b/>
                <w:noProof/>
                <w:color w:val="000000"/>
                <w:sz w:val="18"/>
                <w:szCs w:val="18"/>
              </w:rPr>
              <w:t>Indicator calitativ pentru obiectivele de etapă</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Unitate</w:t>
            </w:r>
          </w:p>
        </w:tc>
        <w:tc>
          <w:tcPr>
            <w:tcW w:w="42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Scenariu de bază</w:t>
            </w:r>
          </w:p>
        </w:tc>
        <w:tc>
          <w:tcPr>
            <w:tcW w:w="5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Obiectiv</w:t>
            </w:r>
          </w:p>
        </w:tc>
        <w:tc>
          <w:tcPr>
            <w:tcW w:w="42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Q</w:t>
            </w:r>
          </w:p>
        </w:tc>
        <w:tc>
          <w:tcPr>
            <w:tcW w:w="5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An</w:t>
            </w:r>
          </w:p>
        </w:tc>
        <w:tc>
          <w:tcPr>
            <w:tcW w:w="7542" w:type="dxa"/>
            <w:vMerge/>
            <w:tcBorders>
              <w:left w:val="single" w:sz="4" w:space="0" w:color="auto"/>
              <w:bottom w:val="single" w:sz="4" w:space="0" w:color="auto"/>
              <w:right w:val="single" w:sz="4" w:space="0" w:color="auto"/>
            </w:tcBorders>
            <w:shd w:val="clear" w:color="auto" w:fill="C6D9F1" w:themeFill="text2" w:themeFillTint="33"/>
            <w:noWrap/>
          </w:tcPr>
          <w:p>
            <w:pPr>
              <w:spacing w:after="0" w:line="240" w:lineRule="auto"/>
              <w:jc w:val="center"/>
              <w:rPr>
                <w:rFonts w:ascii="Times New Roman" w:hAnsi="Times New Roman" w:cs="Times New Roman"/>
                <w:noProof/>
                <w:color w:val="000000"/>
                <w:sz w:val="18"/>
                <w:szCs w:val="18"/>
                <w:lang w:val="en-IE"/>
              </w:rPr>
            </w:pP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176</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C12.R1</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132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Intrarea în vigoare a Legii privind industria</w:t>
            </w:r>
          </w:p>
        </w:tc>
        <w:tc>
          <w:tcPr>
            <w:tcW w:w="108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Dispoziție din lege care indică intrarea în vigoare a legii</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754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Legea are ca obiectiv îmbunătățirea mecanismelor de coordonare între diferitele niveluri de guvernare în domeniul politicii industriale și îmbunătățirea calității și siguranței industriale printr-un sistem consolidat de supraveghere a pieței, în conformitate cu Regulamentul (UE) 2019/1020 al Parlamentului European și al Consiliului din 20 iunie 2019 privind supravegherea pieței și conformitatea produselor și de modificare a Directiva 2004/42/CE și a Regulamentelor (CE) nr. 765/2008 și (UE) nr. 305/2011. În cele din urmă, definiția încălcărilor în domeniu este revizuită, iar nivelul sancțiunilor care pot fi aplicate este actualizat.</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177</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C12.R2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32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Strategia spaniolă privind economia circulară (EEEC)</w:t>
            </w:r>
          </w:p>
        </w:tc>
        <w:tc>
          <w:tcPr>
            <w:tcW w:w="108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Aprobarea de către Consiliul de Miniștri</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2020</w:t>
            </w:r>
          </w:p>
        </w:tc>
        <w:tc>
          <w:tcPr>
            <w:tcW w:w="754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Aprobarea strategiei spaniole privind economia circulară (EEEC). Aceasta stabilește baza pentru promovarea unui nou model de producție și consum, în care valoarea produselor, a materialelor și a resurselor să fie menținută cât mai mult timp posibil, în care generarea de deșeuri să fie redusă la minimum, iar deșeurile care nu pot fi evitate să fie exploatate pe deplin.</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178</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C12.R2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32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actelor care fac parte din pachetul de politici privind economia circulară</w:t>
            </w:r>
          </w:p>
        </w:tc>
        <w:tc>
          <w:tcPr>
            <w:tcW w:w="108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Dispoziție din decretul regal care indică intrarea în vigoare a legii</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754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Pachetul de politici privind economia circulară include:</w:t>
            </w:r>
            <w:r>
              <w:rPr>
                <w:rFonts w:ascii="Times New Roman" w:hAnsi="Times New Roman"/>
                <w:noProof/>
                <w:color w:val="000000"/>
                <w:sz w:val="18"/>
                <w:szCs w:val="18"/>
              </w:rPr>
              <w:br/>
              <w:t>Decretul regal nr. 731/2020 din 4 august de modificare a Decretului regal 1619/2005 din 30 decembrie privind gestionarea anvelopelor scoase din uz.</w:t>
            </w:r>
            <w:r>
              <w:rPr>
                <w:rFonts w:ascii="Times New Roman" w:hAnsi="Times New Roman"/>
                <w:noProof/>
                <w:color w:val="000000"/>
                <w:sz w:val="18"/>
                <w:szCs w:val="18"/>
              </w:rPr>
              <w:br/>
              <w:t>Decretul regal nr. 646/2020 din 7 iulie de reglementare a eliminării deșeurilor prin depozitare.</w:t>
            </w:r>
            <w:r>
              <w:rPr>
                <w:rFonts w:ascii="Times New Roman" w:hAnsi="Times New Roman"/>
                <w:noProof/>
                <w:color w:val="000000"/>
                <w:sz w:val="18"/>
                <w:szCs w:val="18"/>
              </w:rPr>
              <w:br/>
              <w:t>Decretul regal nr. 553/2020 din 2 iunie de reglementare a transferului de deșeuri pe teritoriul statului.</w:t>
            </w:r>
            <w:r>
              <w:rPr>
                <w:rFonts w:ascii="Times New Roman" w:hAnsi="Times New Roman"/>
                <w:noProof/>
                <w:color w:val="000000"/>
                <w:sz w:val="18"/>
                <w:szCs w:val="18"/>
              </w:rPr>
              <w:br/>
              <w:t>Decretele Regale 27/2021 din 19 ianuarie și 265/2021 din 13 aprilie.</w:t>
            </w:r>
            <w:r>
              <w:rPr>
                <w:rFonts w:ascii="Times New Roman" w:hAnsi="Times New Roman"/>
                <w:noProof/>
                <w:color w:val="000000"/>
                <w:sz w:val="18"/>
                <w:szCs w:val="18"/>
              </w:rPr>
              <w:br/>
              <w:t>Viitoarea aprobare a măsurilor de reglementare privind ambalajele și deșeurile de ambalaje de către Consiliul de Miniștri în cursul anului 2022.</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179</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C12.R2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32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Intrarea în vigoare a Legii privind deșeurile și solul contaminat </w:t>
            </w:r>
          </w:p>
        </w:tc>
        <w:tc>
          <w:tcPr>
            <w:tcW w:w="108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Dispoziție din lege care indică intrarea în vigoare a legii </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754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Legea cuprinde: </w:t>
            </w:r>
            <w:r>
              <w:rPr>
                <w:rFonts w:ascii="Times New Roman" w:hAnsi="Times New Roman"/>
                <w:noProof/>
                <w:color w:val="000000"/>
                <w:sz w:val="18"/>
                <w:szCs w:val="18"/>
              </w:rPr>
              <w:br/>
              <w:t xml:space="preserve">Punerea în aplicare a Directivei-cadru privind deșeurile și a directivei privind materialele plastice de unică folosință și, de asemenea, actualizează reglementările spaniole, având în vedere experiența ultimilor zece ani; </w:t>
            </w:r>
            <w:r>
              <w:rPr>
                <w:rFonts w:ascii="Times New Roman" w:hAnsi="Times New Roman"/>
                <w:noProof/>
                <w:color w:val="000000"/>
                <w:sz w:val="18"/>
                <w:szCs w:val="18"/>
              </w:rPr>
              <w:br/>
              <w:t>Introducerea obiectivelor UE privind deșeurile și a obligațiilor privind colectarea separată care decurg din reglementările UE, anticipând punerea lor în aplicare în deșeurile biologice în municipalitățile cu peste 5 000 de locuitori. În plus, măsura introduce obligații de colectare separată care depășesc cerințele stabilite de dreptul Uniunii;</w:t>
            </w:r>
            <w:r>
              <w:rPr>
                <w:rFonts w:ascii="Times New Roman" w:hAnsi="Times New Roman"/>
                <w:noProof/>
                <w:color w:val="000000"/>
                <w:sz w:val="18"/>
                <w:szCs w:val="18"/>
              </w:rPr>
              <w:br/>
              <w:t>Revizuirea regulamentului privind răspunderea extinsă a producătorilor, stabilind altele noi care depășesc ceea ce este prevăzut de dreptul Uniunii;</w:t>
            </w:r>
            <w:r>
              <w:rPr>
                <w:rFonts w:ascii="Times New Roman" w:hAnsi="Times New Roman"/>
                <w:noProof/>
                <w:color w:val="000000"/>
                <w:sz w:val="18"/>
                <w:szCs w:val="18"/>
              </w:rPr>
              <w:br/>
              <w:t>Introducerea impozitării de stat a deșeurilor (inclusiv depozitarea deșeurilor, incinerarea și coincinerarea și recipientele din plastic de unică folosință).</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180</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C12.I1</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132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Spații de date sectoriale și interoperabile de mare valoare</w:t>
            </w:r>
          </w:p>
        </w:tc>
        <w:tc>
          <w:tcPr>
            <w:tcW w:w="108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4</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2026</w:t>
            </w:r>
          </w:p>
        </w:tc>
        <w:tc>
          <w:tcPr>
            <w:tcW w:w="754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Spații de date sectoriale și interoperabile de mare valoare create în sectoare strategice. Cel puțin patru în sectorul agroalimentar, în sectorul mobilității durabile, în sectorul sănătății și în sectorul comercial, în conformitate cu Orientările tehnice privind principiul „de a nu prejudicia în mod semnificativ”(2021/C58/01), prin utilizarea unei liste de excludere și prin cerința de conformitate cu legislația UE și națională relevantă în materie de mediu. Execuția bugetară mobilizată în acest scop se ridică la cel puțin 400 000 000 EUR. </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181</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C12.I2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32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Plan de stimulare a lanțului valoric al industriei autovehiculelor către o mobilitate durabilă și conectată</w:t>
            </w:r>
          </w:p>
        </w:tc>
        <w:tc>
          <w:tcPr>
            <w:tcW w:w="108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Aprobarea de către Consiliul de Miniștri</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2020</w:t>
            </w:r>
          </w:p>
        </w:tc>
        <w:tc>
          <w:tcPr>
            <w:tcW w:w="754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Aprobarea de către Consiliul de Miniștri a Planului de stimulare a lanțului valoric al industriei autovehiculelor către o mobilitate durabilă și conectată. </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182</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C12.I2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32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PERTE în domeniul vehiculelor electrice</w:t>
            </w:r>
          </w:p>
        </w:tc>
        <w:tc>
          <w:tcPr>
            <w:tcW w:w="108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Aprobarea de către Consiliul de Miniștri</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lang w:val="fr-BE"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lang w:val="fr-BE" w:eastAsia="en-GB"/>
              </w:rPr>
            </w:pP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Q3</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754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Aprobarea de către Consiliul de Miniștri a unui proiect strategic pentru redresarea și transformarea economică (PERTE) în domeniul strategic al vehiculelor electrice și alocarea unui buget de cel puțin 400 000 000 EUR sub formă de ajutor. Decizia de aprobare individuală conține criterii detaliate de selecție pentru a asigura conformitatea cu Orientările tehnice privind principiul „de a nu prejudicia în mod semnificativ”(2021/C58/01) prin utilizarea unei liste de excludere și a cerinței de conformitate cu legislația UE și națională relevantă în materie de mediu. Criteriile de selecție reflectă, în plus, cerințele din domeniile de intervenție aplicabile pentru obiectivele legate de schimbările climatice, în conformitate cu anexa VI la Regulamentul (UE) 2021/241 al Parlamentului European și al Consiliului din 12 februarie 2021 de instituire a Mecanismului de redresare și reziliență.</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183</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C12.I2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32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PERTE în domeniile strategice definite în plan </w:t>
            </w:r>
          </w:p>
        </w:tc>
        <w:tc>
          <w:tcPr>
            <w:tcW w:w="108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Aprobarea de către Consiliul de Miniștri</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lang w:val="fr-BE"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lang w:val="fr-BE" w:eastAsia="en-GB"/>
              </w:rPr>
            </w:pP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754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Aprobarea de către Consiliul de Miniștri a cel puțin două PERTE și alocarea totală a unui buget de cel puțin 400 000 000 EUR pentru fiecare dintre acestea, în alte domenii strategice, cum ar fi sectorul agroalimentar, cel al sănătății, sectorul aeronautic și naval și sectoarele industriale legate de energiile regenerabile, precum și în ceea ce privește capacitățile de proiectare și producție a procesoarelor și a tehnologiilor semiconductoare. Decizia de aprobare individuală conține criterii detaliate de selecție pentru a asigura conformitatea cu Orientările tehnice privind principiul „de a nu prejudicia în mod semnificativ”(2021/C58/01) prin utilizarea unei liste de excludere și a cerinței de conformitate cu legislația UE și națională relevantă în materie de mediu. Criteriile de selecție reflectă, în plus, cerințele din domeniile de intervenție aplicabile pentru obiectivele legate de schimbările climatice, în conformitate cu anexa VI la Regulamentul (UE) 2021/241 al Parlamentului European și al Consiliului din 12 februarie 2021 de instituire a Mecanismului de redresare și reziliență. </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184</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C12.I2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132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Proiecte inovatoare pentru transformarea industriei în ceea ce privește eficiența energetică, durabilitatea și digitalizarea </w:t>
            </w:r>
          </w:p>
        </w:tc>
        <w:tc>
          <w:tcPr>
            <w:tcW w:w="108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78</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754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Acordarea a cel puțin 1 200 000 000 EUR de către ministrul industriei pentru cel puțin 78 de proiecte inovatoare, inclusiv cele legate de aspectele aprobate (cel puțin 3), care implică o transformare substanțială a industriei în ceea ce privește eficiența energetică, durabilitatea și transformarea digitală. Selectarea proiectelor în urma unei cereri publicate în JO și pe baza criteriilor de selecție pentru respectarea Orientărilor tehnice privind principiul „de a nu prejudicia în mod semnificativ”(2021/C58/01) prin utilizarea unei liste de excludere și a cerinței de conformitate cu legislația UE și națională relevantă în materie de mediu. Criteriile de selecție reflectă, în plus, cerințele din domeniile de intervenție aplicabile pentru obiectivele legate de schimbările climatice, în conformitate cu anexa VI la Regulamentul (UE) 2021/241 al Parlamentului European și al Consiliului din 12 februarie 2021 de instituire a Mecanismului de redresare și reziliență. </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185</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C12.I2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132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Execuția bugetară a PERTE și a proiectelor inovatoare pentru transformarea industriei </w:t>
            </w:r>
          </w:p>
        </w:tc>
        <w:tc>
          <w:tcPr>
            <w:tcW w:w="108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EURO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2 531 500 000</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754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Execuția bugetară a cel puțin 2 531 500 000 EUR mobilizată în 210 de proiecte inovatoare, inclusiv cele legate de PERTE aprobate (cel puțin 3), care implică o transformare reală a industriei în ceea ce privește eficiența energetică, durabilitatea și transformarea digitală, în conformitate cu Orientările tehnice privind principiul „de a nu prejudicia în mod semnificativ”(2021/C58/01), prin utilizarea unei liste de excludere și prin cerința de conformitate cu legislația UE și națională relevantă în materie de mediu. Criteriile de selecție asigură faptul că cel puțin 455 000 000 EUR contribuie la obiectivele legate de schimbările climatice cu un coeficient climatic de 100 % și cel puțin 1 500 000 EUR cu un coeficient climatic de 40 %, în conformitate cu anexa VI la Regulamentul (UE) 2021/241 al Parlamentului European și al Consiliului din 12 februarie 2021 de instituire a Mecanismului de redresare și reziliență. Alternativ, dacă este bine justificat prin furnizarea unei explicații cu privire la motivele pentru care este posibil ca abordarea alternativă să nu fie fezabilă, criteriile de selecție garantează că cel puțin 2 531 500 000 EUR contribuie la obiectivele legate de schimbările climatice cu un coeficient climatic de cel puțin 40 %, în medie, în conformitate cu anexa VI la Regulamentul (UE) 2021/241 al Parlamentului European și al Consiliului din 12 februarie 2021 de instituire a Mecanismului de redresare și reziliență. Se mobilizează investiții private în valoare de cel puțin 3 800 000 000 EUR din fondurile Mecanismului de redresare și reziliență, iar efectul multiplicator al finanțării suplimentare a acestor fonduri asupra investițiilor private este similar până la data etapei de referință, în conformitate, de asemenea, cu Orientările tehnice privind principiul „de a nu prejudicia în mod semnificativ”(2021/C58/01) prin utilizarea unei liste de excludere și prin cerința de conformitate cu legislația UE și națională relevantă în materie de mediu. Se consideră că acest obiectiv nu este îndeplinit în cazul în care oricare dintre măsurile pentru care s-a angajat un buget ar constitui ajutor de stat în conformitate cu articolul 107 din TFUE, ar necesita notificarea Comisiei și nu ar fi obținut aprobarea Comisiei până la 31 decembrie 2023.</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186</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C12.I2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132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Finalizarea proiectelor PERTE și a proiectelor inovatoare pentru transformarea industriei</w:t>
            </w:r>
          </w:p>
        </w:tc>
        <w:tc>
          <w:tcPr>
            <w:tcW w:w="108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Număr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2026</w:t>
            </w:r>
          </w:p>
        </w:tc>
        <w:tc>
          <w:tcPr>
            <w:tcW w:w="754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Finalizarea a 210 proiecte inovatoare, inclusiv cele legate de PERTE aprobate (cel puțin 3), care implică o transformare reală a industriei în ceea ce privește eficiența energetică, durabilitatea și transformarea digitală, în conformitate cu Orientările tehnice privind principiul „de a nu prejudicia în mod semnificativ”(2021/C58/01), prin utilizarea unei liste de excludere și prin cerința de conformitate cu legislația UE și națională relevantă în materie de mediu.</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187</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C12.I3</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132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Finalizarea proiectelor de sprijinire a punerii în aplicare a legislației privind deșeurile și de promovare a economiei circulare în întreprinderi</w:t>
            </w:r>
          </w:p>
        </w:tc>
        <w:tc>
          <w:tcPr>
            <w:tcW w:w="108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30</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754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Finalizarea a cel puțin 30 proiecte aprobate de MITERD pentru a sprijini punerea în aplicare a legislației privind deșeurile și pentru a promova economia circulară în cadrul întreprinderii în conformitate cu Orientările tehnice privind principiul „de a nu prejudicia în mod semnificativ”(2021/C58/01) prin utilizarea unei liste de excludere și a cerinței de conformitate cu legislația UE și națională relevantă în materie de mediu. Acțiunile din cadrul acestei investiții legate de stațiile de tratare mecano-biologică au loc numai în stațiile de tratare mecano-biologică existente, în cazul în care acțiunile întreprinse în cadrul acestei investiții vizează creșterea eficienței resurselor sau adaptarea la operațiunile de reciclare a deșeurilor separate pentru compostarea deșeurilor biologice și digestia anaerobă a deșeurilor biologice, cu condiția ca aceste acțiuni din cadrul acestei investiții să nu ducă la o creștere a capacității de prelucrare a deșeurilor a instalațiilor sau la o prelungire a duratei de viață a instalațiilor, verificată la nivel de instalație. </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188</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C12.I3</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132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Creșterea deșeurilor municipale colectate separat</w:t>
            </w:r>
          </w:p>
        </w:tc>
        <w:tc>
          <w:tcPr>
            <w:tcW w:w="108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din deșeurile municipale colectate separat</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21</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30</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Q2</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2026</w:t>
            </w:r>
          </w:p>
        </w:tc>
        <w:tc>
          <w:tcPr>
            <w:tcW w:w="754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Să atingă un procent minim de 30 % din deșeurile municipale colectate separat ca procent din totalul deșeurilor municipale generate în 2024 (datele din 2024 trebuie să fie disponibile în 2026), în conformitate cu Directiva 2008/98/CE. Colectarea separată înseamnă colectarea în cadrul căreia un flux de deșeuri este păstrat separat în funcție de tipul și natura deșeurilor, astfel încât să se faciliteze o tratare specifică. Datele se colectează în conformitate cu defalcarea materialelor în conformitate cu anexa V la decizia de punere în aplicare 019/1004/CE a Comisiei. Valoare de referință 31 decembrie 2018.)</w:t>
            </w:r>
          </w:p>
        </w:tc>
      </w:tr>
    </w:tbl>
    <w:p>
      <w:pPr>
        <w:spacing w:before="120" w:after="120" w:line="240" w:lineRule="auto"/>
        <w:ind w:left="709"/>
        <w:jc w:val="both"/>
        <w:rPr>
          <w:rFonts w:ascii="Times New Roman" w:hAnsi="Times New Roman" w:cs="Times New Roman"/>
          <w:noProof/>
          <w:sz w:val="24"/>
          <w:lang w:val="en-IE"/>
        </w:rPr>
        <w:sectPr>
          <w:headerReference w:type="even" r:id="rId157"/>
          <w:headerReference w:type="default" r:id="rId158"/>
          <w:footerReference w:type="even" r:id="rId159"/>
          <w:footerReference w:type="default" r:id="rId160"/>
          <w:headerReference w:type="first" r:id="rId161"/>
          <w:footerReference w:type="first" r:id="rId162"/>
          <w:pgSz w:w="16839" w:h="11907" w:orient="landscape"/>
          <w:pgMar w:top="1417" w:right="1134" w:bottom="1417" w:left="1134" w:header="709" w:footer="709" w:gutter="0"/>
          <w:cols w:space="720"/>
          <w:docGrid w:linePitch="360"/>
        </w:sectPr>
      </w:pPr>
    </w:p>
    <w:p>
      <w:pPr>
        <w:pStyle w:val="Heading1"/>
        <w:rPr>
          <w:noProof/>
        </w:rPr>
      </w:pPr>
      <w:r>
        <w:rPr>
          <w:noProof/>
        </w:rPr>
        <w:t xml:space="preserve">M. COMPONENTA 13: Asistență pentru IMM-uri  </w:t>
      </w:r>
    </w:p>
    <w:p>
      <w:pPr>
        <w:pStyle w:val="Text1"/>
        <w:ind w:left="0"/>
        <w:rPr>
          <w:noProof/>
        </w:rPr>
      </w:pPr>
      <w:r>
        <w:rPr>
          <w:noProof/>
        </w:rPr>
        <w:t xml:space="preserve">Întreprinderile mici și mijlocii (IMM-urile) joacă un rol esențial în economia UE și a Spaniei, în special în cazul în care IMM-urile au o contribuție mai mare la PIB-ul național și în care dimensiunea medie a întreprinderilor este mai mică decât media UE. </w:t>
      </w:r>
    </w:p>
    <w:p>
      <w:pPr>
        <w:pStyle w:val="Text1"/>
        <w:ind w:left="0"/>
        <w:rPr>
          <w:noProof/>
        </w:rPr>
      </w:pPr>
      <w:r>
        <w:rPr>
          <w:noProof/>
        </w:rPr>
        <w:t>Această componentă a planului de redresare și reziliență al Spaniei abordează provocările cu care se confruntă întreprinderile mici și mijlocii (IMM-urile) (inclusiv lucrătorii independenți), cu scopul de a stimula competitivitatea economiei spaniole și de a promova creșterea economică și ocuparea forței de muncă. Aceste provocări sunt: accesul dificil la finanțare pentru antreprenoriat, creșterea întreprinderilor și inovare; lipsa competențelor digitale și adoptarea tehnologiilor digitale care împiedică productivitatea și competitivitatea IMM-urilor; dimensiunea redusă a întreprinderilor, care împiedică exploatarea economiilor de scară și internaționalizarea; precum și vulnerabilitatea ridicată la șocurile externe și la economii de scară scăzute care împiedică investițiile și inovarea.</w:t>
      </w:r>
    </w:p>
    <w:p>
      <w:pPr>
        <w:pStyle w:val="Text1"/>
        <w:ind w:left="0"/>
        <w:rPr>
          <w:noProof/>
        </w:rPr>
      </w:pPr>
      <w:r>
        <w:rPr>
          <w:noProof/>
        </w:rPr>
        <w:t>Obiectivele acestei componente sunt de a introduce reforme și investiții menite să faciliteze crearea de întreprinderi, creșterea și restructurarea întreprinderilor, îmbunătățirea climatului de afaceri (în special prin consolidarea funcționării pieței interne spaniole), precum și stimularea în continuare a proceselor importante de creștere a productivității prin digitalizare, inovare și internaționalizare. Această componentă se axează în mod semnificativ pe digitalizare, cu o abordare orizontală pentru a oferi un pachet de bază privind digitalizarea unui procent semnificativ de IMM-uri și o abordare verticală pentru a stimula digitalizarea proceselor și inovarea tehnologică în anumite IMM-uri.</w:t>
      </w:r>
    </w:p>
    <w:p>
      <w:pPr>
        <w:pStyle w:val="Text1"/>
        <w:ind w:left="0"/>
        <w:rPr>
          <w:noProof/>
        </w:rPr>
      </w:pPr>
      <w:r>
        <w:rPr>
          <w:noProof/>
        </w:rPr>
        <w:t>Această componentă abordează parțial recomandările specifice fiecărei țări privind progresele înregistrate în punerea în aplicare a Legii privind unitatea pieței (recomandarea specifică țării 4 din 2019) și privind asigurarea punerii în aplicare eficace a măsurilor care vizează furnizarea de lichidități IMM-urilor și persoanelor care desfășoară o activitate independentă, în special prin evitarea plăților întârziate (recomandarea specifică țării 3 din 2020). Acesta abordează, de asemenea, recomandările specifice fiecărei țări privind concentrarea investițiilor asupra tranziției digitale (recomandarea specifică țării 3 din 2020) și asupra îmbunătățirii accesului la învățarea digitală (recomandarea specifică țării 2 din 2020).</w:t>
      </w:r>
    </w:p>
    <w:p>
      <w:pPr>
        <w:pStyle w:val="Text1"/>
        <w:ind w:left="0"/>
        <w:rPr>
          <w:noProof/>
        </w:rPr>
      </w:pPr>
      <w:r>
        <w:rPr>
          <w:noProof/>
          <w:color w:val="000000" w:themeColor="text1"/>
        </w:rPr>
        <w:t>Se preconizează că nicio măsură din cadrul acestei componente nu aduce prejudicii semnificative obiectivelor de mediu în sensul articolului 17 din Regulamentul (UE) 2020/852, ținând seama de descrierea măsurilor și a măsurilor de atenuare stabilite în planul de redresare și reziliență în conformitate cu Orientările tehnice DNSH (2021/C58/01).</w:t>
      </w:r>
      <w:r>
        <w:rPr>
          <w:noProof/>
        </w:rPr>
        <w:t xml:space="preserve"> </w:t>
      </w:r>
    </w:p>
    <w:p>
      <w:pPr>
        <w:spacing w:before="120" w:after="120" w:line="240" w:lineRule="auto"/>
        <w:ind w:left="709"/>
        <w:jc w:val="both"/>
        <w:rPr>
          <w:rFonts w:ascii="Times New Roman" w:hAnsi="Times New Roman" w:cs="Times New Roman"/>
          <w:b/>
          <w:i/>
          <w:noProof/>
          <w:color w:val="4F81BD" w:themeColor="accent1"/>
          <w:sz w:val="24"/>
        </w:rPr>
      </w:pPr>
      <w:r>
        <w:rPr>
          <w:rFonts w:ascii="Times New Roman" w:hAnsi="Times New Roman"/>
          <w:b/>
          <w:bCs/>
          <w:noProof/>
          <w:sz w:val="24"/>
          <w:u w:val="single"/>
        </w:rPr>
        <w:t xml:space="preserve">M.1. </w:t>
      </w:r>
      <w:r>
        <w:rPr>
          <w:rFonts w:ascii="Times New Roman" w:hAnsi="Times New Roman"/>
          <w:b/>
          <w:noProof/>
          <w:sz w:val="24"/>
          <w:u w:val="single"/>
        </w:rPr>
        <w:tab/>
      </w:r>
      <w:r>
        <w:rPr>
          <w:rFonts w:ascii="Times New Roman" w:hAnsi="Times New Roman"/>
          <w:b/>
          <w:bCs/>
          <w:noProof/>
          <w:sz w:val="24"/>
          <w:u w:val="single"/>
        </w:rPr>
        <w:t>Descrierea reformelor și a investițiilor pentru care se prevede acordarea sprijinului financiar nerambursabil</w:t>
      </w:r>
    </w:p>
    <w:p>
      <w:pPr>
        <w:pStyle w:val="Text1"/>
        <w:ind w:left="0"/>
        <w:rPr>
          <w:noProof/>
          <w:u w:val="single"/>
        </w:rPr>
      </w:pPr>
      <w:r>
        <w:rPr>
          <w:noProof/>
          <w:u w:val="single"/>
        </w:rPr>
        <w:t>Reforma 1 (C13.R1) - Îmbunătățirea reglementării întreprinderilor și a climei</w:t>
      </w:r>
    </w:p>
    <w:p>
      <w:pPr>
        <w:pStyle w:val="Text1"/>
        <w:ind w:left="0"/>
        <w:rPr>
          <w:noProof/>
        </w:rPr>
      </w:pPr>
      <w:r>
        <w:rPr>
          <w:noProof/>
        </w:rPr>
        <w:t xml:space="preserve">Obiectivele reformei sunt de a îmbunătăți cadrul în care se desfășoară activitatea economică prin asigurarea unei mai bune reglementări și a unui climat de afaceri care să faciliteze crearea și dezvoltarea întreprinderilor, precum și restructurarea acestora, dacă este necesar, prin adoptarea unei serii de măsuri. </w:t>
      </w:r>
    </w:p>
    <w:p>
      <w:pPr>
        <w:pStyle w:val="Text1"/>
        <w:ind w:left="0"/>
        <w:rPr>
          <w:noProof/>
        </w:rPr>
      </w:pPr>
      <w:r>
        <w:rPr>
          <w:noProof/>
        </w:rPr>
        <w:t>Reforma constă în:</w:t>
      </w:r>
    </w:p>
    <w:p>
      <w:pPr>
        <w:pStyle w:val="Text1"/>
        <w:numPr>
          <w:ilvl w:val="0"/>
          <w:numId w:val="67"/>
        </w:numPr>
        <w:rPr>
          <w:noProof/>
        </w:rPr>
      </w:pPr>
      <w:r>
        <w:rPr>
          <w:noProof/>
        </w:rPr>
        <w:t>Adoptarea legii privind crearea și creșterea întreprinderilor. Scopul acestei legislații este:</w:t>
      </w:r>
    </w:p>
    <w:p>
      <w:pPr>
        <w:pStyle w:val="Text1"/>
        <w:numPr>
          <w:ilvl w:val="1"/>
          <w:numId w:val="67"/>
        </w:numPr>
        <w:rPr>
          <w:noProof/>
        </w:rPr>
      </w:pPr>
      <w:r>
        <w:rPr>
          <w:noProof/>
        </w:rPr>
        <w:t xml:space="preserve">Simplificarea procedurilor de înființare a unei întreprinderi. Acest lucru se realizează prin reducerea cerinței minime de capital pentru înființarea unei firme și prin consolidarea platformelor de finanțare participativă și a altor instrumente de finanțare publică; </w:t>
      </w:r>
    </w:p>
    <w:p>
      <w:pPr>
        <w:pStyle w:val="Text1"/>
        <w:numPr>
          <w:ilvl w:val="1"/>
          <w:numId w:val="67"/>
        </w:numPr>
        <w:rPr>
          <w:noProof/>
        </w:rPr>
      </w:pPr>
      <w:r>
        <w:rPr>
          <w:noProof/>
        </w:rPr>
        <w:t>Măsuri juridice pentru promovarea unei culturi a plăților anticipate. Prezenta lege îmbunătățește eficiența punerii în aplicare a Directiva 2011/7/UE privind combaterea întârzierii efectuării plăților în cazul tranzacțiilor comerciale. Se preconizează că legea va reduce perioadele medii de plată în tranzacțiile comerciale. Acest lucru ar contribui la abordarea provocărilor în materie de lichidități cu care se confruntă IMM-urile creditoare care nu sunt plătite în timp util, cu efecte de propagare pozitive asupra activităților și creșterii lor. Printre exemplele de măsuri care trebuie puse în aplicare pentru a promova o cultură a plăților anticipate se numără orientări privind publicitatea și transparența termenelor de plată, cele mai bune practici comerciale și mecanisme pentru o mai bună aplicare, cum ar fi un sistem de soluționare extrajudiciară a litigiilor;</w:t>
      </w:r>
    </w:p>
    <w:p>
      <w:pPr>
        <w:pStyle w:val="Text1"/>
        <w:numPr>
          <w:ilvl w:val="1"/>
          <w:numId w:val="67"/>
        </w:numPr>
        <w:rPr>
          <w:noProof/>
        </w:rPr>
      </w:pPr>
      <w:r>
        <w:rPr>
          <w:noProof/>
        </w:rPr>
        <w:t>Să modifice anumite dispoziții ale Legii privind unitatea pieței pentru a oferi mai multă claritate în domeniile în care ambiguitățile au dus la probleme de punere în aplicare. Scopul Legii privind unitatea pieței este de a elimina barierele inutile, disproporționate sau discriminatorii în calea accesului la activitățile economice și a exercitării acestora, precum și a libertății de stabilire pe întreg teritoriul. Obiectivul acestei reforme este, de asemenea, de a spori eficiența și transparența mecanismelor prevăzute în Legea privind unitatea pieței pentru a proteja operatorii a căror activitate este afectată de barierele impuse de administrația publică. În plus, reforma consolidează cooperarea pentru a promova o mai bună reglementare în întreaga țară;</w:t>
      </w:r>
    </w:p>
    <w:p>
      <w:pPr>
        <w:pStyle w:val="Text1"/>
        <w:numPr>
          <w:ilvl w:val="0"/>
          <w:numId w:val="67"/>
        </w:numPr>
        <w:rPr>
          <w:noProof/>
        </w:rPr>
      </w:pPr>
      <w:r>
        <w:rPr>
          <w:noProof/>
        </w:rPr>
        <w:t>Se instituie o nouă Conferință sectorială pentru îmbunătățirea reglementărilor și climatul de afaceri. Obiectivul său este de a facilita aplicarea corectă a principiilor bunei reglementări de către toate administrațiile publice și de a asigura o coordonare optimă a diferitelor administrații, inclusiv în ceea ce privește măsurile care însoțesc redresarea. Conferința sectorială urmărește, de asemenea, lucrările din cadrul altor conferințe sectoriale, ceea ce va permite o mai bună coordonare, monitorizare și promovare a unei mai bune legiferări, cu un accent atât orizontal, cât și sectorial;</w:t>
      </w:r>
    </w:p>
    <w:p>
      <w:pPr>
        <w:pStyle w:val="Text1"/>
        <w:numPr>
          <w:ilvl w:val="0"/>
          <w:numId w:val="67"/>
        </w:numPr>
        <w:rPr>
          <w:noProof/>
        </w:rPr>
      </w:pPr>
      <w:r>
        <w:rPr>
          <w:noProof/>
        </w:rPr>
        <w:t>Reforma legislației în materie de insolvență în vederea transpunerii Directiva (UE) 2019/1023 privind cadrele de restructurare preventivă, remiterea de datorie și decăderea din drepturi, precum și măsurile de sporire a eficienței procedurilor de insolvență și de modificare a Directiva (UE) 2017/1132 (Directiva privind restructurarea și insolvența). Reforma include instituirea unei proceduri mai eficiente de a doua șansă pentru persoanele fizice, care să permită reducerea datoriilor fără lichidarea prealabilă a activelor părții aflate în insolvență. În plus, planurile de restructurare prevăzute de Directiva (UE) 2019/1023 privind insolvența sunt introduse ca un nou instrument de pre-insolvență care îmbunătățește eficacitatea instrumentelor de preinsolvență aplicabile în prezent pentru a preveni insolvența și falimentul ulterior. De asemenea, se introduce o procedură specială pentru microîntreprinderi, procesate integral prin mijloace electronice, astfel încât să se reducă durata și costurile procesului.</w:t>
      </w:r>
    </w:p>
    <w:p>
      <w:pPr>
        <w:pStyle w:val="Text1"/>
        <w:numPr>
          <w:ilvl w:val="0"/>
          <w:numId w:val="67"/>
        </w:numPr>
        <w:rPr>
          <w:noProof/>
        </w:rPr>
      </w:pPr>
      <w:r>
        <w:rPr>
          <w:noProof/>
        </w:rPr>
        <w:t>În cele din urmă, această reformă constă, de asemenea, în adoptarea unei legi de modificare a trei texte legislative, în special Legea nr. 34/2006, referitoare la practica profesională a avocaților și a procurorilor (</w:t>
      </w:r>
      <w:r>
        <w:rPr>
          <w:i/>
          <w:noProof/>
        </w:rPr>
        <w:t>procuradores</w:t>
      </w:r>
      <w:r>
        <w:rPr>
          <w:noProof/>
        </w:rPr>
        <w:t xml:space="preserve">). Un nou sistem asigură un acces unic la profesiile de avocat și procuror, întrucât aceeași calificare permite accesul la exercitarea ambelor profesii. Societățile profesionale multidisciplinare sunt autorizate să ofere în comun servicii de apărare și reprezentare juridică în instanță. Regimul tarifar aplicabil serviciilor procurorilor se modifică, de asemenea: se stabilesc tarife maxime, dar nu minime, pentru a se asigura că beneficiarii serviciilor pot avea acces la serviciile oferite la prețuri competitive. Prin această reformă, Spania se asigură că legislația în acest domeniu este aliniată la articolele 15, 16 și 25 din Directiva 2006/123/C a Parlamentului European și a Consiliului privind serviciile în cadrul pieței interne și la articolele 49 și 56 din Tratatul privind funcționarea Uniunii Europene. În ceea ce privește această reformă, Consiliul de Miniștri a aprobat proiectele de propuneri legislative menționate anterior în septembrie 2020. </w:t>
      </w:r>
    </w:p>
    <w:p>
      <w:pPr>
        <w:pStyle w:val="Text1"/>
        <w:ind w:left="0"/>
        <w:rPr>
          <w:noProof/>
        </w:rPr>
      </w:pPr>
      <w:r>
        <w:rPr>
          <w:noProof/>
        </w:rPr>
        <w:t xml:space="preserve">Această reformă va fi completată și de adoptarea unei legi care transpune Directiva privind digitalizarea (2019/1151), care promovează inovarea și digitalizarea atât în administrație, cât și în mediul de afaceri și prevede digitalizarea întregului proces de înființare a unei întreprinderi. Această lege este unul dintre instrumentele de reglementare necesare pentru punerea în aplicare a componentei 11 (reforma C11.R2 pentru promovarea statului de drept și a eficienței serviciului public de justiție). </w:t>
      </w:r>
    </w:p>
    <w:p>
      <w:pPr>
        <w:autoSpaceDE w:val="0"/>
        <w:autoSpaceDN w:val="0"/>
        <w:spacing w:before="40" w:after="40" w:line="240" w:lineRule="auto"/>
        <w:jc w:val="both"/>
        <w:rPr>
          <w:rFonts w:ascii="Times New Roman" w:hAnsi="Times New Roman" w:cs="Times New Roman"/>
          <w:noProof/>
        </w:rPr>
      </w:pPr>
      <w:r>
        <w:rPr>
          <w:rFonts w:ascii="Times New Roman" w:hAnsi="Times New Roman"/>
          <w:noProof/>
          <w:sz w:val="24"/>
          <w:szCs w:val="24"/>
        </w:rPr>
        <w:t>Punerea în aplicare a măsurii se finalizează până la 31 decembrie 2022.</w:t>
      </w:r>
    </w:p>
    <w:p>
      <w:pPr>
        <w:pStyle w:val="Text1"/>
        <w:keepNext/>
        <w:ind w:left="0"/>
        <w:rPr>
          <w:noProof/>
          <w:u w:val="single"/>
        </w:rPr>
      </w:pPr>
      <w:r>
        <w:rPr>
          <w:noProof/>
          <w:u w:val="single"/>
        </w:rPr>
        <w:t>Reforma 2 (C13.R2) - Strategia - Spania, nație întreprinzătoare</w:t>
      </w:r>
    </w:p>
    <w:p>
      <w:pPr>
        <w:pStyle w:val="Text1"/>
        <w:keepNext/>
        <w:ind w:left="0"/>
        <w:rPr>
          <w:noProof/>
        </w:rPr>
      </w:pPr>
      <w:r>
        <w:rPr>
          <w:noProof/>
        </w:rPr>
        <w:t>Obiectivul măsurii este de a promova strategia spaniolă privind antreprenoriatul. Reforma constă în adoptarea unei legi privind întreprinderile nou-înființate, în vederea creării unui cadru favorabil pentru crearea și dezvoltarea unor întreprinderi nou-înființate cu un grad ridicat de inovare, precum și în crearea unui fond public-privat NEXT-TECH pentru extinderea întreprinderilor nou-înființate în domeniul tehnologiilor disruptive.</w:t>
      </w:r>
    </w:p>
    <w:p>
      <w:pPr>
        <w:pStyle w:val="Text1"/>
        <w:ind w:left="0"/>
        <w:rPr>
          <w:noProof/>
        </w:rPr>
      </w:pPr>
      <w:r>
        <w:rPr>
          <w:noProof/>
        </w:rPr>
        <w:t>Adoptarea unei legi privind începerea activității, până la sfârșitul anului 2022: furnizarea unei definiții juridice a întreprinderilor nou-înființate; identificarea stimulentelor fiscale pentru a stimula crearea acestora și pentru a atrage talente; să stabilească măsuri de facilitare a atragerii investitorilor și antreprenorilor străini; și să adopte mecanisme de facilitare a punerii în aplicare a legii și a relației acesteia cu măsurile legate de ecosistemul întreprinzătorilor digitali.</w:t>
      </w:r>
    </w:p>
    <w:p>
      <w:pPr>
        <w:pStyle w:val="Text1"/>
        <w:ind w:left="0"/>
        <w:rPr>
          <w:noProof/>
        </w:rPr>
      </w:pPr>
      <w:r>
        <w:rPr>
          <w:noProof/>
        </w:rPr>
        <w:t>Punerea în aplicare a măsurii se finalizează până la 31 decembrie 2022.</w:t>
      </w:r>
    </w:p>
    <w:p>
      <w:pPr>
        <w:pStyle w:val="Text1"/>
        <w:ind w:left="0"/>
        <w:rPr>
          <w:noProof/>
          <w:u w:val="single"/>
        </w:rPr>
      </w:pPr>
      <w:r>
        <w:rPr>
          <w:noProof/>
          <w:u w:val="single"/>
        </w:rPr>
        <w:t xml:space="preserve">Investiția 1 (C13.I1) - Antreprenoriat </w:t>
      </w:r>
    </w:p>
    <w:p>
      <w:pPr>
        <w:pStyle w:val="Text1"/>
        <w:ind w:left="0"/>
        <w:rPr>
          <w:noProof/>
        </w:rPr>
      </w:pPr>
      <w:r>
        <w:rPr>
          <w:noProof/>
        </w:rPr>
        <w:t>Obiectivele investiției sunt de a stimula ecosistemul antreprenorial pentru a-l face mai rezilient și mai competitiv, abordând provocările tranziției verzi și digitale.</w:t>
      </w:r>
    </w:p>
    <w:p>
      <w:pPr>
        <w:pStyle w:val="Text1"/>
        <w:ind w:left="0"/>
        <w:rPr>
          <w:noProof/>
        </w:rPr>
      </w:pPr>
      <w:r>
        <w:rPr>
          <w:noProof/>
        </w:rPr>
        <w:t>Investiția constă în patru acțiuni principale:</w:t>
      </w:r>
    </w:p>
    <w:p>
      <w:pPr>
        <w:pStyle w:val="Text1"/>
        <w:ind w:left="0"/>
        <w:rPr>
          <w:noProof/>
        </w:rPr>
      </w:pPr>
      <w:r>
        <w:rPr>
          <w:noProof/>
        </w:rPr>
        <w:t xml:space="preserve">1) consolidarea competențelor antreprenoriale, inclusiv a competențelor și recalificării și sprijinirea antreprenorilor, în conformitate cu prioritățile UE privind tranziția verde și digitală. Ca parte a acestei acțiuni, cel puțin 6 900 de antreprenori vor beneficia de Programul pentru competențe antreprenoriale, iar cel puțin 800 de antreprenori vor fi sprijiniți prin programul „Women Talent Programme”; </w:t>
      </w:r>
    </w:p>
    <w:p>
      <w:pPr>
        <w:pStyle w:val="Text1"/>
        <w:ind w:left="0"/>
        <w:rPr>
          <w:noProof/>
        </w:rPr>
      </w:pPr>
      <w:r>
        <w:rPr>
          <w:noProof/>
        </w:rPr>
        <w:t>2) furnizarea de instrumente pentru sprijinirea înființării de întreprinderi și a gestionării afacerilor și pentru consolidarea IMM-urilor, inclusiv sprijinirea a cel puțin 12 000 de utilizatori activi în cadrul platformei virtuală ONE National Entrepreneurship Office („ONE”), sub egida cadrului strategic privind politica pentru IMM-uri 2030, a Strategiei spaniole pentru antreprenoriat și a Agendei digitale spaniole 2025;</w:t>
      </w:r>
    </w:p>
    <w:p>
      <w:pPr>
        <w:pStyle w:val="Text1"/>
        <w:ind w:left="0"/>
        <w:rPr>
          <w:noProof/>
        </w:rPr>
      </w:pPr>
      <w:r>
        <w:rPr>
          <w:noProof/>
        </w:rPr>
        <w:t>3) campanii de diseminare și comunicare pentru crearea, dezvoltarea sau atragerea în Spania a unor evenimente internaționale axate pe întreprinderile inovatoare și a unui program de atragere a talentelor femeilor. Aceasta include cel puțin 20 evenimente privind antreprenoriatul organizate în cadrul „programului de pavilion”; și cel puțin 260 de acțiuni de comunicare (200 de apariții în mass-media și 60 evenimente) sub „marca Spania, nație întreprinzătoare”; și</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4) finanțarea unei linii de sprijin pentru antreprenoriat și IMM-uri prin intermediul programului de sprijinire a antreprenoriatului în rândul femeilor. Aceasta include sprijinul a cel puțin 200 de femei antreprenor prin împrumuturi participative acordate de </w:t>
      </w:r>
      <w:r>
        <w:rPr>
          <w:rFonts w:ascii="Times New Roman" w:hAnsi="Times New Roman"/>
          <w:i/>
          <w:noProof/>
          <w:sz w:val="24"/>
          <w:szCs w:val="24"/>
        </w:rPr>
        <w:t>Empresa Nacional de Innovación, S.A</w:t>
      </w:r>
      <w:r>
        <w:rPr>
          <w:rFonts w:ascii="Times New Roman" w:hAnsi="Times New Roman"/>
          <w:noProof/>
          <w:sz w:val="24"/>
          <w:szCs w:val="24"/>
        </w:rPr>
        <w:t xml:space="preserve">. </w:t>
      </w:r>
    </w:p>
    <w:p>
      <w:pPr>
        <w:pStyle w:val="Text1"/>
        <w:ind w:left="0"/>
        <w:rPr>
          <w:noProof/>
        </w:rPr>
      </w:pPr>
      <w:r>
        <w:rPr>
          <w:noProof/>
        </w:rPr>
        <w:t xml:space="preserve">Pentru instrumentele financiare, pentru a se asigura că măsura respectă Orientările tehnice privind principiul „de a nu prejudicia în mod semnificativ”(2021/C58/01), acordul juridic dintre autoritățile spaniole și entitatea căreia i-a fost încredințată execuția sau intermediarul financiar responsabil de instrumentul financiar și politica de investiții ulterioară a instrumentului financiar </w:t>
      </w:r>
    </w:p>
    <w:p>
      <w:pPr>
        <w:pStyle w:val="Text1"/>
        <w:numPr>
          <w:ilvl w:val="0"/>
          <w:numId w:val="153"/>
        </w:numPr>
        <w:rPr>
          <w:noProof/>
        </w:rPr>
      </w:pPr>
      <w:r>
        <w:rPr>
          <w:noProof/>
        </w:rPr>
        <w:t>să solicite aplicarea orientărilor tehnice ale Comisiei privind evaluarea sustenabilității pentru Fondul InvestEU;</w:t>
      </w:r>
    </w:p>
    <w:p>
      <w:pPr>
        <w:pStyle w:val="Text1"/>
        <w:numPr>
          <w:ilvl w:val="0"/>
          <w:numId w:val="153"/>
        </w:numPr>
        <w:rPr>
          <w:noProof/>
        </w:rPr>
      </w:pPr>
      <w:r>
        <w:rPr>
          <w:noProof/>
        </w:rPr>
        <w:t>exclude de la eligibilitate următoarea listă de activități și active: (i) activități și active legate de combustibilii fosili, inclusiv utilizarea în aval</w:t>
      </w:r>
      <w:r>
        <w:rPr>
          <w:noProof/>
          <w:vertAlign w:val="superscript"/>
          <w:lang w:val="en-IE"/>
        </w:rPr>
        <w:footnoteReference w:id="29"/>
      </w:r>
      <w:r>
        <w:rPr>
          <w:noProof/>
        </w:rPr>
        <w:t>; (ii) activitățile și activele din cadrul schemei UE de comercializare a certificatelor de emisii (ETS) care ating previziuni privind emisiile de gaze cu efect de seră care nu sunt mai mici decât valorile de referință relevante</w:t>
      </w:r>
      <w:r>
        <w:rPr>
          <w:noProof/>
          <w:vertAlign w:val="superscript"/>
          <w:lang w:val="en-IE"/>
        </w:rPr>
        <w:footnoteReference w:id="30"/>
      </w:r>
      <w:r>
        <w:rPr>
          <w:noProof/>
        </w:rPr>
        <w:t>; (iii) activități și active legate de depozitele de deșeuri, incineratoare</w:t>
      </w:r>
      <w:r>
        <w:rPr>
          <w:noProof/>
          <w:vertAlign w:val="superscript"/>
          <w:lang w:val="en-IE"/>
        </w:rPr>
        <w:footnoteReference w:id="31"/>
      </w:r>
      <w:r>
        <w:rPr>
          <w:noProof/>
        </w:rPr>
        <w:t xml:space="preserve"> și stații de tratare mecano-biologică</w:t>
      </w:r>
      <w:r>
        <w:rPr>
          <w:noProof/>
          <w:vertAlign w:val="superscript"/>
          <w:lang w:val="en-IE"/>
        </w:rPr>
        <w:footnoteReference w:id="32"/>
      </w:r>
      <w:r>
        <w:rPr>
          <w:noProof/>
        </w:rPr>
        <w:t>; și (iv) activități și active în cazul cărora eliminarea pe termen lung a deșeurilor poate dăuna mediului; și</w:t>
      </w:r>
    </w:p>
    <w:p>
      <w:pPr>
        <w:pStyle w:val="Text1"/>
        <w:numPr>
          <w:ilvl w:val="0"/>
          <w:numId w:val="153"/>
        </w:numPr>
        <w:rPr>
          <w:noProof/>
        </w:rPr>
      </w:pPr>
      <w:r>
        <w:rPr>
          <w:noProof/>
        </w:rPr>
        <w:t>să solicite verificarea conformității juridice a proiectelor cu legislația UE și națională relevantă în materie de mediu de către entitatea căreia i-a fost încredințată execuția/intermediarul financiar pentru toate tranzacțiile, inclusiv pentru cele exceptate de la verificarea durabilității.</w:t>
      </w:r>
    </w:p>
    <w:p>
      <w:pPr>
        <w:pStyle w:val="Text1"/>
        <w:ind w:left="0"/>
        <w:rPr>
          <w:iCs/>
          <w:noProof/>
          <w:highlight w:val="green"/>
        </w:rPr>
      </w:pPr>
      <w:r>
        <w:rPr>
          <w:noProof/>
        </w:rPr>
        <w:t>În cazul ofertelor, pentru a se asigura că măsura respectă Orientările tehnice privind principiul „de a nu prejudicia în mod semnificativ”(2021/C58/01), criteriile de eligibilitate cuprinse în termenii de referință pentru viitoarele cereri de proiecte exclud următoarea listă de activități:</w:t>
      </w:r>
      <w:r>
        <w:rPr>
          <w:noProof/>
          <w:color w:val="FF0000"/>
        </w:rPr>
        <w:t xml:space="preserve"> </w:t>
      </w:r>
      <w:r>
        <w:rPr>
          <w:noProof/>
        </w:rPr>
        <w:t>(i) activități legate de combustibilii fosili, inclusiv utilizarea în aval</w:t>
      </w:r>
      <w:r>
        <w:rPr>
          <w:rStyle w:val="FootnoteReference"/>
          <w:noProof/>
          <w:lang w:val="en-IE"/>
        </w:rPr>
        <w:footnoteReference w:id="33"/>
      </w:r>
      <w:r>
        <w:rPr>
          <w:noProof/>
        </w:rPr>
        <w:t>; (ii) activitățile din cadrul schemei UE de comercializare a certificatelor de emisii (ETS) care ating previziuni privind emisiile de gaze cu efect de seră care nu sunt mai mici decât valorile de referință relevante</w:t>
      </w:r>
      <w:r>
        <w:rPr>
          <w:rStyle w:val="FootnoteReference"/>
          <w:noProof/>
          <w:lang w:val="en-IE"/>
        </w:rPr>
        <w:footnoteReference w:id="34"/>
      </w:r>
      <w:r>
        <w:rPr>
          <w:noProof/>
        </w:rPr>
        <w:t>; (iii) activități legate de depozitele de deșeuri, incineratoare</w:t>
      </w:r>
      <w:r>
        <w:rPr>
          <w:rStyle w:val="FootnoteReference"/>
          <w:noProof/>
          <w:lang w:val="en-IE"/>
        </w:rPr>
        <w:footnoteReference w:id="35"/>
      </w:r>
      <w:r>
        <w:rPr>
          <w:noProof/>
        </w:rPr>
        <w:t xml:space="preserve"> și instalații de tratare mecano-biologică</w:t>
      </w:r>
      <w:r>
        <w:rPr>
          <w:rStyle w:val="FootnoteReference"/>
          <w:noProof/>
          <w:lang w:val="en-IE"/>
        </w:rPr>
        <w:footnoteReference w:id="36"/>
      </w:r>
      <w:r>
        <w:rPr>
          <w:noProof/>
        </w:rPr>
        <w:t>; și (iv) activități în cadrul cărora eliminarea pe termen lung a deșeurilor poate dăuna mediului. În plus, mandatul impune ca numai activitățile care respectă legislația UE și națională relevantă în materie de mediu să poată fi selectate.</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Punerea în aplicare a investiției se finalizează până la 31 decembrie 2023. </w:t>
      </w:r>
    </w:p>
    <w:p>
      <w:pPr>
        <w:pStyle w:val="Text1"/>
        <w:ind w:left="0"/>
        <w:rPr>
          <w:noProof/>
          <w:u w:val="single"/>
        </w:rPr>
      </w:pPr>
      <w:r>
        <w:rPr>
          <w:noProof/>
          <w:u w:val="single"/>
        </w:rPr>
        <w:t xml:space="preserve">Investiția 2 (C13.I2) - Creștere </w:t>
      </w:r>
    </w:p>
    <w:p>
      <w:pPr>
        <w:pStyle w:val="Text1"/>
        <w:ind w:left="0"/>
        <w:rPr>
          <w:noProof/>
        </w:rPr>
      </w:pPr>
      <w:r>
        <w:rPr>
          <w:noProof/>
        </w:rPr>
        <w:t xml:space="preserve">Obiectivul măsurii este de a promova creșterea IMM-urilor. </w:t>
      </w:r>
    </w:p>
    <w:p>
      <w:pPr>
        <w:pStyle w:val="Text1"/>
        <w:ind w:left="0"/>
        <w:rPr>
          <w:noProof/>
        </w:rPr>
      </w:pPr>
      <w:r>
        <w:rPr>
          <w:noProof/>
        </w:rPr>
        <w:t>Investiția constă în acțiuni privind:</w:t>
      </w:r>
    </w:p>
    <w:p>
      <w:pPr>
        <w:pStyle w:val="Text1"/>
        <w:ind w:left="0"/>
        <w:rPr>
          <w:noProof/>
        </w:rPr>
      </w:pPr>
      <w:r>
        <w:rPr>
          <w:noProof/>
        </w:rPr>
        <w:t>1) sprijin pentru (11 000) IMM-uri individuale în cadrul programului „Competențe pentru creșterea IMM-urilor”. Scopul acestui program este de a oferi întreprinderilor competențele necesare pentru a se dezvolta și a deveni mai competitive, modificându-și modelele de afaceri și contribuind la dubla tranziție;</w:t>
      </w:r>
    </w:p>
    <w:p>
      <w:pPr>
        <w:pStyle w:val="Text1"/>
        <w:ind w:left="0"/>
        <w:rPr>
          <w:noProof/>
        </w:rPr>
      </w:pPr>
      <w:r>
        <w:rPr>
          <w:noProof/>
        </w:rPr>
        <w:t>2) sprijin financiar pe termen lung pentru proiecte industriale (1 500) dezvoltate de IMM-uri, pentru acțiuni în cadrul acestei investiții în noi instalații industriale sau extinderea celor existente, ținând seama de potențialul de a contribui la atenuarea schimbărilor climatice.</w:t>
      </w:r>
    </w:p>
    <w:p>
      <w:pPr>
        <w:pStyle w:val="Text1"/>
        <w:ind w:left="0"/>
        <w:rPr>
          <w:noProof/>
        </w:rPr>
      </w:pPr>
      <w:r>
        <w:rPr>
          <w:noProof/>
        </w:rPr>
        <w:t xml:space="preserve">3) îmbunătățirea accesului IMM-urilor la finanțare, prin acordarea de sprijin sub formă de garanții financiare, comerciale și tehnice prin consolidarea </w:t>
      </w:r>
      <w:r>
        <w:rPr>
          <w:i/>
          <w:noProof/>
        </w:rPr>
        <w:t>Compañia Española de Reafianzamiento SME S.A.</w:t>
      </w:r>
      <w:r>
        <w:rPr>
          <w:noProof/>
        </w:rPr>
        <w:t xml:space="preserve"> (CERSA), în conformitate cu criteriile de eligibilitate din Regulamentul privind Mecanismul de redresare și reziliență, astfel cum sunt prevăzute în Orientările pentru statele membre din 21 ianuarie 2021. Ca parte a acestei linii de acțiune, CERSA oferă sprijin pe termen lung prin acoperirea contragaranției societăților regionale de garantare reciprocă, susținând riscul suportat de acestea. CERSA promovează competitivitatea și reziliența IMM-urilor și prin intermediul a trei noi linii dedicate care permit accesul la finanțare pe termen lung și la operațiuni de capital circulant pentru acțiunile din cadrul acestei investiții în următoarele domenii: digitalizarea; durabilitatea; creșterea și redresarea (consolidarea rezilienței, în special pentru IMM-urile afectate de pandemia de COVID-19, care sunt pregătite să întreprindă planuri de transformare și de creștere semnificative). </w:t>
      </w:r>
    </w:p>
    <w:p>
      <w:pPr>
        <w:pStyle w:val="Text1"/>
        <w:ind w:left="0"/>
        <w:rPr>
          <w:noProof/>
        </w:rPr>
      </w:pPr>
      <w:r>
        <w:rPr>
          <w:noProof/>
        </w:rPr>
        <w:t xml:space="preserve">În plus, pentru punerea în aplicare a instrumentului de garantare financiară, trebuie să se încheie un acord între ministerul responsabil cu investițiile și partenerul de implementare sau entitatea mandatată. Acordul implică obligații în ceea ce privește informațiile incluse în planul de redresare și reziliență. În plus, orice restituiri (și anume, dobânzi la împrumut, rentabilitatea capitalurilor proprii sau principalul rambursat, minus costurile asociate) legate de instrumentul financiar ar trebui să fie reinvestite pentru aceleași obiective de politică, inclusiv după 2026. Pentru a se asigura că măsura respectă Orientările tehnice „Fără prejudicii semnificative” (2021/C58/01), acordul juridic dintre autoritățile spaniole și entitatea căreia i-a fost încredințată execuția sau intermediarul financiar responsabil de instrumentul financiar și politica de investiții ulterioară a instrumentului financiar </w:t>
      </w:r>
    </w:p>
    <w:p>
      <w:pPr>
        <w:pStyle w:val="Text1"/>
        <w:numPr>
          <w:ilvl w:val="0"/>
          <w:numId w:val="155"/>
        </w:numPr>
        <w:rPr>
          <w:noProof/>
        </w:rPr>
      </w:pPr>
      <w:r>
        <w:rPr>
          <w:noProof/>
        </w:rPr>
        <w:t>să solicite aplicarea orientărilor tehnice ale Comisiei privind evaluarea sustenabilității pentru Fondul InvestEU;</w:t>
      </w:r>
    </w:p>
    <w:p>
      <w:pPr>
        <w:pStyle w:val="Text1"/>
        <w:numPr>
          <w:ilvl w:val="0"/>
          <w:numId w:val="155"/>
        </w:numPr>
        <w:rPr>
          <w:noProof/>
        </w:rPr>
      </w:pPr>
      <w:r>
        <w:rPr>
          <w:noProof/>
        </w:rPr>
        <w:t>exclude de la eligibilitate următoarea listă de activități și active: (i) activități și active legate de combustibilii fosili, inclusiv utilizarea în aval</w:t>
      </w:r>
      <w:r>
        <w:rPr>
          <w:noProof/>
          <w:vertAlign w:val="superscript"/>
          <w:lang w:val="en-IE"/>
        </w:rPr>
        <w:footnoteReference w:id="37"/>
      </w:r>
      <w:r>
        <w:rPr>
          <w:noProof/>
        </w:rPr>
        <w:t>; (ii) activitățile și activele din cadrul schemei UE de comercializare a certificatelor de emisii (ETS) care ating previziuni privind emisiile de gaze cu efect de seră care nu sunt mai mici decât valorile de referință relevante</w:t>
      </w:r>
      <w:r>
        <w:rPr>
          <w:noProof/>
          <w:vertAlign w:val="superscript"/>
          <w:lang w:val="en-IE"/>
        </w:rPr>
        <w:footnoteReference w:id="38"/>
      </w:r>
      <w:r>
        <w:rPr>
          <w:noProof/>
        </w:rPr>
        <w:t>; (iii) activități și active legate de depozitele de deșeuri, incineratoare</w:t>
      </w:r>
      <w:r>
        <w:rPr>
          <w:noProof/>
          <w:vertAlign w:val="superscript"/>
          <w:lang w:val="en-IE"/>
        </w:rPr>
        <w:footnoteReference w:id="39"/>
      </w:r>
      <w:r>
        <w:rPr>
          <w:noProof/>
        </w:rPr>
        <w:t xml:space="preserve"> și stații de tratare mecano-biologică</w:t>
      </w:r>
      <w:r>
        <w:rPr>
          <w:noProof/>
          <w:vertAlign w:val="superscript"/>
          <w:lang w:val="en-IE"/>
        </w:rPr>
        <w:footnoteReference w:id="40"/>
      </w:r>
      <w:r>
        <w:rPr>
          <w:noProof/>
        </w:rPr>
        <w:t>; și (iv) activități și active în cazul cărora eliminarea pe termen lung a deșeurilor poate dăuna mediului; și</w:t>
      </w:r>
    </w:p>
    <w:p>
      <w:pPr>
        <w:pStyle w:val="Text1"/>
        <w:numPr>
          <w:ilvl w:val="0"/>
          <w:numId w:val="155"/>
        </w:numPr>
        <w:rPr>
          <w:noProof/>
        </w:rPr>
      </w:pPr>
      <w:r>
        <w:rPr>
          <w:noProof/>
        </w:rPr>
        <w:t>să solicite verificarea conformității juridice a proiectelor cu legislația UE și națională relevantă în materie de mediu de către entitatea căreia i-a fost încredințată execuția/intermediarul financiar pentru toate tranzacțiile, inclusiv pentru cele exceptate de la verificarea durabilității.</w:t>
      </w:r>
    </w:p>
    <w:p>
      <w:pPr>
        <w:pStyle w:val="Text1"/>
        <w:ind w:left="0"/>
        <w:rPr>
          <w:iCs/>
          <w:noProof/>
          <w:highlight w:val="green"/>
        </w:rPr>
      </w:pPr>
      <w:r>
        <w:rPr>
          <w:noProof/>
        </w:rPr>
        <w:t>În cazul ofertelor, pentru a se asigura că măsura respectă Orientările tehnice privind principiul „de a nu prejudicia în mod semnificativ”(2021/C58/01), criteriile de eligibilitate cuprinse în termenii de referință pentru viitoarele cereri de proiecte exclud următoarea listă de activități:</w:t>
      </w:r>
      <w:r>
        <w:rPr>
          <w:noProof/>
          <w:color w:val="FF0000"/>
        </w:rPr>
        <w:t xml:space="preserve"> </w:t>
      </w:r>
      <w:r>
        <w:rPr>
          <w:noProof/>
        </w:rPr>
        <w:t>(i) activități legate de combustibilii fosili, inclusiv utilizarea în aval</w:t>
      </w:r>
      <w:r>
        <w:rPr>
          <w:rStyle w:val="FootnoteReference"/>
          <w:noProof/>
          <w:lang w:val="en-IE"/>
        </w:rPr>
        <w:footnoteReference w:id="41"/>
      </w:r>
      <w:r>
        <w:rPr>
          <w:noProof/>
        </w:rPr>
        <w:t>; (ii) activitățile din cadrul schemei UE de comercializare a certificatelor de emisii (ETS) care ating previziuni privind emisiile de gaze cu efect de seră care nu sunt mai mici decât valorile de referință relevante</w:t>
      </w:r>
      <w:r>
        <w:rPr>
          <w:rStyle w:val="FootnoteReference"/>
          <w:noProof/>
          <w:lang w:val="en-IE"/>
        </w:rPr>
        <w:footnoteReference w:id="42"/>
      </w:r>
      <w:r>
        <w:rPr>
          <w:noProof/>
        </w:rPr>
        <w:t>; (iii) activități legate de depozitele de deșeuri, incineratoare</w:t>
      </w:r>
      <w:r>
        <w:rPr>
          <w:rStyle w:val="FootnoteReference"/>
          <w:noProof/>
          <w:lang w:val="en-IE"/>
        </w:rPr>
        <w:footnoteReference w:id="43"/>
      </w:r>
      <w:r>
        <w:rPr>
          <w:noProof/>
        </w:rPr>
        <w:t xml:space="preserve"> și instalații de tratare mecano-biologică</w:t>
      </w:r>
      <w:r>
        <w:rPr>
          <w:rStyle w:val="FootnoteReference"/>
          <w:noProof/>
          <w:lang w:val="en-IE"/>
        </w:rPr>
        <w:footnoteReference w:id="44"/>
      </w:r>
      <w:r>
        <w:rPr>
          <w:noProof/>
        </w:rPr>
        <w:t>; și (iv) activități în cadrul cărora eliminarea pe termen lung a deșeurilor poate dăuna mediului. În plus, mandatul impune ca numai activitățile care respectă legislația UE și națională relevantă în materie de mediu să poată fi selectate.</w:t>
      </w:r>
    </w:p>
    <w:p>
      <w:pPr>
        <w:spacing w:line="240" w:lineRule="auto"/>
        <w:jc w:val="both"/>
        <w:rPr>
          <w:noProof/>
        </w:rPr>
      </w:pPr>
      <w:r>
        <w:rPr>
          <w:rFonts w:ascii="Times New Roman" w:hAnsi="Times New Roman"/>
          <w:noProof/>
          <w:sz w:val="24"/>
          <w:szCs w:val="24"/>
        </w:rPr>
        <w:t>Punerea în aplicare a investiției se finalizează până la 31 decembrie 2023.</w:t>
      </w:r>
    </w:p>
    <w:p>
      <w:pPr>
        <w:pStyle w:val="Text1"/>
        <w:ind w:left="0"/>
        <w:rPr>
          <w:noProof/>
          <w:u w:val="single"/>
        </w:rPr>
      </w:pPr>
      <w:r>
        <w:rPr>
          <w:noProof/>
          <w:u w:val="single"/>
        </w:rPr>
        <w:t xml:space="preserve">Investiții 3 (C13.I3) Digitalizare și inovare </w:t>
      </w:r>
    </w:p>
    <w:p>
      <w:pPr>
        <w:pStyle w:val="Text1"/>
        <w:ind w:left="0"/>
        <w:rPr>
          <w:noProof/>
        </w:rPr>
      </w:pPr>
      <w:r>
        <w:rPr>
          <w:noProof/>
        </w:rPr>
        <w:t>Obiectivul acestei investiții este de a înzestra IMM-urile cu competențele și instrumentele necesare pentru a contribui la tranziția digitală și pentru a aborda provocările generate de aceasta. Aceasta este aliniată la Agenda digitală pentru Spania 2025 și este completată de acțiunile din cadrul componentei 15 privind conectivitatea și din cadrul componentei 19 privind competențele digitale.</w:t>
      </w:r>
    </w:p>
    <w:p>
      <w:pPr>
        <w:pStyle w:val="Text1"/>
        <w:ind w:left="0"/>
        <w:rPr>
          <w:noProof/>
        </w:rPr>
      </w:pPr>
      <w:r>
        <w:rPr>
          <w:noProof/>
        </w:rPr>
        <w:t>Investiția se axează pe următoarele acțiuni diferite:</w:t>
      </w:r>
    </w:p>
    <w:p>
      <w:pPr>
        <w:pStyle w:val="Text1"/>
        <w:ind w:left="0"/>
        <w:rPr>
          <w:noProof/>
        </w:rPr>
      </w:pPr>
      <w:r>
        <w:rPr>
          <w:noProof/>
        </w:rPr>
        <w:t xml:space="preserve">1) </w:t>
      </w:r>
      <w:r>
        <w:rPr>
          <w:noProof/>
          <w:u w:val="single"/>
        </w:rPr>
        <w:t>Setul de instrumente digitale</w:t>
      </w:r>
      <w:r>
        <w:rPr>
          <w:noProof/>
        </w:rPr>
        <w:t>: Aceasta este principala acțiune din cadrul acestei măsuri, care va stimula digitalizarea întreprinderilor mici (între zece și 49 de angajați), a microîntreprinderilor (de la unu la nouă angajați) și a persoanelor care desfășoară o activitate independentă, în orice sector de activitate economică, mărind nivelul lor de maturitate digitală. Programul se bazează pe acordarea de granturi pentru a sprijini integrarea tehnologiei digitale în vederea adoptării eficace a comerțului electronic, a digitalizării relațiilor cu administrația publică și cu clienții, a dezvoltării proceselor digitale interne și a introducerii facturării electronice și a marketingului digital; promovarea unor soluții orientate în special spre servicii. Programul subvenționează parțial costurile de adoptare a pachetelor de soluții digitale de bază, cum ar fi prezența pe internet, vânzarea electronică, birourile de cloud, locurile de muncă digitale, digitalizarea proceselor de bază, gestionarea clienților, marketingul digital, securitatea cibernetică, printre altele. Fiecărui pachet de digitalizare DTK i se alocă o valoare fixă a grantului, care este stabilită în fiecare cerere de propuneri în funcție de dimensiunea întreprinderii și de sectorul de activitate. Se preconizează că sprijinul va ajunge la 1 000 000 de IMM-uri.</w:t>
      </w:r>
    </w:p>
    <w:p>
      <w:pPr>
        <w:pStyle w:val="Text1"/>
        <w:ind w:left="0"/>
        <w:rPr>
          <w:noProof/>
        </w:rPr>
      </w:pPr>
      <w:r>
        <w:rPr>
          <w:noProof/>
        </w:rPr>
        <w:t xml:space="preserve">2) </w:t>
      </w:r>
      <w:r>
        <w:rPr>
          <w:noProof/>
          <w:u w:val="single"/>
        </w:rPr>
        <w:t>programul „Actori ai schimbării”</w:t>
      </w:r>
      <w:r>
        <w:rPr>
          <w:noProof/>
        </w:rPr>
        <w:t>: acesta este un program care sprijină cel puțin 15 000 de întreprinderi mici și mijlocii (TEN-249 de angajați) în procesele lor de transformare digitală.</w:t>
      </w:r>
    </w:p>
    <w:p>
      <w:pPr>
        <w:pStyle w:val="Text1"/>
        <w:ind w:left="0"/>
        <w:rPr>
          <w:noProof/>
        </w:rPr>
      </w:pPr>
      <w:r>
        <w:rPr>
          <w:noProof/>
        </w:rPr>
        <w:t xml:space="preserve">3) </w:t>
      </w:r>
      <w:r>
        <w:rPr>
          <w:noProof/>
          <w:u w:val="single"/>
        </w:rPr>
        <w:t>programul „Acceleratori IMM 2.0”</w:t>
      </w:r>
      <w:r>
        <w:rPr>
          <w:noProof/>
        </w:rPr>
        <w:t>: aceasta este o acțiune din cadrul acestei investiții care va extinde infrastructura de sprijinire a digitalizării IMM-urilor cu servicii ocazionale și servicii de formare.</w:t>
      </w:r>
    </w:p>
    <w:p>
      <w:pPr>
        <w:pStyle w:val="Text1"/>
        <w:ind w:left="0"/>
        <w:rPr>
          <w:noProof/>
        </w:rPr>
      </w:pPr>
      <w:r>
        <w:rPr>
          <w:noProof/>
        </w:rPr>
        <w:t xml:space="preserve">5) </w:t>
      </w:r>
      <w:r>
        <w:rPr>
          <w:noProof/>
          <w:u w:val="single"/>
        </w:rPr>
        <w:t>programul „Sprijin inovator pentru clusterele de afaceri”</w:t>
      </w:r>
      <w:r>
        <w:rPr>
          <w:noProof/>
        </w:rPr>
        <w:t>: această măsură sprijină proiectele de digitalizare a lanțului valoric din diferitele sectoare industriale, cu obiectivul de a le moderniza și de a include IMM-urile în lanțul valoric.</w:t>
      </w:r>
    </w:p>
    <w:p>
      <w:pPr>
        <w:pStyle w:val="Text1"/>
        <w:ind w:left="0"/>
        <w:rPr>
          <w:noProof/>
        </w:rPr>
      </w:pPr>
      <w:r>
        <w:rPr>
          <w:noProof/>
        </w:rPr>
        <w:t xml:space="preserve">6) </w:t>
      </w:r>
      <w:r>
        <w:rPr>
          <w:noProof/>
          <w:u w:val="single"/>
        </w:rPr>
        <w:t>programul „Centre de inovare digitală” (DIH)</w:t>
      </w:r>
      <w:r>
        <w:rPr>
          <w:noProof/>
        </w:rPr>
        <w:t>: acesta este un program de sprijinire a dezvoltării centrelor de inovare digitală în Spania. Centrele de inovare digitală sunt structuri care ajută întreprinderile să răspundă provocărilor digitale și să devină mai competitive, prin îmbunătățirea proceselor lor de afaceri și de producție prin utilizarea intensivă a tehnologiilor digitale. Ca parte a acestei submăsuri 25, sunt sprijinite centrele de inovare digitală.</w:t>
      </w:r>
    </w:p>
    <w:p>
      <w:pPr>
        <w:pStyle w:val="Text1"/>
        <w:ind w:left="0"/>
        <w:rPr>
          <w:iCs/>
          <w:noProof/>
          <w:highlight w:val="green"/>
        </w:rPr>
      </w:pPr>
      <w:r>
        <w:rPr>
          <w:noProof/>
        </w:rPr>
        <w:t>Pentru a se asigura că măsura respectă Orientările tehnice „Fără prejudicii semnificative” (2021/C58/01), criteriile de eligibilitate cuprinse în termeni de referință pentru viitoarele cereri de propuneri de proiecte exclud următoarea listă de activități:</w:t>
      </w:r>
      <w:r>
        <w:rPr>
          <w:noProof/>
          <w:color w:val="FF0000"/>
        </w:rPr>
        <w:t xml:space="preserve"> </w:t>
      </w:r>
      <w:r>
        <w:rPr>
          <w:noProof/>
        </w:rPr>
        <w:t>(i) activități legate de combustibilii fosili, inclusiv utilizarea în aval</w:t>
      </w:r>
      <w:r>
        <w:rPr>
          <w:rStyle w:val="FootnoteReference"/>
          <w:noProof/>
          <w:lang w:val="en-IE"/>
        </w:rPr>
        <w:footnoteReference w:id="45"/>
      </w:r>
      <w:r>
        <w:rPr>
          <w:noProof/>
        </w:rPr>
        <w:t>; (ii) activitățile din cadrul schemei UE de comercializare a certificatelor de emisii (ETS) care ating previziuni privind emisiile de gaze cu efect de seră care nu sunt mai mici decât valorile de referință relevante</w:t>
      </w:r>
      <w:r>
        <w:rPr>
          <w:rStyle w:val="FootnoteReference"/>
          <w:noProof/>
          <w:lang w:val="en-IE"/>
        </w:rPr>
        <w:footnoteReference w:id="46"/>
      </w:r>
      <w:r>
        <w:rPr>
          <w:noProof/>
        </w:rPr>
        <w:t>; (iii) activități legate de depozitele de deșeuri, incineratoare</w:t>
      </w:r>
      <w:r>
        <w:rPr>
          <w:rStyle w:val="FootnoteReference"/>
          <w:noProof/>
          <w:lang w:val="en-IE"/>
        </w:rPr>
        <w:footnoteReference w:id="47"/>
      </w:r>
      <w:r>
        <w:rPr>
          <w:noProof/>
        </w:rPr>
        <w:t xml:space="preserve"> și instalații de tratare mecano-biologică</w:t>
      </w:r>
      <w:r>
        <w:rPr>
          <w:rStyle w:val="FootnoteReference"/>
          <w:noProof/>
          <w:lang w:val="en-IE"/>
        </w:rPr>
        <w:footnoteReference w:id="48"/>
      </w:r>
      <w:r>
        <w:rPr>
          <w:noProof/>
        </w:rPr>
        <w:t>; și (iv) activități în cadrul cărora eliminarea pe termen lung a deșeurilor poate dăuna mediului. În plus, mandatul impune ca numai activitățile care respectă legislația UE și națională relevantă în materie de mediu să poată fi selectate.</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Punerea în aplicare a investiției se finalizează până la 31 decembrie 2025.</w:t>
      </w:r>
    </w:p>
    <w:p>
      <w:pPr>
        <w:pStyle w:val="Text1"/>
        <w:ind w:left="0"/>
        <w:rPr>
          <w:noProof/>
          <w:u w:val="single"/>
        </w:rPr>
      </w:pPr>
      <w:r>
        <w:rPr>
          <w:noProof/>
          <w:u w:val="single"/>
        </w:rPr>
        <w:t xml:space="preserve">Investiția 4 (C13.I4) Sprijin pentru comerț </w:t>
      </w:r>
    </w:p>
    <w:p>
      <w:pPr>
        <w:pStyle w:val="Text1"/>
        <w:ind w:left="0"/>
        <w:rPr>
          <w:noProof/>
        </w:rPr>
      </w:pPr>
      <w:r>
        <w:rPr>
          <w:noProof/>
        </w:rPr>
        <w:t xml:space="preserve">Obiectivul măsurii este de a ajuta întreprinderile mici să se adapteze la digitalizarea sectorului comercial și la schimbarea comportamentului consumatorilor. </w:t>
      </w:r>
    </w:p>
    <w:p>
      <w:pPr>
        <w:pStyle w:val="Text1"/>
        <w:ind w:left="0"/>
        <w:rPr>
          <w:noProof/>
        </w:rPr>
      </w:pPr>
      <w:r>
        <w:rPr>
          <w:noProof/>
        </w:rPr>
        <w:t>Investiția are două direcții principale de acțiune.</w:t>
      </w:r>
    </w:p>
    <w:p>
      <w:pPr>
        <w:pStyle w:val="Text1"/>
        <w:numPr>
          <w:ilvl w:val="0"/>
          <w:numId w:val="135"/>
        </w:numPr>
        <w:rPr>
          <w:noProof/>
        </w:rPr>
      </w:pPr>
      <w:r>
        <w:rPr>
          <w:noProof/>
        </w:rPr>
        <w:t>Proiectele din sectorul comerțului mic au vizat încorporarea noilor tehnologii care permit comerțului local să răspundă noilor obiceiuri de consum, în cadrul „Fondului tehnologic” (200 proiecte). Printre proiectele eligibile în cadrul acestui fond se numără:</w:t>
      </w:r>
    </w:p>
    <w:p>
      <w:pPr>
        <w:pStyle w:val="Text1"/>
        <w:numPr>
          <w:ilvl w:val="1"/>
          <w:numId w:val="135"/>
        </w:numPr>
        <w:rPr>
          <w:noProof/>
        </w:rPr>
      </w:pPr>
      <w:r>
        <w:rPr>
          <w:noProof/>
        </w:rPr>
        <w:t>Proiecte în domeniul noilor tehnologii care vizează îmbunătățirea strategiei comerciale și de comunicare online, a modelelor de afaceri sau a experienței de cumpărare;</w:t>
      </w:r>
    </w:p>
    <w:p>
      <w:pPr>
        <w:pStyle w:val="Text1"/>
        <w:numPr>
          <w:ilvl w:val="1"/>
          <w:numId w:val="135"/>
        </w:numPr>
        <w:rPr>
          <w:noProof/>
        </w:rPr>
      </w:pPr>
      <w:r>
        <w:rPr>
          <w:noProof/>
        </w:rPr>
        <w:t>Proiecte în domeniul noilor tehnologii pentru adaptarea experienței cumpărăturilor fizice la noile nevoi și obiceiuri ale consumatorilor și la noile modele de gestionare;</w:t>
      </w:r>
    </w:p>
    <w:p>
      <w:pPr>
        <w:pStyle w:val="Text1"/>
        <w:numPr>
          <w:ilvl w:val="1"/>
          <w:numId w:val="135"/>
        </w:numPr>
        <w:rPr>
          <w:noProof/>
        </w:rPr>
      </w:pPr>
      <w:r>
        <w:rPr>
          <w:noProof/>
        </w:rPr>
        <w:t>Proiecte de soluții tehnologice pentru îmbunătățirea eficienței și durabilității logisticii pe ultimul kilometru;</w:t>
      </w:r>
    </w:p>
    <w:p>
      <w:pPr>
        <w:pStyle w:val="Text1"/>
        <w:numPr>
          <w:ilvl w:val="1"/>
          <w:numId w:val="135"/>
        </w:numPr>
        <w:rPr>
          <w:noProof/>
        </w:rPr>
      </w:pPr>
      <w:r>
        <w:rPr>
          <w:noProof/>
        </w:rPr>
        <w:t xml:space="preserve">Proiecte de punere în aplicare a soluțiilor tehnologice de îmbunătățire a eficienței energetice și a utilizării eficiente a resurselor. </w:t>
      </w:r>
    </w:p>
    <w:p>
      <w:pPr>
        <w:pStyle w:val="Text1"/>
        <w:ind w:left="0"/>
        <w:rPr>
          <w:noProof/>
        </w:rPr>
      </w:pPr>
      <w:r>
        <w:rPr>
          <w:noProof/>
        </w:rPr>
        <w:t>Investiția va fi completată prin crearea unei platforme digitale (</w:t>
      </w:r>
      <w:r>
        <w:rPr>
          <w:i/>
          <w:noProof/>
        </w:rPr>
        <w:t>Plataforma Comercio Conectado</w:t>
      </w:r>
      <w:r>
        <w:rPr>
          <w:noProof/>
        </w:rPr>
        <w:t xml:space="preserve">) pentru a promova digitalizarea sectorului. </w:t>
      </w:r>
    </w:p>
    <w:p>
      <w:pPr>
        <w:pStyle w:val="Text1"/>
        <w:numPr>
          <w:ilvl w:val="0"/>
          <w:numId w:val="135"/>
        </w:numPr>
        <w:rPr>
          <w:noProof/>
        </w:rPr>
      </w:pPr>
      <w:r>
        <w:rPr>
          <w:noProof/>
        </w:rPr>
        <w:t xml:space="preserve">Proiecte prezentate de autoritățile locale pentru îmbunătățirea modernizării piețelor municipale, a zonelor comerciale, a piețelor de vânzări nesedentare și a canalelor scurte de marketing, în cadrul programului „Piețe durabile” (130 proiecte). Printre proiectele eligibile în cadrul acestui program se numără: </w:t>
      </w:r>
    </w:p>
    <w:p>
      <w:pPr>
        <w:pStyle w:val="Text1"/>
        <w:numPr>
          <w:ilvl w:val="1"/>
          <w:numId w:val="135"/>
        </w:numPr>
        <w:rPr>
          <w:noProof/>
        </w:rPr>
      </w:pPr>
      <w:r>
        <w:rPr>
          <w:noProof/>
        </w:rPr>
        <w:t>Proiecte de adoptare a unor instrumente de informare a clienților pe baza volumelor mari de date sau a altor tehnologii;</w:t>
      </w:r>
    </w:p>
    <w:p>
      <w:pPr>
        <w:pStyle w:val="Text1"/>
        <w:numPr>
          <w:ilvl w:val="1"/>
          <w:numId w:val="135"/>
        </w:numPr>
        <w:rPr>
          <w:noProof/>
        </w:rPr>
      </w:pPr>
      <w:r>
        <w:rPr>
          <w:noProof/>
        </w:rPr>
        <w:t>Proiecte de transformare digitală a piețelor care îmbunătățesc piața canalelor omniprezente și experiența în materie de cumpărături;</w:t>
      </w:r>
    </w:p>
    <w:p>
      <w:pPr>
        <w:pStyle w:val="Text1"/>
        <w:numPr>
          <w:ilvl w:val="1"/>
          <w:numId w:val="135"/>
        </w:numPr>
        <w:rPr>
          <w:noProof/>
        </w:rPr>
      </w:pPr>
      <w:r>
        <w:rPr>
          <w:noProof/>
        </w:rPr>
        <w:t>Proiecte care vizează transformarea digitală a comerțului stradal și a canalelor scurte de comercializare;</w:t>
      </w:r>
    </w:p>
    <w:p>
      <w:pPr>
        <w:pStyle w:val="Text1"/>
        <w:numPr>
          <w:ilvl w:val="1"/>
          <w:numId w:val="135"/>
        </w:numPr>
        <w:rPr>
          <w:noProof/>
        </w:rPr>
      </w:pPr>
      <w:r>
        <w:rPr>
          <w:noProof/>
        </w:rPr>
        <w:t>Proiecte de lucrări și de renovare pentru îmbunătățirea instalațiilor, a accesibilității, a echipamentelor și a adecvării zonelor ocupate de piețele municipale, de zonele comerciale și de piețele nesedentare, precum și a zonelor adiacente acestora;</w:t>
      </w:r>
    </w:p>
    <w:p>
      <w:pPr>
        <w:pStyle w:val="Text1"/>
        <w:numPr>
          <w:ilvl w:val="1"/>
          <w:numId w:val="135"/>
        </w:numPr>
        <w:rPr>
          <w:noProof/>
        </w:rPr>
      </w:pPr>
      <w:r>
        <w:rPr>
          <w:noProof/>
        </w:rPr>
        <w:t>Proiecte de reducere a consumului de factori de producție prin comerț și înlocuirea acestora cu alternative ecologice;</w:t>
      </w:r>
    </w:p>
    <w:p>
      <w:pPr>
        <w:pStyle w:val="Text1"/>
        <w:numPr>
          <w:ilvl w:val="1"/>
          <w:numId w:val="135"/>
        </w:numPr>
        <w:rPr>
          <w:noProof/>
        </w:rPr>
      </w:pPr>
      <w:r>
        <w:rPr>
          <w:noProof/>
        </w:rPr>
        <w:t>Instalarea unor puncte de livrare inteligente;</w:t>
      </w:r>
    </w:p>
    <w:p>
      <w:pPr>
        <w:pStyle w:val="Text1"/>
        <w:numPr>
          <w:ilvl w:val="1"/>
          <w:numId w:val="135"/>
        </w:numPr>
        <w:rPr>
          <w:noProof/>
        </w:rPr>
      </w:pPr>
      <w:r>
        <w:rPr>
          <w:noProof/>
        </w:rPr>
        <w:t>Proiecte de îmbunătățire a eficienței energetice;</w:t>
      </w:r>
    </w:p>
    <w:p>
      <w:pPr>
        <w:pStyle w:val="Text1"/>
        <w:numPr>
          <w:ilvl w:val="1"/>
          <w:numId w:val="135"/>
        </w:numPr>
        <w:rPr>
          <w:noProof/>
        </w:rPr>
      </w:pPr>
      <w:r>
        <w:rPr>
          <w:noProof/>
        </w:rPr>
        <w:t>Acțiuni care promovează reciclarea sau reutilizarea deșeurilor;</w:t>
      </w:r>
    </w:p>
    <w:p>
      <w:pPr>
        <w:pStyle w:val="Text1"/>
        <w:numPr>
          <w:ilvl w:val="1"/>
          <w:numId w:val="135"/>
        </w:numPr>
        <w:rPr>
          <w:noProof/>
        </w:rPr>
      </w:pPr>
      <w:r>
        <w:rPr>
          <w:noProof/>
        </w:rPr>
        <w:t>Sensibilizarea și formarea în domeniul competențelor tehnologice.</w:t>
      </w:r>
    </w:p>
    <w:p>
      <w:pPr>
        <w:pStyle w:val="Text1"/>
        <w:ind w:left="0"/>
        <w:rPr>
          <w:iCs/>
          <w:noProof/>
          <w:highlight w:val="green"/>
        </w:rPr>
      </w:pPr>
      <w:r>
        <w:rPr>
          <w:noProof/>
        </w:rPr>
        <w:t>Pentru a se asigura că măsura respectă Orientările tehnice „Fără prejudicii semnificative” (2021/C58/01), criteriile de eligibilitate cuprinse în termeni de referință pentru viitoarele cereri de propuneri de proiecte exclud următoarea listă de activități:</w:t>
      </w:r>
      <w:r>
        <w:rPr>
          <w:noProof/>
          <w:color w:val="FF0000"/>
        </w:rPr>
        <w:t xml:space="preserve"> </w:t>
      </w:r>
      <w:r>
        <w:rPr>
          <w:noProof/>
        </w:rPr>
        <w:t>(i) activități legate de combustibilii fosili, inclusiv utilizarea în aval</w:t>
      </w:r>
      <w:r>
        <w:rPr>
          <w:rStyle w:val="FootnoteReference"/>
          <w:noProof/>
          <w:lang w:val="en-IE"/>
        </w:rPr>
        <w:footnoteReference w:id="49"/>
      </w:r>
      <w:r>
        <w:rPr>
          <w:noProof/>
        </w:rPr>
        <w:t>; (ii) activitățile din cadrul schemei UE de comercializare a certificatelor de emisii (ETS) care ating previziuni privind emisiile de gaze cu efect de seră care nu sunt mai mici decât valorile de referință relevante</w:t>
      </w:r>
      <w:r>
        <w:rPr>
          <w:rStyle w:val="FootnoteReference"/>
          <w:noProof/>
          <w:lang w:val="en-IE"/>
        </w:rPr>
        <w:footnoteReference w:id="50"/>
      </w:r>
      <w:r>
        <w:rPr>
          <w:noProof/>
        </w:rPr>
        <w:t>; (iii) activități legate de depozitele de deșeuri, incineratoare</w:t>
      </w:r>
      <w:r>
        <w:rPr>
          <w:rStyle w:val="FootnoteReference"/>
          <w:noProof/>
          <w:lang w:val="en-IE"/>
        </w:rPr>
        <w:footnoteReference w:id="51"/>
      </w:r>
      <w:r>
        <w:rPr>
          <w:noProof/>
        </w:rPr>
        <w:t xml:space="preserve"> și instalații de tratare mecano-biologică</w:t>
      </w:r>
      <w:r>
        <w:rPr>
          <w:rStyle w:val="FootnoteReference"/>
          <w:noProof/>
          <w:lang w:val="en-IE"/>
        </w:rPr>
        <w:footnoteReference w:id="52"/>
      </w:r>
      <w:r>
        <w:rPr>
          <w:noProof/>
        </w:rPr>
        <w:t>; și (iv) activități în cadrul cărora eliminarea pe termen lung a deșeurilor poate dăuna mediului. În plus, mandatul impune ca numai activitățile care respectă legislația UE și națională relevantă în materie de mediu să poată fi selectate.</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Punerea în aplicare a investiției se finalizează până la 31 decembrie 2024.</w:t>
      </w:r>
    </w:p>
    <w:p>
      <w:pPr>
        <w:pStyle w:val="Text1"/>
        <w:ind w:left="0"/>
        <w:rPr>
          <w:noProof/>
          <w:u w:val="single"/>
        </w:rPr>
      </w:pPr>
      <w:r>
        <w:rPr>
          <w:noProof/>
          <w:u w:val="single"/>
        </w:rPr>
        <w:t xml:space="preserve">Investiții 5 (C13.I5) Internaționalizare </w:t>
      </w:r>
    </w:p>
    <w:p>
      <w:pPr>
        <w:pStyle w:val="Text1"/>
        <w:ind w:left="0"/>
        <w:rPr>
          <w:noProof/>
        </w:rPr>
      </w:pPr>
      <w:r>
        <w:rPr>
          <w:noProof/>
        </w:rPr>
        <w:t>Obiectivul măsurii este de a consolida capacitățile și instrumentele sistemului spaniol de sprijinire a exporturilor, de internaționalizare și de investiții străine.</w:t>
      </w:r>
    </w:p>
    <w:p>
      <w:pPr>
        <w:pStyle w:val="Text1"/>
        <w:ind w:left="0"/>
        <w:rPr>
          <w:noProof/>
        </w:rPr>
      </w:pPr>
      <w:r>
        <w:rPr>
          <w:noProof/>
        </w:rPr>
        <w:t>Investiția constă într-un set de 11 acțiuni, după cum urmează:</w:t>
      </w:r>
    </w:p>
    <w:p>
      <w:pPr>
        <w:pStyle w:val="Text1"/>
        <w:numPr>
          <w:ilvl w:val="0"/>
          <w:numId w:val="136"/>
        </w:numPr>
        <w:rPr>
          <w:noProof/>
        </w:rPr>
      </w:pPr>
      <w:r>
        <w:rPr>
          <w:noProof/>
        </w:rPr>
        <w:t>Linie de finanțare pentru studii de fezabilitate, de fezabilitate, de prefezabilitate și de modernizare sectorială și instituțională;</w:t>
      </w:r>
    </w:p>
    <w:p>
      <w:pPr>
        <w:pStyle w:val="Text1"/>
        <w:numPr>
          <w:ilvl w:val="0"/>
          <w:numId w:val="136"/>
        </w:numPr>
        <w:rPr>
          <w:noProof/>
        </w:rPr>
      </w:pPr>
      <w:r>
        <w:rPr>
          <w:noProof/>
        </w:rPr>
        <w:t>Programul INNOVA Invest pentru sprijinirea investițiilor străine în C &amp; D;</w:t>
      </w:r>
    </w:p>
    <w:p>
      <w:pPr>
        <w:pStyle w:val="Text1"/>
        <w:numPr>
          <w:ilvl w:val="0"/>
          <w:numId w:val="136"/>
        </w:numPr>
        <w:rPr>
          <w:noProof/>
        </w:rPr>
      </w:pPr>
      <w:r>
        <w:rPr>
          <w:noProof/>
        </w:rPr>
        <w:t>Programul VIVES de a oferi sprijin financiar pentru angajarea de stagiari în întreprinderile implicate în activități de export;</w:t>
      </w:r>
    </w:p>
    <w:p>
      <w:pPr>
        <w:pStyle w:val="Text1"/>
        <w:numPr>
          <w:ilvl w:val="0"/>
          <w:numId w:val="136"/>
        </w:numPr>
        <w:rPr>
          <w:noProof/>
        </w:rPr>
      </w:pPr>
      <w:r>
        <w:rPr>
          <w:noProof/>
        </w:rPr>
        <w:t>Programul internațional de formare de mentorat;</w:t>
      </w:r>
    </w:p>
    <w:p>
      <w:pPr>
        <w:pStyle w:val="Text1"/>
        <w:numPr>
          <w:ilvl w:val="0"/>
          <w:numId w:val="136"/>
        </w:numPr>
        <w:rPr>
          <w:noProof/>
        </w:rPr>
      </w:pPr>
      <w:r>
        <w:rPr>
          <w:noProof/>
        </w:rPr>
        <w:t>Programul de consolidare a sistemelor de comunicații, a serviciilor telematice și a digitalizării asociațiilor de export, a federațiilor de export, a camerelor de comerț spaniole și a federațiilor acestora;</w:t>
      </w:r>
    </w:p>
    <w:p>
      <w:pPr>
        <w:pStyle w:val="Text1"/>
        <w:numPr>
          <w:ilvl w:val="0"/>
          <w:numId w:val="136"/>
        </w:numPr>
        <w:rPr>
          <w:noProof/>
        </w:rPr>
      </w:pPr>
      <w:r>
        <w:rPr>
          <w:noProof/>
        </w:rPr>
        <w:t>Programul de extindere bazat pe export, un program care oferă îndrumare personalizată pentru internaționalizarea întreprinderilor și, în special, a IMM-urilor;</w:t>
      </w:r>
    </w:p>
    <w:p>
      <w:pPr>
        <w:pStyle w:val="Text1"/>
        <w:numPr>
          <w:ilvl w:val="0"/>
          <w:numId w:val="136"/>
        </w:numPr>
        <w:rPr>
          <w:noProof/>
        </w:rPr>
      </w:pPr>
      <w:r>
        <w:rPr>
          <w:noProof/>
        </w:rPr>
        <w:t>Programul pentru consolidarea ecosistemului spaniol al întreprinderilor cu creștere rapidă;</w:t>
      </w:r>
    </w:p>
    <w:p>
      <w:pPr>
        <w:pStyle w:val="Text1"/>
        <w:numPr>
          <w:ilvl w:val="0"/>
          <w:numId w:val="136"/>
        </w:numPr>
        <w:rPr>
          <w:noProof/>
        </w:rPr>
      </w:pPr>
      <w:r>
        <w:rPr>
          <w:noProof/>
        </w:rPr>
        <w:t>Ajutoare pentru deschiderea și consolidarea piețelor prin subvenții pentru cheltuielile legate de inspecțiile și auditurile autorităților din țările terțe și pentru cheltuielile juridice și de consultanță în materie de apărare comercială;</w:t>
      </w:r>
    </w:p>
    <w:p>
      <w:pPr>
        <w:pStyle w:val="ListParagraph"/>
        <w:numPr>
          <w:ilvl w:val="0"/>
          <w:numId w:val="136"/>
        </w:numPr>
        <w:rPr>
          <w:rFonts w:ascii="Times New Roman" w:hAnsi="Times New Roman" w:cs="Times New Roman"/>
          <w:noProof/>
          <w:sz w:val="24"/>
          <w:szCs w:val="24"/>
        </w:rPr>
      </w:pPr>
      <w:r>
        <w:rPr>
          <w:rFonts w:ascii="Times New Roman" w:hAnsi="Times New Roman"/>
          <w:noProof/>
          <w:sz w:val="24"/>
          <w:szCs w:val="24"/>
        </w:rPr>
        <w:t>Un program de stimulare financiară al COFIDES (o instituție financiară deținută de stat care oferă finanțare pe termen mediu și lung pentru a sprijini proiectele de investiții la nivel internațional ale întreprinderilor) pentru a promova investițiile cu impact. Principalul său obiectiv este acela de a genera un impact măsurabil, social și/sau de mediu, alături de un randament financiar;</w:t>
      </w:r>
    </w:p>
    <w:p>
      <w:pPr>
        <w:pStyle w:val="Text1"/>
        <w:numPr>
          <w:ilvl w:val="0"/>
          <w:numId w:val="136"/>
        </w:numPr>
        <w:rPr>
          <w:noProof/>
        </w:rPr>
      </w:pPr>
      <w:r>
        <w:rPr>
          <w:noProof/>
        </w:rPr>
        <w:t>Stimularea digitalizării serviciilor guvernamentale pentru a sprijini internaționalizarea;</w:t>
      </w:r>
    </w:p>
    <w:p>
      <w:pPr>
        <w:pStyle w:val="Text1"/>
        <w:numPr>
          <w:ilvl w:val="0"/>
          <w:numId w:val="136"/>
        </w:numPr>
        <w:rPr>
          <w:noProof/>
        </w:rPr>
      </w:pPr>
      <w:r>
        <w:rPr>
          <w:noProof/>
        </w:rPr>
        <w:t>Digitalizarea ICEX (o entitate publică națională a întreprinderilor care promovează internaționalizarea întreprinderilor spaniole).</w:t>
      </w:r>
    </w:p>
    <w:p>
      <w:pPr>
        <w:pStyle w:val="Text1"/>
        <w:ind w:left="0"/>
        <w:rPr>
          <w:iCs/>
          <w:noProof/>
          <w:highlight w:val="green"/>
        </w:rPr>
      </w:pPr>
      <w:r>
        <w:rPr>
          <w:noProof/>
        </w:rPr>
        <w:t>Pentru a se asigura că măsura respectă Orientările tehnice „Fără prejudicii semnificative” (2021/C58/01), criteriile de eligibilitate cuprinse în termeni de referință pentru viitoarele cereri de propuneri de proiecte exclud următoarea listă de activități:</w:t>
      </w:r>
      <w:r>
        <w:rPr>
          <w:noProof/>
          <w:color w:val="FF0000"/>
        </w:rPr>
        <w:t xml:space="preserve"> </w:t>
      </w:r>
      <w:r>
        <w:rPr>
          <w:noProof/>
        </w:rPr>
        <w:t>(i) activități legate de combustibilii fosili, inclusiv utilizarea în aval</w:t>
      </w:r>
      <w:r>
        <w:rPr>
          <w:rStyle w:val="FootnoteReference"/>
          <w:noProof/>
          <w:lang w:val="en-IE"/>
        </w:rPr>
        <w:footnoteReference w:id="53"/>
      </w:r>
      <w:r>
        <w:rPr>
          <w:noProof/>
        </w:rPr>
        <w:t>; (ii) activitățile din cadrul schemei UE de comercializare a certificatelor de emisii (ETS) care ating previziuni privind emisiile de gaze cu efect de seră care nu sunt mai mici decât valorile de referință relevante</w:t>
      </w:r>
      <w:r>
        <w:rPr>
          <w:rStyle w:val="FootnoteReference"/>
          <w:noProof/>
          <w:lang w:val="en-IE"/>
        </w:rPr>
        <w:footnoteReference w:id="54"/>
      </w:r>
      <w:r>
        <w:rPr>
          <w:noProof/>
        </w:rPr>
        <w:t>; (iii) activități legate de depozitele de deșeuri, incineratoare</w:t>
      </w:r>
      <w:r>
        <w:rPr>
          <w:rStyle w:val="FootnoteReference"/>
          <w:noProof/>
          <w:lang w:val="en-IE"/>
        </w:rPr>
        <w:footnoteReference w:id="55"/>
      </w:r>
      <w:r>
        <w:rPr>
          <w:noProof/>
        </w:rPr>
        <w:t xml:space="preserve"> și instalații de tratare mecano-biologică</w:t>
      </w:r>
      <w:r>
        <w:rPr>
          <w:rStyle w:val="FootnoteReference"/>
          <w:noProof/>
          <w:lang w:val="en-IE"/>
        </w:rPr>
        <w:footnoteReference w:id="56"/>
      </w:r>
      <w:r>
        <w:rPr>
          <w:noProof/>
        </w:rPr>
        <w:t>; și (iv) activități în cadrul cărora eliminarea pe termen lung a deșeurilor poate dăuna mediului. În plus, mandatul impune ca numai activitățile care respectă legislația UE și națională relevantă în materie de mediu să poată fi selectate.</w:t>
      </w:r>
    </w:p>
    <w:p>
      <w:pPr>
        <w:pStyle w:val="Text1"/>
        <w:ind w:left="0"/>
        <w:rPr>
          <w:noProof/>
        </w:rPr>
      </w:pPr>
      <w:r>
        <w:rPr>
          <w:noProof/>
        </w:rPr>
        <w:t xml:space="preserve">Pentru instrumentele financiare, pentru a se asigura că măsura respectă Orientările tehnice privind principiul „de a nu prejudicia în mod semnificativ”(2021/C58/01), acordul juridic dintre autoritățile spaniole și entitatea căreia i-a fost încredințată execuția sau intermediarul financiar responsabil de instrumentul financiar și politica de investiții ulterioară a instrumentului financiar </w:t>
      </w:r>
    </w:p>
    <w:p>
      <w:pPr>
        <w:pStyle w:val="Text1"/>
        <w:numPr>
          <w:ilvl w:val="0"/>
          <w:numId w:val="177"/>
        </w:numPr>
        <w:rPr>
          <w:noProof/>
        </w:rPr>
      </w:pPr>
      <w:r>
        <w:rPr>
          <w:noProof/>
        </w:rPr>
        <w:t>să solicite aplicarea orientărilor tehnice ale Comisiei privind evaluarea sustenabilității pentru Fondul InvestEU; și</w:t>
      </w:r>
    </w:p>
    <w:p>
      <w:pPr>
        <w:pStyle w:val="Text1"/>
        <w:numPr>
          <w:ilvl w:val="0"/>
          <w:numId w:val="177"/>
        </w:numPr>
        <w:rPr>
          <w:noProof/>
        </w:rPr>
      </w:pPr>
      <w:r>
        <w:rPr>
          <w:noProof/>
        </w:rPr>
        <w:t>exclude de la eligibilitate următoarea listă de activități și active: (i) activități și active legate de combustibilii fosili, inclusiv utilizarea în aval</w:t>
      </w:r>
      <w:r>
        <w:rPr>
          <w:noProof/>
          <w:vertAlign w:val="superscript"/>
          <w:lang w:val="en-IE"/>
        </w:rPr>
        <w:footnoteReference w:id="57"/>
      </w:r>
      <w:r>
        <w:rPr>
          <w:noProof/>
        </w:rPr>
        <w:t>; (ii) activitățile și activele din cadrul schemei UE de comercializare a certificatelor de emisii (ETS) care ating previziuni privind emisiile de gaze cu efect de seră care nu sunt mai mici decât valorile de referință relevante</w:t>
      </w:r>
      <w:r>
        <w:rPr>
          <w:noProof/>
          <w:vertAlign w:val="superscript"/>
          <w:lang w:val="en-IE"/>
        </w:rPr>
        <w:footnoteReference w:id="58"/>
      </w:r>
      <w:r>
        <w:rPr>
          <w:noProof/>
        </w:rPr>
        <w:t>; (iii) activități și active legate de depozitele de deșeuri, incineratoare</w:t>
      </w:r>
      <w:r>
        <w:rPr>
          <w:noProof/>
          <w:vertAlign w:val="superscript"/>
          <w:lang w:val="en-IE"/>
        </w:rPr>
        <w:footnoteReference w:id="59"/>
      </w:r>
      <w:r>
        <w:rPr>
          <w:noProof/>
        </w:rPr>
        <w:t xml:space="preserve"> și stații de tratare mecano-biologică</w:t>
      </w:r>
      <w:r>
        <w:rPr>
          <w:noProof/>
          <w:vertAlign w:val="superscript"/>
          <w:lang w:val="en-IE"/>
        </w:rPr>
        <w:footnoteReference w:id="60"/>
      </w:r>
      <w:r>
        <w:rPr>
          <w:noProof/>
        </w:rPr>
        <w:t>; și (iv) activități și active în cazul cărora eliminarea pe termen lung a deșeurilor poate dăuna mediului; și</w:t>
      </w:r>
    </w:p>
    <w:p>
      <w:pPr>
        <w:pStyle w:val="Text1"/>
        <w:numPr>
          <w:ilvl w:val="0"/>
          <w:numId w:val="177"/>
        </w:numPr>
        <w:rPr>
          <w:noProof/>
        </w:rPr>
      </w:pPr>
      <w:r>
        <w:rPr>
          <w:noProof/>
        </w:rPr>
        <w:t>să solicite verificarea conformității juridice a proiectelor cu legislația UE și națională relevantă în materie de mediu de către entitatea căreia i-a fost încredințată execuția/intermediarul financiar pentru toate tranzacțiile, inclusiv pentru cele exceptate de la verificarea durabilității.</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Punerea în aplicare a investiției se finalizează până la 31 decembrie 2024.</w:t>
      </w:r>
    </w:p>
    <w:p>
      <w:pPr>
        <w:spacing w:before="120" w:after="120" w:line="240" w:lineRule="auto"/>
        <w:ind w:left="709"/>
        <w:jc w:val="both"/>
        <w:rPr>
          <w:rFonts w:ascii="Times New Roman" w:hAnsi="Times New Roman" w:cs="Times New Roman"/>
          <w:b/>
          <w:noProof/>
          <w:sz w:val="24"/>
          <w:szCs w:val="24"/>
          <w:u w:val="single"/>
        </w:rPr>
      </w:pPr>
      <w:r>
        <w:rPr>
          <w:rFonts w:ascii="Times New Roman" w:hAnsi="Times New Roman"/>
          <w:b/>
          <w:noProof/>
          <w:sz w:val="24"/>
          <w:szCs w:val="24"/>
          <w:u w:val="single"/>
        </w:rPr>
        <w:t xml:space="preserve">M.2. </w:t>
      </w:r>
      <w:r>
        <w:rPr>
          <w:rFonts w:ascii="Times New Roman" w:hAnsi="Times New Roman"/>
          <w:b/>
          <w:noProof/>
          <w:sz w:val="24"/>
          <w:u w:val="single"/>
        </w:rPr>
        <w:tab/>
      </w:r>
      <w:r>
        <w:rPr>
          <w:rFonts w:ascii="Times New Roman" w:hAnsi="Times New Roman"/>
          <w:b/>
          <w:noProof/>
          <w:sz w:val="24"/>
          <w:szCs w:val="24"/>
          <w:u w:val="single"/>
        </w:rPr>
        <w:t>Jaloane, ținte, indicatori și calendarul de monitorizare și implementare aplicabile sprijinului financiar nerambursabil</w:t>
      </w:r>
    </w:p>
    <w:p>
      <w:pPr>
        <w:spacing w:before="120" w:after="120" w:line="240" w:lineRule="auto"/>
        <w:jc w:val="both"/>
        <w:rPr>
          <w:rFonts w:ascii="Times New Roman" w:hAnsi="Times New Roman" w:cs="Times New Roman"/>
          <w:b/>
          <w:noProof/>
          <w:sz w:val="24"/>
          <w:szCs w:val="24"/>
          <w:u w:val="single"/>
        </w:rPr>
      </w:pPr>
      <w:r>
        <w:rPr>
          <w:rFonts w:ascii="Times New Roman" w:hAnsi="Times New Roman"/>
          <w:i/>
          <w:noProof/>
          <w:color w:val="000000"/>
          <w:sz w:val="24"/>
          <w:szCs w:val="24"/>
        </w:rPr>
        <w:t>Tabelul de mai jos.</w:t>
      </w:r>
      <w:r>
        <w:rPr>
          <w:rFonts w:ascii="Times New Roman" w:hAnsi="Times New Roman"/>
          <w:noProof/>
          <w:color w:val="1F497D"/>
          <w:sz w:val="24"/>
          <w:szCs w:val="24"/>
        </w:rPr>
        <w:t xml:space="preserve"> </w:t>
      </w:r>
      <w:r>
        <w:rPr>
          <w:rFonts w:ascii="Times New Roman" w:hAnsi="Times New Roman"/>
          <w:i/>
          <w:noProof/>
          <w:color w:val="000000"/>
          <w:sz w:val="24"/>
          <w:szCs w:val="24"/>
        </w:rPr>
        <w:t>Data de referință pentru toți indicatorii este 1 februarie 2020, cu excepția cazului în care se indică altfel în descrierea acțiunii. Sumele din tabel nu includ TVA.</w:t>
      </w:r>
    </w:p>
    <w:p>
      <w:pPr>
        <w:spacing w:before="120" w:after="120" w:line="240" w:lineRule="auto"/>
        <w:ind w:left="709"/>
        <w:jc w:val="both"/>
        <w:rPr>
          <w:rFonts w:ascii="Times New Roman" w:hAnsi="Times New Roman" w:cs="Times New Roman"/>
          <w:noProof/>
          <w:sz w:val="24"/>
          <w:lang w:val="en-IE"/>
        </w:rPr>
      </w:pPr>
    </w:p>
    <w:p>
      <w:pPr>
        <w:spacing w:before="120" w:after="120" w:line="240" w:lineRule="auto"/>
        <w:ind w:left="709"/>
        <w:jc w:val="both"/>
        <w:rPr>
          <w:rFonts w:ascii="Times New Roman" w:hAnsi="Times New Roman" w:cs="Times New Roman"/>
          <w:noProof/>
          <w:sz w:val="24"/>
          <w:lang w:val="en-IE"/>
        </w:rPr>
        <w:sectPr>
          <w:headerReference w:type="even" r:id="rId163"/>
          <w:headerReference w:type="default" r:id="rId164"/>
          <w:footerReference w:type="even" r:id="rId165"/>
          <w:footerReference w:type="default" r:id="rId166"/>
          <w:headerReference w:type="first" r:id="rId167"/>
          <w:footerReference w:type="first" r:id="rId168"/>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2127"/>
        <w:gridCol w:w="1134"/>
        <w:gridCol w:w="850"/>
        <w:gridCol w:w="709"/>
        <w:gridCol w:w="992"/>
        <w:gridCol w:w="425"/>
        <w:gridCol w:w="567"/>
        <w:gridCol w:w="6096"/>
      </w:tblGrid>
      <w:tr>
        <w:trPr>
          <w:trHeight w:val="309"/>
          <w:tblHeader/>
        </w:trPr>
        <w:tc>
          <w:tcPr>
            <w:tcW w:w="70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Număr</w:t>
            </w:r>
          </w:p>
        </w:tc>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Măsură</w:t>
            </w:r>
          </w:p>
        </w:tc>
        <w:tc>
          <w:tcPr>
            <w:tcW w:w="85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Jalon</w:t>
            </w:r>
            <w:r>
              <w:rPr>
                <w:rFonts w:ascii="Times New Roman" w:hAnsi="Times New Roman"/>
                <w:b/>
                <w:noProof/>
                <w:color w:val="000000"/>
                <w:sz w:val="18"/>
                <w:szCs w:val="18"/>
              </w:rPr>
              <w:br/>
              <w:t xml:space="preserve"> /Țintă</w:t>
            </w:r>
          </w:p>
        </w:tc>
        <w:tc>
          <w:tcPr>
            <w:tcW w:w="2127"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Denumire</w:t>
            </w:r>
          </w:p>
        </w:tc>
        <w:tc>
          <w:tcPr>
            <w:tcW w:w="1134"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Indicator calitativ pentru obiectivele de etapă</w:t>
            </w:r>
          </w:p>
        </w:tc>
        <w:tc>
          <w:tcPr>
            <w:tcW w:w="2551" w:type="dxa"/>
            <w:gridSpan w:val="3"/>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Indicator cantitativ pentru obiectiv</w:t>
            </w:r>
          </w:p>
        </w:tc>
        <w:tc>
          <w:tcPr>
            <w:tcW w:w="992" w:type="dxa"/>
            <w:gridSpan w:val="2"/>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Timp</w:t>
            </w:r>
          </w:p>
        </w:tc>
        <w:tc>
          <w:tcPr>
            <w:tcW w:w="6096"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sz w:val="18"/>
                <w:szCs w:val="18"/>
              </w:rPr>
              <w:t>Descrierea fiecărui jalon și a fiecărei ținte</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2127"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134"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Unitate</w:t>
            </w:r>
          </w:p>
        </w:tc>
        <w:tc>
          <w:tcPr>
            <w:tcW w:w="709"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Scenariu de bază</w:t>
            </w:r>
          </w:p>
        </w:tc>
        <w:tc>
          <w:tcPr>
            <w:tcW w:w="992"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Obiectiv</w:t>
            </w:r>
          </w:p>
        </w:tc>
        <w:tc>
          <w:tcPr>
            <w:tcW w:w="425"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Q</w:t>
            </w:r>
          </w:p>
        </w:tc>
        <w:tc>
          <w:tcPr>
            <w:tcW w:w="567"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An</w:t>
            </w:r>
          </w:p>
        </w:tc>
        <w:tc>
          <w:tcPr>
            <w:tcW w:w="6096"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lang w:val="en-IE"/>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189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Intrarea în vigoare a Legii de modificare a Legii nr. 34/2006 privind accesul la profesiile de avocat și procuror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Dispoziție din lege care indică intrarea în vigoare a legii </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6096"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Legii de modificare a Legii nr. 34/2006 privind accesul la profesiile de avocat și procuradores:</w:t>
            </w:r>
            <w:r>
              <w:rPr>
                <w:rFonts w:ascii="Times New Roman" w:hAnsi="Times New Roman"/>
                <w:noProof/>
                <w:color w:val="000000"/>
                <w:sz w:val="18"/>
                <w:szCs w:val="18"/>
              </w:rPr>
              <w:br/>
              <w:t>- Reformarea sistemului actual de taxe minime într-un sistem de taxe maxime și o nouă obligație de a prezenta clientului o estimare a costurilor în cadrul consilierii.</w:t>
            </w:r>
            <w:r>
              <w:rPr>
                <w:rFonts w:ascii="Times New Roman" w:hAnsi="Times New Roman"/>
                <w:noProof/>
                <w:color w:val="000000"/>
                <w:sz w:val="18"/>
                <w:szCs w:val="18"/>
              </w:rPr>
              <w:br/>
              <w:t>- Permiterea activităților multidisciplinare ale profesiilor de avocat și procuror în cadrul aceleiași entități juridice</w:t>
            </w:r>
            <w:r>
              <w:rPr>
                <w:rFonts w:ascii="Times New Roman" w:hAnsi="Times New Roman"/>
                <w:noProof/>
                <w:color w:val="000000"/>
                <w:sz w:val="18"/>
                <w:szCs w:val="18"/>
              </w:rPr>
              <w:br/>
              <w:t>- Acces unic la profesiile de avocat și procuror</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190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Legii privind reforma Legii privind insolvența</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Dispoziție din lege care indică intrarea în vigoare a legii </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Intrarea în vigoare a reformei Legii privind insolvența. </w:t>
            </w:r>
            <w:r>
              <w:rPr>
                <w:rFonts w:ascii="Times New Roman" w:hAnsi="Times New Roman"/>
                <w:noProof/>
                <w:color w:val="000000"/>
                <w:sz w:val="18"/>
                <w:szCs w:val="18"/>
              </w:rPr>
              <w:br/>
              <w:t>Reforma Legii privind insolvența dincolo de cerințele directivei:</w:t>
            </w:r>
            <w:r>
              <w:rPr>
                <w:rFonts w:ascii="Times New Roman" w:hAnsi="Times New Roman"/>
                <w:noProof/>
                <w:color w:val="000000"/>
                <w:sz w:val="18"/>
                <w:szCs w:val="18"/>
              </w:rPr>
              <w:br/>
              <w:t>- instituirea unei proceduri mai eficiente de a doua șansă pentru persoanele fizice, care să permită reducerea datoriilor fără lichidarea prealabilă a activelor părții aflate în insolvență.</w:t>
            </w:r>
            <w:r>
              <w:rPr>
                <w:rFonts w:ascii="Times New Roman" w:hAnsi="Times New Roman"/>
                <w:noProof/>
                <w:color w:val="000000"/>
                <w:sz w:val="18"/>
                <w:szCs w:val="18"/>
              </w:rPr>
              <w:br/>
              <w:t>- stabilirea unei proceduri speciale pentru microîntreprinderi, care să reducă durata și costurile și să fie procesată integral prin mijloace electronice.</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191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Legii privind crearea și creșterea întreprinderilor</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Dispoziție din lege care indică intrarea în vigoare a legii </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Intrarea în vigoare a noii „Legi privind crearea și creșterea întreprinderilor” pentru a simplifica procedurile de înființare a unei întreprinderi și pentru a promova surse diversificate de finanțare pentru creșterea întreprinderilor. Legea privind crearea și creșterea întreprinderilor include, de asemenea, măsuri de promovare a unei culturi a plăților anticipate, în special pentru a furniza lichidități IMM-urilor și lucrătorilor independenți prin evitarea plăților întârziate. Măsurile care trebuie puse în aplicare pentru a promova o cultură a plăților anticipate includ orientări privind publicitatea și transparența termenelor de plată, cele mai bune practici comerciale și mecanisme pentru o mai bună aplicare, cum ar fi un sistem de soluționare extrajudiciară a litigiilor. Legea privind crearea și creșterea întreprinderilor include, de asemenea, modificări ale „Legii privind unitatea pieței” pentru a facilita punerea în aplicare a acesteia și pentru a consolida mecanismele disponibile pentru operatorii de pe piață afectați de barierele de pe piață.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192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C13.R2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Legii privind întreprinderile nou-înființate</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Dispoziție din lege care indică intrarea în vigoare a legii </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Intrarea în vigoare a Legii privind întreprinderile nou-înființate, care creează un cadru favorabil pentru crearea și dezvoltarea unor întreprinderi nou-înființate foarte inovatoare. Legea privind întreprinderile nou-înființate introduce reforme ale contribuțiilor fiscale sub forma unor stimulente pentru a încuraja și a facilita dezvoltarea întreprinderilor nou-înființate, precum și atragerea antreprenorilor și a investitorilor străini, în conformitate cu obiectivele de consolidare fiscală.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193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Antreprenori sau IMM-uri care beneficiază de măsuri de stimulare a ecosistemului antreprenorial</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6 900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Cel puțin 6 900 de antreprenori sau IMM-uri care au finalizat un program care vizează stimularea ecosistemului antreprenorial, sub egida Cadrului strategic privind politica pentru IMM-uri 2030, a Strategiei spaniole pentru antreprenoriat și a Agendei digitale spaniole 2025, incluzând cel puțin 2 000 de femei antreprenor/IMM-uri conduse sau participante de femei și în conformitate cu Orientările tehnice privind principiul „de a nu prejudicia în mod semnificativ”(2021/C58/01) privind tranzacțiile sprijinite în cadrul acestei măsuri prin utilizarea unei evaluări a durabilității, utilizarea unei liste de excludere și cerința de conformitate cu legislația relevantă de mediu a UE și a statelor membre.</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194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Utilizatorii care beneficiază de măsuri de stimulare a ecosistemului antreprenorial</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12 000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Cel puțin 12 000 de utilizatori care beneficiază de măsuri menite să stimuleze ecosistemul antreprenorial, sub egida Cadrului strategic privind politica pentru IMM-uri 2030, a Strategiei spaniole pentru antreprenoriat și a Agendei digitale spaniole 2025; și în conformitate cu Orientările tehnice privind principiul „de a nu prejudicia în mod semnificativ”(2021/C58/01) privind tranzacțiile care beneficiază de sprijin în cadrul acestei măsuri prin utilizarea evaluării durabilității, prin utilizarea unei liste de excludere și prin cerința de conformitate cu legislația UE și națională relevantă în materie de mediu.</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195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Alte acțiuni de diseminare, comunicare și finanțare</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480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Au fost finalizate cel puțin 480 de acțiuni pentru campanii de diseminare și comunicare pentru crearea, dezvoltarea sau atragerea în Spania a unor evenimente internaționale axate pe întreprinderi inovatoare și a unui program de atragere a talentelor femeilor. Aceasta include cel puțin 20 evenimente privind antreprenoriatul organizate în cadrul „programului de pavilion”; și cel puțin 260 de acțiuni de comunicare (200 de apariții în mass-media și 60 evenimente) sub „marca Spania Entrepreneurship Nation”.</w:t>
            </w:r>
            <w:r>
              <w:rPr>
                <w:rFonts w:ascii="Times New Roman" w:hAnsi="Times New Roman"/>
                <w:noProof/>
                <w:color w:val="000000"/>
                <w:sz w:val="18"/>
                <w:szCs w:val="18"/>
              </w:rPr>
              <w:br/>
              <w:t>Finanțarea unei linii de sprijin pentru antreprenoriat și IMM-uri prin intermediul programului de sprijinire a antreprenoriatului în rândul femeilor. Aceasta include sprijinul a cel puțin 200 de antreprenoare prin împrumuturi participative acordate de Empresa Nacional de Innovación, S.A., în conformitate cu Orientările tehnice privind principiul „de a nu prejudicia în mod semnificativ”(2021/C58/01) privind tranzacțiile care beneficiază de sprijin în cadrul acestei măsuri, prin utilizarea evaluării durabilității, utilizarea unei liste de excludere și cerința de conformitate cu legislația UE și națională relevantă în materie de mediu.</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196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Garanția CERSA</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EUR (milioane)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Garanția CERSA: Cel puțin o sumă de 1 000 000 000 EUR reprezentând garanții acordate de CERSA care permit IMM-urilor să obțină garanții pentru investiții pe termen lung și capital circulant. Criteriile de selecție asigură conformitatea cu Orientările tehnice privind principiul „de a nu prejudicia în mod semnificativ”(2021/C58/01) operațiunilor care beneficiază de sprijin în cadrul acestei măsuri, prin utilizarea evaluării durabilității, prin utilizarea unei liste de excludere și prin cerința de conformitate cu legislația UE și națională relevantă în materie de mediu.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197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IMM-uri sprijinite de programul „Competențe pentru creșterea IMM-urilor”</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11 000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Cel puțin 11 000 de IMM-uri au finalizat programul „Competențe pentru creșterea IMM-urilor”. Criteriile de selecție asigură conformitatea cu Orientările tehnice privind principiul „de a nu prejudicia în mod semnificativ”(2021/C58/01) operațiunilor care beneficiază de sprijin în cadrul acestei măsuri, prin utilizarea evaluării durabilității, prin utilizarea unei liste de excludere și prin cerința de conformitate cu legislația UE și națională relevantă în materie de mediu.</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198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Antreprenori și IMM-uri sprijinite de Programul de sprijin pentru antreprenoriatul industrial</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1 500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09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Finanțarea pe termen lung se acordă antreprenorilor și IMM-urilor pentru proiecte de investiții industriale în cadrul Programului de sprijin pentru antreprenoriatul industrial. Se acordă finanțare pentru crearea de întreprinderi industriale sau pentru extinderea instalațiilor existente.</w:t>
            </w:r>
            <w:r>
              <w:rPr>
                <w:rFonts w:ascii="Times New Roman" w:hAnsi="Times New Roman"/>
                <w:noProof/>
                <w:color w:val="000000"/>
                <w:sz w:val="18"/>
                <w:szCs w:val="18"/>
              </w:rPr>
              <w:br/>
              <w:t>Cel puțin 1 500 operațiuni au primit finanțare în perioada 1 ianuarie 2021-31 decembrie 2023. Criteriile de selecție asigură conformitatea cu Orientările tehnice privind principiul „de a nu prejudicia în mod semnificativ”(2021/C58/01) operațiunilor care beneficiază de sprijin în cadrul acestei măsuri, prin utilizarea evaluării durabilității, prin utilizarea unei liste de excludere și prin cerința de conformitate cu legislația UE și națională relevantă în materie de mediu.</w:t>
            </w:r>
          </w:p>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Valoare de referință 1 ianuarie 2021)</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199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Planul privind digitalizarea IMM-urilor pentru perioada 2021-2025</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Publicare</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Aprobarea de către Consiliul de Miniștri a Planului privind digitalizarea IMM-urilor pentru perioada 2021-2025, care prevede un set de instrumente care să includă în microîntreprinderi și în întreprinderile autonome instrumentele digitale deja disponibile, să stimuleze digitalizarea întreprinderilor mici și să promoveze inovarea tehnologică</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Bugetul alocat programului privind setul de instrumente digitale</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Cel puțin 30 % din bugetul de 3 067 000 000 EUR angajat, destinat acțiunilor de digitalizare a IMM-urilor prin intermediul programului de instrumente digitale, în conformitate cu Orientările tehnice privind principiul „de a nu prejudicia în mod semnificativ”(2021/C58/01), prin utilizarea unei liste de excludere și prin cerința de conformitate cu legislația UE și națională relevantă în materie de mediu.</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Bugetul angajat pentru programul „Agenții schimbării”</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Cel puțin 30 % din buget a fost angajat în valoare de 300 000 000 EUR, destinat IMM-urilor în cadrul programului „Agenții schimbării”. Cererile de propuneri cu mandat includ criterii de eligibilitate care să asigure conformitatea proiectelor selectate cu Orientările tehnice privind principiul „de a nu prejudicia în mod semnificativ”(2021/C58/01) prin utilizarea unei liste de excludere și prin cerința de conformitate cu legislația UE și națională relevantă în materie de mediu.</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Buget alocat Programului de sprijin pentru clusterele de afaceri inovatoare</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Cel puțin 30 % din buget a fost angajat în valoare de 115 000 000 EUR, destinat IMM-urilor în cadrul „Programului de sprijin pentru clusterele de afaceri inovatoare”. Cererile de propuneri cu mandat includ criterii de eligibilitate care să asigure conformitatea proiectelor selectate cu Orientările tehnice privind principiul „de a nu prejudicia în mod semnificativ”(2021/C58/01) prin utilizarea unei liste de excludere și prin cerința de conformitate cu legislația UE și națională relevantă în materie de mediu.</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Bugetul angajat pentru programul de centre de inovare digitală</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Cel puțin 30 % din bugetul angajat în valoare de 37 590 000 EUR, destinat IMM-urilor în cadrul „Programului privind centrele de inovare digitală”. Cererile de propuneri cu mandat includ criterii de eligibilitate care să asigure conformitatea proiectelor selectate cu Orientările tehnice privind principiul „de a nu prejudicia în mod semnificativ”(2021/C58/01) prin utilizarea unei liste de excludere și prin cerința de conformitate cu legislația UE și națională relevantă în materie de mediu.</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IMM-uri sprijinite de programul de instrumente digitale</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800 000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Cel puțin 800 000 de IMM-uri au primit sprijin din partea programului „Setul de instrumente digitale”, în conformitate cu Orientările tehnice privind principiul „de a nu prejudicia în mod semnificativ”(2021/C58/01), prin utilizarea unei liste de excludere și prin cerința de conformitate cu legislația UE și națională relevantă în materie de mediu.</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Execuția bugetului programului „Agenții schimbării”</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100 % din buget a fost angajat în valoare de 300 000 000 EUR, acordat IMM-urilor în cadrul programului „Agenții schimbării”. Acesta este un program care urmărește să sprijine cel puțin 15 000 de întreprinderi mici și mijlocii (10-249 de angajați) în procesele lor de transformare digitală. Criteriile de selecție asigură conformitatea cu Orientările tehnice „nu cauzează prejudicii semnificative” (2021/C58/01) prin utilizarea unei liste de excludere și prin cerința de conformitate cu legislația UE și națională relevantă în materie de mediu. (valoare de referință: 31 decembrie 2022).</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Execuția bugetului Programului de sprijin pentru clusterele de afaceri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100 % din buget a fost angajat în valoare de 115 000 000 EUR, destinat IMM-urilor în cadrul „Programului de sprijinire a clusterelor de afaceri inovatoare”. Scopul acestei măsuri este de a sprijini proiecte de digitalizare a lanțului valoric al diferitelor sectoare industriale, cu scopul de a le moderniza și de a include IMM-urile în haina de valoare. Cererile de propuneri cu mandat includ criterii de eligibilitate care să asigure conformitatea proiectelor selectate cu Orientările tehnice privind principiul „de a nu prejudicia în mod semnificativ”(2021/C58/01) prin utilizarea unei liste de excludere și prin cerința de conformitate cu legislația UE și națională relevantă în materie de mediu. (valoare de referință: 31 decembrie 2022).</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Execuția bugetului programului pentru centrele de inovare digitală</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100 % din bugetul de 37 590 000 EUR angajat, destinat IMM-urilor în cadrul „Programului privind centrele de inovare digitală”. Acesta este un program menit să ajute întreprinderile să devină mai competitive, prin îmbunătățirea proceselor lor de afaceri și de producție prin utilizarea intensivă a tehnologiilor digitale. Ca parte a acestei submăsuri, vor fi sprijinite 25 de centre de inovare digitală. Cererile de propuneri cu mandat includ criterii de eligibilitate care să asigure conformitatea proiectelor selectate cu Orientările tehnice privind principiul „de a nu prejudicia în mod semnificativ”(2021/C58/01) prin utilizarea unei liste de excludere și prin cerința de conformitate cu legislația UE și națională relevantă în materie de mediu. (valoare de referință: 31 decembrie 2022).</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Finalizarea programului privind setul de instrumente digitale</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800 000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1 000 000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6096" w:type="dxa"/>
            <w:shd w:val="clear" w:color="auto" w:fill="C6EFCE"/>
            <w:noWrap/>
          </w:tcPr>
          <w:p>
            <w:pPr>
              <w:spacing w:after="12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Cel puțin 1 000 000 de IMM-uri au primit sprijin din partea programului „Setul de instrumente digitale”, în conformitate cu Orientările tehnice privind principiul „de a nu prejudicia în mod semnificativ”(2021/C58/01), prin utilizarea unei liste de excludere și prin cerința de conformitate cu legislația UE și națională relevantă în materie de mediu. Programul se bazează pe acordarea de granturi pentru a sprijini integrarea tehnologiei digitale în vederea adoptării eficace a comerțului electronic, a digitalizării relațiilor cu administrația și cu clienții, a dezvoltării proceselor digitale interne și a introducerii facturării electronice și a marketingului digital; promovarea unor soluții orientate în special spre servicii. Programul va subvenționa parțial costurile adoptării pachetelor de soluții digitale de bază, cum ar fi prezența pe internet, vânzarea electronică, birourile de cloud, locurile de muncă digitale, digitalizarea proceselor de bază, gestionarea clienților, marketingul digital și securitatea cibernetică. (valoare de referință: duminică, 31 decembrie 2023).</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IMM-urile care au finalizat acțiuni menite să sporească utilizarea tehnologiilor digitale (cu excepția setului de instrumente digitale)</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171 000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2025</w:t>
            </w:r>
          </w:p>
        </w:tc>
        <w:tc>
          <w:tcPr>
            <w:tcW w:w="6096" w:type="dxa"/>
            <w:shd w:val="clear" w:color="auto" w:fill="C6EFCE"/>
            <w:noWrap/>
          </w:tcPr>
          <w:p>
            <w:pPr>
              <w:pStyle w:val="Text1"/>
              <w:spacing w:before="0"/>
              <w:ind w:left="0"/>
              <w:jc w:val="left"/>
              <w:rPr>
                <w:noProof/>
                <w:sz w:val="18"/>
                <w:szCs w:val="18"/>
              </w:rPr>
            </w:pPr>
            <w:r>
              <w:rPr>
                <w:noProof/>
                <w:color w:val="000000"/>
                <w:sz w:val="18"/>
                <w:szCs w:val="18"/>
              </w:rPr>
              <w:t xml:space="preserve">Cel puțin 171 000 de IMM-uri care au finalizat acțiuni menite să sporească utilizarea tehnologiilor digitale, fiind sprijinite de următoarele programe: „Actori ai schimbării”, „acceleratori IMM 2.0”; „Programul de sprijin pentru clusterele de afaceri inovatoare” și „Programul privind centrele de inovare digitală”. Cererile de propuneri cu mandat includ criterii de eligibilitate care să asigure conformitatea proiectelor selectate cu Orientările tehnice privind principiul „de a nu prejudicia în mod semnificativ”(2021/C58/01) prin utilizarea unei liste de excludere și prin cerința de conformitate cu legislația UE și națională relevantă în materie de mediu. </w:t>
            </w:r>
            <w:r>
              <w:rPr>
                <w:noProof/>
                <w:color w:val="000000"/>
                <w:sz w:val="18"/>
                <w:szCs w:val="18"/>
              </w:rPr>
              <w:br/>
              <w:t>1) programul „Actori ai schimbării”: acesta este un program care sprijină cel puțin 15 000 de întreprinderi mici și mijlocii (TEN-249 de angajați) în procesele lor de transformare digitală.</w:t>
            </w:r>
            <w:r>
              <w:rPr>
                <w:noProof/>
                <w:color w:val="000000"/>
                <w:sz w:val="18"/>
                <w:szCs w:val="18"/>
              </w:rPr>
              <w:br/>
              <w:t>2) programul „Acceleratori IMM 2.0”: aceasta este o acțiune din cadrul investiției care va extinde infrastructura de sprijinire a digitalizării IMM-urilor prin servicii de consiliere și servicii de formare.</w:t>
            </w:r>
            <w:r>
              <w:rPr>
                <w:noProof/>
                <w:color w:val="000000"/>
                <w:sz w:val="18"/>
                <w:szCs w:val="18"/>
              </w:rPr>
              <w:br/>
              <w:t>3) programul „Sprijin inovator pentru clusterele de afaceri”: aceasta va sprijini proiectele de digitalizare a lanțului valoric din diferitele sectoare industriale, cu obiectivul de a le moderniza și de a include IMM-urile în lanțul valoric.</w:t>
            </w:r>
            <w:r>
              <w:rPr>
                <w:noProof/>
                <w:color w:val="000000"/>
                <w:sz w:val="18"/>
                <w:szCs w:val="18"/>
              </w:rPr>
              <w:br/>
              <w:t>4) programul „Centre de inovare digitală” (DIH): acesta este un program menit să ajute întreprinderile să devină mai competitive, prin îmbunătățirea proceselor lor de afaceri și de producție prin utilizarea intensivă a tehnologiilor digitale.</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210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C13.I4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IMM-uri și asociații de întreprinderi care au primit sprijin din partea Fondului tehnologic</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09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Cel puțin 200 IMM-uri sau asociații de întreprinderi din sectorul comercial care au primit sprijin sub formă de granturi din partea Fondului tehnologic, în conformitate cu Orientările tehnice privind principiul „de a nu prejudicia în mod semnificativ”(2021/C58/01) prin utilizarea unei liste de excludere și prin cerința de conformitate cu legislația UE și națională relevantă în materie de mediu. </w:t>
            </w:r>
            <w:r>
              <w:rPr>
                <w:rFonts w:ascii="Times New Roman" w:hAnsi="Times New Roman"/>
                <w:noProof/>
                <w:color w:val="000000"/>
                <w:sz w:val="18"/>
                <w:szCs w:val="18"/>
              </w:rPr>
              <w:br/>
              <w:t>Proiectele din sectorul comerțului mic au vizat încorporarea noilor tehnologii care permit comerțului local să răspundă noilor obiceiuri de consum, în cadrul „Fondului tehnologic” (200 proiecte). Printre proiectele eligibile în cadrul acestui fond se numără:</w:t>
            </w:r>
            <w:r>
              <w:rPr>
                <w:rFonts w:ascii="Times New Roman" w:hAnsi="Times New Roman"/>
                <w:noProof/>
                <w:color w:val="000000"/>
                <w:sz w:val="18"/>
                <w:szCs w:val="18"/>
              </w:rPr>
              <w:br/>
              <w:t>a. Proiecte în domeniul noilor tehnologii care vizează îmbunătățirea strategiei comerciale și de comunicare online, a modelelor de afaceri sau a experienței de cumpărare.</w:t>
            </w:r>
            <w:r>
              <w:rPr>
                <w:rFonts w:ascii="Times New Roman" w:hAnsi="Times New Roman"/>
                <w:noProof/>
                <w:color w:val="000000"/>
                <w:sz w:val="18"/>
                <w:szCs w:val="18"/>
              </w:rPr>
              <w:br/>
              <w:t>b. Proiecte în domeniul noilor tehnologii pentru adaptarea experienței de cumpărături fizice la noile nevoi și obiceiuri ale consumatorilor și la noile modele de gestionare.</w:t>
            </w:r>
            <w:r>
              <w:rPr>
                <w:rFonts w:ascii="Times New Roman" w:hAnsi="Times New Roman"/>
                <w:noProof/>
                <w:color w:val="000000"/>
                <w:sz w:val="18"/>
                <w:szCs w:val="18"/>
              </w:rPr>
              <w:br/>
              <w:t>c. Proiecte de soluții tehnologice pentru îmbunătățirea eficienței și durabilității logisticii pe ultimul kilometru.</w:t>
            </w:r>
            <w:r>
              <w:rPr>
                <w:rFonts w:ascii="Times New Roman" w:hAnsi="Times New Roman"/>
                <w:noProof/>
                <w:color w:val="000000"/>
                <w:sz w:val="18"/>
                <w:szCs w:val="18"/>
              </w:rPr>
              <w:br/>
              <w:t xml:space="preserve">proiecte de punere în aplicare a soluțiilor tehnologice de îmbunătățire a eficienței energetice și a utilizării eficiente a resurselor. </w:t>
            </w:r>
            <w:r>
              <w:rPr>
                <w:rFonts w:ascii="Times New Roman" w:hAnsi="Times New Roman"/>
                <w:noProof/>
                <w:color w:val="000000"/>
                <w:sz w:val="18"/>
                <w:szCs w:val="18"/>
              </w:rPr>
              <w:br/>
              <w:t xml:space="preserve">Investiția va fi completată prin crearea unei platforme digitale (Plataforma Comercio Conectado) pentru a promova digitalizarea sectorului.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211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C13.I4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Acțiuni de modernizare a piețelor municipale sau a zonelor comerciale</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609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Cel puțin 30 de acțiuni de modernizare finalizate pe piețele municipale sau în zonele comerciale, în conformitate cu Orientările tehnice privind principiul „de a nu prejudicia în mod semnificativ”(2021/C58/01) prin utilizarea unei liste de excludere și a cerinței de conformitate cu legislația UE și națională relevantă în materie de mediu.</w:t>
            </w:r>
            <w:r>
              <w:rPr>
                <w:rFonts w:ascii="Times New Roman" w:hAnsi="Times New Roman"/>
                <w:noProof/>
                <w:color w:val="000000"/>
                <w:sz w:val="18"/>
                <w:szCs w:val="18"/>
              </w:rPr>
              <w:br/>
              <w:t xml:space="preserve">Proiecte prezentate de autoritățile locale pentru îmbunătățirea modernizării piețelor municipale, a zonelor comerciale, a piețelor de vânzări nesedentare și a canalelor scurte de marketing, în cadrul programului „Piețe durabile” (30 proiecte). Printre proiectele eligibile în cadrul acestui program se numără: </w:t>
            </w:r>
            <w:r>
              <w:rPr>
                <w:rFonts w:ascii="Times New Roman" w:hAnsi="Times New Roman"/>
                <w:noProof/>
                <w:color w:val="000000"/>
                <w:sz w:val="18"/>
                <w:szCs w:val="18"/>
              </w:rPr>
              <w:br/>
              <w:t>a. Proiecte de adoptare a unor instrumente de informare a clienților pe baza volumelor mari de date sau a altor tehnologii.</w:t>
            </w:r>
            <w:r>
              <w:rPr>
                <w:rFonts w:ascii="Times New Roman" w:hAnsi="Times New Roman"/>
                <w:noProof/>
                <w:color w:val="000000"/>
                <w:sz w:val="18"/>
                <w:szCs w:val="18"/>
              </w:rPr>
              <w:br/>
              <w:t xml:space="preserve"> b. proiecte de transformare digitală a piețelor care îmbunătățesc piața canalelor omniprezente și experiența în materie de cumpărături.</w:t>
            </w:r>
            <w:r>
              <w:rPr>
                <w:rFonts w:ascii="Times New Roman" w:hAnsi="Times New Roman"/>
                <w:noProof/>
                <w:color w:val="000000"/>
                <w:sz w:val="18"/>
                <w:szCs w:val="18"/>
              </w:rPr>
              <w:br/>
              <w:t xml:space="preserve"> c. Proiecte care vizează transformarea digitală a comerțului stradal și a canalelor scurte de comercializare.</w:t>
            </w:r>
            <w:r>
              <w:rPr>
                <w:rFonts w:ascii="Times New Roman" w:hAnsi="Times New Roman"/>
                <w:noProof/>
                <w:color w:val="000000"/>
                <w:sz w:val="18"/>
                <w:szCs w:val="18"/>
              </w:rPr>
              <w:br/>
              <w:t xml:space="preserve"> proiecte de lucrări și de renovare pentru îmbunătățirea instalațiilor, a accesibilității, a echipamentelor și a caracterului adecvat al zonelor ocupate de piețele municipale, de zonele comerciale și de piețele nesedentare, precum și a zonelor adiacente acestora.</w:t>
            </w:r>
            <w:r>
              <w:rPr>
                <w:rFonts w:ascii="Times New Roman" w:hAnsi="Times New Roman"/>
                <w:noProof/>
                <w:color w:val="000000"/>
                <w:sz w:val="18"/>
                <w:szCs w:val="18"/>
              </w:rPr>
              <w:br/>
              <w:t xml:space="preserve"> e. Proiecte de reducere a consumului de factori de producție prin comerț și înlocuirea acestora cu alternative ecologice.</w:t>
            </w:r>
            <w:r>
              <w:rPr>
                <w:rFonts w:ascii="Times New Roman" w:hAnsi="Times New Roman"/>
                <w:noProof/>
                <w:color w:val="000000"/>
                <w:sz w:val="18"/>
                <w:szCs w:val="18"/>
              </w:rPr>
              <w:br/>
              <w:t xml:space="preserve"> f. Instalarea punctelor de livrare inteligente.</w:t>
            </w:r>
            <w:r>
              <w:rPr>
                <w:rFonts w:ascii="Times New Roman" w:hAnsi="Times New Roman"/>
                <w:noProof/>
                <w:color w:val="000000"/>
                <w:sz w:val="18"/>
                <w:szCs w:val="18"/>
              </w:rPr>
              <w:br/>
              <w:t xml:space="preserve"> g. proiecte de îmbunătățire a eficienței energetice a piețelor municipale, a zonelor comerciale, a piețelor de vânzări nesedentare.</w:t>
            </w:r>
            <w:r>
              <w:rPr>
                <w:rFonts w:ascii="Times New Roman" w:hAnsi="Times New Roman"/>
                <w:noProof/>
                <w:color w:val="000000"/>
                <w:sz w:val="18"/>
                <w:szCs w:val="18"/>
              </w:rPr>
              <w:br/>
              <w:t xml:space="preserve"> h. Acțiuni care promovează reciclarea sau reutilizarea deșeurilor.</w:t>
            </w:r>
            <w:r>
              <w:rPr>
                <w:rFonts w:ascii="Times New Roman" w:hAnsi="Times New Roman"/>
                <w:noProof/>
                <w:color w:val="000000"/>
                <w:sz w:val="18"/>
                <w:szCs w:val="18"/>
              </w:rPr>
              <w:br/>
              <w:t xml:space="preserve"> i. Sensibilizarea și formarea în domeniul competențelor tehnologice ale piețelor municipale, ale zonelor comerciale, ale piețelor de vânzări nesedentare.</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212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C13.I4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Modernizarea infrastructurii de piață în localitățile mici</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Cel puțin 100 de acțiuni finalizate de modernizare a infrastructurii de piață în municipalități mici, aprobate și inițiate, în conformitate cu Orientările tehnice privind principiul „de a nu prejudicia în mod semnificativ”(2021/C58/01), prin utilizarea unei liste de excludere și prin cerința de conformitate cu legislația UE și națională relevantă în materie de mediu.</w:t>
            </w:r>
            <w:r>
              <w:rPr>
                <w:rFonts w:ascii="Times New Roman" w:hAnsi="Times New Roman"/>
                <w:noProof/>
                <w:color w:val="000000"/>
                <w:sz w:val="18"/>
                <w:szCs w:val="18"/>
              </w:rPr>
              <w:br/>
              <w:t xml:space="preserve">Proiecte depuse de municipalități mici pentru îmbunătățirea modernizării piețelor municipale, a zonelor comerciale, a piețelor de vânzări nesedentare și a canalelor scurte de marketing, în cadrul programului „Piețe durabile” (30 proiecte). Printre proiectele eligibile în cadrul acestui program se numără: </w:t>
            </w:r>
            <w:r>
              <w:rPr>
                <w:rFonts w:ascii="Times New Roman" w:hAnsi="Times New Roman"/>
                <w:noProof/>
                <w:color w:val="000000"/>
                <w:sz w:val="18"/>
                <w:szCs w:val="18"/>
              </w:rPr>
              <w:br/>
              <w:t xml:space="preserve"> a. Proiecte de adoptare a unor instrumente de informare a clienților pe baza volumelor mari de date sau a altor tehnologii.</w:t>
            </w:r>
            <w:r>
              <w:rPr>
                <w:rFonts w:ascii="Times New Roman" w:hAnsi="Times New Roman"/>
                <w:noProof/>
                <w:color w:val="000000"/>
                <w:sz w:val="18"/>
                <w:szCs w:val="18"/>
              </w:rPr>
              <w:br/>
              <w:t xml:space="preserve"> b. proiecte de transformare digitală a piețelor care îmbunătățesc piața canalelor omniprezente și experiența în materie de cumpărături.</w:t>
            </w:r>
            <w:r>
              <w:rPr>
                <w:rFonts w:ascii="Times New Roman" w:hAnsi="Times New Roman"/>
                <w:noProof/>
                <w:color w:val="000000"/>
                <w:sz w:val="18"/>
                <w:szCs w:val="18"/>
              </w:rPr>
              <w:br/>
              <w:t xml:space="preserve"> c. Proiecte care vizează transformarea digitală a comerțului stradal și a canalelor scurte de comercializare.</w:t>
            </w:r>
            <w:r>
              <w:rPr>
                <w:rFonts w:ascii="Times New Roman" w:hAnsi="Times New Roman"/>
                <w:noProof/>
                <w:color w:val="000000"/>
                <w:sz w:val="18"/>
                <w:szCs w:val="18"/>
              </w:rPr>
              <w:br/>
              <w:t xml:space="preserve"> proiecte de lucrări și de renovare pentru îmbunătățirea instalațiilor, a accesibilității, a echipamentelor și a caracterului adecvat al zonelor ocupate de piețele municipale, de zonele comerciale și de piețele nesedentare, precum și a zonelor adiacente acestora.</w:t>
            </w:r>
            <w:r>
              <w:rPr>
                <w:rFonts w:ascii="Times New Roman" w:hAnsi="Times New Roman"/>
                <w:noProof/>
                <w:color w:val="000000"/>
                <w:sz w:val="18"/>
                <w:szCs w:val="18"/>
              </w:rPr>
              <w:br/>
              <w:t xml:space="preserve"> e. Proiecte de reducere a consumului de factori de producție prin comerț și înlocuirea acestora cu alternative ecologice.</w:t>
            </w:r>
            <w:r>
              <w:rPr>
                <w:rFonts w:ascii="Times New Roman" w:hAnsi="Times New Roman"/>
                <w:noProof/>
                <w:color w:val="000000"/>
                <w:sz w:val="18"/>
                <w:szCs w:val="18"/>
              </w:rPr>
              <w:br/>
              <w:t xml:space="preserve"> f. Instalarea punctelor de livrare inteligente.</w:t>
            </w:r>
            <w:r>
              <w:rPr>
                <w:rFonts w:ascii="Times New Roman" w:hAnsi="Times New Roman"/>
                <w:noProof/>
                <w:color w:val="000000"/>
                <w:sz w:val="18"/>
                <w:szCs w:val="18"/>
              </w:rPr>
              <w:br/>
              <w:t xml:space="preserve"> g. proiecte de îmbunătățire a eficienței energetice a piețelor municipale, a zonelor comerciale, a piețelor de vânzări nesedentare.</w:t>
            </w:r>
            <w:r>
              <w:rPr>
                <w:rFonts w:ascii="Times New Roman" w:hAnsi="Times New Roman"/>
                <w:noProof/>
                <w:color w:val="000000"/>
                <w:sz w:val="18"/>
                <w:szCs w:val="18"/>
              </w:rPr>
              <w:br/>
              <w:t xml:space="preserve"> h. Acțiuni care promovează reciclarea sau reutilizarea deșeurilor.</w:t>
            </w:r>
            <w:r>
              <w:rPr>
                <w:rFonts w:ascii="Times New Roman" w:hAnsi="Times New Roman"/>
                <w:noProof/>
                <w:color w:val="000000"/>
                <w:sz w:val="18"/>
                <w:szCs w:val="18"/>
              </w:rPr>
              <w:br/>
              <w:t xml:space="preserve"> i. Sensibilizarea și formarea în domeniul competențelor tehnologice ale piețelor municipale, ale zonelor comerciale, ale piețelor de vânzări nesedentare.</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213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C13.I5</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Societăți care participă la proiecte de sprijinire a internaționalizării lor</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Cel puțin 3 000 de întreprinderi, dintre care cel puțin 2 500 de IMM-uri, care au participat și au finalizat proiecte de sprijinire a internaționalizării lor în cadrul planurilor de acțiune privind internaționalizarea 2021-2022 și 2023-2024. Acțiunile orizontale de sprijinire a digitalizării asociațiilor de export, a camerelor de comerț și a serviciilor administrative sunt în beneficiul tuturor exportatorilor și promovează internaționalizarea noilor întreprinderi, în conformitate cu Orientările tehnice privind principiul „de a nu prejudicia în mod semnificativ”(2021/C58/01) prin utilizarea unei liste de excludere și prin cerința de conformitate cu legislația UE și națională relevantă în materie de mediu. </w:t>
            </w:r>
            <w:r>
              <w:rPr>
                <w:rFonts w:ascii="Times New Roman" w:hAnsi="Times New Roman"/>
                <w:noProof/>
                <w:color w:val="000000"/>
                <w:sz w:val="18"/>
                <w:szCs w:val="18"/>
              </w:rPr>
              <w:br/>
              <w:t>Acțiunile din cadrul investiției sunt selectate din următoarea listă de proiecte/domenii:</w:t>
            </w:r>
            <w:r>
              <w:rPr>
                <w:rFonts w:ascii="Times New Roman" w:hAnsi="Times New Roman"/>
                <w:noProof/>
                <w:color w:val="000000"/>
                <w:sz w:val="18"/>
                <w:szCs w:val="18"/>
              </w:rPr>
              <w:br/>
              <w:t>1 Linie de finanțare pentru studii de fezabilitate, de fezabilitate, de prefezabilitate și de modernizare sectorială și instituțională.</w:t>
            </w:r>
            <w:r>
              <w:rPr>
                <w:rFonts w:ascii="Times New Roman" w:hAnsi="Times New Roman"/>
                <w:noProof/>
                <w:color w:val="000000"/>
                <w:sz w:val="18"/>
                <w:szCs w:val="18"/>
              </w:rPr>
              <w:br/>
              <w:t>2 Programul INNOVA Invest de sprijinire a investițiilor străine în C &amp; D.</w:t>
            </w:r>
            <w:r>
              <w:rPr>
                <w:rFonts w:ascii="Times New Roman" w:hAnsi="Times New Roman"/>
                <w:noProof/>
                <w:color w:val="000000"/>
                <w:sz w:val="18"/>
                <w:szCs w:val="18"/>
              </w:rPr>
              <w:br/>
              <w:t>3 Programul VIVES care prevede acordarea de sprijin financiar pentru angajarea de stagiari în întreprinderile implicate în activități de export.</w:t>
            </w:r>
            <w:r>
              <w:rPr>
                <w:rFonts w:ascii="Times New Roman" w:hAnsi="Times New Roman"/>
                <w:noProof/>
                <w:color w:val="000000"/>
                <w:sz w:val="18"/>
                <w:szCs w:val="18"/>
              </w:rPr>
              <w:br/>
              <w:t>4 Program de mentorat și formare în materie de internaționalizare.</w:t>
            </w:r>
            <w:r>
              <w:rPr>
                <w:rFonts w:ascii="Times New Roman" w:hAnsi="Times New Roman"/>
                <w:noProof/>
                <w:color w:val="000000"/>
                <w:sz w:val="18"/>
                <w:szCs w:val="18"/>
              </w:rPr>
              <w:br/>
              <w:t>5 Program de consolidare a sistemelor de comunicații, a serviciilor telematice și a digitalizării asociațiilor de export federațiilor de export, a camerelor de comerț spaniole și a federațiilor acestora.</w:t>
            </w:r>
            <w:r>
              <w:rPr>
                <w:rFonts w:ascii="Times New Roman" w:hAnsi="Times New Roman"/>
                <w:noProof/>
                <w:color w:val="000000"/>
                <w:sz w:val="18"/>
                <w:szCs w:val="18"/>
              </w:rPr>
              <w:br/>
              <w:t>6 Programul de extindere bazat pe export, un program menit să ofere îndrumare personalizată pentru internaționalizarea întreprinderilor și, în special, a IMM-urilor.</w:t>
            </w:r>
            <w:r>
              <w:rPr>
                <w:rFonts w:ascii="Times New Roman" w:hAnsi="Times New Roman"/>
                <w:noProof/>
                <w:color w:val="000000"/>
                <w:sz w:val="18"/>
                <w:szCs w:val="18"/>
              </w:rPr>
              <w:br/>
              <w:t>7 Program pentru consolidarea ecosistemului spaniol al întreprinderilor cu creștere rapidă.</w:t>
            </w:r>
            <w:r>
              <w:rPr>
                <w:rFonts w:ascii="Times New Roman" w:hAnsi="Times New Roman"/>
                <w:noProof/>
                <w:color w:val="000000"/>
                <w:sz w:val="18"/>
                <w:szCs w:val="18"/>
              </w:rPr>
              <w:br/>
              <w:t>8 Ajutoare pentru deschiderea și consolidarea piețelor prin subvenții pentru cheltuielile legate de inspecțiile și auditurile autorităților din țările terțe și pentru cheltuielile juridice și de consultanță în materie de apărare comercială.</w:t>
            </w:r>
            <w:r>
              <w:rPr>
                <w:rFonts w:ascii="Times New Roman" w:hAnsi="Times New Roman"/>
                <w:noProof/>
                <w:color w:val="000000"/>
                <w:sz w:val="18"/>
                <w:szCs w:val="18"/>
              </w:rPr>
              <w:br/>
              <w:t xml:space="preserve">9 Un program de stimulare financiară al COFIDES (o instituție financiară deținută de stat care oferă finanțare pe termen mediu și lung pentru a sprijini proiectele de investiții la nivel internațional ale întreprinderilor) pentru a promova investițiile cu impact. </w:t>
            </w:r>
            <w:r>
              <w:rPr>
                <w:rFonts w:ascii="Times New Roman" w:hAnsi="Times New Roman"/>
                <w:noProof/>
                <w:color w:val="000000"/>
                <w:sz w:val="18"/>
                <w:szCs w:val="18"/>
              </w:rPr>
              <w:br/>
              <w:t>10 Stimularea digitalizării serviciilor guvernamentale pentru a sprijini internaționalizarea.</w:t>
            </w:r>
            <w:r>
              <w:rPr>
                <w:rFonts w:ascii="Times New Roman" w:hAnsi="Times New Roman"/>
                <w:noProof/>
                <w:color w:val="000000"/>
                <w:sz w:val="18"/>
                <w:szCs w:val="18"/>
              </w:rPr>
              <w:br/>
              <w:t>11 Digitalizarea ICEX (o entitate publică națională a întreprinderilor care promovează internaționalizarea întreprinderilor spaniole) și crearea campusului virtual.</w:t>
            </w:r>
            <w:r>
              <w:rPr>
                <w:rFonts w:ascii="Times New Roman" w:hAnsi="Times New Roman"/>
                <w:noProof/>
                <w:color w:val="000000"/>
                <w:sz w:val="18"/>
                <w:szCs w:val="18"/>
              </w:rPr>
              <w:br/>
              <w:t xml:space="preserve">Criteriile de selecție asigură conformitatea cu Orientările tehnice privind principiul „de a nu prejudicia în mod semnificativ”(2021/C58/01) operațiunilor care beneficiază de sprijin în cadrul acestei măsuri, prin utilizarea evaluării durabilității, prin utilizarea unei liste de excludere și prin cerința de conformitate cu legislația UE și națională relevantă în materie de mediu. </w:t>
            </w:r>
          </w:p>
        </w:tc>
      </w:tr>
    </w:tbl>
    <w:p>
      <w:pPr>
        <w:spacing w:before="120" w:after="120" w:line="240" w:lineRule="auto"/>
        <w:ind w:left="709"/>
        <w:jc w:val="both"/>
        <w:rPr>
          <w:rFonts w:ascii="Times New Roman" w:hAnsi="Times New Roman" w:cs="Times New Roman"/>
          <w:noProof/>
          <w:sz w:val="24"/>
        </w:rPr>
        <w:sectPr>
          <w:headerReference w:type="even" r:id="rId169"/>
          <w:headerReference w:type="default" r:id="rId170"/>
          <w:footerReference w:type="even" r:id="rId171"/>
          <w:footerReference w:type="default" r:id="rId172"/>
          <w:headerReference w:type="first" r:id="rId173"/>
          <w:footerReference w:type="first" r:id="rId174"/>
          <w:pgSz w:w="16839" w:h="11907" w:orient="landscape"/>
          <w:pgMar w:top="1417" w:right="1134" w:bottom="1417" w:left="1134" w:header="709" w:footer="709" w:gutter="0"/>
          <w:cols w:space="720"/>
          <w:docGrid w:linePitch="360"/>
        </w:sectPr>
      </w:pPr>
    </w:p>
    <w:p>
      <w:pPr>
        <w:pStyle w:val="Heading1"/>
        <w:rPr>
          <w:noProof/>
        </w:rPr>
      </w:pPr>
      <w:r>
        <w:rPr>
          <w:noProof/>
        </w:rPr>
        <w:t>N. COMPONENTA 14: Turismul</w:t>
      </w:r>
    </w:p>
    <w:p>
      <w:pPr>
        <w:keepNext/>
        <w:spacing w:before="120" w:after="120" w:line="240" w:lineRule="auto"/>
        <w:jc w:val="both"/>
        <w:rPr>
          <w:rFonts w:ascii="Times New Roman" w:hAnsi="Times New Roman" w:cs="Times New Roman"/>
          <w:b/>
          <w:smallCaps/>
          <w:noProof/>
          <w:sz w:val="28"/>
        </w:rPr>
      </w:pPr>
      <w:r>
        <w:rPr>
          <w:rFonts w:ascii="Times New Roman" w:hAnsi="Times New Roman"/>
          <w:noProof/>
          <w:sz w:val="24"/>
        </w:rPr>
        <w:t>Componenta planului de redresare și reziliență al Spaniei abordează următoarele provocări:</w:t>
      </w:r>
    </w:p>
    <w:p>
      <w:pPr>
        <w:numPr>
          <w:ilvl w:val="0"/>
          <w:numId w:val="71"/>
        </w:numPr>
        <w:spacing w:before="120" w:after="160" w:line="240" w:lineRule="auto"/>
        <w:contextualSpacing/>
        <w:jc w:val="both"/>
        <w:rPr>
          <w:rFonts w:ascii="Times New Roman" w:hAnsi="Times New Roman" w:cs="Times New Roman"/>
          <w:noProof/>
          <w:sz w:val="24"/>
        </w:rPr>
      </w:pPr>
      <w:r>
        <w:rPr>
          <w:rFonts w:ascii="Times New Roman" w:hAnsi="Times New Roman"/>
          <w:noProof/>
          <w:sz w:val="24"/>
        </w:rPr>
        <w:t xml:space="preserve">Sectorul turismului spaniol se confruntă, ca urmare a crizei declanșate de pandemia de COVID-19, cu o situație foarte delicată și sunt necesare acțiuni urgente pentru a spori sustenabilitatea și competitivitatea acestuia. </w:t>
      </w:r>
    </w:p>
    <w:p>
      <w:pPr>
        <w:numPr>
          <w:ilvl w:val="0"/>
          <w:numId w:val="71"/>
        </w:numPr>
        <w:spacing w:before="120" w:after="120" w:line="240" w:lineRule="auto"/>
        <w:jc w:val="both"/>
        <w:rPr>
          <w:rFonts w:ascii="Times New Roman" w:hAnsi="Times New Roman" w:cs="Times New Roman"/>
          <w:noProof/>
          <w:sz w:val="24"/>
        </w:rPr>
      </w:pPr>
      <w:r>
        <w:rPr>
          <w:rFonts w:ascii="Times New Roman" w:hAnsi="Times New Roman"/>
          <w:noProof/>
          <w:sz w:val="24"/>
        </w:rPr>
        <w:t>Insulele Canare și Insulele Baleare, care sunt vectori ai industriei turismului spaniol, au nevoie de măsuri speciale pentru a atenua externalitățile și dependența lor ridicată de activitatea de vacanță.</w:t>
      </w:r>
    </w:p>
    <w:p>
      <w:pPr>
        <w:numPr>
          <w:ilvl w:val="0"/>
          <w:numId w:val="71"/>
        </w:numPr>
        <w:spacing w:before="120" w:after="120" w:line="240" w:lineRule="auto"/>
        <w:jc w:val="both"/>
        <w:rPr>
          <w:rFonts w:ascii="Times New Roman" w:hAnsi="Times New Roman" w:cs="Times New Roman"/>
          <w:noProof/>
          <w:sz w:val="24"/>
        </w:rPr>
      </w:pPr>
      <w:r>
        <w:rPr>
          <w:rFonts w:ascii="Times New Roman" w:hAnsi="Times New Roman"/>
          <w:noProof/>
          <w:sz w:val="24"/>
        </w:rPr>
        <w:t>Spania se situează pe locul 27 în domeniul tehnologiei informației și comunicațiilor, în conformitate cu raportul Forumului Economic Mondial privind competitivitatea turismului. În plus, investițiile sale publice și private în C &amp; D sunt relativ scăzute. În plus, numeroase rapoarte indică faptul că sectorul călătoriilor are cel mai mare potențial de a beneficia de inteligența artificială (creșterea cu 128 % a valorii adăugate a activității prin aplicarea IA).</w:t>
      </w:r>
    </w:p>
    <w:p>
      <w:pPr>
        <w:spacing w:before="120" w:after="120" w:line="240" w:lineRule="auto"/>
        <w:jc w:val="both"/>
        <w:rPr>
          <w:rFonts w:ascii="Times New Roman" w:hAnsi="Times New Roman" w:cs="Times New Roman"/>
          <w:noProof/>
          <w:sz w:val="24"/>
        </w:rPr>
      </w:pPr>
      <w:r>
        <w:rPr>
          <w:rFonts w:ascii="Times New Roman" w:hAnsi="Times New Roman"/>
          <w:noProof/>
          <w:sz w:val="24"/>
        </w:rPr>
        <w:t>Scopul acestei componente este de a transforma și moderniza sectorul turismului din Spania prin creșterea competitivității și a rezilienței acestuia.</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sz w:val="24"/>
        </w:rPr>
        <w:t>Componenta abordează recomandările specifice fiecărei țări privind promovarea investițiilor în inovare și în eficiența energetică și sporirea eficacității politicilor de sprijinire a cercetării și inovării (recomandarea specifică țării 3 din 2019), de sprijinire a economiei (recomandarea specifică țării 1 din 2020), de sprijinire a ocupării forței de muncă prin măsuri de menținere a locurilor de muncă și a dezvoltării competențelor și de îmbunătățire a accesului la învățarea digitală (recomandarea specifică țării 2 din 2020), de promovare a investițiilor publice și private și de promovare a tranziției verzi și digitale (recomandarea specifică țării 3 din 2020) și de îmbunătățire a coordonării între diferitele niveluri ale administrației (recomandarea specifică țării 4 din 2020).</w:t>
      </w:r>
    </w:p>
    <w:p>
      <w:pPr>
        <w:spacing w:before="120" w:after="120" w:line="240" w:lineRule="auto"/>
        <w:ind w:left="11"/>
        <w:jc w:val="both"/>
        <w:rPr>
          <w:rFonts w:ascii="Times New Roman" w:hAnsi="Times New Roman" w:cs="Times New Roman"/>
          <w:noProof/>
          <w:color w:val="000000" w:themeColor="text1"/>
          <w:sz w:val="24"/>
        </w:rPr>
      </w:pPr>
      <w:r>
        <w:rPr>
          <w:rFonts w:ascii="Times New Roman" w:hAnsi="Times New Roman"/>
          <w:noProof/>
          <w:color w:val="000000" w:themeColor="text1"/>
          <w:sz w:val="24"/>
          <w:szCs w:val="24"/>
        </w:rPr>
        <w:t>Se preconizează că nicio măsură din cadrul acestei componente nu aduce prejudicii semnificative obiectivelor de mediu în sensul articolului 17 din Regulamentul (UE) 2020/852, ținând seama de descrierea măsurilor și a măsurilor de atenuare stabilite în planul de redresare și reziliență în conformitate cu Orientările tehnice DNSH (2021/C58/01).</w:t>
      </w:r>
      <w:r>
        <w:rPr>
          <w:rFonts w:ascii="Times New Roman" w:hAnsi="Times New Roman"/>
          <w:noProof/>
          <w:color w:val="000000" w:themeColor="text1"/>
          <w:sz w:val="24"/>
        </w:rPr>
        <w:t xml:space="preserve">  </w:t>
      </w:r>
    </w:p>
    <w:p>
      <w:pPr>
        <w:spacing w:before="120" w:after="120" w:line="240" w:lineRule="auto"/>
        <w:ind w:left="720"/>
        <w:jc w:val="both"/>
        <w:rPr>
          <w:rFonts w:ascii="Times New Roman" w:hAnsi="Times New Roman" w:cs="Times New Roman"/>
          <w:i/>
          <w:iCs/>
          <w:noProof/>
          <w:color w:val="4F81BD" w:themeColor="accent1"/>
          <w:sz w:val="24"/>
        </w:rPr>
      </w:pPr>
      <w:r>
        <w:rPr>
          <w:rFonts w:ascii="Times New Roman" w:hAnsi="Times New Roman"/>
          <w:b/>
          <w:bCs/>
          <w:noProof/>
          <w:sz w:val="24"/>
          <w:u w:val="single"/>
        </w:rPr>
        <w:t xml:space="preserve">N.1. </w:t>
      </w:r>
      <w:r>
        <w:rPr>
          <w:rFonts w:ascii="Times New Roman" w:hAnsi="Times New Roman"/>
          <w:b/>
          <w:noProof/>
          <w:sz w:val="24"/>
          <w:u w:val="single"/>
        </w:rPr>
        <w:tab/>
      </w:r>
      <w:r>
        <w:rPr>
          <w:rFonts w:ascii="Times New Roman" w:hAnsi="Times New Roman"/>
          <w:b/>
          <w:bCs/>
          <w:noProof/>
          <w:sz w:val="24"/>
          <w:u w:val="single"/>
        </w:rPr>
        <w:t>Descrierea reformelor și a investițiilor pentru care se prevede acordarea sprijinului financiar nerambursabil</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Reforma 1 (C14.R1) - Decretul regal de punere în aplicare a Fondului financiar de stat pentru competitivitatea turismului (FOCIT)</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Reforma are ca obiectiv îmbunătățirea competitivității sectorului turismului prin stimularea inovării și sprijinirea eficienței energetice și a economiei circulare.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Reforma modifică actele juridice existente care reglementează obiectivele, natura, operațiunile și proiectele eligibile ale Fondului financiar de stat pentru competitivitatea turismului.  </w:t>
      </w:r>
    </w:p>
    <w:p>
      <w:pPr>
        <w:spacing w:before="120" w:after="120" w:line="240" w:lineRule="auto"/>
        <w:jc w:val="both"/>
        <w:rPr>
          <w:rFonts w:ascii="Times New Roman" w:hAnsi="Times New Roman" w:cs="Times New Roman"/>
          <w:noProof/>
          <w:sz w:val="24"/>
        </w:rPr>
      </w:pPr>
      <w:r>
        <w:rPr>
          <w:rFonts w:ascii="Times New Roman" w:hAnsi="Times New Roman"/>
          <w:noProof/>
          <w:sz w:val="24"/>
        </w:rPr>
        <w:t>Actul juridic modificat va permite Fondului financiar de stat pentru competitivitatea turismului să finanțeze întreprinderile din sectorul turismului în vederea îmbunătățirii eficienței energetice, a reducerii consumului de resurse și a producției de deșeuri și a creșterii reutilizării și reciclării deșeurilor. În domeniul eficienței energetice și al economiei circulare, fondul finanțează proiecte de inovare.</w:t>
      </w:r>
    </w:p>
    <w:p>
      <w:pPr>
        <w:spacing w:before="120" w:after="120" w:line="240" w:lineRule="auto"/>
        <w:jc w:val="both"/>
        <w:rPr>
          <w:rFonts w:ascii="Times New Roman" w:hAnsi="Times New Roman" w:cs="Times New Roman"/>
          <w:noProof/>
          <w:sz w:val="24"/>
        </w:rPr>
      </w:pPr>
      <w:r>
        <w:rPr>
          <w:rFonts w:ascii="Times New Roman" w:hAnsi="Times New Roman"/>
          <w:noProof/>
          <w:sz w:val="24"/>
        </w:rPr>
        <w:t>Instrumentul de finanțare poate utiliza scheme de finanțare mixtă care combat împrumuturile cu alte tipuri de sprijin. Instrumentul este finanțat din bugetul național.</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Reforma include, de asemenea, următoarele măsuri specifice: </w:t>
      </w:r>
    </w:p>
    <w:p>
      <w:pPr>
        <w:pStyle w:val="ListParagraph"/>
        <w:numPr>
          <w:ilvl w:val="0"/>
          <w:numId w:val="20"/>
        </w:numPr>
        <w:spacing w:before="120" w:after="120" w:line="240" w:lineRule="auto"/>
        <w:jc w:val="both"/>
        <w:rPr>
          <w:rFonts w:ascii="Times New Roman" w:hAnsi="Times New Roman" w:cs="Times New Roman"/>
          <w:noProof/>
          <w:sz w:val="24"/>
        </w:rPr>
      </w:pPr>
      <w:r>
        <w:rPr>
          <w:rFonts w:ascii="Times New Roman" w:hAnsi="Times New Roman"/>
          <w:noProof/>
        </w:rPr>
        <w:t>un plan de promovare a sectorului turismului, în care sunt descrise măsurile de stimulare a sectorului turismului și se definește cadrul de punere în aplicare a măsurilor legate de turism.</w:t>
      </w:r>
      <w:r>
        <w:rPr>
          <w:rFonts w:ascii="Times New Roman" w:hAnsi="Times New Roman"/>
          <w:noProof/>
          <w:sz w:val="24"/>
        </w:rPr>
        <w:t xml:space="preserve"> </w:t>
      </w:r>
    </w:p>
    <w:p>
      <w:pPr>
        <w:pStyle w:val="ListParagraph"/>
        <w:numPr>
          <w:ilvl w:val="0"/>
          <w:numId w:val="20"/>
        </w:numPr>
        <w:spacing w:line="240" w:lineRule="auto"/>
        <w:rPr>
          <w:rFonts w:ascii="Times New Roman" w:hAnsi="Times New Roman" w:cs="Times New Roman"/>
          <w:noProof/>
          <w:sz w:val="24"/>
        </w:rPr>
      </w:pPr>
      <w:r>
        <w:rPr>
          <w:rFonts w:ascii="Times New Roman" w:hAnsi="Times New Roman"/>
          <w:noProof/>
          <w:sz w:val="24"/>
        </w:rPr>
        <w:t xml:space="preserve">lansarea unui site internet care să colecteze date din diverse surse de statistici în domeniul turismului, inclusiv organisme publice și private precum INE, </w:t>
      </w:r>
      <w:r>
        <w:rPr>
          <w:rFonts w:ascii="Times New Roman" w:hAnsi="Times New Roman"/>
          <w:i/>
          <w:noProof/>
          <w:sz w:val="24"/>
        </w:rPr>
        <w:t>Turespaña</w:t>
      </w:r>
      <w:r>
        <w:rPr>
          <w:rFonts w:ascii="Times New Roman" w:hAnsi="Times New Roman"/>
          <w:noProof/>
          <w:sz w:val="24"/>
        </w:rPr>
        <w:t xml:space="preserve">, Banca Spaniei, AENA și RENFE. </w:t>
      </w:r>
    </w:p>
    <w:p>
      <w:pPr>
        <w:spacing w:before="120" w:after="120" w:line="240" w:lineRule="auto"/>
        <w:jc w:val="both"/>
        <w:rPr>
          <w:rFonts w:ascii="Times New Roman" w:hAnsi="Times New Roman" w:cs="Times New Roman"/>
          <w:noProof/>
          <w:sz w:val="24"/>
        </w:rPr>
      </w:pPr>
      <w:r>
        <w:rPr>
          <w:rFonts w:ascii="Times New Roman" w:hAnsi="Times New Roman"/>
          <w:noProof/>
          <w:sz w:val="24"/>
        </w:rPr>
        <w:t>Punerea în aplicare a reformei se finalizează până la vineri, 31 decembrie 2021.</w:t>
      </w:r>
    </w:p>
    <w:p>
      <w:pPr>
        <w:keepNext/>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Investiția 1 (C14.I1) - Transformarea modelului turistic în direcția sustenabilității</w:t>
      </w:r>
    </w:p>
    <w:p>
      <w:pPr>
        <w:keepNext/>
        <w:spacing w:before="120" w:after="120" w:line="240" w:lineRule="auto"/>
        <w:jc w:val="both"/>
        <w:rPr>
          <w:rFonts w:ascii="Times New Roman" w:hAnsi="Times New Roman" w:cs="Times New Roman"/>
          <w:noProof/>
          <w:sz w:val="24"/>
        </w:rPr>
      </w:pPr>
      <w:r>
        <w:rPr>
          <w:rFonts w:ascii="Times New Roman" w:hAnsi="Times New Roman"/>
          <w:noProof/>
          <w:sz w:val="24"/>
        </w:rPr>
        <w:t xml:space="preserve">Investiția are obiectivul de a consolida sustenabilitatea ecologică, socioeconomică și teritorială a turismului și vizează destinațiile turistice, partenerii sociali și operatorii privați din sector.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Investiția constă în patru submăsuri: </w:t>
      </w:r>
    </w:p>
    <w:p>
      <w:pPr>
        <w:numPr>
          <w:ilvl w:val="0"/>
          <w:numId w:val="70"/>
        </w:numPr>
        <w:spacing w:before="120" w:after="160" w:line="240" w:lineRule="auto"/>
        <w:ind w:left="360"/>
        <w:contextualSpacing/>
        <w:jc w:val="both"/>
        <w:rPr>
          <w:rFonts w:ascii="Times New Roman" w:hAnsi="Times New Roman" w:cs="Times New Roman"/>
          <w:noProof/>
          <w:sz w:val="24"/>
          <w:szCs w:val="24"/>
        </w:rPr>
      </w:pPr>
      <w:r>
        <w:rPr>
          <w:rFonts w:ascii="Times New Roman" w:hAnsi="Times New Roman"/>
          <w:noProof/>
          <w:sz w:val="24"/>
        </w:rPr>
        <w:t>Pregătirea Strategiei privind turismul durabil pentru Spania 2030, care va constitui o agendă națională în domeniul turismului pentru a răspunde provocărilor cu care se confruntă acest sector pe termen mediu și lung, consolidând cei trei piloni ai durabilității: socio-economic, ecologic și teritorial;</w:t>
      </w:r>
    </w:p>
    <w:p>
      <w:pPr>
        <w:numPr>
          <w:ilvl w:val="0"/>
          <w:numId w:val="70"/>
        </w:numPr>
        <w:spacing w:before="120" w:after="160" w:line="240" w:lineRule="auto"/>
        <w:ind w:left="360"/>
        <w:contextualSpacing/>
        <w:jc w:val="both"/>
        <w:rPr>
          <w:rFonts w:ascii="Times New Roman" w:hAnsi="Times New Roman" w:cs="Times New Roman"/>
          <w:noProof/>
          <w:sz w:val="24"/>
          <w:szCs w:val="24"/>
        </w:rPr>
      </w:pPr>
      <w:r>
        <w:rPr>
          <w:rFonts w:ascii="Times New Roman" w:hAnsi="Times New Roman"/>
          <w:noProof/>
          <w:sz w:val="24"/>
          <w:szCs w:val="24"/>
        </w:rPr>
        <w:t>Planurile privind durabilitatea turismului la destinații: Aceste submăsuri se pun în aplicare cu următoarea ordine secvențială:</w:t>
      </w:r>
    </w:p>
    <w:p>
      <w:pPr>
        <w:numPr>
          <w:ilvl w:val="0"/>
          <w:numId w:val="72"/>
        </w:numPr>
        <w:spacing w:before="120" w:after="160" w:line="240" w:lineRule="auto"/>
        <w:ind w:left="1069"/>
        <w:contextualSpacing/>
        <w:jc w:val="both"/>
        <w:rPr>
          <w:rFonts w:ascii="Times New Roman" w:hAnsi="Times New Roman" w:cs="Times New Roman"/>
          <w:noProof/>
          <w:sz w:val="24"/>
          <w:szCs w:val="24"/>
        </w:rPr>
      </w:pPr>
      <w:r>
        <w:rPr>
          <w:rFonts w:ascii="Times New Roman" w:hAnsi="Times New Roman"/>
          <w:noProof/>
          <w:sz w:val="24"/>
          <w:szCs w:val="24"/>
        </w:rPr>
        <w:t>Pregătirea strategiei de sustenabilitate a turismului la destinație, care va oferi baza pentru structurarea, planificarea, dezvoltarea și evaluarea acțiunilor administrației turismului în vederea transformării destinațiilor, în conformitate cu criteriile de durabilitate și în conformitate cu ODD ale Agendei 2030.</w:t>
      </w:r>
    </w:p>
    <w:p>
      <w:pPr>
        <w:numPr>
          <w:ilvl w:val="0"/>
          <w:numId w:val="72"/>
        </w:numPr>
        <w:spacing w:before="120" w:after="160" w:line="240" w:lineRule="auto"/>
        <w:ind w:left="1069"/>
        <w:contextualSpacing/>
        <w:jc w:val="both"/>
        <w:rPr>
          <w:rFonts w:ascii="Times New Roman" w:hAnsi="Times New Roman" w:cs="Times New Roman"/>
          <w:noProof/>
          <w:szCs w:val="24"/>
        </w:rPr>
      </w:pPr>
      <w:r>
        <w:rPr>
          <w:rFonts w:ascii="Times New Roman" w:hAnsi="Times New Roman"/>
          <w:noProof/>
          <w:sz w:val="24"/>
          <w:szCs w:val="24"/>
        </w:rPr>
        <w:t xml:space="preserve">Pregătirea Programului „Planul de dezvoltare durabilă a turismului pentru destinație”. Acest program stabilește condițiile de participare a comunităților autonome și a colectivităților locale, domeniul de aplicare, pragurile minime de investiții, procedura de depunere a propunerilor și normele de aprobare, punere în aplicare și justificare a acestora. </w:t>
      </w:r>
    </w:p>
    <w:p>
      <w:pPr>
        <w:numPr>
          <w:ilvl w:val="0"/>
          <w:numId w:val="72"/>
        </w:numPr>
        <w:spacing w:before="160" w:after="160" w:line="240" w:lineRule="auto"/>
        <w:ind w:left="1069"/>
        <w:contextualSpacing/>
        <w:jc w:val="both"/>
        <w:rPr>
          <w:rFonts w:ascii="Times New Roman" w:hAnsi="Times New Roman" w:cs="Times New Roman"/>
          <w:noProof/>
          <w:szCs w:val="24"/>
        </w:rPr>
      </w:pPr>
      <w:r>
        <w:rPr>
          <w:rFonts w:ascii="Times New Roman" w:hAnsi="Times New Roman"/>
          <w:noProof/>
          <w:sz w:val="24"/>
          <w:szCs w:val="24"/>
        </w:rPr>
        <w:t>Elaborarea și punerea în aplicare a planurilor teritoriale pentru sustenabilitatea turismului la destinații. Acestea sunt dezvoltate printr-un proces participativ și colaborativ între cele trei administrații publice competente și diferiții actori publici și privați din ecosistemul turistic al destinației. Acestea permit fiecărui teritoriu și fiecărei destinații să răspundă provocărilor legate de sustenabilitatea turismului, în exercitarea competențelor lor de planificare turistică și în cadrul Strategiei de dezvoltare durabilă a turismului pentru destinație aprobată de guvernul spaniol. Aceste planuri constau în acțiuni în următoarele domenii:</w:t>
      </w:r>
    </w:p>
    <w:p>
      <w:pPr>
        <w:pStyle w:val="ListParagraph"/>
        <w:numPr>
          <w:ilvl w:val="1"/>
          <w:numId w:val="73"/>
        </w:numPr>
        <w:spacing w:before="160" w:line="240" w:lineRule="auto"/>
        <w:ind w:left="1786" w:hanging="357"/>
        <w:rPr>
          <w:rFonts w:ascii="Times New Roman" w:hAnsi="Times New Roman" w:cs="Times New Roman"/>
          <w:noProof/>
          <w:sz w:val="24"/>
          <w:szCs w:val="24"/>
        </w:rPr>
      </w:pPr>
      <w:r>
        <w:rPr>
          <w:rFonts w:ascii="Times New Roman" w:hAnsi="Times New Roman"/>
          <w:noProof/>
          <w:sz w:val="24"/>
          <w:szCs w:val="24"/>
        </w:rPr>
        <w:t>Tranziția verde, inclusiv acțiunile din cadrul acestei investiții privind refacerea mediului, gestionarea utilizării publice în zonele naturale protejate, punerea în aplicare a sistemelor de certificare turistică, punerea în aplicare a măsurilor privind economia circulară în serviciile publice și construirea unor căi rurale ciclabile/pietonale.</w:t>
      </w:r>
    </w:p>
    <w:p>
      <w:pPr>
        <w:numPr>
          <w:ilvl w:val="1"/>
          <w:numId w:val="73"/>
        </w:numPr>
        <w:spacing w:before="160" w:after="160" w:line="240" w:lineRule="auto"/>
        <w:ind w:left="1789"/>
        <w:contextualSpacing/>
        <w:jc w:val="both"/>
        <w:rPr>
          <w:rFonts w:ascii="Times New Roman" w:hAnsi="Times New Roman" w:cs="Times New Roman"/>
          <w:noProof/>
          <w:sz w:val="24"/>
          <w:szCs w:val="24"/>
        </w:rPr>
      </w:pPr>
      <w:r>
        <w:rPr>
          <w:rFonts w:ascii="Times New Roman" w:hAnsi="Times New Roman"/>
          <w:noProof/>
          <w:sz w:val="24"/>
          <w:szCs w:val="24"/>
        </w:rPr>
        <w:t>Eficiența energetică, inclusiv acțiunile întreprinse în cadrul acestei investiții pentru reducerea emisiilor de CO</w:t>
      </w:r>
      <w:r>
        <w:rPr>
          <w:rFonts w:ascii="Times New Roman" w:hAnsi="Times New Roman"/>
          <w:noProof/>
          <w:sz w:val="24"/>
          <w:szCs w:val="24"/>
          <w:vertAlign w:val="subscript"/>
        </w:rPr>
        <w:t>2</w:t>
      </w:r>
      <w:r>
        <w:rPr>
          <w:rFonts w:ascii="Times New Roman" w:hAnsi="Times New Roman"/>
          <w:noProof/>
          <w:sz w:val="24"/>
          <w:szCs w:val="24"/>
        </w:rPr>
        <w:t xml:space="preserve"> în clădiri, infrastructură și servicii publice, pentru atenuarea schimbărilor climatice, punerea în aplicare a tehnologiilor de mediu, decarbonizarea și promovarea mobilității durabile sau îmbunătățirea mediului urban.</w:t>
      </w:r>
    </w:p>
    <w:p>
      <w:pPr>
        <w:numPr>
          <w:ilvl w:val="1"/>
          <w:numId w:val="73"/>
        </w:numPr>
        <w:spacing w:before="160" w:after="160" w:line="240" w:lineRule="auto"/>
        <w:ind w:left="1789"/>
        <w:contextualSpacing/>
        <w:jc w:val="both"/>
        <w:rPr>
          <w:rFonts w:ascii="Times New Roman" w:hAnsi="Times New Roman" w:cs="Times New Roman"/>
          <w:noProof/>
          <w:sz w:val="24"/>
          <w:szCs w:val="24"/>
        </w:rPr>
      </w:pPr>
      <w:r>
        <w:rPr>
          <w:rFonts w:ascii="Times New Roman" w:hAnsi="Times New Roman"/>
          <w:noProof/>
        </w:rPr>
        <w:t>Transformarea digitală, inclusiv acțiunile din cadrul acestei investiții pentru digitalizarea serviciilor pentru turiști la destinații, dezvoltarea amprentei digitale a destinației sau cunoașterea pieței și gestionarea cererii turistice.</w:t>
      </w:r>
      <w:r>
        <w:rPr>
          <w:rFonts w:ascii="Times New Roman" w:hAnsi="Times New Roman"/>
          <w:noProof/>
          <w:sz w:val="18"/>
          <w:szCs w:val="18"/>
        </w:rPr>
        <w:t xml:space="preserve"> </w:t>
      </w:r>
    </w:p>
    <w:p>
      <w:pPr>
        <w:numPr>
          <w:ilvl w:val="1"/>
          <w:numId w:val="73"/>
        </w:numPr>
        <w:spacing w:before="160" w:after="160" w:line="240" w:lineRule="auto"/>
        <w:ind w:left="1789"/>
        <w:contextualSpacing/>
        <w:jc w:val="both"/>
        <w:rPr>
          <w:rFonts w:ascii="Times New Roman" w:hAnsi="Times New Roman" w:cs="Times New Roman"/>
          <w:noProof/>
          <w:sz w:val="24"/>
          <w:szCs w:val="24"/>
        </w:rPr>
      </w:pPr>
      <w:r>
        <w:rPr>
          <w:rFonts w:ascii="Times New Roman" w:hAnsi="Times New Roman"/>
          <w:noProof/>
          <w:sz w:val="24"/>
          <w:szCs w:val="24"/>
        </w:rPr>
        <w:t>Transformarea competitivității, inclusiv acțiunile din cadrul acestei investiții care vizează extinderea accesibilității prin destinație, îmbunătățirea infrastructurilor turistice publice locale sau promovarea creării de locuri de muncă prin dezvoltarea de noi produse turistice, cum ar fi culturale, naturale, gastronomice sau meșteșuguri tradiționale &amp; industriale.</w:t>
      </w:r>
    </w:p>
    <w:p>
      <w:pPr>
        <w:numPr>
          <w:ilvl w:val="0"/>
          <w:numId w:val="70"/>
        </w:numPr>
        <w:spacing w:before="160" w:after="160" w:line="240" w:lineRule="auto"/>
        <w:ind w:left="360"/>
        <w:contextualSpacing/>
        <w:jc w:val="both"/>
        <w:rPr>
          <w:rFonts w:ascii="Times New Roman" w:hAnsi="Times New Roman" w:cs="Times New Roman"/>
          <w:noProof/>
          <w:sz w:val="24"/>
          <w:szCs w:val="24"/>
        </w:rPr>
      </w:pPr>
      <w:r>
        <w:rPr>
          <w:rFonts w:ascii="Times New Roman" w:hAnsi="Times New Roman"/>
          <w:noProof/>
          <w:sz w:val="24"/>
          <w:szCs w:val="24"/>
        </w:rPr>
        <w:t>Un plan de sustenabilitate socială pentru sectorul turismului.</w:t>
      </w:r>
    </w:p>
    <w:p>
      <w:pPr>
        <w:numPr>
          <w:ilvl w:val="0"/>
          <w:numId w:val="70"/>
        </w:numPr>
        <w:spacing w:before="120" w:after="120" w:line="240" w:lineRule="auto"/>
        <w:ind w:left="360"/>
        <w:contextualSpacing/>
        <w:jc w:val="both"/>
        <w:rPr>
          <w:rFonts w:ascii="Times New Roman" w:hAnsi="Times New Roman" w:cs="Times New Roman"/>
          <w:noProof/>
          <w:sz w:val="24"/>
          <w:szCs w:val="24"/>
        </w:rPr>
      </w:pPr>
      <w:r>
        <w:rPr>
          <w:rFonts w:ascii="Times New Roman" w:hAnsi="Times New Roman"/>
          <w:noProof/>
          <w:sz w:val="24"/>
          <w:szCs w:val="24"/>
        </w:rPr>
        <w:t>Transformarea actualului Sistem spaniol de calitate a turismului pentru destinațiile turistice (SICTED) într-un sistem cuprinzător de sustenabilitate a turismului pentru destinațiile turistice. Aceasta include dezvoltarea de noi procese și orientări, modernizarea platformei IT existente, formarea de noi agenți de sustenabilitate turistică și dezvoltarea unui mecanism de agregare a datelor pentru analizarea și monitorizarea pieței locuințelor turistice pe întreg teritoriul Spaniei.</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themeColor="text1"/>
          <w:sz w:val="24"/>
        </w:rPr>
        <w:t xml:space="preserve">Acțiunile din cadrul acestei investiții se desfășoară între 1 ianuarie 2021 și 30 iunie 2026, cu plăți către autoritățile locale în perioada 1 ianuarie 2021-31 decembrie 2023 și cu punerea în aplicare până în 2026. Proiectele de promovare a durabilității destinațiilor turistice în cadrul acestei investiții se finalizează până la 30 iunie 2026. </w:t>
      </w:r>
    </w:p>
    <w:p>
      <w:pPr>
        <w:pStyle w:val="Text1"/>
        <w:ind w:left="0"/>
        <w:rPr>
          <w:iCs/>
          <w:noProof/>
          <w:highlight w:val="green"/>
        </w:rPr>
      </w:pPr>
      <w:r>
        <w:rPr>
          <w:noProof/>
        </w:rPr>
        <w:t>Pentru a se asigura că măsura respectă Orientările tehnice „Fără prejudicii semnificative” (2021/C58/01), criteriile de eligibilitate cuprinse în termeni de referință pentru viitoarele cereri de propuneri de proiecte exclud următoarea listă de activități:</w:t>
      </w:r>
      <w:r>
        <w:rPr>
          <w:noProof/>
          <w:color w:val="FF0000"/>
        </w:rPr>
        <w:t xml:space="preserve"> </w:t>
      </w:r>
      <w:r>
        <w:rPr>
          <w:noProof/>
        </w:rPr>
        <w:t>(i) activități legate de combustibilii fosili, inclusiv utilizarea în aval</w:t>
      </w:r>
      <w:r>
        <w:rPr>
          <w:rStyle w:val="FootnoteReference"/>
          <w:noProof/>
          <w:lang w:val="en-IE"/>
        </w:rPr>
        <w:footnoteReference w:id="61"/>
      </w:r>
      <w:r>
        <w:rPr>
          <w:noProof/>
        </w:rPr>
        <w:t>; (ii) activitățile din cadrul schemei UE de comercializare a certificatelor de emisii (ETS) care ating previziuni privind emisiile de gaze cu efect de seră care nu sunt mai mici decât valorile de referință relevante</w:t>
      </w:r>
      <w:r>
        <w:rPr>
          <w:rStyle w:val="FootnoteReference"/>
          <w:noProof/>
          <w:lang w:val="en-IE"/>
        </w:rPr>
        <w:footnoteReference w:id="62"/>
      </w:r>
      <w:r>
        <w:rPr>
          <w:noProof/>
        </w:rPr>
        <w:t>; (iii) activități legate de depozitele de deșeuri, incineratoare</w:t>
      </w:r>
      <w:r>
        <w:rPr>
          <w:rStyle w:val="FootnoteReference"/>
          <w:noProof/>
          <w:lang w:val="en-IE"/>
        </w:rPr>
        <w:footnoteReference w:id="63"/>
      </w:r>
      <w:r>
        <w:rPr>
          <w:noProof/>
        </w:rPr>
        <w:t xml:space="preserve"> și instalații de tratare mecano-biologică</w:t>
      </w:r>
      <w:r>
        <w:rPr>
          <w:rStyle w:val="FootnoteReference"/>
          <w:noProof/>
          <w:lang w:val="en-IE"/>
        </w:rPr>
        <w:footnoteReference w:id="64"/>
      </w:r>
      <w:r>
        <w:rPr>
          <w:noProof/>
        </w:rPr>
        <w:t>; și (iv) activități în cadrul cărora eliminarea pe termen lung a deșeurilor poate dăuna mediului. În plus, mandatul impune ca numai activitățile care respectă legislația UE și națională relevantă în materie de mediu să poată fi selectate. Criteriile de selecție garantează, în plus, că pot fi sprijinite numai activitățile care respectă legislația UE și națională relevantă în materie de mediu.</w:t>
      </w:r>
      <w:r>
        <w:rPr>
          <w:noProof/>
          <w:color w:val="000000" w:themeColor="text1"/>
        </w:rPr>
        <w:t xml:space="preserve"> Criteriile de selecție asigură faptul că cel puțin 511 milioane EUR contribuie la obiectivele legate de schimbările climatice cu un coeficient climatic de 100 % și cel puțin 140 de milioane EUR cu un coeficient climatic de 40 %, în conformitate cu anexa VI la Regulamentul (UE) 2021/241 privind Mecanismul de redresare și reziliență.</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Punerea în aplicare a investiției se finalizează până la 30 iunie 2026.</w:t>
      </w:r>
    </w:p>
    <w:p>
      <w:pPr>
        <w:keepNext/>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Investiția 2 (C14.I2) - Program de digitalizare și de informații pentru destinații și sectorul turismului</w:t>
      </w:r>
    </w:p>
    <w:p>
      <w:pPr>
        <w:keepNext/>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Obiectivul acțiunilor din cadrul acestei investiții este de a dezvolta o platformă de destinație inteligentă, care să pună la dispoziția turiștilor servicii publice și private interoperabile. Aceasta va fi completată cu dezvoltarea unui sistem de informații turistice și a unui set de inițiative menite să stimuleze rețeaua spaniolă de destinații inteligente. </w:t>
      </w:r>
      <w:r>
        <w:rPr>
          <w:rFonts w:ascii="Times New Roman" w:hAnsi="Times New Roman"/>
          <w:noProof/>
          <w:sz w:val="24"/>
          <w:szCs w:val="24"/>
        </w:rPr>
        <w:t>Acțiunile din cadrul acestei investiții sprijină, de asemenea, soluțiile digitale bazate pe inteligența artificială și alte tehnologii generice în întreprinderile din sectorul turismului și oferă finanțare pentru dezvoltarea de spații industriale de date și pentru promovarea inovării digitale în sectorul turismului.</w:t>
      </w:r>
      <w:r>
        <w:rPr>
          <w:rFonts w:ascii="Times New Roman" w:hAnsi="Times New Roman"/>
          <w:noProof/>
          <w:color w:val="000000" w:themeColor="text1"/>
          <w:sz w:val="24"/>
          <w:szCs w:val="24"/>
        </w:rPr>
        <w:t xml:space="preserve"> </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Acțiunile din cadrul acestei investiții se desfășoară prin cereri de propuneri și investiții publice directe. Cel puțin 1000 de întreprinderi sau clustere trebuie să fi primit finanțare din proiectele de investiții legate de inteligența artificială și alte tehnologii generice, iar până la 30 iunie 2025 se lansează o platformă de destinație inteligentă.</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Punerea în aplicare a investiției se finalizează până la 30 iunie 2025.</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Investiția 3 (C14.I3) - Strategii de reziliență turistică pentru teritoriile extra-peninsulare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Investiția vizează Insulele Baleare, Insulele Canare, Ceuta și Melilla, cu scopul de a aborda provocările specifice cu care se confruntă industria turismului în aceste teritorii. Măsurile îmbunătățesc competitivitatea și capacitatea acestor teritorii de a se adapta la schimbările de pe piețele internaționale și constau în:</w:t>
      </w:r>
    </w:p>
    <w:p>
      <w:pPr>
        <w:numPr>
          <w:ilvl w:val="0"/>
          <w:numId w:val="74"/>
        </w:numPr>
        <w:spacing w:before="120" w:after="160" w:line="240" w:lineRule="auto"/>
        <w:contextualSpacing/>
        <w:jc w:val="both"/>
        <w:rPr>
          <w:rFonts w:ascii="Times New Roman" w:hAnsi="Times New Roman" w:cs="Times New Roman"/>
          <w:noProof/>
        </w:rPr>
      </w:pPr>
      <w:r>
        <w:rPr>
          <w:rFonts w:ascii="Times New Roman" w:hAnsi="Times New Roman"/>
          <w:noProof/>
          <w:sz w:val="24"/>
          <w:szCs w:val="24"/>
        </w:rPr>
        <w:t>infrastructura publică, cu un accent special pe îmbunătățirea spațiilor publice pentru promovarea turismului, a gestionării mediului și a tratării deșeurilor, precum și pe recalificarea infrastructurilor turistice învechite;</w:t>
      </w:r>
    </w:p>
    <w:p>
      <w:pPr>
        <w:numPr>
          <w:ilvl w:val="0"/>
          <w:numId w:val="74"/>
        </w:numPr>
        <w:spacing w:before="120" w:after="160" w:line="240" w:lineRule="auto"/>
        <w:contextualSpacing/>
        <w:jc w:val="both"/>
        <w:rPr>
          <w:rFonts w:ascii="Times New Roman" w:hAnsi="Times New Roman" w:cs="Times New Roman"/>
          <w:noProof/>
        </w:rPr>
      </w:pPr>
      <w:r>
        <w:rPr>
          <w:rFonts w:ascii="Times New Roman" w:hAnsi="Times New Roman"/>
          <w:noProof/>
          <w:sz w:val="24"/>
          <w:szCs w:val="24"/>
        </w:rPr>
        <w:t>consolidarea serviciilor publice în zonele cu influență turistică specială: servicii administrative, de securitate și de sănătate;</w:t>
      </w:r>
    </w:p>
    <w:p>
      <w:pPr>
        <w:numPr>
          <w:ilvl w:val="0"/>
          <w:numId w:val="74"/>
        </w:numPr>
        <w:spacing w:before="120" w:after="160" w:line="240" w:lineRule="auto"/>
        <w:contextualSpacing/>
        <w:jc w:val="both"/>
        <w:rPr>
          <w:rFonts w:ascii="Times New Roman" w:hAnsi="Times New Roman" w:cs="Times New Roman"/>
          <w:noProof/>
        </w:rPr>
      </w:pPr>
      <w:r>
        <w:rPr>
          <w:rFonts w:ascii="Times New Roman" w:hAnsi="Times New Roman"/>
          <w:noProof/>
          <w:sz w:val="24"/>
          <w:szCs w:val="24"/>
        </w:rPr>
        <w:t>formare, cu un accent special pe formarea tinerilor legată de sectorul turismului;</w:t>
      </w:r>
    </w:p>
    <w:p>
      <w:pPr>
        <w:numPr>
          <w:ilvl w:val="0"/>
          <w:numId w:val="74"/>
        </w:numPr>
        <w:spacing w:before="120" w:after="160" w:line="240" w:lineRule="auto"/>
        <w:contextualSpacing/>
        <w:jc w:val="both"/>
        <w:rPr>
          <w:rFonts w:ascii="Times New Roman" w:hAnsi="Times New Roman" w:cs="Times New Roman"/>
          <w:noProof/>
        </w:rPr>
      </w:pPr>
      <w:r>
        <w:rPr>
          <w:rFonts w:ascii="Times New Roman" w:hAnsi="Times New Roman"/>
          <w:noProof/>
          <w:sz w:val="24"/>
          <w:szCs w:val="24"/>
        </w:rPr>
        <w:t>dezvoltarea de produse turistice alternative și modernizarea ofertei turistice;</w:t>
      </w:r>
    </w:p>
    <w:p>
      <w:pPr>
        <w:numPr>
          <w:ilvl w:val="0"/>
          <w:numId w:val="74"/>
        </w:numPr>
        <w:spacing w:before="120" w:after="160" w:line="240" w:lineRule="auto"/>
        <w:contextualSpacing/>
        <w:jc w:val="both"/>
        <w:rPr>
          <w:rFonts w:ascii="Times New Roman" w:hAnsi="Times New Roman" w:cs="Times New Roman"/>
          <w:noProof/>
        </w:rPr>
      </w:pPr>
      <w:r>
        <w:rPr>
          <w:rFonts w:ascii="Times New Roman" w:hAnsi="Times New Roman"/>
          <w:noProof/>
          <w:sz w:val="24"/>
          <w:szCs w:val="24"/>
        </w:rPr>
        <w:t>stimulente pentru a facilita conectivitatea cu teritoriile și pentru ca societățile de turism să opereze în afara sezonului de vârf;</w:t>
      </w:r>
    </w:p>
    <w:p>
      <w:pPr>
        <w:numPr>
          <w:ilvl w:val="0"/>
          <w:numId w:val="74"/>
        </w:numPr>
        <w:spacing w:before="120" w:after="160" w:line="240" w:lineRule="auto"/>
        <w:contextualSpacing/>
        <w:jc w:val="both"/>
        <w:rPr>
          <w:rFonts w:ascii="Times New Roman" w:hAnsi="Times New Roman" w:cs="Times New Roman"/>
          <w:noProof/>
        </w:rPr>
      </w:pPr>
      <w:r>
        <w:rPr>
          <w:rFonts w:ascii="Times New Roman" w:hAnsi="Times New Roman"/>
          <w:noProof/>
          <w:sz w:val="24"/>
          <w:szCs w:val="24"/>
        </w:rPr>
        <w:t>promovarea teritoriilor naționale și internaționale extra-peninsulare ca destinații turistice de interes cultural istoric; și</w:t>
      </w:r>
    </w:p>
    <w:p>
      <w:pPr>
        <w:numPr>
          <w:ilvl w:val="0"/>
          <w:numId w:val="74"/>
        </w:numPr>
        <w:spacing w:before="120" w:after="160" w:line="240" w:lineRule="auto"/>
        <w:contextualSpacing/>
        <w:jc w:val="both"/>
        <w:rPr>
          <w:rFonts w:ascii="Times New Roman" w:hAnsi="Times New Roman" w:cs="Times New Roman"/>
          <w:noProof/>
        </w:rPr>
      </w:pPr>
      <w:r>
        <w:rPr>
          <w:rFonts w:ascii="Times New Roman" w:hAnsi="Times New Roman"/>
          <w:noProof/>
          <w:sz w:val="24"/>
          <w:szCs w:val="24"/>
        </w:rPr>
        <w:t>promovări strategice ajustate sezonier, cu un accent special pe strategiile de marketing online, accesibilitatea limbajului, capacitatea proactivă în ceea ce privește instrumentele multimedia și gestionarea relației dintre clienții instituționali (CRM).</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Cel puțin 400 de actori economici și sociali ar fi beneficiat de investițiile în regiunile extra-peninsulare până în iunie 2025.</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sz w:val="24"/>
          <w:szCs w:val="24"/>
        </w:rPr>
        <w:t>Punerea în aplicare a investiției se finalizează până la 30 iunie 2025.</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Investiția 4 (C14.I4) - Acțiuni speciale în domeniul competitivității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Investiția include un set de măsuri menite să îmbunătățească competitivitatea sectorului turismului. Printre acțiunile specifice care urmează să fie sprijinite în cadrul acestei investiții se numără:</w:t>
      </w:r>
    </w:p>
    <w:p>
      <w:pPr>
        <w:numPr>
          <w:ilvl w:val="0"/>
          <w:numId w:val="75"/>
        </w:numPr>
        <w:spacing w:before="120" w:after="160" w:line="240" w:lineRule="auto"/>
        <w:contextualSpacing/>
        <w:jc w:val="both"/>
        <w:rPr>
          <w:rFonts w:ascii="Times New Roman" w:hAnsi="Times New Roman" w:cs="Times New Roman"/>
          <w:noProof/>
        </w:rPr>
      </w:pPr>
      <w:r>
        <w:rPr>
          <w:rFonts w:ascii="Times New Roman" w:hAnsi="Times New Roman"/>
          <w:noProof/>
          <w:sz w:val="24"/>
          <w:szCs w:val="24"/>
        </w:rPr>
        <w:t>dezvoltarea de produse turistice în conformitate cu strategia de dezvoltare a produselor turistice durabile și care să acopere, printre altele, următoarele categorii orientative: turismul gastronomic, turismul cultural, turismul urban, ecoturismul, turismul de afaceri, turismul sportiv, cum ar fi ciclismul, turismul de patrimoniu și turismul religios;</w:t>
      </w:r>
    </w:p>
    <w:p>
      <w:pPr>
        <w:numPr>
          <w:ilvl w:val="0"/>
          <w:numId w:val="75"/>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proiecte care vizează reducerea consumului anual de deșeuri sau de energie al unităților turistice. Pentru reducerea consumului de energie, măsurile specifice includ instalarea de senzori pentru monitorizarea și optimizarea consumului de energie, promovarea utilizării sistemelor de gestionare a energiei (cum ar fi sistemele certificate ISO 500001), utilizarea de materiale eficiente din punct de vedere termic, utilizarea tehnologiilor eficiente din punct de vedere energetic și utilizarea elementelor externe, cum ar fi nuanțele sau grădinile. Măsurile specifice de reducere a deșeurilor includ planuri de separare a deșeurilor la sursă și acțiuni de promovare a reutilizării și reciclării deșeurilor. Printre măsurile suplimentare se numără campanii de sensibilizare și cursuri de formare în domeniul eficienței energetice și al gestionării deșeurilor, destinate personalului din unitățile turistice și promovării producției și achiziționării de bunuri locale; </w:t>
      </w:r>
    </w:p>
    <w:p>
      <w:pPr>
        <w:numPr>
          <w:ilvl w:val="0"/>
          <w:numId w:val="75"/>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regenerarea și reabilitarea siturilor de patrimoniu turistic istoric, inclusiv i) reducerea și compensarea amprentei de carbon prin elaborarea de planuri de acțiune pentru reducerea emisiilor de gaze cu efect de seră, ii) ecoreabilitarea siturilor, iii) îmbunătățirea eficienței energetice prin înlocuirea cazanelor cu motorină sau cu combustibil cu cazane pe gaz natural, iv) acțiuni de adaptare la schimbările climatice, v) îmbunătățiri ale sistemelor de tratare a apei gri, vi) modernizarea sistemelor de gestionare a deșeurilor, vii) reabilitarea și utilizarea spațiilor cu tehnologii inteligente, viii) acțiuni de îmbunătățire a accesibilității siturilor; și</w:t>
      </w:r>
    </w:p>
    <w:p>
      <w:pPr>
        <w:numPr>
          <w:ilvl w:val="0"/>
          <w:numId w:val="75"/>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îmbunătățirea zonelor comerciale din zonele locale cu un aflux turistic ridicat, inclusiv acțiunile întreprinse în cadrul acestei investiții în noi tehnologii; punerea în aplicare a unor soluții tehnologice pentru îmbunătățirea eficienței energetice; procese ecoeficiente și reciclarea și reutilizarea deșeurilor; formarea personalului; o semnătură digitală integrată adaptată pentru vizitatorii străini; și adaptarea spațiilor publice pentru a îmbunătăți accesibilitatea și mobilitatea. </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Cel puțin 60 de proiecte în zone comerciale situate în zone locale cu un aflux turistic ridicat trebuie finalizate până la 31 decembrie 2024. Investițiile puse în aplicare până la 30 iunie 2025 au ca rezultat: i) cel puțin 45 de produse turistice noi disponibile și ii) cel puțin 3 400 de unități turistice trebuie să fi finalizat proiecte de reducere a consumului anual de deșeuri sau de energie. Cel puțin 50 proiecte care vizează situri de patrimoniu turistic istoric trebuie finalizate până la 30 iunie 2026. </w:t>
      </w:r>
    </w:p>
    <w:p>
      <w:pPr>
        <w:pStyle w:val="Text1"/>
        <w:ind w:left="0"/>
        <w:rPr>
          <w:noProof/>
        </w:rPr>
      </w:pPr>
      <w:r>
        <w:rPr>
          <w:noProof/>
        </w:rPr>
        <w:t>Pentru a se asigura că măsura respectă Orientările tehnice „Fără prejudicii semnificative” (2021/C58/01), criteriile de eligibilitate cuprinse în termeni de referință pentru viitoarele cereri de propuneri de proiecte exclud următoarea listă de activități:</w:t>
      </w:r>
      <w:r>
        <w:rPr>
          <w:noProof/>
          <w:color w:val="FF0000"/>
        </w:rPr>
        <w:t xml:space="preserve"> </w:t>
      </w:r>
      <w:r>
        <w:rPr>
          <w:noProof/>
        </w:rPr>
        <w:t>(i) activități legate de combustibilii fosili, inclusiv utilizarea în aval</w:t>
      </w:r>
      <w:r>
        <w:rPr>
          <w:rStyle w:val="FootnoteReference"/>
          <w:noProof/>
          <w:lang w:val="en-IE"/>
        </w:rPr>
        <w:footnoteReference w:id="65"/>
      </w:r>
      <w:r>
        <w:rPr>
          <w:noProof/>
        </w:rPr>
        <w:t>; (ii) activitățile din cadrul schemei UE de comercializare a certificatelor de emisii (ETS) care ating previziuni privind emisiile de gaze cu efect de seră care nu sunt mai mici decât valorile de referință relevante</w:t>
      </w:r>
      <w:r>
        <w:rPr>
          <w:rStyle w:val="FootnoteReference"/>
          <w:noProof/>
          <w:lang w:val="en-IE"/>
        </w:rPr>
        <w:footnoteReference w:id="66"/>
      </w:r>
      <w:r>
        <w:rPr>
          <w:noProof/>
        </w:rPr>
        <w:t>; (iii) activități legate de depozitele de deșeuri, incineratoare</w:t>
      </w:r>
      <w:r>
        <w:rPr>
          <w:rStyle w:val="FootnoteReference"/>
          <w:noProof/>
          <w:lang w:val="en-IE"/>
        </w:rPr>
        <w:footnoteReference w:id="67"/>
      </w:r>
      <w:r>
        <w:rPr>
          <w:noProof/>
        </w:rPr>
        <w:t xml:space="preserve"> și instalații de tratare mecano-biologică</w:t>
      </w:r>
      <w:r>
        <w:rPr>
          <w:rStyle w:val="FootnoteReference"/>
          <w:noProof/>
          <w:lang w:val="en-IE"/>
        </w:rPr>
        <w:footnoteReference w:id="68"/>
      </w:r>
      <w:r>
        <w:rPr>
          <w:noProof/>
        </w:rPr>
        <w:t>; și (iv) activități în cadrul cărora eliminarea pe termen lung a deșeurilor poate dăuna mediului. În plus, mandatul impune ca numai activitățile care respectă legislația UE și națională relevantă în materie de mediu să poată fi selectate.</w:t>
      </w:r>
    </w:p>
    <w:p>
      <w:pPr>
        <w:pStyle w:val="Text1"/>
        <w:ind w:left="0"/>
        <w:rPr>
          <w:rFonts w:eastAsia="Calibri"/>
          <w:noProof/>
        </w:rPr>
      </w:pPr>
      <w:r>
        <w:rPr>
          <w:noProof/>
        </w:rPr>
        <w:t>Punerea în aplicare a investiției se finalizează până la 30 iunie 2026.</w:t>
      </w:r>
    </w:p>
    <w:p>
      <w:pPr>
        <w:pStyle w:val="Text1"/>
        <w:ind w:left="0"/>
        <w:rPr>
          <w:rFonts w:eastAsia="Calibri"/>
          <w:noProof/>
          <w:lang w:val="fr-BE"/>
        </w:rPr>
      </w:pPr>
    </w:p>
    <w:p>
      <w:pPr>
        <w:keepNext/>
        <w:spacing w:before="120" w:after="120" w:line="240" w:lineRule="auto"/>
        <w:ind w:left="709"/>
        <w:jc w:val="both"/>
        <w:rPr>
          <w:rFonts w:ascii="Times New Roman" w:hAnsi="Times New Roman" w:cs="Times New Roman"/>
          <w:b/>
          <w:noProof/>
          <w:sz w:val="24"/>
          <w:szCs w:val="24"/>
          <w:u w:val="single"/>
        </w:rPr>
      </w:pPr>
      <w:r>
        <w:rPr>
          <w:rFonts w:ascii="Times New Roman" w:hAnsi="Times New Roman"/>
          <w:b/>
          <w:noProof/>
          <w:sz w:val="24"/>
          <w:szCs w:val="24"/>
          <w:u w:val="single"/>
        </w:rPr>
        <w:t xml:space="preserve">N.2. </w:t>
      </w:r>
      <w:r>
        <w:rPr>
          <w:rFonts w:ascii="Times New Roman" w:hAnsi="Times New Roman"/>
          <w:b/>
          <w:noProof/>
          <w:sz w:val="24"/>
          <w:u w:val="single"/>
        </w:rPr>
        <w:tab/>
      </w:r>
      <w:r>
        <w:rPr>
          <w:rFonts w:ascii="Times New Roman" w:hAnsi="Times New Roman"/>
          <w:b/>
          <w:noProof/>
          <w:sz w:val="24"/>
          <w:szCs w:val="24"/>
          <w:u w:val="single"/>
        </w:rPr>
        <w:t>Jaloane, ținte, indicatori și calendarul de monitorizare și implementare aplicabile sprijinului financiar nerambursabil</w:t>
      </w:r>
    </w:p>
    <w:p>
      <w:pPr>
        <w:keepNext/>
        <w:spacing w:before="120" w:after="120" w:line="240" w:lineRule="auto"/>
        <w:jc w:val="both"/>
        <w:rPr>
          <w:rFonts w:ascii="Times New Roman" w:hAnsi="Times New Roman" w:cs="Times New Roman"/>
          <w:noProof/>
          <w:color w:val="1F497D"/>
        </w:rPr>
      </w:pPr>
      <w:r>
        <w:rPr>
          <w:rFonts w:ascii="Times New Roman" w:hAnsi="Times New Roman"/>
          <w:i/>
          <w:noProof/>
          <w:color w:val="000000"/>
          <w:sz w:val="24"/>
          <w:szCs w:val="24"/>
        </w:rPr>
        <w:t>Tabelul de mai jos.</w:t>
      </w:r>
      <w:r>
        <w:rPr>
          <w:rFonts w:ascii="Times New Roman" w:hAnsi="Times New Roman"/>
          <w:noProof/>
          <w:color w:val="1F497D"/>
          <w:sz w:val="24"/>
          <w:szCs w:val="24"/>
        </w:rPr>
        <w:t xml:space="preserve"> </w:t>
      </w:r>
      <w:r>
        <w:rPr>
          <w:rFonts w:ascii="Times New Roman" w:hAnsi="Times New Roman"/>
          <w:i/>
          <w:noProof/>
          <w:sz w:val="24"/>
          <w:szCs w:val="24"/>
        </w:rPr>
        <w:t>Data de referință pentru toți indicatorii este 1 februarie 2020, cu excepția cazului în care se indică altfel în descrierea acțiunii.</w:t>
      </w:r>
      <w:r>
        <w:rPr>
          <w:rFonts w:ascii="Times New Roman" w:hAnsi="Times New Roman"/>
          <w:i/>
          <w:noProof/>
          <w:color w:val="000000"/>
          <w:sz w:val="24"/>
          <w:szCs w:val="24"/>
        </w:rPr>
        <w:t xml:space="preserve"> Sumele din tabel nu includ TVA.</w:t>
      </w:r>
    </w:p>
    <w:p>
      <w:pPr>
        <w:spacing w:before="120" w:after="120" w:line="240" w:lineRule="auto"/>
        <w:jc w:val="both"/>
        <w:rPr>
          <w:rFonts w:ascii="Times New Roman" w:hAnsi="Times New Roman" w:cs="Times New Roman"/>
          <w:b/>
          <w:bCs/>
          <w:noProof/>
          <w:sz w:val="24"/>
          <w:u w:val="single"/>
          <w:lang w:val="en-IE"/>
        </w:rPr>
      </w:pPr>
    </w:p>
    <w:p>
      <w:pPr>
        <w:spacing w:before="120" w:after="120" w:line="240" w:lineRule="auto"/>
        <w:ind w:left="709"/>
        <w:jc w:val="both"/>
        <w:rPr>
          <w:rFonts w:ascii="Times New Roman" w:hAnsi="Times New Roman" w:cs="Times New Roman"/>
          <w:noProof/>
          <w:sz w:val="24"/>
          <w:lang w:val="en-IE"/>
        </w:rPr>
      </w:pPr>
    </w:p>
    <w:p>
      <w:pPr>
        <w:spacing w:before="120" w:after="120" w:line="240" w:lineRule="auto"/>
        <w:ind w:left="709"/>
        <w:jc w:val="both"/>
        <w:rPr>
          <w:rFonts w:ascii="Times New Roman" w:hAnsi="Times New Roman" w:cs="Times New Roman"/>
          <w:noProof/>
          <w:sz w:val="24"/>
          <w:lang w:val="en-IE"/>
        </w:rPr>
        <w:sectPr>
          <w:headerReference w:type="even" r:id="rId175"/>
          <w:headerReference w:type="default" r:id="rId176"/>
          <w:footerReference w:type="even" r:id="rId177"/>
          <w:footerReference w:type="default" r:id="rId178"/>
          <w:headerReference w:type="first" r:id="rId179"/>
          <w:footerReference w:type="first" r:id="rId180"/>
          <w:pgSz w:w="11907" w:h="16839"/>
          <w:pgMar w:top="1134" w:right="1417" w:bottom="1134" w:left="1417" w:header="709" w:footer="709" w:gutter="0"/>
          <w:cols w:space="720"/>
          <w:docGrid w:linePitch="360"/>
        </w:sectPr>
      </w:pPr>
    </w:p>
    <w:tbl>
      <w:tblPr>
        <w:tblW w:w="148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1418"/>
        <w:gridCol w:w="1276"/>
        <w:gridCol w:w="850"/>
        <w:gridCol w:w="992"/>
        <w:gridCol w:w="567"/>
        <w:gridCol w:w="426"/>
        <w:gridCol w:w="708"/>
        <w:gridCol w:w="6237"/>
      </w:tblGrid>
      <w:tr>
        <w:trPr>
          <w:trHeight w:val="309"/>
          <w:tblHeader/>
        </w:trPr>
        <w:tc>
          <w:tcPr>
            <w:tcW w:w="70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Număr</w:t>
            </w:r>
          </w:p>
        </w:tc>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Măsură</w:t>
            </w:r>
          </w:p>
        </w:tc>
        <w:tc>
          <w:tcPr>
            <w:tcW w:w="85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Jalon</w:t>
            </w:r>
            <w:r>
              <w:rPr>
                <w:rFonts w:ascii="Times New Roman" w:hAnsi="Times New Roman"/>
                <w:noProof/>
                <w:sz w:val="18"/>
                <w:szCs w:val="18"/>
              </w:rPr>
              <w:br/>
            </w:r>
            <w:r>
              <w:rPr>
                <w:rFonts w:ascii="Times New Roman" w:hAnsi="Times New Roman"/>
                <w:b/>
                <w:bCs/>
                <w:noProof/>
                <w:color w:val="000000" w:themeColor="text1"/>
                <w:sz w:val="18"/>
                <w:szCs w:val="18"/>
              </w:rPr>
              <w:t xml:space="preserve"> /Țintă</w:t>
            </w:r>
          </w:p>
        </w:tc>
        <w:tc>
          <w:tcPr>
            <w:tcW w:w="1418"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Denumire</w:t>
            </w:r>
          </w:p>
        </w:tc>
        <w:tc>
          <w:tcPr>
            <w:tcW w:w="1276"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Indicator calitativ pentru obiectivele de etapă</w:t>
            </w:r>
          </w:p>
        </w:tc>
        <w:tc>
          <w:tcPr>
            <w:tcW w:w="2409" w:type="dxa"/>
            <w:gridSpan w:val="3"/>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Indicator cantitativ pentru obiectiv</w:t>
            </w:r>
          </w:p>
        </w:tc>
        <w:tc>
          <w:tcPr>
            <w:tcW w:w="1134" w:type="dxa"/>
            <w:gridSpan w:val="2"/>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Timp</w:t>
            </w:r>
          </w:p>
        </w:tc>
        <w:tc>
          <w:tcPr>
            <w:tcW w:w="6237"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sz w:val="18"/>
                <w:szCs w:val="18"/>
              </w:rPr>
              <w:t>Descrierea fiecărui jalon și a fiecărei ținte</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1418"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276"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Unitate</w:t>
            </w:r>
          </w:p>
        </w:tc>
        <w:tc>
          <w:tcPr>
            <w:tcW w:w="992"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Scenariu de bază</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Obiectiv</w:t>
            </w:r>
          </w:p>
        </w:tc>
        <w:tc>
          <w:tcPr>
            <w:tcW w:w="426"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Q</w:t>
            </w:r>
          </w:p>
        </w:tc>
        <w:tc>
          <w:tcPr>
            <w:tcW w:w="708"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An</w:t>
            </w:r>
          </w:p>
        </w:tc>
        <w:tc>
          <w:tcPr>
            <w:tcW w:w="6237"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lang w:val="en-IE"/>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214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C14.R1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418"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Plan de promovare a sectorului turismului</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Pagina web a publicației</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70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2020</w:t>
            </w:r>
          </w:p>
        </w:tc>
        <w:tc>
          <w:tcPr>
            <w:tcW w:w="623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Planul descrie măsurile de stimulare a sectorului turismului și definește cadrul de punere în aplicare a măsurilor legate de turism.</w:t>
            </w:r>
          </w:p>
        </w:tc>
      </w:tr>
      <w:tr>
        <w:trPr>
          <w:trHeight w:val="881"/>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215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C14.R1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418"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Lansarea site-ului „DATAESTUR”, care colectează date privind turismul</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Link către site-ul Dataestur</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70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2020</w:t>
            </w:r>
          </w:p>
        </w:tc>
        <w:tc>
          <w:tcPr>
            <w:tcW w:w="623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Site-ul web colectează date privind turismul în Spania din diverse surse de statistici în domeniul turismului, inclusiv organisme publice și private precum INE, Turespaña, Banca Spaniei, AENA sau RENFE, și este operațional.</w:t>
            </w:r>
          </w:p>
        </w:tc>
      </w:tr>
      <w:tr>
        <w:trPr>
          <w:trHeight w:val="881"/>
        </w:trPr>
        <w:tc>
          <w:tcPr>
            <w:tcW w:w="709"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216</w:t>
            </w:r>
          </w:p>
        </w:tc>
        <w:tc>
          <w:tcPr>
            <w:tcW w:w="851"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C14.R1</w:t>
            </w:r>
          </w:p>
        </w:tc>
        <w:tc>
          <w:tcPr>
            <w:tcW w:w="850"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M</w:t>
            </w:r>
          </w:p>
        </w:tc>
        <w:tc>
          <w:tcPr>
            <w:tcW w:w="1418"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 xml:space="preserve">Intrarea în vigoare a decretului regal de punere în aplicare a Fondului financiar de stat pentru competitivitatea turismului </w:t>
            </w:r>
          </w:p>
        </w:tc>
        <w:tc>
          <w:tcPr>
            <w:tcW w:w="127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Dispoziție din decretul regal care indică intrarea în vigoare a legii</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992"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42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Q4</w:t>
            </w:r>
          </w:p>
        </w:tc>
        <w:tc>
          <w:tcPr>
            <w:tcW w:w="70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2021</w:t>
            </w:r>
          </w:p>
        </w:tc>
        <w:tc>
          <w:tcPr>
            <w:tcW w:w="6237"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 xml:space="preserve">Decretul regal de punere în aplicare a Fondului financiar de stat pentru competitivitatea turismului îmbunătățește accesul întreprinderilor la finanțare publică în domeniul economiei circulare și al eficienței energetice. </w:t>
            </w:r>
          </w:p>
        </w:tc>
      </w:tr>
      <w:tr>
        <w:trPr>
          <w:trHeight w:val="881"/>
        </w:trPr>
        <w:tc>
          <w:tcPr>
            <w:tcW w:w="709"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217</w:t>
            </w:r>
          </w:p>
        </w:tc>
        <w:tc>
          <w:tcPr>
            <w:tcW w:w="851"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C14.I1</w:t>
            </w:r>
          </w:p>
        </w:tc>
        <w:tc>
          <w:tcPr>
            <w:tcW w:w="850"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T</w:t>
            </w:r>
          </w:p>
        </w:tc>
        <w:tc>
          <w:tcPr>
            <w:tcW w:w="1418"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Bugetul alocat pentru planurile de promovare a durabilității turismului la destinație</w:t>
            </w:r>
          </w:p>
        </w:tc>
        <w:tc>
          <w:tcPr>
            <w:tcW w:w="127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EUR (milioane)</w:t>
            </w:r>
          </w:p>
        </w:tc>
        <w:tc>
          <w:tcPr>
            <w:tcW w:w="992"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561</w:t>
            </w:r>
          </w:p>
        </w:tc>
        <w:tc>
          <w:tcPr>
            <w:tcW w:w="42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Q4</w:t>
            </w:r>
          </w:p>
        </w:tc>
        <w:tc>
          <w:tcPr>
            <w:tcW w:w="70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2021</w:t>
            </w:r>
          </w:p>
        </w:tc>
        <w:tc>
          <w:tcPr>
            <w:tcW w:w="6237"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Publicarea în JO a premiului acordat autorităților locale pentru sprijinirea punerii în aplicare a „Planurilor teritoriale pentru sustenabilitatea turismului la destinație”, în valoare de cel puțin 561 000 000 EUR și de 35 % din fonduri pentru măsuri care vizează tranziția verde, durabilitatea și eficiența energetică/electromobilitatea la destinații. Criteriile de selecție vor asigura conformitatea cu Orientările tehnice privind principiul „de a nu prejudicia în mod semnificativ”(2021/C58/01) prin utilizarea unei liste de excludere și prin cerința de conformitate cu legislația UE și națională relevantă în materie de mediu. Criteriile de selecție garantează că, din bugetul total final acordat pentru măsură, cel puțin 511 000 000 EUR din această măsură contribuie la obiectivele legate de schimbările climatice cu un coeficient climatic de 100 % și cu un coeficient climatic de cel puțin 140 000 000 EUR, cu un coeficient climatic de 40 %, în conformitate cu anexa VI la Regulamentul (UE) 2021/241 privind Mecanismul de redresare și reziliență.</w:t>
            </w:r>
          </w:p>
        </w:tc>
      </w:tr>
      <w:tr>
        <w:trPr>
          <w:trHeight w:val="881"/>
        </w:trPr>
        <w:tc>
          <w:tcPr>
            <w:tcW w:w="709"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218</w:t>
            </w:r>
          </w:p>
        </w:tc>
        <w:tc>
          <w:tcPr>
            <w:tcW w:w="851"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C14.I1</w:t>
            </w:r>
          </w:p>
        </w:tc>
        <w:tc>
          <w:tcPr>
            <w:tcW w:w="850"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T</w:t>
            </w:r>
          </w:p>
        </w:tc>
        <w:tc>
          <w:tcPr>
            <w:tcW w:w="1418"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Bugetul alocat pentru planurile de promovare a durabilității turismului la destinație</w:t>
            </w:r>
          </w:p>
        </w:tc>
        <w:tc>
          <w:tcPr>
            <w:tcW w:w="127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EUR (milioane)</w:t>
            </w:r>
          </w:p>
        </w:tc>
        <w:tc>
          <w:tcPr>
            <w:tcW w:w="992"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561</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1 173</w:t>
            </w:r>
          </w:p>
        </w:tc>
        <w:tc>
          <w:tcPr>
            <w:tcW w:w="42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Q4</w:t>
            </w:r>
          </w:p>
        </w:tc>
        <w:tc>
          <w:tcPr>
            <w:tcW w:w="70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2022</w:t>
            </w:r>
          </w:p>
        </w:tc>
        <w:tc>
          <w:tcPr>
            <w:tcW w:w="6237"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 xml:space="preserve">Publicarea în JO a premiului acordat autorităților locale pentru punerea în aplicare a „Planurilor teritoriale pentru sustenabilitatea turismului la destinație”, în valoare de cel puțin 1 173 000 000 EUR (valoare de referință: 31 decembrie 2021) și cu 35 % din fonduri pentru măsuri care vizează tranziția verde, durabilitatea și eficiența energetică/electromobilitatea la destinații. Criteriile de selecție asigură conformitatea cu Orientările tehnice privind principiul „de a nu prejudicia în mod semnificativ”(2021/C58/01) prin utilizarea unei liste de excludere și a cerinței de conformitate cu legislația UE și națională relevantă în materie de mediu. Criteriile de selecție garantează că, din bugetul total final acordat pentru măsură, cel puțin 511 000 000 EUR din această măsură contribuie la obiectivele legate de schimbările climatice cu un coeficient climatic de 100 % și cu un coeficient climatic de cel puțin 140 000 000 EUR, cu un coeficient climatic de 40 %, în conformitate cu anexa VI la Regulamentul (UE) 2021/241 privind Mecanismul de redresare și reziliență. </w:t>
            </w:r>
          </w:p>
        </w:tc>
      </w:tr>
      <w:tr>
        <w:trPr>
          <w:trHeight w:val="881"/>
        </w:trPr>
        <w:tc>
          <w:tcPr>
            <w:tcW w:w="709"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219</w:t>
            </w:r>
          </w:p>
        </w:tc>
        <w:tc>
          <w:tcPr>
            <w:tcW w:w="851"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C14.I1</w:t>
            </w:r>
          </w:p>
        </w:tc>
        <w:tc>
          <w:tcPr>
            <w:tcW w:w="850"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T</w:t>
            </w:r>
          </w:p>
        </w:tc>
        <w:tc>
          <w:tcPr>
            <w:tcW w:w="1418"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Bugetul alocat pentru planurile de promovare a durabilității turismului la destinație</w:t>
            </w:r>
          </w:p>
        </w:tc>
        <w:tc>
          <w:tcPr>
            <w:tcW w:w="127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EUR (milioane)</w:t>
            </w:r>
          </w:p>
        </w:tc>
        <w:tc>
          <w:tcPr>
            <w:tcW w:w="992"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1 173</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1 788,6 </w:t>
            </w:r>
          </w:p>
        </w:tc>
        <w:tc>
          <w:tcPr>
            <w:tcW w:w="42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Q4</w:t>
            </w:r>
          </w:p>
        </w:tc>
        <w:tc>
          <w:tcPr>
            <w:tcW w:w="70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2023</w:t>
            </w:r>
          </w:p>
        </w:tc>
        <w:tc>
          <w:tcPr>
            <w:tcW w:w="6237"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Publicarea în JO a premiului acordat autorităților locale pentru punerea în aplicare a „Planurilor teritoriale pentru sustenabilitatea turismului la destinație, în valoare de cel puțin 1 788 600 000 EUR (valoare de referință: 31 decembrie 2022) și cu 35 % din fonduri pentru măsuri care vizează tranziția verde, durabilitatea și eficiența energetică/electromobilitatea la destinații. Criteriile de selecție asigură conformitatea cu Orientările tehnice privind principiul „de a nu prejudicia în mod semnificativ”(2021/C58/01) prin utilizarea unei liste de excludere și a cerinței de conformitate cu legislația UE și națională relevantă în materie de mediu. Criteriile de selecție garantează că, din bugetul total final acordat pentru măsură, cel puțin 511 000 000 EUR din această măsură contribuie la obiectivele legate de schimbările climatice cu un coeficient climatic de 100 % și cu un coeficient climatic de cel puțin 140 000 000 EUR, cu un coeficient climatic de 40 %, în conformitate cu anexa VI la Regulamentul (UE) 2021/241 privind Mecanismul de redresare și reziliență.</w:t>
            </w:r>
          </w:p>
        </w:tc>
      </w:tr>
      <w:tr>
        <w:trPr>
          <w:trHeight w:val="881"/>
        </w:trPr>
        <w:tc>
          <w:tcPr>
            <w:tcW w:w="709"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220</w:t>
            </w:r>
          </w:p>
        </w:tc>
        <w:tc>
          <w:tcPr>
            <w:tcW w:w="851"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C14.I1</w:t>
            </w:r>
          </w:p>
        </w:tc>
        <w:tc>
          <w:tcPr>
            <w:tcW w:w="850"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M</w:t>
            </w:r>
          </w:p>
        </w:tc>
        <w:tc>
          <w:tcPr>
            <w:tcW w:w="1418"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Finalizarea planurilor de promovare a durabilității turismului la destinație</w:t>
            </w:r>
          </w:p>
        </w:tc>
        <w:tc>
          <w:tcPr>
            <w:tcW w:w="127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Raportul Comisiei de monitorizare privind validarea pragului progresului</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42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Q4</w:t>
            </w:r>
          </w:p>
        </w:tc>
        <w:tc>
          <w:tcPr>
            <w:tcW w:w="70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2024</w:t>
            </w:r>
          </w:p>
        </w:tc>
        <w:tc>
          <w:tcPr>
            <w:tcW w:w="6237"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Comisiile de monitorizare se vor asigura că toate destinațiile premiate îndeplinesc cel puțin următoarele niveluri de execuție ale fiecărui plan de sustenabilitate turistică:</w:t>
            </w:r>
            <w:r>
              <w:rPr>
                <w:rFonts w:ascii="Times New Roman" w:hAnsi="Times New Roman"/>
                <w:noProof/>
                <w:color w:val="000000"/>
                <w:sz w:val="18"/>
                <w:szCs w:val="18"/>
              </w:rPr>
              <w:br/>
              <w:t>- 75 % finalizare pentru destinațiile atribuite în 2021.</w:t>
            </w:r>
            <w:r>
              <w:rPr>
                <w:rFonts w:ascii="Times New Roman" w:hAnsi="Times New Roman"/>
                <w:noProof/>
                <w:color w:val="000000"/>
                <w:sz w:val="18"/>
                <w:szCs w:val="18"/>
              </w:rPr>
              <w:br/>
              <w:t xml:space="preserve">- 50 % finalizare pentru destinațiile atribuite în 2022. </w:t>
            </w:r>
            <w:r>
              <w:rPr>
                <w:rFonts w:ascii="Times New Roman" w:hAnsi="Times New Roman"/>
                <w:noProof/>
                <w:color w:val="000000"/>
                <w:sz w:val="18"/>
                <w:szCs w:val="18"/>
              </w:rPr>
              <w:br/>
              <w:t xml:space="preserve">- 25 % finalizare pentru destinațiile atribuite în 2023. </w:t>
            </w:r>
          </w:p>
        </w:tc>
      </w:tr>
      <w:tr>
        <w:trPr>
          <w:trHeight w:val="881"/>
        </w:trPr>
        <w:tc>
          <w:tcPr>
            <w:tcW w:w="709"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221</w:t>
            </w:r>
          </w:p>
        </w:tc>
        <w:tc>
          <w:tcPr>
            <w:tcW w:w="851"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C14.I1</w:t>
            </w:r>
          </w:p>
        </w:tc>
        <w:tc>
          <w:tcPr>
            <w:tcW w:w="850"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M</w:t>
            </w:r>
          </w:p>
        </w:tc>
        <w:tc>
          <w:tcPr>
            <w:tcW w:w="1418"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 xml:space="preserve">Finalizarea proiectelor de promovare a durabilității destinațiilor turistice </w:t>
            </w:r>
          </w:p>
        </w:tc>
        <w:tc>
          <w:tcPr>
            <w:tcW w:w="127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Certificat de completare</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42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Q2</w:t>
            </w:r>
          </w:p>
        </w:tc>
        <w:tc>
          <w:tcPr>
            <w:tcW w:w="70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2026</w:t>
            </w:r>
          </w:p>
        </w:tc>
        <w:tc>
          <w:tcPr>
            <w:tcW w:w="6237"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Finalizarea tuturor proiectelor incluse în „Planurile teritoriale pentru sustenabilitatea turismului la destinație” și atribuite în conformitate cu obiectivele 211, 212 și 2013 cu 35 % din fonduri pentru măsuri care vizează tranziția verde, durabilitatea și eficiența energetică/electromobilitatea la destinații, în conformitate cu Orientările tehnice „nu cauzează prejudicii semnificative” (2021/C58/01), prin utilizarea unei liste de excludere și a cerinței de conformitate cu legislația UE și națională relevantă în materie de mediu.</w:t>
            </w:r>
          </w:p>
        </w:tc>
      </w:tr>
      <w:tr>
        <w:trPr>
          <w:trHeight w:val="881"/>
        </w:trPr>
        <w:tc>
          <w:tcPr>
            <w:tcW w:w="709"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222</w:t>
            </w:r>
          </w:p>
        </w:tc>
        <w:tc>
          <w:tcPr>
            <w:tcW w:w="851"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C14.I2</w:t>
            </w:r>
          </w:p>
        </w:tc>
        <w:tc>
          <w:tcPr>
            <w:tcW w:w="850"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M</w:t>
            </w:r>
          </w:p>
        </w:tc>
        <w:tc>
          <w:tcPr>
            <w:tcW w:w="1418"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Lansarea platformei pentru o destinație inteligentă a sectorului turismului.</w:t>
            </w:r>
          </w:p>
        </w:tc>
        <w:tc>
          <w:tcPr>
            <w:tcW w:w="127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Link către platformă</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42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Q2</w:t>
            </w:r>
          </w:p>
        </w:tc>
        <w:tc>
          <w:tcPr>
            <w:tcW w:w="70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2025</w:t>
            </w:r>
          </w:p>
        </w:tc>
        <w:tc>
          <w:tcPr>
            <w:tcW w:w="6237"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Punerea în aplicare și lansarea unei platforme a destinațiilor inteligente pe deplin operaționale. Platforma pune la dispoziția turiștilor servicii publice și private interoperabile.</w:t>
            </w:r>
          </w:p>
        </w:tc>
      </w:tr>
      <w:tr>
        <w:trPr>
          <w:trHeight w:val="171"/>
        </w:trPr>
        <w:tc>
          <w:tcPr>
            <w:tcW w:w="709"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223</w:t>
            </w:r>
          </w:p>
        </w:tc>
        <w:tc>
          <w:tcPr>
            <w:tcW w:w="851"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C14.I2</w:t>
            </w:r>
          </w:p>
        </w:tc>
        <w:tc>
          <w:tcPr>
            <w:tcW w:w="850"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T</w:t>
            </w:r>
          </w:p>
        </w:tc>
        <w:tc>
          <w:tcPr>
            <w:tcW w:w="1418"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Beneficiarii proiectelor inovatoare bazate pe tehnologie legate de IA și de alte tehnologii generice</w:t>
            </w:r>
          </w:p>
        </w:tc>
        <w:tc>
          <w:tcPr>
            <w:tcW w:w="127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Număr</w:t>
            </w:r>
          </w:p>
        </w:tc>
        <w:tc>
          <w:tcPr>
            <w:tcW w:w="992"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1 000</w:t>
            </w:r>
          </w:p>
        </w:tc>
        <w:tc>
          <w:tcPr>
            <w:tcW w:w="42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Q2</w:t>
            </w:r>
          </w:p>
        </w:tc>
        <w:tc>
          <w:tcPr>
            <w:tcW w:w="70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2025</w:t>
            </w:r>
          </w:p>
        </w:tc>
        <w:tc>
          <w:tcPr>
            <w:tcW w:w="6237"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 xml:space="preserve">Cel puțin 1 000 de beneficiari (întreprinderi sau clustere) care au finalizat proiecte inovatoare bazate pe tehnologie pentru sectorul turismului legate de inteligența artificială și de alte tehnologii generice, cum ar fi internetul obiectelor, tehnologia 5G, volumele mari de date, securitatea cibernetică și aplicațiile mobile. </w:t>
            </w:r>
          </w:p>
        </w:tc>
      </w:tr>
      <w:tr>
        <w:trPr>
          <w:trHeight w:val="881"/>
        </w:trPr>
        <w:tc>
          <w:tcPr>
            <w:tcW w:w="709"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224</w:t>
            </w:r>
          </w:p>
        </w:tc>
        <w:tc>
          <w:tcPr>
            <w:tcW w:w="851"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C14.I3</w:t>
            </w:r>
          </w:p>
        </w:tc>
        <w:tc>
          <w:tcPr>
            <w:tcW w:w="850"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T</w:t>
            </w:r>
          </w:p>
        </w:tc>
        <w:tc>
          <w:tcPr>
            <w:tcW w:w="1418"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Beneficiari din regiunile extrapeninsulare care au finalizat proiecte de îmbunătățire a competitivității și a capacității de adaptare la schimbările de pe piețele internaționale</w:t>
            </w:r>
          </w:p>
        </w:tc>
        <w:tc>
          <w:tcPr>
            <w:tcW w:w="127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Număr</w:t>
            </w:r>
          </w:p>
        </w:tc>
        <w:tc>
          <w:tcPr>
            <w:tcW w:w="992"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400</w:t>
            </w:r>
          </w:p>
        </w:tc>
        <w:tc>
          <w:tcPr>
            <w:tcW w:w="42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Q2</w:t>
            </w:r>
          </w:p>
        </w:tc>
        <w:tc>
          <w:tcPr>
            <w:tcW w:w="70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2025</w:t>
            </w:r>
          </w:p>
        </w:tc>
        <w:tc>
          <w:tcPr>
            <w:tcW w:w="6237"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Cel puțin 400 de beneficiari din regiunile extrapeninsulare (Insulele Baleare, Insulele Canare, Ceuta și Melilla) care au finalizat proiecte de îmbunătățire a competitivității și a capacității lor de adaptare la schimbările de pe piețele internaționale.</w:t>
            </w:r>
          </w:p>
        </w:tc>
      </w:tr>
      <w:tr>
        <w:trPr>
          <w:trHeight w:val="881"/>
        </w:trPr>
        <w:tc>
          <w:tcPr>
            <w:tcW w:w="709"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225</w:t>
            </w:r>
          </w:p>
        </w:tc>
        <w:tc>
          <w:tcPr>
            <w:tcW w:w="851"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C14.I4</w:t>
            </w:r>
          </w:p>
        </w:tc>
        <w:tc>
          <w:tcPr>
            <w:tcW w:w="850"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T</w:t>
            </w:r>
          </w:p>
        </w:tc>
        <w:tc>
          <w:tcPr>
            <w:tcW w:w="1418"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Proiecte care vizează zonele comerciale situate în zone locale cu un aflux turistic ridicat</w:t>
            </w:r>
          </w:p>
        </w:tc>
        <w:tc>
          <w:tcPr>
            <w:tcW w:w="127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 </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Număr</w:t>
            </w:r>
          </w:p>
        </w:tc>
        <w:tc>
          <w:tcPr>
            <w:tcW w:w="992"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60</w:t>
            </w:r>
          </w:p>
        </w:tc>
        <w:tc>
          <w:tcPr>
            <w:tcW w:w="42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Q4</w:t>
            </w:r>
          </w:p>
        </w:tc>
        <w:tc>
          <w:tcPr>
            <w:tcW w:w="70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2024</w:t>
            </w:r>
          </w:p>
        </w:tc>
        <w:tc>
          <w:tcPr>
            <w:tcW w:w="6237"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Cel puțin 60 proiecte care vizează zone comerciale situate în zone locale cu un aflux turistic ridicat au fost finalizate, în conformitate cu Orientările tehnice privind principiul „de a nu prejudicia în mod semnificativ”(2021/C58/01), prin utilizarea unei liste de excludere și prin cerința de conformitate cu legislația UE și națională relevantă în materie de mediu.</w:t>
            </w:r>
          </w:p>
        </w:tc>
      </w:tr>
      <w:tr>
        <w:trPr>
          <w:trHeight w:val="881"/>
        </w:trPr>
        <w:tc>
          <w:tcPr>
            <w:tcW w:w="709"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226</w:t>
            </w:r>
          </w:p>
        </w:tc>
        <w:tc>
          <w:tcPr>
            <w:tcW w:w="851"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C14.I4</w:t>
            </w:r>
          </w:p>
        </w:tc>
        <w:tc>
          <w:tcPr>
            <w:tcW w:w="850"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T</w:t>
            </w:r>
          </w:p>
        </w:tc>
        <w:tc>
          <w:tcPr>
            <w:tcW w:w="1418"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 xml:space="preserve">Produse turistice livrate în conformitate cu strategia în domeniul turismului </w:t>
            </w:r>
          </w:p>
        </w:tc>
        <w:tc>
          <w:tcPr>
            <w:tcW w:w="127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Număr</w:t>
            </w:r>
          </w:p>
        </w:tc>
        <w:tc>
          <w:tcPr>
            <w:tcW w:w="992"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45</w:t>
            </w:r>
          </w:p>
        </w:tc>
        <w:tc>
          <w:tcPr>
            <w:tcW w:w="42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Q2</w:t>
            </w:r>
          </w:p>
        </w:tc>
        <w:tc>
          <w:tcPr>
            <w:tcW w:w="70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2025</w:t>
            </w:r>
          </w:p>
        </w:tc>
        <w:tc>
          <w:tcPr>
            <w:tcW w:w="6237"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 xml:space="preserve">Cel puțin 45 de noi produse turistice furnizate în conformitate cu strategia de dezvoltare a produselor turistice durabile, în conformitate cu Orientările tehnice privind principiul „de a nu prejudicia în mod semnificativ”(2021/C58/01), prin utilizarea unei liste de excludere și prin cerința de conformitate cu legislația UE și națională relevantă în materie de mediu. </w:t>
            </w:r>
          </w:p>
        </w:tc>
      </w:tr>
      <w:tr>
        <w:trPr>
          <w:trHeight w:val="881"/>
        </w:trPr>
        <w:tc>
          <w:tcPr>
            <w:tcW w:w="709"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227</w:t>
            </w:r>
          </w:p>
        </w:tc>
        <w:tc>
          <w:tcPr>
            <w:tcW w:w="851"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C14.I4</w:t>
            </w:r>
          </w:p>
        </w:tc>
        <w:tc>
          <w:tcPr>
            <w:tcW w:w="850"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T</w:t>
            </w:r>
          </w:p>
        </w:tc>
        <w:tc>
          <w:tcPr>
            <w:tcW w:w="1418"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Unități turistice care își reduc consumul anual de deșeuri sau de energie</w:t>
            </w:r>
          </w:p>
        </w:tc>
        <w:tc>
          <w:tcPr>
            <w:tcW w:w="127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Număr</w:t>
            </w:r>
          </w:p>
        </w:tc>
        <w:tc>
          <w:tcPr>
            <w:tcW w:w="992"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3 400</w:t>
            </w:r>
          </w:p>
        </w:tc>
        <w:tc>
          <w:tcPr>
            <w:tcW w:w="42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Q2</w:t>
            </w:r>
          </w:p>
        </w:tc>
        <w:tc>
          <w:tcPr>
            <w:tcW w:w="70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2025</w:t>
            </w:r>
          </w:p>
        </w:tc>
        <w:tc>
          <w:tcPr>
            <w:tcW w:w="6237"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Cel puțin 3 400 de unități turistice au finalizat proiecte care vizează reducerea consumului anual de deșeuri sau de energie, în conformitate cu Orientările tehnice privind principiul „de a nu prejudicia în mod semnificativ”(2021/C58/01) prin utilizarea unei liste de excludere și prin cerința de conformitate cu legislația UE și națională relevantă în materie de mediu.</w:t>
            </w:r>
          </w:p>
        </w:tc>
      </w:tr>
      <w:tr>
        <w:trPr>
          <w:trHeight w:val="881"/>
        </w:trPr>
        <w:tc>
          <w:tcPr>
            <w:tcW w:w="709"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228</w:t>
            </w:r>
          </w:p>
        </w:tc>
        <w:tc>
          <w:tcPr>
            <w:tcW w:w="851"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C14.I4</w:t>
            </w:r>
          </w:p>
        </w:tc>
        <w:tc>
          <w:tcPr>
            <w:tcW w:w="850"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T</w:t>
            </w:r>
          </w:p>
        </w:tc>
        <w:tc>
          <w:tcPr>
            <w:tcW w:w="1418"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Proiecte de regenerare a siturilor de patrimoniu istoric cu o utilizare turistică actuală sau viitoare</w:t>
            </w:r>
          </w:p>
        </w:tc>
        <w:tc>
          <w:tcPr>
            <w:tcW w:w="127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Număr</w:t>
            </w:r>
          </w:p>
        </w:tc>
        <w:tc>
          <w:tcPr>
            <w:tcW w:w="992"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50</w:t>
            </w:r>
          </w:p>
        </w:tc>
        <w:tc>
          <w:tcPr>
            <w:tcW w:w="42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Q2</w:t>
            </w:r>
          </w:p>
        </w:tc>
        <w:tc>
          <w:tcPr>
            <w:tcW w:w="70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2026</w:t>
            </w:r>
          </w:p>
        </w:tc>
        <w:tc>
          <w:tcPr>
            <w:tcW w:w="6237"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 xml:space="preserve">Finalizarea a cel puțin 50 de acțiuni de regenerare a siturilor de patrimoniu istoric, în conformitate cu Orientările tehnice privind principiul „de a nu prejudicia în mod semnificativ”(2021/C58/01) prin utilizarea unei liste de excludere și a cerinței de conformitate cu legislația UE și națională relevantă în materie de mediu. </w:t>
            </w:r>
          </w:p>
        </w:tc>
      </w:tr>
    </w:tbl>
    <w:p>
      <w:pPr>
        <w:spacing w:before="120" w:after="120" w:line="240" w:lineRule="auto"/>
        <w:ind w:left="709"/>
        <w:jc w:val="both"/>
        <w:rPr>
          <w:rFonts w:ascii="Times New Roman" w:hAnsi="Times New Roman" w:cs="Times New Roman"/>
          <w:noProof/>
          <w:sz w:val="24"/>
          <w:szCs w:val="24"/>
        </w:rPr>
      </w:pPr>
    </w:p>
    <w:p>
      <w:pPr>
        <w:spacing w:before="120" w:after="120" w:line="240" w:lineRule="auto"/>
        <w:jc w:val="both"/>
        <w:rPr>
          <w:rFonts w:ascii="Times New Roman" w:hAnsi="Times New Roman" w:cs="Times New Roman"/>
          <w:noProof/>
          <w:sz w:val="24"/>
        </w:rPr>
        <w:sectPr>
          <w:headerReference w:type="even" r:id="rId181"/>
          <w:headerReference w:type="default" r:id="rId182"/>
          <w:footerReference w:type="even" r:id="rId183"/>
          <w:footerReference w:type="default" r:id="rId184"/>
          <w:headerReference w:type="first" r:id="rId185"/>
          <w:footerReference w:type="first" r:id="rId186"/>
          <w:pgSz w:w="16839" w:h="11907" w:orient="landscape"/>
          <w:pgMar w:top="1417" w:right="1134" w:bottom="1417" w:left="1134" w:header="709" w:footer="709" w:gutter="0"/>
          <w:cols w:space="720"/>
          <w:docGrid w:linePitch="360"/>
        </w:sectPr>
      </w:pPr>
    </w:p>
    <w:p>
      <w:pPr>
        <w:pStyle w:val="Heading1"/>
        <w:rPr>
          <w:noProof/>
        </w:rPr>
      </w:pPr>
      <w:r>
        <w:rPr>
          <w:noProof/>
        </w:rPr>
        <w:t>O. COMPONENTA 15: Conectivitatea digitală</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Conectivitatea digitală este un factor-cheie pentru dezvoltarea activității economice, pentru creșterea productivității, pentru stimularea inovării și pentru coeziunea teritorială și socială. Accesul la rețelele digitale este din ce în ce mai necesar pentru a avea acces la serviciile publice, pentru a dezvolta activități economice și pentru a participa activ în societate.</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Această componentă a planului spaniol de redresare și reziliență abordează provocările în materie de conectivitate în ceea ce privește acoperirea rețelelor fixe ultrarapide, cu peste 100 Mbps/s, și a rețelelor 5G în Spania și, în special, în zonele rurale și în coridoarele principale de transport transfrontalier. Din perspectiva securității cibernetice, principala provocare abordată de componentă este de a crea un mediu fiabil și sigur pentru ca cetățenii și întreprinderile să contribuie la procesul de digitalizare și de hiperconectivitate asociat cu punerea în aplicare a tehnologiei 5G și a serviciilor care vor veni cu această tehnologie.</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Obiectivele acestei componente sunt alinierea sectorului telecomunicațiilor la cerințele Strategiei digitale europene și consolidarea coeziunii economice, sociale și teritoriale prin eliminarea decalajelor digitale și creșterea accesului la acoperirea ultrarapidă pe întreg teritoriul național. Componenta sprijină implementarea accelerată a tehnologiei 5G, prin: 1) punerea la dispoziție a resurselor de spectru necesare în benzile de prioritate 5G; 2) dezvoltarea unui mediu de implementare fiabil și sigur și 3) promovarea dezvoltării de aplicații tehnologice 5G. Acesta urmărește, de asemenea, să sprijine o cultură durabilă a securității cibernetice pentru cetățeni și întreprinderi.</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Componenta abordează recomandările specifice fiecărei țări privind concentrarea politicii economice de investiții asupra stimulării inovării (recomandarea specifică țării 3 din 2019), asupra concentrării la începutul perioadei a proiectelor de investiții publice mature și asupra concentrării investițiilor asupra tranziției digitale (recomandarea specifică țării 3 din 2020).</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color w:val="000000" w:themeColor="text1"/>
          <w:sz w:val="24"/>
          <w:szCs w:val="24"/>
        </w:rPr>
        <w:t>Se preconizează că nicio măsură din cadrul acestei componente nu aduce prejudicii semnificative obiectivelor de mediu în sensul articolului 17 din Regulamentul (UE) 2020/852, ținând seama de descrierea măsurilor și a măsurilor de atenuare stabilite în planul de redresare și reziliență în conformitate cu Orientările tehnice DNSH (2021/C58/01).</w:t>
      </w:r>
    </w:p>
    <w:p>
      <w:pPr>
        <w:spacing w:before="120" w:after="120" w:line="240" w:lineRule="auto"/>
        <w:ind w:left="709"/>
        <w:jc w:val="both"/>
        <w:rPr>
          <w:rFonts w:ascii="Times New Roman" w:hAnsi="Times New Roman" w:cs="Times New Roman"/>
          <w:b/>
          <w:i/>
          <w:noProof/>
          <w:color w:val="4F81BD" w:themeColor="accent1"/>
          <w:sz w:val="24"/>
          <w:szCs w:val="24"/>
        </w:rPr>
      </w:pPr>
      <w:r>
        <w:rPr>
          <w:rFonts w:ascii="Times New Roman" w:hAnsi="Times New Roman"/>
          <w:b/>
          <w:noProof/>
          <w:sz w:val="24"/>
          <w:szCs w:val="24"/>
          <w:u w:val="single"/>
        </w:rPr>
        <w:t xml:space="preserve">O.1. </w:t>
      </w:r>
      <w:r>
        <w:rPr>
          <w:rFonts w:ascii="Times New Roman" w:hAnsi="Times New Roman"/>
          <w:b/>
          <w:noProof/>
          <w:sz w:val="24"/>
          <w:u w:val="single"/>
        </w:rPr>
        <w:tab/>
      </w:r>
      <w:r>
        <w:rPr>
          <w:rFonts w:ascii="Times New Roman" w:hAnsi="Times New Roman"/>
          <w:b/>
          <w:noProof/>
          <w:sz w:val="24"/>
          <w:szCs w:val="24"/>
          <w:u w:val="single"/>
        </w:rPr>
        <w:t>Descrierea reformelor și a investițiilor pentru care se prevede acordarea sprijinului financiar nerambursabil</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Reforma 1 (C15.R1) - Reforma cadrului de reglementare în domeniul telecomunicațiilor: Legislație generală, instrumente de reglementare și instrumente de punere în aplicare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Obiectivul măsurii este de a transpune Directiva 2018/1972 a Codului european al comunicațiilor electronice, de a dezvolta cele mai bune practici pentru implementarea rețelelor fixe și mobile de mare capacitate și 5G și de a dezvolta acțiunile necesare pentru punerea în aplicare în cadrul național a setului de instrumente rezultat din Recomandarea Comisiei Europene privind conectivitatea C (2020) 6270.</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Setul de instrumente care rezultă din punerea în aplicare a Recomandării Comisiei Europene privind conectivitatea C (2020) 6270 se încorporează în cadrul juridic spaniol în legislația generală privind telecomunicațiile în acele elemente care necesită statutul de lege. </w:t>
      </w:r>
    </w:p>
    <w:p>
      <w:pPr>
        <w:autoSpaceDE w:val="0"/>
        <w:autoSpaceDN w:val="0"/>
        <w:spacing w:before="40" w:after="40" w:line="240" w:lineRule="auto"/>
        <w:jc w:val="both"/>
        <w:rPr>
          <w:rFonts w:ascii="Times New Roman" w:eastAsia="Calibri" w:hAnsi="Times New Roman" w:cs="Times New Roman"/>
          <w:noProof/>
        </w:rPr>
      </w:pPr>
      <w:r>
        <w:rPr>
          <w:rFonts w:ascii="Times New Roman" w:hAnsi="Times New Roman"/>
          <w:noProof/>
          <w:sz w:val="24"/>
          <w:szCs w:val="24"/>
        </w:rPr>
        <w:t>Punerea în aplicare a măsurii se finalizează până la 30 iunie 2022.</w:t>
      </w:r>
      <w:r>
        <w:rPr>
          <w:rFonts w:ascii="Times New Roman" w:hAnsi="Times New Roman"/>
          <w:noProof/>
          <w:color w:val="000000"/>
          <w:sz w:val="20"/>
          <w:szCs w:val="20"/>
        </w:rPr>
        <w:t xml:space="preserve"> </w:t>
      </w:r>
    </w:p>
    <w:p>
      <w:pPr>
        <w:keepNext/>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Reforma 2 (C15.R2) - Foaia de parcurs 5G: Gestionarea și alocarea spectrului, reducerea sarcinii de implementare, Legea privind securitatea cibernetică 5G și sprijinirea autorităților locale</w:t>
      </w:r>
    </w:p>
    <w:p>
      <w:pPr>
        <w:keepNext/>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Obiectivele măsurii sunt: 1) să finalizeze „cel de al doilea dividend digital” și procedura de licitație pentru banda de frecvențe de 700 MHz și banda de frecvențe de 26 GHz; 2) să reducă temporar impozitarea spectrului de frecvențe radio pentru operatorii de telecomunicații pentru 2022 și 2023 pentru a accelera implementarea tehnologiei 5G; 3) să includă setul de instrumente al UE pentru securitatea cibernetică a rețelelor 5G în corpusul legislativ național; și 4) să disemineze bunele practici în rândul administrațiilor publice locale în ceea ce privește telecomunicațiile și urbanismul.</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În ceea ce privește punerea în aplicare, sunt identificate următoarele etape:</w:t>
      </w:r>
    </w:p>
    <w:p>
      <w:pPr>
        <w:numPr>
          <w:ilvl w:val="0"/>
          <w:numId w:val="143"/>
        </w:numPr>
        <w:spacing w:before="120" w:after="160" w:line="256" w:lineRule="auto"/>
        <w:contextualSpacing/>
        <w:jc w:val="both"/>
        <w:rPr>
          <w:rFonts w:ascii="Times New Roman" w:hAnsi="Times New Roman" w:cs="Times New Roman"/>
          <w:noProof/>
          <w:sz w:val="24"/>
          <w:szCs w:val="24"/>
        </w:rPr>
      </w:pPr>
      <w:r>
        <w:rPr>
          <w:rFonts w:ascii="Times New Roman" w:hAnsi="Times New Roman"/>
          <w:noProof/>
          <w:sz w:val="24"/>
          <w:szCs w:val="24"/>
        </w:rPr>
        <w:t>Finalizarea „celui de-al doilea dividend digital”</w:t>
      </w:r>
    </w:p>
    <w:p>
      <w:pPr>
        <w:numPr>
          <w:ilvl w:val="0"/>
          <w:numId w:val="143"/>
        </w:numPr>
        <w:spacing w:before="120" w:after="160" w:line="256" w:lineRule="auto"/>
        <w:contextualSpacing/>
        <w:jc w:val="both"/>
        <w:rPr>
          <w:rFonts w:ascii="Times New Roman" w:hAnsi="Times New Roman" w:cs="Times New Roman"/>
          <w:noProof/>
          <w:sz w:val="24"/>
          <w:szCs w:val="24"/>
        </w:rPr>
      </w:pPr>
      <w:r>
        <w:rPr>
          <w:rFonts w:ascii="Times New Roman" w:hAnsi="Times New Roman"/>
          <w:noProof/>
          <w:sz w:val="24"/>
          <w:szCs w:val="24"/>
        </w:rPr>
        <w:t>Strategia pentru promovarea tehnologiei 5G</w:t>
      </w:r>
    </w:p>
    <w:p>
      <w:pPr>
        <w:numPr>
          <w:ilvl w:val="0"/>
          <w:numId w:val="143"/>
        </w:numPr>
        <w:spacing w:before="120" w:after="160" w:line="256"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Licitație pentru banda de 700 MHz </w:t>
      </w:r>
    </w:p>
    <w:p>
      <w:pPr>
        <w:numPr>
          <w:ilvl w:val="0"/>
          <w:numId w:val="143"/>
        </w:numPr>
        <w:spacing w:before="120" w:after="160" w:line="256" w:lineRule="auto"/>
        <w:contextualSpacing/>
        <w:jc w:val="both"/>
        <w:rPr>
          <w:rFonts w:ascii="Times New Roman" w:hAnsi="Times New Roman" w:cs="Times New Roman"/>
          <w:noProof/>
          <w:sz w:val="24"/>
          <w:szCs w:val="24"/>
        </w:rPr>
      </w:pPr>
      <w:r>
        <w:rPr>
          <w:rFonts w:ascii="Times New Roman" w:hAnsi="Times New Roman"/>
          <w:noProof/>
          <w:sz w:val="24"/>
          <w:szCs w:val="24"/>
        </w:rPr>
        <w:t>Procedură de ofertare pentru banda de 26 GHz</w:t>
      </w:r>
    </w:p>
    <w:p>
      <w:pPr>
        <w:numPr>
          <w:ilvl w:val="0"/>
          <w:numId w:val="143"/>
        </w:numPr>
        <w:spacing w:before="120" w:after="160" w:line="256" w:lineRule="auto"/>
        <w:contextualSpacing/>
        <w:jc w:val="both"/>
        <w:rPr>
          <w:rFonts w:ascii="Times New Roman" w:hAnsi="Times New Roman" w:cs="Times New Roman"/>
          <w:noProof/>
          <w:sz w:val="24"/>
          <w:szCs w:val="24"/>
        </w:rPr>
      </w:pPr>
      <w:r>
        <w:rPr>
          <w:rFonts w:ascii="Times New Roman" w:hAnsi="Times New Roman"/>
          <w:noProof/>
          <w:sz w:val="24"/>
          <w:szCs w:val="24"/>
        </w:rPr>
        <w:t>Reducerea temporară a impozitării spectrului de frecvențe radio</w:t>
      </w:r>
    </w:p>
    <w:p>
      <w:pPr>
        <w:numPr>
          <w:ilvl w:val="0"/>
          <w:numId w:val="143"/>
        </w:numPr>
        <w:spacing w:before="120" w:after="160" w:line="256" w:lineRule="auto"/>
        <w:contextualSpacing/>
        <w:jc w:val="both"/>
        <w:rPr>
          <w:rFonts w:ascii="Times New Roman" w:hAnsi="Times New Roman" w:cs="Times New Roman"/>
          <w:noProof/>
          <w:sz w:val="24"/>
          <w:szCs w:val="24"/>
        </w:rPr>
      </w:pPr>
      <w:r>
        <w:rPr>
          <w:rFonts w:ascii="Times New Roman" w:hAnsi="Times New Roman"/>
          <w:noProof/>
          <w:sz w:val="24"/>
          <w:szCs w:val="24"/>
        </w:rPr>
        <w:t>Legea 5G privind securitatea cibernetică</w:t>
      </w:r>
    </w:p>
    <w:p>
      <w:pPr>
        <w:autoSpaceDE w:val="0"/>
        <w:autoSpaceDN w:val="0"/>
        <w:spacing w:before="40" w:after="40" w:line="240" w:lineRule="auto"/>
        <w:jc w:val="both"/>
        <w:rPr>
          <w:rFonts w:ascii="Times New Roman" w:eastAsia="Calibri" w:hAnsi="Times New Roman" w:cs="Times New Roman"/>
          <w:noProof/>
        </w:rPr>
      </w:pPr>
      <w:r>
        <w:rPr>
          <w:rFonts w:ascii="Times New Roman" w:hAnsi="Times New Roman"/>
          <w:noProof/>
          <w:sz w:val="24"/>
          <w:szCs w:val="24"/>
        </w:rPr>
        <w:t>Punerea în aplicare a măsurii se finalizează până la 31 decembrie 2022.</w:t>
      </w:r>
      <w:r>
        <w:rPr>
          <w:rFonts w:ascii="Times New Roman" w:hAnsi="Times New Roman"/>
          <w:noProof/>
          <w:color w:val="000000"/>
          <w:sz w:val="20"/>
          <w:szCs w:val="20"/>
        </w:rPr>
        <w:t xml:space="preserve"> </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Investiția 1 (C15.I1) - Promovarea coeziunii teritoriale prin implementarea rețelelor: Extinderea benzii largi ultrarapide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Obiectivele măsurii sunt: 1) să aprofundeze acoperirea rețelelor de acces în bandă largă ultrarapide în zonele în care aceasta nu există, cu scopul de a ajunge la 100 % din populație; și 2) să desfășoare acțiuni specifice pentru extinderea acoperirii în centrele urbane istorice cu statut de zonă albă.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Investiția constă în furnizarea de conectivitate în bandă largă ultrarapidă (peste 100 Mbps) în zonele respective, în principal în zonele rurale și în zonele cu valoare istorică, care în prezent nu dispun de o astfel de conectivitate. Până la sfârșitul anului 2021 se adoptă un plan executabil detaliat, iar 100 % din buget se acordă până la sfârșitul anului 2023. Planul stabilește, de asemenea, obiectivele finale (în ceea ce privește acoperirea suplimentară în unități) care trebuie atinse și asigură neutralitatea tehnologică și menținerea mecanismelor de concurență pe piață și de acces al tuturor operatorilor la infrastructura implementată. Zonele de intervenție sunt definite într-un astfel de plan. Planul de punere în aplicare stabilește, de asemenea, etapele juridice și de reglementare necesare, inclusiv cele care trebuie întreprinse pentru a asigura conformitatea cu normele relevante ale UE privind ajutoarele de stat. Obiectivul este de a asigura viteze simetrice de 300 Mbps, care pot fi actualizate la 1 Gibbs simetric (giga bit pe secundă) în zonele albe și în zonele gri.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Punerea în aplicare a investiției se finalizează până la 31 decembrie 2025.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Investiția 2 (C15.I2) Consolidarea conectivității în centrele de referință, în motoare socioeconomice și în proiecte sectoriale de digitalizare</w:t>
      </w:r>
    </w:p>
    <w:p>
      <w:pPr>
        <w:spacing w:before="120" w:after="120" w:line="240" w:lineRule="auto"/>
        <w:jc w:val="both"/>
        <w:rPr>
          <w:rFonts w:ascii="Times New Roman" w:hAnsi="Times New Roman" w:cs="Times New Roman"/>
          <w:noProof/>
          <w:sz w:val="24"/>
        </w:rPr>
      </w:pPr>
      <w:r>
        <w:rPr>
          <w:rFonts w:ascii="Times New Roman" w:hAnsi="Times New Roman"/>
          <w:noProof/>
          <w:sz w:val="24"/>
        </w:rPr>
        <w:t>Obiectivele măsurii sunt: 1) îmbunătățirea conectivității și a echipamentelor centrelor care oferă acces la asistență medicală de bază și la servicii sociale, cum ar fi spitalele, centrele de sănătate, centrele de educație și formare; și 2) furnizarea de conectivitate ultralargă în principalii factori socioeconomici ai țării și în zonele cu cerere ridicată de capacitate (insule tehnologice).</w:t>
      </w:r>
    </w:p>
    <w:p>
      <w:pPr>
        <w:spacing w:before="120" w:after="120" w:line="240" w:lineRule="auto"/>
        <w:jc w:val="both"/>
        <w:rPr>
          <w:rFonts w:ascii="Times New Roman" w:hAnsi="Times New Roman" w:cs="Times New Roman"/>
          <w:noProof/>
          <w:sz w:val="24"/>
        </w:rPr>
      </w:pPr>
      <w:r>
        <w:rPr>
          <w:rFonts w:ascii="Times New Roman" w:hAnsi="Times New Roman"/>
          <w:noProof/>
          <w:sz w:val="24"/>
        </w:rPr>
        <w:t>Investiția constă în extinderea conectivității de 1 giga biți la principalele centre de activitate socială și economică din întreaga țară. Siturile selectate includ situri industriale, centre de date, situri agroindustriale, centre de cercetare, noduri de transport, noduri logistice sau întreprinderi care utilizează intensiv date, precum și centre medicale, cum ar fi spitale, centre de formare și centre medicale.</w:t>
      </w:r>
    </w:p>
    <w:p>
      <w:pPr>
        <w:spacing w:before="120" w:after="120" w:line="240" w:lineRule="auto"/>
        <w:jc w:val="both"/>
        <w:rPr>
          <w:rFonts w:ascii="Times New Roman" w:eastAsia="Calibri" w:hAnsi="Times New Roman" w:cs="Times New Roman"/>
          <w:noProof/>
          <w:sz w:val="24"/>
        </w:rPr>
      </w:pPr>
      <w:r>
        <w:rPr>
          <w:rFonts w:ascii="Times New Roman" w:hAnsi="Times New Roman"/>
          <w:noProof/>
          <w:sz w:val="24"/>
        </w:rPr>
        <w:t>Printre acțiunile specifice se numără: (a) proiecte de consolidare a conectivității în punctele focale și în serviciile publice; (b) proiecte privind conectivitatea 1-gigabit și sprijin pentru sectoare-cheie, inclusiv proiecte inovatoare de digitalizare sectorială (sănătate, produse agroalimentare, mobilitate, turism, industrie, comerț etc.) și proiecte de conectivitate pentru bunurile industriale și de afaceri din zonele albe/gri.</w:t>
      </w:r>
    </w:p>
    <w:p>
      <w:pPr>
        <w:spacing w:before="120" w:after="120" w:line="240" w:lineRule="auto"/>
        <w:jc w:val="both"/>
        <w:rPr>
          <w:rFonts w:ascii="Times New Roman" w:eastAsia="Calibri" w:hAnsi="Times New Roman" w:cs="Times New Roman"/>
          <w:noProof/>
          <w:sz w:val="24"/>
        </w:rPr>
      </w:pPr>
      <w:r>
        <w:rPr>
          <w:rFonts w:ascii="Times New Roman" w:hAnsi="Times New Roman"/>
          <w:noProof/>
          <w:sz w:val="24"/>
        </w:rPr>
        <w:t>Investiția se pune în aplicare până la 31 decembrie 2023.</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Investiția 3 (C15.I3) - vouchere pentru conectivitate pentru IMM-uri și grupurile vulnerabile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Investiția constă în furnizarea: </w:t>
      </w:r>
    </w:p>
    <w:p>
      <w:pPr>
        <w:numPr>
          <w:ilvl w:val="0"/>
          <w:numId w:val="144"/>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Vouchere pentru IMM-uri pentru a finanța investiții în conectivitate (inclusiv conectivitate de bază de cel puțin 100 Mbps și servicii cu valoare adăugată, cum ar fi VPN și securitatea cibernetică); și</w:t>
      </w:r>
    </w:p>
    <w:p>
      <w:pPr>
        <w:numPr>
          <w:ilvl w:val="0"/>
          <w:numId w:val="144"/>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Vouchere pentru persoanele sau familiile vulnerabile în vederea finanțării pachetelor de conexiune în bandă largă cu tehnologia cea mai adecvată.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Investiția se pune în aplicare până la 31 decembrie 2023. </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Investiția 4 (C15.I4) - Reînnoirea infrastructurii și sustenabilitate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Investiția constă în echiparea unei părți din parcul imobiliar existent cu infrastructură pentru a facilita instalarea optimă a rețelelor de foarte mare capacitate în ultimul kilometru de acces. Se preconizează că această investiție, pe lângă coordonarea și optimizarea implementării rețelelor de acces de nouă generație într-un mod durabil, va optimiza consumul de energie al rețelelor instalate.</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Punerea în aplicare a investiției se finalizează până la 31 decembrie 2023.</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Investiția 5 (C15.I5) - Implementarea infrastructurii digitale transfrontaliere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Investiția constă în trei proiecte.</w:t>
      </w:r>
    </w:p>
    <w:p>
      <w:pPr>
        <w:spacing w:before="120" w:after="120" w:line="240" w:lineRule="auto"/>
        <w:ind w:left="709"/>
        <w:jc w:val="both"/>
        <w:rPr>
          <w:rFonts w:ascii="Times New Roman" w:hAnsi="Times New Roman" w:cs="Times New Roman"/>
          <w:noProof/>
          <w:sz w:val="24"/>
          <w:szCs w:val="24"/>
        </w:rPr>
      </w:pPr>
      <w:r>
        <w:rPr>
          <w:rFonts w:ascii="Times New Roman" w:hAnsi="Times New Roman"/>
          <w:noProof/>
          <w:sz w:val="24"/>
          <w:szCs w:val="24"/>
        </w:rPr>
        <w:t xml:space="preserve">1) îmbunătățirea conectivității în infrastructura digitală transfrontalieră: Acest lucru ar implica participarea întreprinderilor spaniole la consorții de întreprinderi pentru proiecte de interconectare a infrastructurii de date și de cabluri submarine din cadrul Mecanismului pentru interconectarea Europei (CEF2 Digital) și al noului regulament general de exceptare pe categorii de ajutoare. </w:t>
      </w:r>
    </w:p>
    <w:p>
      <w:pPr>
        <w:spacing w:before="120" w:after="120" w:line="240" w:lineRule="auto"/>
        <w:ind w:left="709"/>
        <w:jc w:val="both"/>
        <w:rPr>
          <w:rFonts w:ascii="Times New Roman" w:hAnsi="Times New Roman" w:cs="Times New Roman"/>
          <w:noProof/>
          <w:sz w:val="24"/>
          <w:szCs w:val="24"/>
        </w:rPr>
      </w:pPr>
      <w:r>
        <w:rPr>
          <w:rFonts w:ascii="Times New Roman" w:hAnsi="Times New Roman"/>
          <w:noProof/>
          <w:sz w:val="24"/>
          <w:szCs w:val="24"/>
        </w:rPr>
        <w:t>2) participarea la proiecte multinaționale de infrastructură digitală transfrontalieră: proiectele candidate ar fi proiectele importante planificate de interes european comun (PIIEC) privind infrastructurile și serviciile de cloud și servicii de nouă generație; și participarea la PIIEC planificată privind procesoarele avansate și semiconductorii. În cazul în care PIIEC multinaționale nu ar fi create, ar putea fi instituite alte programe, cum ar fi C &amp; D &amp; I, pentru consolidarea capacităților în aceste domenii.</w:t>
      </w:r>
    </w:p>
    <w:p>
      <w:pPr>
        <w:spacing w:before="120" w:after="120" w:line="240" w:lineRule="auto"/>
        <w:ind w:left="709"/>
        <w:jc w:val="both"/>
        <w:rPr>
          <w:rFonts w:ascii="Times New Roman" w:hAnsi="Times New Roman" w:cs="Times New Roman"/>
          <w:noProof/>
          <w:sz w:val="24"/>
          <w:szCs w:val="24"/>
        </w:rPr>
      </w:pPr>
      <w:r>
        <w:rPr>
          <w:rFonts w:ascii="Times New Roman" w:hAnsi="Times New Roman"/>
          <w:noProof/>
          <w:sz w:val="24"/>
          <w:szCs w:val="24"/>
        </w:rPr>
        <w:t xml:space="preserve">3) alte proiecte de C &amp; D &amp; I privind infrastructura digitală transfrontalieră, inclusiv investiții în sisteme de comunicații securizate prin satelit și dezvoltarea capacităților de comunicații cuantice. </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Până la 31 decembrie 2022 se prezintă un plan executabil detaliat privind aceste investiții, cu obiectivul de a defini în mod clar proiectele selectate și de a atinge 100 % din execuția bugetară până la 30 iunie 2023.  </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Planul prezintă criteriile tehnice (principalele caracteristici ale proiectelor și beneficiarilor) și măsurile juridice și de reglementare necesare, inclusiv măsurile necesare pentru a se conforma controlului ajutoarelor de stat. Planul stabilește, de asemenea, un obiectiv final pentru T4 2025.</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Investiția se finalizează până la 31 decembrie 2025. </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Investiția 6 (C15.I6) - Implementarea 5G: rețele, schimbări tehnologice și inovare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Investiția constă în patru subproiecte diferite:</w:t>
      </w:r>
    </w:p>
    <w:p>
      <w:pPr>
        <w:spacing w:before="120" w:after="120" w:line="240" w:lineRule="auto"/>
        <w:ind w:left="709"/>
        <w:jc w:val="both"/>
        <w:rPr>
          <w:rFonts w:ascii="Times New Roman" w:eastAsia="Calibri" w:hAnsi="Times New Roman" w:cs="Times New Roman"/>
          <w:noProof/>
          <w:sz w:val="24"/>
          <w:szCs w:val="24"/>
        </w:rPr>
      </w:pPr>
      <w:r>
        <w:rPr>
          <w:rFonts w:ascii="Times New Roman" w:hAnsi="Times New Roman"/>
          <w:noProof/>
          <w:sz w:val="24"/>
          <w:szCs w:val="24"/>
        </w:rPr>
        <w:t>1) implementarea tehnologiei 5G va fi stimulată și accelerată pe principalele coridoare de transport (drumuri și căi ferate), atât pe coridoarele naționale (coridoare secundare în anumite zone), cât și pe cele transfrontaliere (coridoare primare). Aceste inițiative sunt aliniate la coridoarele 5G definite de Comisia Europeană și stimulează coridoarele dintre Spania și Portugalia, pe de o parte, și Spania și Franța, pe de altă parte, pentru un total de cel puțin 4 000 de situri, inclusiv conexiunile backhaul. Această măsură vizează rutele secundare care nu fac obiectul obligațiilor impuse în cadrul licitațiilor pentru spectrul de frecvențe radio.</w:t>
      </w:r>
    </w:p>
    <w:p>
      <w:pPr>
        <w:spacing w:before="120" w:after="120" w:line="240" w:lineRule="auto"/>
        <w:ind w:left="709"/>
        <w:jc w:val="both"/>
        <w:rPr>
          <w:rFonts w:ascii="Times New Roman" w:hAnsi="Times New Roman" w:cs="Times New Roman"/>
          <w:noProof/>
          <w:sz w:val="24"/>
          <w:szCs w:val="24"/>
        </w:rPr>
      </w:pPr>
      <w:r>
        <w:rPr>
          <w:rFonts w:ascii="Times New Roman" w:hAnsi="Times New Roman"/>
          <w:noProof/>
          <w:sz w:val="24"/>
          <w:szCs w:val="24"/>
        </w:rPr>
        <w:t>2) implementarea tehnologiei 5G în anumite zone, cu scopul de a atinge o acoperire demografică de 75 % până la 31 decembrie 2025 în benzile de preferințe 5G. Pentru a facilita această implementare, se întreprind, de asemenea, acțiuni de creștere a capacității rețelei existente pentru a putea răspunde cererii ridicate de lărgime de bandă și densitate a stațiilor de bază care necesită instalarea 5G (cel puțin 7 000 de noi amplasamente cu capacitate backhaul și 5G activate; și cel puțin 3 500 de situri existente cu acțiuni de creștere a capacității rețelei lor backhaul și instalarea de echipamente 5G). Această măsură oferă acoperire pentru zone care nu sunt acoperite de obligațiile impuse în cadrul licitațiilor pentru spectrul de frecvențe radio.</w:t>
      </w:r>
    </w:p>
    <w:p>
      <w:pPr>
        <w:spacing w:before="120" w:after="120" w:line="240" w:lineRule="auto"/>
        <w:ind w:left="709"/>
        <w:jc w:val="both"/>
        <w:rPr>
          <w:rFonts w:ascii="Times New Roman" w:hAnsi="Times New Roman" w:cs="Times New Roman"/>
          <w:noProof/>
          <w:sz w:val="24"/>
          <w:szCs w:val="24"/>
        </w:rPr>
      </w:pPr>
      <w:r>
        <w:rPr>
          <w:rFonts w:ascii="Times New Roman" w:hAnsi="Times New Roman"/>
          <w:noProof/>
          <w:sz w:val="24"/>
          <w:szCs w:val="24"/>
        </w:rPr>
        <w:t>3) implementarea tehnologiei 5G în activități economice esențiale (medii de producție industrială în întreprinderi strategice în anumite sectoare de producție esențiale și cu impact ridicat) și în servicii esențiale (medii de producție în domeniile educației, îngrijirii și socio-sănătății). Se preconizează cel puțin 43 proiecte de conectivitate.</w:t>
      </w:r>
    </w:p>
    <w:p>
      <w:pPr>
        <w:spacing w:before="120" w:after="120" w:line="240" w:lineRule="auto"/>
        <w:ind w:left="709"/>
        <w:jc w:val="both"/>
        <w:rPr>
          <w:rFonts w:ascii="Times New Roman" w:hAnsi="Times New Roman" w:cs="Times New Roman"/>
          <w:noProof/>
          <w:sz w:val="24"/>
          <w:szCs w:val="24"/>
        </w:rPr>
      </w:pPr>
      <w:r>
        <w:rPr>
          <w:rFonts w:ascii="Times New Roman" w:hAnsi="Times New Roman"/>
          <w:noProof/>
          <w:sz w:val="24"/>
          <w:szCs w:val="24"/>
        </w:rPr>
        <w:t>4) sprijin pentru C &amp; D legate de 5G și 6G, pentru ecosistemele de inovare (cel puțin 200 de proiecte) și pentru ecosistemele de securitate cibernetică 5G (înființarea unui centru, cu capacitatea de a găzdui aproximativ 300 de ingineri, pentru securitatea cibernetică 5G, excluzând costurile legate de lucrările de construcție/renovare).</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Pentru toate proiectele de mai sus se prezintă un plan executabil detaliat până la 30 iunie 2022, cu obiectivul de a defini în mod clar proiectele selectate și de a atribui 100 % din buget până la 30 septembrie 2023 și de a ajunge la finalizarea proiectului până la 30 iunie 2025. </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Planul include planul de punere în aplicare pentru implementarea tehnologiei 5G, cu acțiuni în următoarele domenii: 1) coridoarele 5G; 2) implementarea rețelelor de acces 5G și a serviciilor mobile backhaul în alte zone; 3) proiecte de implementare a tehnologiei 5G pentru conectivitatea și digitalizarea activităților economice esențiale și a serviciilor esențiale; și 4) sprijinirea aplicațiilor inovatoare pentru ecosistemul 5G și 6G. Planul prezintă, de asemenea, criteriile tehnice (caracteristicile-cheie ale proiectelor și ale domeniilor acoperite, dacă este cazul) și etapele juridice și de reglementare necesare, inclusiv măsurile necesare întreprinse pentru a se conforma normelor UE relevante privind ajutoarele de stat. Planul stabilește, de asemenea, obiectivele finale care trebuie atinse până la 31 decembrie 2025. </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Investiția se finalizează până la 31 decembrie 2025.</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Investiția 7 (C15.I7) Securitate cibernetică: Consolidarea capacităților cetățenilor, a IMM-urilor și a profesioniștilor; Îmbunătățirea ecosistemului sectorului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Investiția constă într-o serie de acțiuni care vizează dezvoltarea capacităților în materie de securitate cibernetică atât ale cetățenilor, cât și ale întreprinderilor și stimularea ecosistemului spaniol de securitate cibernetică. Acțiunile se desfășoară în jurul a trei axe: </w:t>
      </w:r>
    </w:p>
    <w:p>
      <w:pPr>
        <w:spacing w:before="120" w:after="120" w:line="240" w:lineRule="auto"/>
        <w:ind w:left="709"/>
        <w:jc w:val="both"/>
        <w:rPr>
          <w:rFonts w:ascii="Times New Roman" w:hAnsi="Times New Roman" w:cs="Times New Roman"/>
          <w:noProof/>
          <w:sz w:val="24"/>
          <w:szCs w:val="24"/>
        </w:rPr>
      </w:pPr>
      <w:r>
        <w:rPr>
          <w:rFonts w:ascii="Times New Roman" w:hAnsi="Times New Roman"/>
          <w:noProof/>
          <w:sz w:val="24"/>
          <w:szCs w:val="24"/>
        </w:rPr>
        <w:t>1) consolidarea capacităților în materie de securitate cibernetică ale cetățenilor, IMM-urilor și profesioniștilor. Dotarea cetățenilor și a întreprinderilor, în special a IMM-urilor, cu competențele necesare pentru a identifica riscurile legate de utilizarea de zi cu zi a tehnologiei digitale. Programele din acest domeniu includ o campanie de sensibilizare care se preconizează că va ajunge la cât mai multe persoane posibil, prin campanii de comunicare, acțiuni de proximitate și dezvoltarea de resurse specifice în acest scop. Aceasta include, de asemenea, o creștere a mecanismelor de răspuns prin intermediul unor servicii și acțiuni coordonate de răspuns, cum ar fi linia de asistență pentru securitate cibernetică, care își va spori capacitatea la 20 000 de apeluri pe lună.</w:t>
      </w:r>
    </w:p>
    <w:p>
      <w:pPr>
        <w:spacing w:before="120" w:after="120" w:line="240" w:lineRule="auto"/>
        <w:ind w:left="709"/>
        <w:jc w:val="both"/>
        <w:rPr>
          <w:rFonts w:ascii="Times New Roman" w:eastAsia="Calibri" w:hAnsi="Times New Roman" w:cs="Times New Roman"/>
          <w:noProof/>
          <w:sz w:val="24"/>
          <w:szCs w:val="24"/>
        </w:rPr>
      </w:pPr>
      <w:r>
        <w:rPr>
          <w:rFonts w:ascii="Times New Roman" w:hAnsi="Times New Roman"/>
          <w:noProof/>
          <w:sz w:val="24"/>
          <w:szCs w:val="24"/>
        </w:rPr>
        <w:t>2) stimularea ecosistemului industrial de securitate cibernetică. Această parte a măsurii include acțiuni specifice privind: industria națională a securității cibernetice pentru apariția, creșterea și dezvoltarea de noi întreprinderi în acest sector; C &amp; D &amp; I în materie de securitate cibernetică, care să permită dezvoltarea de soluții și servicii cu valoare adăugată ridicată; formarea și dezvoltarea talentelor pentru a răspunde cererii nesatisfăcute de profesioniști din sector. În plus, acesta prevede instituirea unui centru de demonstrație pentru dezvoltarea infrastructurii de securitate cibernetică și crearea de noi servicii de securitate cibernetică, inclusiv laboratoare de testare și simulatoare de atac de securitate cibernetică, precum și elaborarea de certificări ale etichetelor de securitate cibernetică. 3) crearea unui centru internațional privind securitatea cibernetică pentru a stimula sectorul în Europa prin participarea activă la Rețeaua europeană a centrelor de securitate cibernetică. Aceasta include lansarea centrului oglindă al Centrului european de competențe (ERCC).</w:t>
      </w:r>
    </w:p>
    <w:p>
      <w:pPr>
        <w:spacing w:after="0" w:line="240" w:lineRule="auto"/>
        <w:rPr>
          <w:rFonts w:ascii="Times New Roman" w:eastAsia="Calibri" w:hAnsi="Times New Roman" w:cs="Times New Roman"/>
          <w:noProof/>
          <w:sz w:val="24"/>
          <w:szCs w:val="24"/>
        </w:rPr>
      </w:pPr>
      <w:r>
        <w:rPr>
          <w:rFonts w:ascii="Times New Roman" w:hAnsi="Times New Roman"/>
          <w:noProof/>
          <w:sz w:val="24"/>
          <w:szCs w:val="24"/>
        </w:rPr>
        <w:t xml:space="preserve">Punerea în aplicare a investiției se finalizează până la 30 iunie 2026. </w:t>
      </w:r>
    </w:p>
    <w:p>
      <w:pPr>
        <w:spacing w:before="120" w:after="120" w:line="240" w:lineRule="auto"/>
        <w:ind w:left="709"/>
        <w:jc w:val="both"/>
        <w:rPr>
          <w:rFonts w:ascii="Times New Roman" w:hAnsi="Times New Roman" w:cs="Times New Roman"/>
          <w:b/>
          <w:noProof/>
          <w:sz w:val="24"/>
          <w:szCs w:val="24"/>
          <w:u w:val="single"/>
        </w:rPr>
      </w:pPr>
      <w:r>
        <w:rPr>
          <w:rFonts w:ascii="Times New Roman" w:hAnsi="Times New Roman"/>
          <w:b/>
          <w:noProof/>
          <w:sz w:val="24"/>
          <w:szCs w:val="24"/>
          <w:u w:val="single"/>
        </w:rPr>
        <w:t xml:space="preserve">O.2. </w:t>
      </w:r>
      <w:r>
        <w:rPr>
          <w:rFonts w:ascii="Times New Roman" w:hAnsi="Times New Roman"/>
          <w:b/>
          <w:noProof/>
          <w:sz w:val="24"/>
          <w:u w:val="single"/>
        </w:rPr>
        <w:tab/>
      </w:r>
      <w:r>
        <w:rPr>
          <w:rFonts w:ascii="Times New Roman" w:hAnsi="Times New Roman"/>
          <w:b/>
          <w:noProof/>
          <w:sz w:val="24"/>
          <w:szCs w:val="24"/>
          <w:u w:val="single"/>
        </w:rPr>
        <w:t>Jaloane, ținte, indicatori și calendarul de monitorizare și implementare aplicabile sprijinului financiar nerambursabil</w:t>
      </w:r>
    </w:p>
    <w:p>
      <w:pPr>
        <w:spacing w:before="120" w:after="120" w:line="240" w:lineRule="auto"/>
        <w:jc w:val="both"/>
        <w:rPr>
          <w:rFonts w:ascii="Times New Roman" w:hAnsi="Times New Roman" w:cs="Times New Roman"/>
          <w:noProof/>
          <w:color w:val="1F497D"/>
        </w:rPr>
      </w:pPr>
      <w:r>
        <w:rPr>
          <w:rFonts w:ascii="Times New Roman" w:hAnsi="Times New Roman"/>
          <w:i/>
          <w:noProof/>
          <w:color w:val="000000"/>
          <w:sz w:val="24"/>
          <w:szCs w:val="24"/>
        </w:rPr>
        <w:t>Tabelul de mai jos.</w:t>
      </w:r>
      <w:r>
        <w:rPr>
          <w:rFonts w:ascii="Times New Roman" w:hAnsi="Times New Roman"/>
          <w:noProof/>
          <w:color w:val="1F497D"/>
          <w:sz w:val="24"/>
          <w:szCs w:val="24"/>
        </w:rPr>
        <w:t xml:space="preserve"> </w:t>
      </w:r>
      <w:r>
        <w:rPr>
          <w:rFonts w:ascii="Times New Roman" w:hAnsi="Times New Roman"/>
          <w:i/>
          <w:noProof/>
          <w:color w:val="000000"/>
          <w:sz w:val="24"/>
          <w:szCs w:val="24"/>
        </w:rPr>
        <w:t>Data de referință pentru toți indicatorii este 1 februarie 2020, cu excepția cazului în care se indică altfel în descrierea acțiunii. Sumele din tabel nu includ TVA.</w:t>
      </w:r>
    </w:p>
    <w:p>
      <w:pPr>
        <w:spacing w:before="120" w:after="120" w:line="240" w:lineRule="auto"/>
        <w:jc w:val="both"/>
        <w:rPr>
          <w:rFonts w:ascii="Times New Roman" w:hAnsi="Times New Roman" w:cs="Times New Roman"/>
          <w:b/>
          <w:bCs/>
          <w:noProof/>
          <w:sz w:val="24"/>
          <w:u w:val="single"/>
          <w:lang w:val="en-IE"/>
        </w:rPr>
      </w:pPr>
    </w:p>
    <w:p>
      <w:pPr>
        <w:spacing w:before="120" w:after="120" w:line="240" w:lineRule="auto"/>
        <w:ind w:left="709"/>
        <w:jc w:val="both"/>
        <w:rPr>
          <w:rFonts w:ascii="Times New Roman" w:hAnsi="Times New Roman" w:cs="Times New Roman"/>
          <w:noProof/>
          <w:sz w:val="24"/>
          <w:lang w:val="en-IE"/>
        </w:rPr>
      </w:pPr>
    </w:p>
    <w:p>
      <w:pPr>
        <w:spacing w:before="120" w:after="120" w:line="240" w:lineRule="auto"/>
        <w:ind w:left="709"/>
        <w:jc w:val="both"/>
        <w:rPr>
          <w:rFonts w:ascii="Times New Roman" w:hAnsi="Times New Roman" w:cs="Times New Roman"/>
          <w:noProof/>
          <w:sz w:val="24"/>
          <w:lang w:val="en-IE"/>
        </w:rPr>
        <w:sectPr>
          <w:headerReference w:type="even" r:id="rId187"/>
          <w:headerReference w:type="default" r:id="rId188"/>
          <w:footerReference w:type="even" r:id="rId189"/>
          <w:footerReference w:type="default" r:id="rId190"/>
          <w:headerReference w:type="first" r:id="rId191"/>
          <w:footerReference w:type="first" r:id="rId192"/>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2694"/>
        <w:gridCol w:w="1275"/>
        <w:gridCol w:w="851"/>
        <w:gridCol w:w="567"/>
        <w:gridCol w:w="709"/>
        <w:gridCol w:w="425"/>
        <w:gridCol w:w="567"/>
        <w:gridCol w:w="5812"/>
      </w:tblGrid>
      <w:tr>
        <w:trPr>
          <w:trHeight w:val="309"/>
          <w:tblHeader/>
        </w:trPr>
        <w:tc>
          <w:tcPr>
            <w:tcW w:w="709" w:type="dxa"/>
            <w:tcBorders>
              <w:top w:val="single" w:sz="4" w:space="0" w:color="auto"/>
              <w:left w:val="single" w:sz="4" w:space="0" w:color="auto"/>
              <w:bottom w:val="nil"/>
              <w:right w:val="single" w:sz="4" w:space="0" w:color="auto"/>
            </w:tcBorders>
            <w:shd w:val="clear" w:color="auto" w:fill="C6D9F1" w:themeFill="text2" w:themeFillTint="33"/>
            <w:noWrap/>
            <w:vAlign w:val="center"/>
            <w:hideMark/>
          </w:tcPr>
          <w:p>
            <w:pPr>
              <w:spacing w:after="0"/>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Număr</w:t>
            </w:r>
          </w:p>
        </w:tc>
        <w:tc>
          <w:tcPr>
            <w:tcW w:w="851" w:type="dxa"/>
            <w:tcBorders>
              <w:top w:val="single" w:sz="4" w:space="0" w:color="auto"/>
              <w:left w:val="single" w:sz="4" w:space="0" w:color="auto"/>
              <w:bottom w:val="nil"/>
              <w:right w:val="single" w:sz="4" w:space="0" w:color="auto"/>
            </w:tcBorders>
            <w:shd w:val="clear" w:color="auto" w:fill="C6D9F1" w:themeFill="text2" w:themeFillTint="33"/>
            <w:noWrap/>
            <w:vAlign w:val="center"/>
            <w:hideMark/>
          </w:tcPr>
          <w:p>
            <w:pPr>
              <w:spacing w:after="0"/>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Măsură</w:t>
            </w:r>
          </w:p>
        </w:tc>
        <w:tc>
          <w:tcPr>
            <w:tcW w:w="850" w:type="dxa"/>
            <w:tcBorders>
              <w:top w:val="single" w:sz="4" w:space="0" w:color="auto"/>
              <w:left w:val="single" w:sz="4" w:space="0" w:color="auto"/>
              <w:bottom w:val="nil"/>
              <w:right w:val="single" w:sz="4" w:space="0" w:color="auto"/>
            </w:tcBorders>
            <w:shd w:val="clear" w:color="auto" w:fill="C6D9F1" w:themeFill="text2" w:themeFillTint="33"/>
            <w:noWrap/>
            <w:vAlign w:val="center"/>
            <w:hideMark/>
          </w:tcPr>
          <w:p>
            <w:pPr>
              <w:spacing w:after="0"/>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Jalon</w:t>
            </w:r>
            <w:r>
              <w:rPr>
                <w:rFonts w:ascii="Times New Roman" w:hAnsi="Times New Roman"/>
                <w:noProof/>
                <w:sz w:val="18"/>
                <w:szCs w:val="18"/>
              </w:rPr>
              <w:br/>
            </w:r>
            <w:r>
              <w:rPr>
                <w:rFonts w:ascii="Times New Roman" w:hAnsi="Times New Roman"/>
                <w:b/>
                <w:bCs/>
                <w:noProof/>
                <w:color w:val="000000" w:themeColor="text1"/>
                <w:sz w:val="18"/>
                <w:szCs w:val="18"/>
              </w:rPr>
              <w:t xml:space="preserve"> /Țintă</w:t>
            </w:r>
          </w:p>
        </w:tc>
        <w:tc>
          <w:tcPr>
            <w:tcW w:w="2694" w:type="dxa"/>
            <w:tcBorders>
              <w:top w:val="single" w:sz="4" w:space="0" w:color="auto"/>
              <w:left w:val="single" w:sz="4" w:space="0" w:color="auto"/>
              <w:bottom w:val="nil"/>
              <w:right w:val="single" w:sz="4" w:space="0" w:color="auto"/>
            </w:tcBorders>
            <w:shd w:val="clear" w:color="auto" w:fill="C6D9F1" w:themeFill="text2" w:themeFillTint="33"/>
            <w:noWrap/>
            <w:vAlign w:val="center"/>
            <w:hideMark/>
          </w:tcPr>
          <w:p>
            <w:pPr>
              <w:spacing w:after="0"/>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Denumire</w:t>
            </w:r>
          </w:p>
        </w:tc>
        <w:tc>
          <w:tcPr>
            <w:tcW w:w="1275" w:type="dxa"/>
            <w:tcBorders>
              <w:top w:val="single" w:sz="4" w:space="0" w:color="auto"/>
              <w:left w:val="single" w:sz="4" w:space="0" w:color="auto"/>
              <w:bottom w:val="nil"/>
              <w:right w:val="single" w:sz="4" w:space="0" w:color="auto"/>
            </w:tcBorders>
            <w:shd w:val="clear" w:color="auto" w:fill="C6D9F1" w:themeFill="text2" w:themeFillTint="33"/>
            <w:noWrap/>
            <w:vAlign w:val="center"/>
            <w:hideMark/>
          </w:tcPr>
          <w:p>
            <w:pPr>
              <w:spacing w:after="0"/>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Indicator calitativ pentru obiectivele de etapă</w:t>
            </w:r>
          </w:p>
        </w:tc>
        <w:tc>
          <w:tcPr>
            <w:tcW w:w="212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pPr>
              <w:spacing w:after="0"/>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Indicator cantitativ pentru obiectiv</w:t>
            </w:r>
          </w:p>
        </w:tc>
        <w:tc>
          <w:tcPr>
            <w:tcW w:w="99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pPr>
              <w:spacing w:after="0"/>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Timp</w:t>
            </w:r>
          </w:p>
        </w:tc>
        <w:tc>
          <w:tcPr>
            <w:tcW w:w="5812" w:type="dxa"/>
            <w:tcBorders>
              <w:top w:val="single" w:sz="4" w:space="0" w:color="auto"/>
              <w:left w:val="single" w:sz="4" w:space="0" w:color="auto"/>
              <w:bottom w:val="nil"/>
              <w:right w:val="single" w:sz="4" w:space="0" w:color="auto"/>
            </w:tcBorders>
            <w:shd w:val="clear" w:color="auto" w:fill="C6D9F1" w:themeFill="text2" w:themeFillTint="33"/>
            <w:noWrap/>
            <w:vAlign w:val="center"/>
            <w:hideMark/>
          </w:tcPr>
          <w:p>
            <w:pPr>
              <w:spacing w:after="0"/>
              <w:jc w:val="center"/>
              <w:rPr>
                <w:rFonts w:ascii="Times New Roman" w:hAnsi="Times New Roman" w:cs="Times New Roman"/>
                <w:b/>
                <w:bCs/>
                <w:noProof/>
                <w:color w:val="000000" w:themeColor="text1"/>
                <w:sz w:val="18"/>
                <w:szCs w:val="18"/>
              </w:rPr>
            </w:pPr>
            <w:r>
              <w:rPr>
                <w:rFonts w:ascii="Times New Roman" w:hAnsi="Times New Roman"/>
                <w:b/>
                <w:bCs/>
                <w:noProof/>
                <w:sz w:val="18"/>
                <w:szCs w:val="18"/>
              </w:rPr>
              <w:t>Descrierea fiecărui jalon și a fiecărei ținte</w:t>
            </w:r>
          </w:p>
        </w:tc>
      </w:tr>
      <w:tr>
        <w:trPr>
          <w:trHeight w:val="309"/>
          <w:tblHeader/>
        </w:trPr>
        <w:tc>
          <w:tcPr>
            <w:tcW w:w="709" w:type="dxa"/>
            <w:tcBorders>
              <w:top w:val="nil"/>
              <w:left w:val="single" w:sz="4" w:space="0" w:color="auto"/>
              <w:bottom w:val="single" w:sz="4" w:space="0" w:color="auto"/>
              <w:right w:val="single" w:sz="4" w:space="0" w:color="auto"/>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851" w:type="dxa"/>
            <w:tcBorders>
              <w:top w:val="nil"/>
              <w:left w:val="single" w:sz="4" w:space="0" w:color="auto"/>
              <w:bottom w:val="single" w:sz="4" w:space="0" w:color="auto"/>
              <w:right w:val="single" w:sz="4" w:space="0" w:color="auto"/>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850" w:type="dxa"/>
            <w:tcBorders>
              <w:top w:val="nil"/>
              <w:left w:val="single" w:sz="4" w:space="0" w:color="auto"/>
              <w:bottom w:val="single" w:sz="4" w:space="0" w:color="auto"/>
              <w:right w:val="single" w:sz="4" w:space="0" w:color="auto"/>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2694" w:type="dxa"/>
            <w:tcBorders>
              <w:top w:val="nil"/>
              <w:left w:val="single" w:sz="4" w:space="0" w:color="auto"/>
              <w:bottom w:val="single" w:sz="4" w:space="0" w:color="auto"/>
              <w:right w:val="single" w:sz="4" w:space="0" w:color="auto"/>
            </w:tcBorders>
            <w:shd w:val="clear" w:color="auto" w:fill="C6D9F1" w:themeFill="text2" w:themeFillTint="33"/>
            <w:noWrap/>
          </w:tcPr>
          <w:p>
            <w:pPr>
              <w:spacing w:after="0"/>
              <w:rPr>
                <w:rFonts w:ascii="Times New Roman" w:hAnsi="Times New Roman" w:cs="Times New Roman"/>
                <w:b/>
                <w:noProof/>
                <w:color w:val="000000"/>
                <w:sz w:val="18"/>
                <w:szCs w:val="18"/>
              </w:rPr>
            </w:pPr>
          </w:p>
        </w:tc>
        <w:tc>
          <w:tcPr>
            <w:tcW w:w="1275" w:type="dxa"/>
            <w:tcBorders>
              <w:top w:val="nil"/>
              <w:left w:val="single" w:sz="4" w:space="0" w:color="auto"/>
              <w:bottom w:val="single" w:sz="4" w:space="0" w:color="auto"/>
              <w:right w:val="single" w:sz="4" w:space="0" w:color="auto"/>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hideMark/>
          </w:tcPr>
          <w:p>
            <w:pPr>
              <w:spacing w:after="0"/>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Unitate</w:t>
            </w:r>
          </w:p>
        </w:tc>
        <w:tc>
          <w:tcPr>
            <w:tcW w:w="5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hideMark/>
          </w:tcPr>
          <w:p>
            <w:pPr>
              <w:spacing w:after="0"/>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Scenariu de bază</w:t>
            </w: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hideMark/>
          </w:tcPr>
          <w:p>
            <w:pPr>
              <w:spacing w:after="0"/>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Obiectiv</w:t>
            </w:r>
          </w:p>
        </w:tc>
        <w:tc>
          <w:tcPr>
            <w:tcW w:w="425" w:type="dxa"/>
            <w:tcBorders>
              <w:top w:val="single" w:sz="4" w:space="0" w:color="auto"/>
              <w:left w:val="single" w:sz="4" w:space="0" w:color="auto"/>
              <w:bottom w:val="single" w:sz="4" w:space="0" w:color="auto"/>
              <w:right w:val="single" w:sz="4" w:space="0" w:color="auto"/>
            </w:tcBorders>
            <w:shd w:val="clear" w:color="auto" w:fill="C6D9F1" w:themeFill="text2" w:themeFillTint="33"/>
            <w:noWrap/>
            <w:hideMark/>
          </w:tcPr>
          <w:p>
            <w:pPr>
              <w:spacing w:after="0"/>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Q</w:t>
            </w:r>
          </w:p>
        </w:tc>
        <w:tc>
          <w:tcPr>
            <w:tcW w:w="5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hideMark/>
          </w:tcPr>
          <w:p>
            <w:pPr>
              <w:spacing w:after="0"/>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An</w:t>
            </w:r>
          </w:p>
        </w:tc>
        <w:tc>
          <w:tcPr>
            <w:tcW w:w="5812" w:type="dxa"/>
            <w:tcBorders>
              <w:top w:val="nil"/>
              <w:left w:val="single" w:sz="4" w:space="0" w:color="auto"/>
              <w:bottom w:val="single" w:sz="4" w:space="0" w:color="auto"/>
              <w:right w:val="single" w:sz="4" w:space="0" w:color="auto"/>
            </w:tcBorders>
            <w:shd w:val="clear" w:color="auto" w:fill="C6D9F1" w:themeFill="text2" w:themeFillTint="33"/>
            <w:noWrap/>
          </w:tcPr>
          <w:p>
            <w:pPr>
              <w:spacing w:after="0"/>
              <w:rPr>
                <w:rFonts w:ascii="Times New Roman" w:hAnsi="Times New Roman" w:cs="Times New Roman"/>
                <w:b/>
                <w:noProof/>
                <w:color w:val="000000"/>
                <w:sz w:val="18"/>
                <w:szCs w:val="18"/>
                <w:lang w:val="en-IE"/>
              </w:rPr>
            </w:pP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229</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C15.R1</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Legii privind telecomunicațiile</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Dispoziție din lege care indică intrarea în vigoare a legii </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Legea privind telecomunicațiile transpune și Directiva 2018/1972 a Codului european al comunicațiilor electronice (CECE). Legea include, de asemenea, recomandările privind setul de instrumente de conectivitate al UE care trebuie să fie incluse într-o lege în conformitate cu cadrul juridic spaniol. Dincolo de transpunerea Directivei 2018/1972 a Codului european al comunicațiilor electronice, legea include: (i) provizioane pentru inventarul cablurilor submarine și al IXP/centrelor de date; (ii) precum și un regim fiscal simplificat pentru taxele locale pentru implementarea rețelelor; și (iii) punerea în aplicare a unui punct unic de contact pentru aplicarea licențelor și a autorizațiilor acordate de diferite niveluri de guvernare pentru instalarea rețelelor.</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230</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C15.R2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Planul și strategia pentru Spania digitală pentru 2025 pentru promovarea tehnologiei 5G</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Publicare</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2020</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Publicarea Planului 2025 pentru Spania digitală și aprobarea de către Consiliul de Miniștri a „Strategiei pentru promovarea tehnologiei 5G”</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231</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C15.R2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Eliberarea benzii de frecvențe libere de 700 MHz</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Notificarea Comisiei Europene</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2020</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Finalizarea procesului de eliberare a benzii de frecvențe de 700 MHz, în conformitate cu Decizia (UE) 2017/899 a Parlamentului European și a Consiliului din 17 mai 2017 privind utilizarea benzii de 470-790 MHz în Uniune</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232</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C15.R2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Alocarea benzii de frecvențe de 700 MHz</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Publicarea în Jurnalul Oficial</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Publicarea în Jurnalul Oficial a atribuirii benzii de frecvențe de 700 MHz în urma licitației </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233</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C15.R2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actului juridic privind reducerea impozitării spectrului de frecvențe 5G</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Dispoziție din actul juridic privind intrarea în vigoare</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Adoptarea unui act juridic pentru reducerea impozitării spectrului de frecvențe 5G în vederea accelerării implementării tehnologiei 5G, care să definească accelerarea corespunzătoare a implementării tehnologiei 5G, așteptată de la fiecare beneficiar. Actul juridic stabilește etapele juridice și de reglementare necesare pentru desfășurarea proiectului. </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234</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C15.R2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Alocarea benzii de frecvențe de 26 GHz</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Publicarea în Jurnalul Oficial</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56"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Publicarea în Jurnalul Oficial a atribuirii benzii de frecvențe de 26 GHz în urma licitației </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235</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C15.R2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Intrarea în vigoare a Legii privind securitatea cibernetică 5G </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Dispoziție din Legea privind securitatea cibernetică 5G la intrarea în vigoare </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Legea privind securitatea cibernetică 5G încorporează și pune în aplicare recomandarea privind setul de instrumente al UE pentru securitatea cibernetică a rețelelor 5G. </w:t>
            </w:r>
            <w:r>
              <w:rPr>
                <w:rFonts w:ascii="Times New Roman" w:hAnsi="Times New Roman"/>
                <w:noProof/>
                <w:color w:val="000000"/>
                <w:sz w:val="18"/>
                <w:szCs w:val="18"/>
              </w:rPr>
              <w:br/>
              <w:t>Legea include cel puțin următoarele elemente:</w:t>
            </w:r>
            <w:r>
              <w:rPr>
                <w:rFonts w:ascii="Times New Roman" w:hAnsi="Times New Roman"/>
                <w:noProof/>
                <w:color w:val="000000"/>
                <w:sz w:val="18"/>
                <w:szCs w:val="18"/>
              </w:rPr>
              <w:br/>
              <w:t xml:space="preserve">- Obligații de evaluare și gestionare a riscurilor în materie de securitate pentru operatorii de telecomunicații; </w:t>
            </w:r>
            <w:r>
              <w:rPr>
                <w:rFonts w:ascii="Times New Roman" w:hAnsi="Times New Roman"/>
                <w:noProof/>
                <w:color w:val="000000"/>
                <w:sz w:val="18"/>
                <w:szCs w:val="18"/>
              </w:rPr>
              <w:br/>
              <w:t>- Obligații de diversificare a lanțului de aprovizionare pentru a evita dependența tehnologică;</w:t>
            </w:r>
            <w:r>
              <w:rPr>
                <w:rFonts w:ascii="Times New Roman" w:hAnsi="Times New Roman"/>
                <w:noProof/>
                <w:color w:val="000000"/>
                <w:sz w:val="18"/>
                <w:szCs w:val="18"/>
              </w:rPr>
              <w:br/>
              <w:t>- Mijloace de identificare a vânzătorilor cu risc ridicat și mediu și a posibilelor limitări ale utilizării acestora.</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236</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C15.I1</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Extinderea benzii largi ultrarapide: atribuire</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Atribuirea proiectelor</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Atribuirea tuturor contractelor și a granturilor (cu un buget total de 812 000 000 EUR) și transferul de fonduri pentru executarea acțiunilor de furnizare a conectivității în bandă largă ultrarapidă în zonele albe și gri cu viteze simetrice de 300 Mbps, care pot fi extinse la 1 Gibbs simetric, cu excepția zonelor rurale îndepărtate care au nevoie de proiecte specifice care trebuie acoperite, în care ar fi garantate cel puțin 100 Mbps.</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237</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C15.I1</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Extinderea benzii largi ultrarapide: Finalizarea proiectului</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Finalizarea proiectelor câștigătoare</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2025</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56"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Finalizarea proiectelor de extindere a benzii largi ultrarapide, în conformitate cu criteriile stabilite în atribuirea programului (Jalonul #236)</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238</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C15.I2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Îmbunătățirea conectivității în centrele și sectoarele-cheie </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16 100</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Numărul de entități care sunt modernizate la o viteză de conectivitate de 1 giga biți:</w:t>
            </w:r>
            <w:r>
              <w:rPr>
                <w:rFonts w:ascii="Times New Roman" w:hAnsi="Times New Roman"/>
                <w:noProof/>
                <w:color w:val="000000"/>
                <w:sz w:val="18"/>
                <w:szCs w:val="18"/>
              </w:rPr>
              <w:br/>
              <w:t>- cel puțin 9 000 de centre și servicii publice, cum ar fi centrele de sănătate publică, centrele de educație și formare și centrele C &amp; D;</w:t>
            </w:r>
            <w:r>
              <w:rPr>
                <w:rFonts w:ascii="Times New Roman" w:hAnsi="Times New Roman"/>
                <w:noProof/>
                <w:color w:val="000000"/>
                <w:sz w:val="18"/>
                <w:szCs w:val="18"/>
              </w:rPr>
              <w:br/>
              <w:t>- cel puțin 1 600 de centre industriale și de afaceri mici;</w:t>
            </w:r>
            <w:r>
              <w:rPr>
                <w:rFonts w:ascii="Times New Roman" w:hAnsi="Times New Roman"/>
                <w:noProof/>
                <w:color w:val="000000"/>
                <w:sz w:val="18"/>
                <w:szCs w:val="18"/>
              </w:rPr>
              <w:br/>
              <w:t>- 5 500 proiecte de digitalizare (sănătate, produse agroalimentare, mobilitate, turism, industrie, comerț etc.).</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239</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C15.I3</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Vouchere pentru conectivitate pentru IMM-uri și grupuri vulnerabile </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136 000</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Cel puțin 125 000 de vouchere pentru conectivitate pentru persoane sau familii identificate ca fiind „vulnerabile” (pentru a achiziționa pachetul de conexiune în bandă largă cu tehnologia cea mai adecvată) și cel puțin 11 000 de bonuri de conectivitate pentru IMM-uri (cupoanele valorice constau în două elemente distincte, conectivitatea la 100 Mbps și un set de servicii cu valoare adăugată, VPN, securitatea cibernetică).</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240</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C15.I4</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Adaptarea infrastructurii de telecomunicații în clădiri</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13 600</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Lucrări finalizate în cel puțin 13 600 de clădiri pentru îmbunătățirea infrastructurii lor comune de rețele de conectivitate la nivelul rețelelor de foarte mare capacitate.</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241</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C15.I5</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Îmbunătățirea infrastructurii digitale transfrontaliere: atribuire</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Publicarea oficială a atribuirii proiectelor  </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Atribuirea tuturor contractelor și granturilor pentru proiecte (buget total pentru cererea de proiecte de 500 000 000 EUR) și transferul de fonduri pentru executarea acțiunilor pentru: (a) pentru cabluri submarine și interconectarea infrastructurii de tip cloud/date; (b) proiecte pentru infrastructuri și servicii de tip cloud computing și Edge de generație nouă; (c) privind proiectele pentru procesoare avansate și semiconductori; și (d) privind C &amp; D &amp; I proiecte de consolidare a capacităților privind comunicațiile cuantice și comunicațiile securizate prin satelit </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242</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C15.I5</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Îmbunătățirea infrastructurii digitale transfrontaliere: finalizarea proiectului</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Finalizarea proiectelor câștigătoare</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2025</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Finalizarea proiectelor (atribuite la jalonul #241) pentru (a) pentru cablurile submarine și interconectarea infrastructurii de cloud/date; (b) privind proiectele de nouă generație de infrastructuri și servicii de cloud computing și de tip „Edge”; (c) privind proiectele pentru procesoare avansate și semiconductori; și (d) privind C &amp; D &amp; I proiecte de consolidare a capacităților privind comunicațiile cuantice și comunicațiile securizate prin satelit </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243</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C15.I6</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Implementarea tehnologiei 5G: atribuire</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Publicarea oficială a atribuirii proiectelor</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Atribuirea tuturor contractelor și granturilor pentru proiecte (buget total al proiectelor de 1 405 000 000 EUR) și transferul de fonduri pentru executarea acțiunilor pentru: (a) implementarea tehnologiei 5G pe principalele coridoare naționale (în anumite zone) și transfrontaliere de transport (4 000 de situri); (b) implementarea tehnologiei 5G în anumite zone, cu scopul de a atinge o acoperire demografică de 75 % până în 2025 în benzile de preferințe 5G (7 000 de situri noi 5G și 3 500 de situri modernizate pentru conectivitate 5G); (c) implementarea tehnologiei 5G în activități economice cheie servicii esențiale (43 proiecte de conectivitate); și (d) sprijin pentru C &amp; D legată de 5G și 6G pentru ecosistemele de inovare (200 proiecte) și ecosistemele de securitate cibernetică 5G. </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244</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C15.I6</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Implementarea tehnologiei 5G: Finalizarea proiectului</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Finalizarea proiectelor câștigătoare</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2025</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56"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Finalizarea proiectelor pentru (a) implementarea tehnologiei 5G pe teritoriul național principal (în anumite zone) și coridoarele de transport transfrontalier (4 000 de situri); (b) implementarea tehnologiei 5G în anumite zone, cu scopul de a atinge o acoperire demografică de 75 % până în 2025 în benzile de preferințe 5G (7 000 de situri noi 5G și 3 500 de situri modernizate pentru conectivitate 5G); (c) implementarea tehnologiei 5G în activități economice cheie servicii esențiale (43 proiecte de conectivitate); și (d) sprijin pentru C &amp; D legată de 5G și 6G pentru ecosistemele de inovare (200 proiecte) și ecosistemele de securitate cibernetică 5G. Proiectele sunt finalizate în conformitate cu criteriile stabilite în atribuirea programului (jalonul 243).</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245</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C15.I7</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Lansarea programului național de sprijin pentru industria securității cibernetice, a Programului global de inovare în domeniul securității și a acțiunilor conexe.</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Publicarea programului</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Lansarea programului național de sprijin pentru sectorul securității cibernetice și a Programului de inovare în materie de securitate globală, precum și a altor acțiuni conexe (cu un buget total alocat de 418 000 000 EUR), care vizează aspecte industriale esențiale, cum ar fi</w:t>
            </w:r>
            <w:r>
              <w:rPr>
                <w:rFonts w:ascii="Times New Roman" w:hAnsi="Times New Roman"/>
                <w:noProof/>
                <w:color w:val="000000"/>
                <w:sz w:val="18"/>
                <w:szCs w:val="18"/>
              </w:rPr>
              <w:br/>
              <w:t>- industria națională a securității cibernetice pentru apariția, creșterea și dezvoltarea de noi întreprinderi în acest sector;</w:t>
            </w:r>
            <w:r>
              <w:rPr>
                <w:rFonts w:ascii="Times New Roman" w:hAnsi="Times New Roman"/>
                <w:noProof/>
                <w:color w:val="000000"/>
                <w:sz w:val="18"/>
                <w:szCs w:val="18"/>
              </w:rPr>
              <w:br/>
              <w:t>- dezvoltarea de soluții și servicii cu valoare adăugată ridicată în domeniul securității cibernetice</w:t>
            </w:r>
            <w:r>
              <w:rPr>
                <w:rFonts w:ascii="Times New Roman" w:hAnsi="Times New Roman"/>
                <w:noProof/>
                <w:color w:val="000000"/>
                <w:sz w:val="18"/>
                <w:szCs w:val="18"/>
              </w:rPr>
              <w:br/>
              <w:t>- formarea și dezvoltarea talentelor specializate în domeniul securității cibernetice</w:t>
            </w:r>
            <w:r>
              <w:rPr>
                <w:rFonts w:ascii="Times New Roman" w:hAnsi="Times New Roman"/>
                <w:noProof/>
                <w:color w:val="000000"/>
                <w:sz w:val="18"/>
                <w:szCs w:val="18"/>
              </w:rPr>
              <w:br/>
              <w:t>- acțiuni de internaționalizare în domeniul securității cibernetice</w:t>
            </w:r>
            <w:r>
              <w:rPr>
                <w:rFonts w:ascii="Times New Roman" w:hAnsi="Times New Roman"/>
                <w:noProof/>
                <w:color w:val="000000"/>
                <w:sz w:val="18"/>
                <w:szCs w:val="18"/>
              </w:rPr>
              <w:br/>
              <w:t>- înființarea unui centru demonstrativ pentru dezvoltarea infrastructurii de securitate cibernetică și crearea de noi servicii de securitate cibernetică, inclusiv laboratoare de testare și simulatoare de atacuri de securitate cibernetică</w:t>
            </w:r>
            <w:r>
              <w:rPr>
                <w:rFonts w:ascii="Times New Roman" w:hAnsi="Times New Roman"/>
                <w:noProof/>
                <w:color w:val="000000"/>
                <w:sz w:val="18"/>
                <w:szCs w:val="18"/>
              </w:rPr>
              <w:br/>
              <w:t>- dezvoltarea de certificări de etichetă în domeniul securității cibernetice.</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246</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C15.I7</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Consolidarea și îmbunătățirea capacităților de securitate cibernetică: Resurse</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100</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Consolidarea și îmbunătățirea capacităților de securitate cibernetică prin furnizarea a cel puțin 100 de resurse pentru acțiuni de sensibilizare și comunicare în domeniul securității cibernetice. Competențele digitale în materie de securitate cibernetică sunt dezvoltate la toate nivelurile educaționale, prin dezvoltarea de resurse, instrumente și materiale specifice. În plus, se înființează o platformă internațională în materie de securitate cibernetică care participă la Rețeaua europeană a centrelor de securitate cibernetică.</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247</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C15.I7</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T</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hAnsi="Times New Roman" w:cs="Times New Roman"/>
                <w:noProof/>
                <w:color w:val="000000" w:themeColor="text1"/>
                <w:sz w:val="18"/>
                <w:szCs w:val="18"/>
              </w:rPr>
            </w:pPr>
            <w:r>
              <w:rPr>
                <w:rFonts w:ascii="Times New Roman" w:hAnsi="Times New Roman"/>
                <w:noProof/>
                <w:color w:val="000000"/>
                <w:sz w:val="18"/>
                <w:szCs w:val="18"/>
              </w:rPr>
              <w:t>Consolidarea și îmbunătățirea capacităților de securitate cibernetică: Linie de asistență în materie de securitate cibernetică</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hAnsi="Times New Roman" w:cs="Times New Roman"/>
                <w:noProof/>
                <w:color w:val="000000"/>
                <w:sz w:val="18"/>
                <w:szCs w:val="18"/>
              </w:rPr>
            </w:pPr>
            <w:r>
              <w:rPr>
                <w:rFonts w:ascii="Times New Roman" w:hAnsi="Times New Roman"/>
                <w:noProof/>
                <w:color w:val="000000"/>
                <w:sz w:val="18"/>
                <w:szCs w:val="18"/>
              </w:rPr>
              <w:t>Număr</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hAnsi="Times New Roman" w:cs="Times New Roman"/>
                <w:noProof/>
                <w:color w:val="000000"/>
                <w:sz w:val="18"/>
                <w:szCs w:val="18"/>
              </w:rPr>
            </w:pPr>
            <w:r>
              <w:rPr>
                <w:rFonts w:ascii="Times New Roman" w:hAnsi="Times New Roman"/>
                <w:noProof/>
                <w:color w:val="000000"/>
                <w:sz w:val="18"/>
                <w:szCs w:val="18"/>
              </w:rPr>
              <w:t>5 000</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hAnsi="Times New Roman" w:cs="Times New Roman"/>
                <w:noProof/>
                <w:color w:val="000000"/>
                <w:sz w:val="18"/>
                <w:szCs w:val="18"/>
              </w:rPr>
            </w:pPr>
            <w:r>
              <w:rPr>
                <w:rFonts w:ascii="Times New Roman" w:hAnsi="Times New Roman"/>
                <w:noProof/>
                <w:color w:val="000000"/>
                <w:sz w:val="18"/>
                <w:szCs w:val="18"/>
              </w:rPr>
              <w:t>20 000</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2023</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hAnsi="Times New Roman" w:cs="Times New Roman"/>
                <w:noProof/>
                <w:color w:val="000000" w:themeColor="text1"/>
                <w:sz w:val="18"/>
                <w:szCs w:val="18"/>
              </w:rPr>
            </w:pPr>
            <w:r>
              <w:rPr>
                <w:rFonts w:ascii="Times New Roman" w:hAnsi="Times New Roman"/>
                <w:noProof/>
                <w:color w:val="000000"/>
                <w:sz w:val="18"/>
                <w:szCs w:val="18"/>
              </w:rPr>
              <w:t>Consolidarea capacităților de securitate cibernetică prin îmbunătățirea liniei de asistență pentru securitatea cibernetică a Institutului Național pentru Securitate Cibernetică (INCIBE), cu o capacitate lunară de cel puțin 20 000 de cereri de propuneri procesate pe lună. Această linie de asistență telefonică sprijină, de asemenea, eliminarea materialelor care conțin abuzuri sexuale asupra copiilor pentru resursele web (CSAM).</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color w:val="000000" w:themeColor="text1"/>
                <w:sz w:val="18"/>
                <w:szCs w:val="18"/>
                <w:highlight w:val="yellow"/>
              </w:rPr>
            </w:pPr>
            <w:r>
              <w:rPr>
                <w:rFonts w:ascii="Times New Roman" w:hAnsi="Times New Roman"/>
                <w:noProof/>
                <w:color w:val="000000"/>
                <w:sz w:val="18"/>
                <w:szCs w:val="18"/>
              </w:rPr>
              <w:t>248</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C15.I7</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M</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hAnsi="Times New Roman" w:cs="Times New Roman"/>
                <w:noProof/>
                <w:color w:val="000000" w:themeColor="text1"/>
                <w:sz w:val="18"/>
                <w:szCs w:val="18"/>
              </w:rPr>
            </w:pPr>
            <w:r>
              <w:rPr>
                <w:rFonts w:ascii="Times New Roman" w:hAnsi="Times New Roman"/>
                <w:noProof/>
                <w:color w:val="000000"/>
                <w:sz w:val="18"/>
                <w:szCs w:val="18"/>
              </w:rPr>
              <w:t>Finalizarea proiectelor din cadrul Programului național de sprijin pentru industria securității cibernetice, al Programului de inovare în domeniul securității globale și al acțiunilor conexe.</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Notificarea finalizării proiectelor de investiții</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Q2</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2026</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hAnsi="Times New Roman" w:cs="Times New Roman"/>
                <w:noProof/>
                <w:color w:val="000000" w:themeColor="text1"/>
                <w:sz w:val="18"/>
                <w:szCs w:val="18"/>
              </w:rPr>
            </w:pPr>
            <w:r>
              <w:rPr>
                <w:rFonts w:ascii="Times New Roman" w:hAnsi="Times New Roman"/>
                <w:noProof/>
                <w:color w:val="000000"/>
                <w:sz w:val="18"/>
                <w:szCs w:val="18"/>
              </w:rPr>
              <w:t>Finalizarea proiectelor incluse în programul național de sprijin pentru industria de securitate cibernetică și în Programul de inovare în materie de securitate globală, precum și a altor acțiuni conexe în următoarele domenii (acordate la jalonul 245):</w:t>
            </w:r>
            <w:r>
              <w:rPr>
                <w:rFonts w:ascii="Times New Roman" w:hAnsi="Times New Roman"/>
                <w:noProof/>
                <w:color w:val="000000"/>
                <w:sz w:val="18"/>
                <w:szCs w:val="18"/>
              </w:rPr>
              <w:br/>
              <w:t>- stimularea industriei naționale a securității cibernetice pentru apariția, creșterea și dezvoltarea de noi întreprinderi în acest sector;</w:t>
            </w:r>
            <w:r>
              <w:rPr>
                <w:rFonts w:ascii="Times New Roman" w:hAnsi="Times New Roman"/>
                <w:noProof/>
                <w:color w:val="000000"/>
                <w:sz w:val="18"/>
                <w:szCs w:val="18"/>
              </w:rPr>
              <w:br/>
              <w:t>- dezvoltarea de soluții și servicii cu valoare adăugată ridicată în domeniul securității cibernetice</w:t>
            </w:r>
            <w:r>
              <w:rPr>
                <w:rFonts w:ascii="Times New Roman" w:hAnsi="Times New Roman"/>
                <w:noProof/>
                <w:color w:val="000000"/>
                <w:sz w:val="18"/>
                <w:szCs w:val="18"/>
              </w:rPr>
              <w:br/>
              <w:t>- formarea și dezvoltarea de talente în domeniul securității cibernetice</w:t>
            </w:r>
            <w:r>
              <w:rPr>
                <w:rFonts w:ascii="Times New Roman" w:hAnsi="Times New Roman"/>
                <w:noProof/>
                <w:color w:val="000000"/>
                <w:sz w:val="18"/>
                <w:szCs w:val="18"/>
              </w:rPr>
              <w:br/>
              <w:t>- acțiuni de internaționalizare în domeniul securității cibernetice</w:t>
            </w:r>
            <w:r>
              <w:rPr>
                <w:rFonts w:ascii="Times New Roman" w:hAnsi="Times New Roman"/>
                <w:noProof/>
                <w:color w:val="000000"/>
                <w:sz w:val="18"/>
                <w:szCs w:val="18"/>
              </w:rPr>
              <w:br/>
              <w:t>- înființarea unui centru demonstrativ pentru dezvoltarea infrastructurii de securitate cibernetică și crearea de noi servicii de securitate cibernetică, inclusiv laboratoare de testare și simulatoare de atacuri de securitate cibernetică</w:t>
            </w:r>
            <w:r>
              <w:rPr>
                <w:rFonts w:ascii="Times New Roman" w:hAnsi="Times New Roman"/>
                <w:noProof/>
                <w:color w:val="000000"/>
                <w:sz w:val="18"/>
                <w:szCs w:val="18"/>
              </w:rPr>
              <w:br/>
              <w:t>- dezvoltarea de certificări de etichetă în domeniul securității cibernetice</w:t>
            </w:r>
          </w:p>
        </w:tc>
      </w:tr>
    </w:tbl>
    <w:p>
      <w:pPr>
        <w:spacing w:before="120" w:after="120" w:line="240" w:lineRule="auto"/>
        <w:ind w:left="709"/>
        <w:jc w:val="both"/>
        <w:rPr>
          <w:rFonts w:ascii="Times New Roman" w:hAnsi="Times New Roman" w:cs="Times New Roman"/>
          <w:noProof/>
          <w:sz w:val="24"/>
          <w:szCs w:val="24"/>
        </w:rPr>
        <w:sectPr>
          <w:headerReference w:type="even" r:id="rId193"/>
          <w:headerReference w:type="default" r:id="rId194"/>
          <w:footerReference w:type="even" r:id="rId195"/>
          <w:footerReference w:type="default" r:id="rId196"/>
          <w:headerReference w:type="first" r:id="rId197"/>
          <w:footerReference w:type="first" r:id="rId198"/>
          <w:pgSz w:w="16839" w:h="11907" w:orient="landscape"/>
          <w:pgMar w:top="1417" w:right="1134" w:bottom="1417" w:left="1134" w:header="709" w:footer="709" w:gutter="0"/>
          <w:cols w:space="720"/>
          <w:docGrid w:linePitch="360"/>
        </w:sectPr>
      </w:pPr>
    </w:p>
    <w:p>
      <w:pPr>
        <w:pStyle w:val="Heading1"/>
        <w:rPr>
          <w:noProof/>
        </w:rPr>
      </w:pPr>
      <w:r>
        <w:rPr>
          <w:noProof/>
        </w:rPr>
        <w:t>P. COMPONENTA 16: Inteligența artificială</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Inteligența artificială (IA) are un potențial semnificativ de transformare din punct de vedere tehnologic, economic și social, având în vedere pătrunderea sa transsectorială, impactul său ridicat, creșterea rapidă și contribuția sa la îmbunătățirea productivității și a competitivității. </w:t>
      </w:r>
    </w:p>
    <w:p>
      <w:pPr>
        <w:spacing w:before="120" w:after="120" w:line="240" w:lineRule="auto"/>
        <w:jc w:val="both"/>
        <w:rPr>
          <w:rFonts w:ascii="Times New Roman" w:hAnsi="Times New Roman" w:cs="Times New Roman"/>
          <w:noProof/>
          <w:sz w:val="24"/>
        </w:rPr>
      </w:pPr>
      <w:r>
        <w:rPr>
          <w:rFonts w:ascii="Times New Roman" w:hAnsi="Times New Roman"/>
          <w:noProof/>
          <w:sz w:val="24"/>
        </w:rPr>
        <w:t>Principalele provocări abordate de această componentă a planului spaniol de redresare și reziliență se referă la: (i) utilizarea limitată a IA în întreprinderi, în special în IMM-uri, (ii) crearea unor registre de date accesibile pe scară largă și (iii) promovarea investițiilor publice și private în inovarea în domeniul IA. Componenta este structurată în jurul Strategiei naționale privind inteligența artificială (ENIA), care este unul dintre principalele planuri ale agendei digitale a guvernului spaniol (</w:t>
      </w:r>
      <w:r>
        <w:rPr>
          <w:rFonts w:ascii="Times New Roman" w:hAnsi="Times New Roman"/>
          <w:i/>
          <w:noProof/>
          <w:sz w:val="24"/>
        </w:rPr>
        <w:t>España Digital 2025</w:t>
      </w:r>
      <w:r>
        <w:rPr>
          <w:rFonts w:ascii="Times New Roman" w:hAnsi="Times New Roman"/>
          <w:noProof/>
          <w:sz w:val="24"/>
        </w:rPr>
        <w:t xml:space="preserve">). Această componentă poate contribui, de asemenea, la abordarea provocărilor cu care se confruntă societatea, în special la reducerea disparității de gen (prin acțiuni care vizează femeile), la decalajul digital, la tranziția ecologică, precum și la coeziunea teritorială.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Din această perspectivă, obiectivul acestei componente este: </w:t>
      </w:r>
    </w:p>
    <w:p>
      <w:pPr>
        <w:numPr>
          <w:ilvl w:val="0"/>
          <w:numId w:val="83"/>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poziționarea Spaniei ca țară lider în ceea ce privește excelența științifică și inovarea în domeniul IA într-un mod interdisciplinar;</w:t>
      </w:r>
    </w:p>
    <w:p>
      <w:pPr>
        <w:numPr>
          <w:ilvl w:val="0"/>
          <w:numId w:val="83"/>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să joace un rol de lider la nivel mondial în ceea ce privește dezvoltarea de instrumente, tehnologii și aplicații pentru proiectarea și utilizarea limbii spaniole în domeniul IA;</w:t>
      </w:r>
    </w:p>
    <w:p>
      <w:pPr>
        <w:numPr>
          <w:ilvl w:val="0"/>
          <w:numId w:val="83"/>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promovarea creării de locuri de muncă calificate, stimularea formării și a educației, stimularea talentelor spaniole și atragerea talentelor la nivel mondial;</w:t>
      </w:r>
    </w:p>
    <w:p>
      <w:pPr>
        <w:numPr>
          <w:ilvl w:val="0"/>
          <w:numId w:val="83"/>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integrarea IA ca factor de îmbunătățire a productivității sectorului privat spaniol, a eficienței administrației publice și ca motor al creșterii economice durabile și favorabile incluziunii;</w:t>
      </w:r>
    </w:p>
    <w:p>
      <w:pPr>
        <w:numPr>
          <w:ilvl w:val="0"/>
          <w:numId w:val="83"/>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crearea unui mediu de încredere în ceea ce privește IA, atât în ceea ce privește dezvoltarea tehnologică, cât și reglementarea și impactul social;</w:t>
      </w:r>
    </w:p>
    <w:p>
      <w:pPr>
        <w:numPr>
          <w:ilvl w:val="0"/>
          <w:numId w:val="83"/>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stimularea dezbaterii globale privind umanismul tehnologic prin crearea și participarea la forumuri și activități de informare pentru dezvoltarea unui cadru etic care să garanteze drepturile individuale și colective ale cetățenilor;</w:t>
      </w:r>
    </w:p>
    <w:p>
      <w:pPr>
        <w:numPr>
          <w:ilvl w:val="0"/>
          <w:numId w:val="83"/>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capacitarea IA ca vector transversal pentru a aborda marile provocări cu care se confruntă societatea și, în special, pentru a reduce decalajul de gen, decalajul digital și pentru a sprijini tranziția ecologică și structura teritorială.</w:t>
      </w:r>
    </w:p>
    <w:p>
      <w:pPr>
        <w:spacing w:before="120" w:after="120" w:line="240" w:lineRule="auto"/>
        <w:jc w:val="both"/>
        <w:rPr>
          <w:rFonts w:ascii="Times New Roman" w:hAnsi="Times New Roman" w:cs="Times New Roman"/>
          <w:noProof/>
          <w:sz w:val="24"/>
        </w:rPr>
      </w:pPr>
      <w:r>
        <w:rPr>
          <w:rFonts w:ascii="Times New Roman" w:hAnsi="Times New Roman"/>
          <w:noProof/>
          <w:sz w:val="24"/>
        </w:rPr>
        <w:t>Componenta abordează recomandările specifice fiecărei țări privind concentrarea politicii economice de investiții asupra stimulării inovării (recomandarea specifică țării 3 din 2019), asupra concentrării la începutul perioadei a proiectelor de investiții publice mature (recomandarea specifică țării 2 din 2020) și asupra concentrării investițiilor asupra tranziției digitale (recomandarea specifică țării 3 din 2020).</w:t>
      </w:r>
    </w:p>
    <w:p>
      <w:pPr>
        <w:spacing w:before="120" w:after="120" w:line="240" w:lineRule="auto"/>
        <w:jc w:val="both"/>
        <w:rPr>
          <w:rFonts w:ascii="Times New Roman" w:hAnsi="Times New Roman" w:cs="Times New Roman"/>
          <w:noProof/>
          <w:sz w:val="24"/>
        </w:rPr>
      </w:pPr>
      <w:r>
        <w:rPr>
          <w:rFonts w:ascii="Times New Roman" w:hAnsi="Times New Roman"/>
          <w:noProof/>
          <w:color w:val="000000" w:themeColor="text1"/>
          <w:sz w:val="24"/>
          <w:szCs w:val="24"/>
        </w:rPr>
        <w:t>Se preconizează că nicio măsură din cadrul acestei componente nu aduce prejudicii semnificative obiectivelor de mediu în sensul articolului 17 din Regulamentul (UE) 2020/852, ținând seama de descrierea măsurilor și a măsurilor de atenuare stabilite în planul de redresare și reziliență în conformitate cu Orientările tehnice DNSH (2021/C58/01).</w:t>
      </w:r>
      <w:r>
        <w:rPr>
          <w:rFonts w:ascii="Times New Roman" w:hAnsi="Times New Roman"/>
          <w:noProof/>
          <w:sz w:val="24"/>
        </w:rPr>
        <w:t xml:space="preserve"> </w:t>
      </w:r>
    </w:p>
    <w:p>
      <w:pPr>
        <w:keepNext/>
        <w:spacing w:before="120" w:after="120" w:line="240" w:lineRule="auto"/>
        <w:jc w:val="both"/>
        <w:rPr>
          <w:rFonts w:ascii="Times New Roman" w:hAnsi="Times New Roman" w:cs="Times New Roman"/>
          <w:b/>
          <w:i/>
          <w:noProof/>
          <w:color w:val="4F81BD" w:themeColor="accent1"/>
          <w:sz w:val="24"/>
        </w:rPr>
      </w:pPr>
      <w:r>
        <w:rPr>
          <w:rFonts w:ascii="Times New Roman" w:hAnsi="Times New Roman"/>
          <w:b/>
          <w:bCs/>
          <w:noProof/>
          <w:sz w:val="24"/>
          <w:u w:val="single"/>
        </w:rPr>
        <w:t xml:space="preserve">P.1. </w:t>
      </w:r>
      <w:r>
        <w:rPr>
          <w:rFonts w:ascii="Times New Roman" w:hAnsi="Times New Roman"/>
          <w:b/>
          <w:noProof/>
          <w:sz w:val="24"/>
          <w:u w:val="single"/>
        </w:rPr>
        <w:tab/>
      </w:r>
      <w:r>
        <w:rPr>
          <w:rFonts w:ascii="Times New Roman" w:hAnsi="Times New Roman"/>
          <w:b/>
          <w:bCs/>
          <w:noProof/>
          <w:sz w:val="24"/>
          <w:u w:val="single"/>
        </w:rPr>
        <w:t>Descrierea reformelor și a investițiilor pentru care se prevede acordarea sprijinului financiar nerambursabil</w:t>
      </w:r>
    </w:p>
    <w:p>
      <w:pPr>
        <w:keepNext/>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Reforma 1 (C16.R1) - Strategia națională privind IA</w:t>
      </w:r>
    </w:p>
    <w:p>
      <w:pPr>
        <w:keepNext/>
        <w:spacing w:before="120" w:after="120" w:line="240" w:lineRule="auto"/>
        <w:jc w:val="both"/>
        <w:rPr>
          <w:rFonts w:ascii="Times New Roman" w:hAnsi="Times New Roman" w:cs="Times New Roman"/>
          <w:noProof/>
          <w:sz w:val="24"/>
        </w:rPr>
      </w:pPr>
      <w:r>
        <w:rPr>
          <w:rFonts w:ascii="Times New Roman" w:hAnsi="Times New Roman"/>
          <w:noProof/>
          <w:sz w:val="24"/>
        </w:rPr>
        <w:t xml:space="preserve">Obiectivul acestei măsuri cuprinzătoare este de a stabili cadrul pentru punerea în aplicare a unei strategii naționale fiabile, transparente și favorabile incluziunii în domeniul IA, care să asigure conformitatea cu principiile și valorile fundamentale și să ia în considerare aspirațiile colective ale cetățenilor. În acest scop, măsura include trei reforme legislative pentru a stabili cadrul de reglementare și etic privind IA și nouă proiecte de sprijinire a dezvoltării și adoptării de tehnologii bazate pe IA în economia și societatea spaniolă, cum ar fi proiectele în materie de competențe, talente și infrastructuri. </w:t>
      </w:r>
    </w:p>
    <w:p>
      <w:pPr>
        <w:spacing w:before="120" w:after="120" w:line="240" w:lineRule="auto"/>
        <w:jc w:val="both"/>
        <w:rPr>
          <w:rFonts w:ascii="Times New Roman" w:hAnsi="Times New Roman" w:cs="Times New Roman"/>
          <w:noProof/>
          <w:sz w:val="24"/>
        </w:rPr>
      </w:pPr>
      <w:r>
        <w:rPr>
          <w:rFonts w:ascii="Times New Roman" w:hAnsi="Times New Roman"/>
          <w:noProof/>
          <w:sz w:val="24"/>
        </w:rPr>
        <w:t>Aceste acțiuni sunt grupate în cinci pârghii de politică:</w:t>
      </w:r>
    </w:p>
    <w:p>
      <w:pPr>
        <w:numPr>
          <w:ilvl w:val="0"/>
          <w:numId w:val="79"/>
        </w:numPr>
        <w:spacing w:before="120" w:after="120" w:line="240" w:lineRule="auto"/>
        <w:ind w:left="426" w:hanging="426"/>
        <w:contextualSpacing/>
        <w:jc w:val="both"/>
        <w:rPr>
          <w:rFonts w:ascii="Times New Roman" w:hAnsi="Times New Roman" w:cs="Times New Roman"/>
          <w:noProof/>
          <w:sz w:val="24"/>
          <w:szCs w:val="24"/>
        </w:rPr>
      </w:pPr>
      <w:r>
        <w:rPr>
          <w:rFonts w:ascii="Times New Roman" w:hAnsi="Times New Roman"/>
          <w:noProof/>
          <w:sz w:val="24"/>
          <w:szCs w:val="24"/>
        </w:rPr>
        <w:t xml:space="preserve">Cadrul etic și de reglementare (acte juridice): </w:t>
      </w:r>
    </w:p>
    <w:p>
      <w:pPr>
        <w:numPr>
          <w:ilvl w:val="0"/>
          <w:numId w:val="80"/>
        </w:numPr>
        <w:spacing w:before="120" w:after="120" w:line="240" w:lineRule="auto"/>
        <w:ind w:left="851" w:hanging="425"/>
        <w:contextualSpacing/>
        <w:jc w:val="both"/>
        <w:rPr>
          <w:rFonts w:ascii="Times New Roman" w:hAnsi="Times New Roman" w:cs="Times New Roman"/>
          <w:noProof/>
          <w:sz w:val="24"/>
          <w:szCs w:val="24"/>
        </w:rPr>
      </w:pPr>
      <w:r>
        <w:rPr>
          <w:rFonts w:ascii="Times New Roman" w:hAnsi="Times New Roman"/>
          <w:noProof/>
          <w:sz w:val="24"/>
          <w:szCs w:val="24"/>
        </w:rPr>
        <w:t>strategia națională privind IA (ENIA): un plan național de acțiuni și reforme pentru introducerea și extinderea tehnologiilor bazate pe IA în economia și societatea spaniolă prin crearea Consiliului consultativ pentru inteligența artificială;</w:t>
      </w:r>
    </w:p>
    <w:p>
      <w:pPr>
        <w:numPr>
          <w:ilvl w:val="0"/>
          <w:numId w:val="80"/>
        </w:numPr>
        <w:spacing w:before="120" w:after="120" w:line="240" w:lineRule="auto"/>
        <w:ind w:left="851" w:hanging="425"/>
        <w:contextualSpacing/>
        <w:jc w:val="both"/>
        <w:rPr>
          <w:rFonts w:ascii="Times New Roman" w:hAnsi="Times New Roman" w:cs="Times New Roman"/>
          <w:noProof/>
          <w:sz w:val="24"/>
          <w:szCs w:val="24"/>
        </w:rPr>
      </w:pPr>
      <w:r>
        <w:rPr>
          <w:rFonts w:ascii="Times New Roman" w:hAnsi="Times New Roman"/>
          <w:noProof/>
          <w:sz w:val="24"/>
          <w:szCs w:val="24"/>
        </w:rPr>
        <w:t>spații de testare în materie de reglementare: elaborarea actelor legislative necesare pentru a permite spații de testare în materie de reglementare pentru aplicarea IA. Se utilizează medii sigure sau spații de testare pentru introducerea de noi procese și servicii bazate pe date, atât în sfera publică, cât și în cea privată. Mediile sigure și spațiile de testare pot fi exploatate de agențiile guvernamentale, de utilizatorii IA și de creatorii de depozite de date, eventual ca parte a unei rețele de centre de inovare digitală pentru a introduce și a reglementa noi produse și aplicații;</w:t>
      </w:r>
    </w:p>
    <w:p>
      <w:pPr>
        <w:numPr>
          <w:ilvl w:val="0"/>
          <w:numId w:val="80"/>
        </w:numPr>
        <w:spacing w:before="120" w:after="120" w:line="240" w:lineRule="auto"/>
        <w:ind w:left="851" w:hanging="425"/>
        <w:contextualSpacing/>
        <w:jc w:val="both"/>
        <w:rPr>
          <w:rFonts w:ascii="Times New Roman" w:hAnsi="Times New Roman" w:cs="Times New Roman"/>
          <w:noProof/>
          <w:sz w:val="24"/>
          <w:szCs w:val="24"/>
        </w:rPr>
      </w:pPr>
      <w:r>
        <w:rPr>
          <w:rFonts w:ascii="Times New Roman" w:hAnsi="Times New Roman"/>
          <w:noProof/>
          <w:sz w:val="24"/>
          <w:szCs w:val="24"/>
        </w:rPr>
        <w:t>Observatorul IA și certificarea încrederii: inclusiv elaborarea (i) unui plan de protecție pentru grupurile vulnerabile din domeniul IA, inclusiv a drepturilor lucrătorilor și a drepturilor sociale și a nevoilor femeilor, (ii) un plan de sensibilizare și de creștere a încrederii în IA, (iii) observatoare privind impactul etic și de reglementare al algoritmilor care încorporează IA, (iv) o certificare și o arhitectură a sigiliilor în domeniul inteligenței artificiale pentru produsele și serviciile IA, precum și (v) elaborarea și promovarea Cartei drepturilor digitale.</w:t>
      </w:r>
    </w:p>
    <w:p>
      <w:pPr>
        <w:numPr>
          <w:ilvl w:val="0"/>
          <w:numId w:val="81"/>
        </w:numPr>
        <w:spacing w:before="120" w:after="120" w:line="240" w:lineRule="auto"/>
        <w:ind w:left="426" w:hanging="426"/>
        <w:contextualSpacing/>
        <w:jc w:val="both"/>
        <w:rPr>
          <w:rFonts w:ascii="Times New Roman" w:hAnsi="Times New Roman" w:cs="Times New Roman"/>
          <w:noProof/>
          <w:sz w:val="24"/>
          <w:szCs w:val="24"/>
        </w:rPr>
      </w:pPr>
      <w:r>
        <w:rPr>
          <w:rFonts w:ascii="Times New Roman" w:hAnsi="Times New Roman"/>
          <w:noProof/>
          <w:sz w:val="24"/>
          <w:szCs w:val="24"/>
        </w:rPr>
        <w:t xml:space="preserve">Stimularea C &amp; D &amp; I în IA (proiecte): </w:t>
      </w:r>
    </w:p>
    <w:p>
      <w:pPr>
        <w:numPr>
          <w:ilvl w:val="0"/>
          <w:numId w:val="80"/>
        </w:numPr>
        <w:spacing w:before="120" w:after="120" w:line="240" w:lineRule="auto"/>
        <w:ind w:left="851" w:hanging="425"/>
        <w:contextualSpacing/>
        <w:jc w:val="both"/>
        <w:rPr>
          <w:rFonts w:ascii="Times New Roman" w:hAnsi="Times New Roman" w:cs="Times New Roman"/>
          <w:noProof/>
          <w:sz w:val="24"/>
          <w:szCs w:val="24"/>
        </w:rPr>
      </w:pPr>
      <w:r>
        <w:rPr>
          <w:rFonts w:ascii="Times New Roman" w:hAnsi="Times New Roman"/>
          <w:noProof/>
          <w:sz w:val="24"/>
          <w:szCs w:val="24"/>
        </w:rPr>
        <w:t>R &amp; D &amp; I misiuni: finanțarea proiectelor de cercetare industrială sau de dezvoltare experimentală în domeniul IA pentru a aborda provocările societale majore sau misiunile de țară menționate în ENIA (și anume disparitatea de gen, tranziția ecologică, structura teritorială și decalajul digital) în sectoare de mare relevanță și capacitate ridicată de perturbare și impact (și anume energie, mobilitate, biomedicină, climă, produse agroalimentare, sănătate, turism și ospitalitate);</w:t>
      </w:r>
    </w:p>
    <w:p>
      <w:pPr>
        <w:numPr>
          <w:ilvl w:val="0"/>
          <w:numId w:val="80"/>
        </w:numPr>
        <w:spacing w:before="120" w:after="120" w:line="240" w:lineRule="auto"/>
        <w:ind w:left="851" w:hanging="425"/>
        <w:contextualSpacing/>
        <w:jc w:val="both"/>
        <w:rPr>
          <w:rFonts w:ascii="Times New Roman" w:hAnsi="Times New Roman" w:cs="Times New Roman"/>
          <w:noProof/>
          <w:sz w:val="24"/>
          <w:szCs w:val="24"/>
        </w:rPr>
      </w:pPr>
      <w:r>
        <w:rPr>
          <w:rFonts w:ascii="Times New Roman" w:hAnsi="Times New Roman"/>
          <w:noProof/>
          <w:sz w:val="24"/>
          <w:szCs w:val="24"/>
        </w:rPr>
        <w:t>Institutul multidisciplinar de IA: crearea unui centru de cercetare multidisciplinar care să integreze IA împreună cu alte științe, cu un accent deosebit pe neurotehnologii;</w:t>
      </w:r>
    </w:p>
    <w:p>
      <w:pPr>
        <w:numPr>
          <w:ilvl w:val="0"/>
          <w:numId w:val="80"/>
        </w:numPr>
        <w:spacing w:before="120" w:after="120" w:line="240" w:lineRule="auto"/>
        <w:ind w:left="851" w:hanging="425"/>
        <w:contextualSpacing/>
        <w:jc w:val="both"/>
        <w:rPr>
          <w:rFonts w:ascii="Times New Roman" w:hAnsi="Times New Roman" w:cs="Times New Roman"/>
          <w:noProof/>
          <w:sz w:val="24"/>
          <w:szCs w:val="24"/>
        </w:rPr>
      </w:pPr>
      <w:r>
        <w:rPr>
          <w:rFonts w:ascii="Times New Roman" w:hAnsi="Times New Roman"/>
          <w:noProof/>
          <w:sz w:val="24"/>
          <w:szCs w:val="24"/>
        </w:rPr>
        <w:t>rețeaua de excelență în domeniul IA: crearea unei rețele spaniole de excelență în domeniul IA, cu formare interdisciplinară și programe și mecanisme de înaltă specializare pentru recrutarea și păstrarea talentelor, care funcționează într-un mod integrat pentru a coordona cercetarea la nivel național.</w:t>
      </w:r>
    </w:p>
    <w:p>
      <w:pPr>
        <w:numPr>
          <w:ilvl w:val="0"/>
          <w:numId w:val="82"/>
        </w:numPr>
        <w:spacing w:before="120" w:after="120" w:line="240" w:lineRule="auto"/>
        <w:ind w:left="426" w:hanging="426"/>
        <w:contextualSpacing/>
        <w:jc w:val="both"/>
        <w:rPr>
          <w:rFonts w:ascii="Times New Roman" w:hAnsi="Times New Roman" w:cs="Times New Roman"/>
          <w:noProof/>
          <w:sz w:val="24"/>
          <w:szCs w:val="24"/>
        </w:rPr>
      </w:pPr>
      <w:r>
        <w:rPr>
          <w:rFonts w:ascii="Times New Roman" w:hAnsi="Times New Roman"/>
          <w:noProof/>
          <w:sz w:val="24"/>
          <w:szCs w:val="24"/>
        </w:rPr>
        <w:t xml:space="preserve">Atragerea de talente (proiecte): </w:t>
      </w:r>
    </w:p>
    <w:p>
      <w:pPr>
        <w:numPr>
          <w:ilvl w:val="0"/>
          <w:numId w:val="80"/>
        </w:numPr>
        <w:spacing w:before="120" w:after="120" w:line="240" w:lineRule="auto"/>
        <w:ind w:left="851" w:hanging="426"/>
        <w:contextualSpacing/>
        <w:jc w:val="both"/>
        <w:rPr>
          <w:rFonts w:ascii="Times New Roman" w:hAnsi="Times New Roman" w:cs="Times New Roman"/>
          <w:noProof/>
          <w:sz w:val="24"/>
          <w:szCs w:val="24"/>
        </w:rPr>
      </w:pPr>
      <w:r>
        <w:rPr>
          <w:rFonts w:ascii="Times New Roman" w:hAnsi="Times New Roman"/>
          <w:noProof/>
          <w:sz w:val="24"/>
          <w:szCs w:val="24"/>
        </w:rPr>
        <w:t>Centrul pentru talente din Spania: crearea unui nod de informare pentru a atrage și a păstra talentele în domeniul IA, centrul spaniol pentru talente, care ar trebui să servească drept punct focal pentru recrutarea și consolidarea talentelor și a investițiilor străine, acordând o atenție deosebită nevoilor femeilor, precum și a investițiilor cu impact social;</w:t>
      </w:r>
    </w:p>
    <w:p>
      <w:pPr>
        <w:numPr>
          <w:ilvl w:val="0"/>
          <w:numId w:val="80"/>
        </w:numPr>
        <w:spacing w:before="120" w:after="120" w:line="240" w:lineRule="auto"/>
        <w:ind w:left="851" w:hanging="426"/>
        <w:contextualSpacing/>
        <w:jc w:val="both"/>
        <w:rPr>
          <w:rFonts w:ascii="Times New Roman" w:hAnsi="Times New Roman" w:cs="Times New Roman"/>
          <w:noProof/>
          <w:sz w:val="24"/>
          <w:szCs w:val="24"/>
        </w:rPr>
      </w:pPr>
      <w:r>
        <w:rPr>
          <w:rFonts w:ascii="Times New Roman" w:hAnsi="Times New Roman"/>
          <w:noProof/>
          <w:sz w:val="24"/>
          <w:szCs w:val="24"/>
        </w:rPr>
        <w:t>Catedre academice: finanțarea creării a 10-15 catedre universitare temporare în perioada 1 ianuarie 2021-31 decembrie 2023, axându-se pe teme centrale, cum ar fi impactul IA asupra democrației, tendințele emergente ale IA, evaluările sistemelor de IA, hibridizarea IA creierului, IA biomedicală.</w:t>
      </w:r>
    </w:p>
    <w:p>
      <w:pPr>
        <w:numPr>
          <w:ilvl w:val="0"/>
          <w:numId w:val="82"/>
        </w:numPr>
        <w:spacing w:before="120" w:after="120" w:line="240" w:lineRule="auto"/>
        <w:ind w:left="426" w:hanging="426"/>
        <w:contextualSpacing/>
        <w:jc w:val="both"/>
        <w:rPr>
          <w:rFonts w:ascii="Times New Roman" w:hAnsi="Times New Roman" w:cs="Times New Roman"/>
          <w:noProof/>
          <w:sz w:val="24"/>
          <w:szCs w:val="24"/>
        </w:rPr>
      </w:pPr>
      <w:r>
        <w:rPr>
          <w:rFonts w:ascii="Times New Roman" w:hAnsi="Times New Roman"/>
          <w:noProof/>
          <w:sz w:val="24"/>
          <w:szCs w:val="24"/>
        </w:rPr>
        <w:t xml:space="preserve">Infrastructuri (proiecte) de date și tehnologie: </w:t>
      </w:r>
    </w:p>
    <w:p>
      <w:pPr>
        <w:numPr>
          <w:ilvl w:val="0"/>
          <w:numId w:val="80"/>
        </w:numPr>
        <w:spacing w:before="120" w:after="120" w:line="240" w:lineRule="auto"/>
        <w:ind w:left="851" w:hanging="425"/>
        <w:contextualSpacing/>
        <w:jc w:val="both"/>
        <w:rPr>
          <w:rFonts w:ascii="Times New Roman" w:hAnsi="Times New Roman" w:cs="Times New Roman"/>
          <w:noProof/>
          <w:sz w:val="24"/>
          <w:szCs w:val="24"/>
        </w:rPr>
      </w:pPr>
      <w:r>
        <w:rPr>
          <w:rFonts w:ascii="Times New Roman" w:hAnsi="Times New Roman"/>
          <w:noProof/>
          <w:sz w:val="24"/>
          <w:szCs w:val="24"/>
        </w:rPr>
        <w:t>Planul pentru tehnologiile limbajului natural: obiectivul este dezvoltarea industriei de prelucrare a limbajului natural, precum și a sistemelor de traducere automată și de conversație în Spania, în special în limbile spaniolă și co-oficială;</w:t>
      </w:r>
    </w:p>
    <w:p>
      <w:pPr>
        <w:numPr>
          <w:ilvl w:val="0"/>
          <w:numId w:val="80"/>
        </w:numPr>
        <w:spacing w:before="120" w:after="120" w:line="240" w:lineRule="auto"/>
        <w:ind w:left="851" w:hanging="425"/>
        <w:contextualSpacing/>
        <w:jc w:val="both"/>
        <w:rPr>
          <w:rFonts w:ascii="Times New Roman" w:hAnsi="Times New Roman" w:cs="Times New Roman"/>
          <w:noProof/>
          <w:sz w:val="24"/>
          <w:szCs w:val="24"/>
        </w:rPr>
      </w:pPr>
      <w:r>
        <w:rPr>
          <w:rFonts w:ascii="Times New Roman" w:hAnsi="Times New Roman"/>
          <w:noProof/>
          <w:sz w:val="24"/>
          <w:szCs w:val="24"/>
        </w:rPr>
        <w:t>consolidarea capacităților strategice de supercalcul: dezvoltarea unui program de facilitare a accesului și a utilizării de către IMM-uri și structura de afaceri a centrelor de supercalcul din diferite regiuni (cum ar fi Extremadura, Galicia și Aragon), precum și adoptarea calculului cuantic în proiecte pe diferite teme, inclusiv mobilitatea și schimbările climatice.</w:t>
      </w:r>
    </w:p>
    <w:p>
      <w:pPr>
        <w:numPr>
          <w:ilvl w:val="0"/>
          <w:numId w:val="84"/>
        </w:numPr>
        <w:spacing w:before="120" w:after="120" w:line="240" w:lineRule="auto"/>
        <w:ind w:left="426" w:hanging="426"/>
        <w:contextualSpacing/>
        <w:jc w:val="both"/>
        <w:rPr>
          <w:rFonts w:ascii="Times New Roman" w:hAnsi="Times New Roman" w:cs="Times New Roman"/>
          <w:noProof/>
          <w:sz w:val="24"/>
          <w:szCs w:val="24"/>
        </w:rPr>
      </w:pPr>
      <w:r>
        <w:rPr>
          <w:rFonts w:ascii="Times New Roman" w:hAnsi="Times New Roman"/>
          <w:noProof/>
          <w:sz w:val="24"/>
          <w:szCs w:val="24"/>
        </w:rPr>
        <w:t>Integrarea IA în lanțurile valorice (proiecte):</w:t>
      </w:r>
    </w:p>
    <w:p>
      <w:pPr>
        <w:numPr>
          <w:ilvl w:val="0"/>
          <w:numId w:val="80"/>
        </w:numPr>
        <w:spacing w:before="120" w:after="120" w:line="240" w:lineRule="auto"/>
        <w:ind w:left="851" w:hanging="425"/>
        <w:contextualSpacing/>
        <w:jc w:val="both"/>
        <w:rPr>
          <w:rFonts w:ascii="Times New Roman" w:hAnsi="Times New Roman" w:cs="Times New Roman"/>
          <w:noProof/>
          <w:sz w:val="24"/>
          <w:szCs w:val="24"/>
        </w:rPr>
      </w:pPr>
      <w:r>
        <w:rPr>
          <w:rFonts w:ascii="Times New Roman" w:hAnsi="Times New Roman"/>
          <w:noProof/>
          <w:sz w:val="24"/>
          <w:szCs w:val="24"/>
        </w:rPr>
        <w:t>cerere de granturi pentru integrarea IA în lanțurile valorice: program de ajutor care finanțează proiecte experimentale de dezvoltare a căror maturitate tehnologică corespunde nivelurilor 6, 7 și 8. Finanțarea proiectelor la aceste niveluri de maturitate tehnologică reprezintă un sprijin puternic pentru produsele care ar putea fi aproape de adoptarea pe piață și, prin urmare, transferate către lanțul valoric;</w:t>
      </w:r>
    </w:p>
    <w:p>
      <w:pPr>
        <w:numPr>
          <w:ilvl w:val="0"/>
          <w:numId w:val="80"/>
        </w:numPr>
        <w:spacing w:before="120" w:after="120" w:line="240" w:lineRule="auto"/>
        <w:ind w:left="851" w:hanging="425"/>
        <w:contextualSpacing/>
        <w:jc w:val="both"/>
        <w:rPr>
          <w:rFonts w:ascii="Times New Roman" w:hAnsi="Times New Roman" w:cs="Times New Roman"/>
          <w:noProof/>
          <w:sz w:val="24"/>
          <w:szCs w:val="24"/>
        </w:rPr>
      </w:pPr>
      <w:r>
        <w:rPr>
          <w:rFonts w:ascii="Times New Roman" w:hAnsi="Times New Roman"/>
          <w:noProof/>
          <w:sz w:val="24"/>
          <w:szCs w:val="24"/>
        </w:rPr>
        <w:t>Programul național privind algoritmii ecologici: un program de sprijin pentru dezvoltarea de algoritmi ecologici pentru a maximiza eficiența energetică și a reduce impactul modelelor de IA asupra mediului, sprijinind în același timp utilizarea acestei tehnologii pentru a răspunde diferitelor provocări de mediu.</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Reformele și investițiile sunt puse în aplicare prin (i) cereri de granturi, pentru misiuni de C &amp; D &amp; I și integrarea IA în lanțurile valorice; (ii) convenții pentru infrastructurile de date și tehnologie; (iii) achiziții publice, pentru cadrul de reglementare și etică, Programul național privind algoritmii verzi și Planul pentru limbajul natural; și (iv) consorții, pentru institutul multidisciplinar de IA.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Punerea în aplicare a reformei se finalizează până la marți, 31 martie 2026. </w:t>
      </w:r>
    </w:p>
    <w:p>
      <w:pPr>
        <w:spacing w:before="120" w:after="120" w:line="240" w:lineRule="auto"/>
        <w:jc w:val="both"/>
        <w:rPr>
          <w:rFonts w:ascii="Times New Roman" w:hAnsi="Times New Roman" w:cs="Times New Roman"/>
          <w:b/>
          <w:bCs/>
          <w:noProof/>
          <w:sz w:val="24"/>
          <w:u w:val="single"/>
        </w:rPr>
      </w:pPr>
      <w:r>
        <w:rPr>
          <w:rFonts w:ascii="Times New Roman" w:hAnsi="Times New Roman"/>
          <w:b/>
          <w:bCs/>
          <w:noProof/>
          <w:sz w:val="24"/>
          <w:u w:val="single"/>
        </w:rPr>
        <w:t xml:space="preserve">P.2. </w:t>
      </w:r>
      <w:r>
        <w:rPr>
          <w:rFonts w:ascii="Times New Roman" w:hAnsi="Times New Roman"/>
          <w:b/>
          <w:noProof/>
          <w:sz w:val="24"/>
          <w:u w:val="single"/>
        </w:rPr>
        <w:tab/>
      </w:r>
      <w:r>
        <w:rPr>
          <w:rFonts w:ascii="Times New Roman" w:hAnsi="Times New Roman"/>
          <w:b/>
          <w:bCs/>
          <w:noProof/>
          <w:sz w:val="24"/>
          <w:u w:val="single"/>
        </w:rPr>
        <w:t>Jaloane, ținte, indicatori și calendarul de monitorizare și implementare aplicabile sprijinului financiar nerambursabil</w:t>
      </w:r>
    </w:p>
    <w:p>
      <w:pPr>
        <w:spacing w:before="120" w:after="120" w:line="240" w:lineRule="auto"/>
        <w:jc w:val="both"/>
        <w:rPr>
          <w:rFonts w:ascii="Times New Roman" w:hAnsi="Times New Roman" w:cs="Times New Roman"/>
          <w:noProof/>
          <w:color w:val="1F497D"/>
        </w:rPr>
      </w:pPr>
      <w:r>
        <w:rPr>
          <w:rFonts w:ascii="Times New Roman" w:hAnsi="Times New Roman"/>
          <w:i/>
          <w:iCs/>
          <w:noProof/>
          <w:color w:val="000000"/>
          <w:sz w:val="24"/>
        </w:rPr>
        <w:t>Tabelul de mai jos.</w:t>
      </w:r>
      <w:r>
        <w:rPr>
          <w:rFonts w:ascii="Times New Roman" w:hAnsi="Times New Roman"/>
          <w:noProof/>
          <w:color w:val="1F497D"/>
          <w:sz w:val="24"/>
        </w:rPr>
        <w:t xml:space="preserve"> </w:t>
      </w:r>
      <w:r>
        <w:rPr>
          <w:rFonts w:ascii="Times New Roman" w:hAnsi="Times New Roman"/>
          <w:i/>
          <w:iCs/>
          <w:noProof/>
          <w:color w:val="000000"/>
          <w:sz w:val="24"/>
        </w:rPr>
        <w:t>Data de referință pentru toți indicatorii este 1 februarie 2020, cu excepția cazului în care se indică altfel în descrierea acțiunii. Sumele din tabel nu includ TVA.</w:t>
      </w:r>
    </w:p>
    <w:p>
      <w:pPr>
        <w:spacing w:before="120" w:after="120" w:line="240" w:lineRule="auto"/>
        <w:jc w:val="both"/>
        <w:rPr>
          <w:rFonts w:ascii="Times New Roman" w:hAnsi="Times New Roman" w:cs="Times New Roman"/>
          <w:b/>
          <w:noProof/>
          <w:sz w:val="24"/>
          <w:u w:val="single"/>
          <w:lang w:val="en-IE"/>
        </w:rPr>
      </w:pPr>
    </w:p>
    <w:p>
      <w:pPr>
        <w:spacing w:before="120" w:after="120" w:line="240" w:lineRule="auto"/>
        <w:ind w:left="709"/>
        <w:jc w:val="both"/>
        <w:rPr>
          <w:rFonts w:ascii="Times New Roman" w:hAnsi="Times New Roman" w:cs="Times New Roman"/>
          <w:noProof/>
          <w:sz w:val="24"/>
          <w:lang w:val="en-IE"/>
        </w:rPr>
        <w:sectPr>
          <w:headerReference w:type="even" r:id="rId199"/>
          <w:headerReference w:type="default" r:id="rId200"/>
          <w:footerReference w:type="even" r:id="rId201"/>
          <w:footerReference w:type="default" r:id="rId202"/>
          <w:headerReference w:type="first" r:id="rId203"/>
          <w:footerReference w:type="first" r:id="rId204"/>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2694"/>
        <w:gridCol w:w="1275"/>
        <w:gridCol w:w="851"/>
        <w:gridCol w:w="567"/>
        <w:gridCol w:w="567"/>
        <w:gridCol w:w="567"/>
        <w:gridCol w:w="567"/>
        <w:gridCol w:w="5812"/>
      </w:tblGrid>
      <w:tr>
        <w:trPr>
          <w:trHeight w:val="309"/>
          <w:tblHeader/>
        </w:trPr>
        <w:tc>
          <w:tcPr>
            <w:tcW w:w="709"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Număr</w:t>
            </w:r>
          </w:p>
        </w:tc>
        <w:tc>
          <w:tcPr>
            <w:tcW w:w="851"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Măsură</w:t>
            </w:r>
          </w:p>
        </w:tc>
        <w:tc>
          <w:tcPr>
            <w:tcW w:w="850"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Jalon</w:t>
            </w:r>
            <w:r>
              <w:rPr>
                <w:rFonts w:ascii="Times New Roman" w:hAnsi="Times New Roman"/>
                <w:b/>
                <w:noProof/>
                <w:color w:val="000000"/>
                <w:sz w:val="18"/>
                <w:szCs w:val="18"/>
              </w:rPr>
              <w:br/>
              <w:t xml:space="preserve"> /Țintă</w:t>
            </w:r>
          </w:p>
        </w:tc>
        <w:tc>
          <w:tcPr>
            <w:tcW w:w="2694"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Denumire</w:t>
            </w:r>
          </w:p>
        </w:tc>
        <w:tc>
          <w:tcPr>
            <w:tcW w:w="1275"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Indicator calitativ pentru obiectivele de etapă</w:t>
            </w:r>
          </w:p>
        </w:tc>
        <w:tc>
          <w:tcPr>
            <w:tcW w:w="1985" w:type="dxa"/>
            <w:gridSpan w:val="3"/>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Indicator cantitativ pentru obiectiv</w:t>
            </w:r>
          </w:p>
        </w:tc>
        <w:tc>
          <w:tcPr>
            <w:tcW w:w="1134" w:type="dxa"/>
            <w:gridSpan w:val="2"/>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Timp</w:t>
            </w:r>
          </w:p>
        </w:tc>
        <w:tc>
          <w:tcPr>
            <w:tcW w:w="5812"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bCs/>
                <w:noProof/>
                <w:sz w:val="18"/>
                <w:szCs w:val="18"/>
              </w:rPr>
              <w:t>Descrierea fiecărui jalon și a fiecărei ținte</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2694"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275"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Unitate</w:t>
            </w:r>
          </w:p>
        </w:tc>
        <w:tc>
          <w:tcPr>
            <w:tcW w:w="567"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Scenariu de bază</w:t>
            </w:r>
          </w:p>
        </w:tc>
        <w:tc>
          <w:tcPr>
            <w:tcW w:w="567"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Obiectiv</w:t>
            </w:r>
          </w:p>
        </w:tc>
        <w:tc>
          <w:tcPr>
            <w:tcW w:w="567"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Q</w:t>
            </w:r>
          </w:p>
        </w:tc>
        <w:tc>
          <w:tcPr>
            <w:tcW w:w="567"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An</w:t>
            </w:r>
          </w:p>
        </w:tc>
        <w:tc>
          <w:tcPr>
            <w:tcW w:w="5812"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lang w:val="en-IE"/>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249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C16.R1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Strategia națională pentru inteligența artificială </w:t>
            </w:r>
          </w:p>
        </w:tc>
        <w:tc>
          <w:tcPr>
            <w:tcW w:w="127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Publicarea în JO</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Q3</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2020</w:t>
            </w:r>
          </w:p>
        </w:tc>
        <w:tc>
          <w:tcPr>
            <w:tcW w:w="581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Publicarea Strategiei naționale pentru IA. Strategia are ca obiective: </w:t>
            </w:r>
            <w:r>
              <w:rPr>
                <w:rFonts w:ascii="Times New Roman" w:hAnsi="Times New Roman"/>
                <w:noProof/>
                <w:color w:val="000000"/>
                <w:sz w:val="18"/>
                <w:szCs w:val="18"/>
              </w:rPr>
              <w:br/>
              <w:t>1 Poziționarea Spaniei ca țară angajată în promovarea excelenței științifice și a inovării în domeniul IA.</w:t>
            </w:r>
            <w:r>
              <w:rPr>
                <w:rFonts w:ascii="Times New Roman" w:hAnsi="Times New Roman"/>
                <w:noProof/>
                <w:color w:val="000000"/>
                <w:sz w:val="18"/>
                <w:szCs w:val="18"/>
              </w:rPr>
              <w:br/>
              <w:t xml:space="preserve">2 Proiectarea limbii spaniole în IA. </w:t>
            </w:r>
            <w:r>
              <w:rPr>
                <w:rFonts w:ascii="Times New Roman" w:hAnsi="Times New Roman"/>
                <w:noProof/>
                <w:color w:val="000000"/>
                <w:sz w:val="18"/>
                <w:szCs w:val="18"/>
              </w:rPr>
              <w:br/>
              <w:t>3 Crearea de locuri de muncă calificate, stimularea și atragerea talentelor, acordând o atenție deosebită femeilor.</w:t>
            </w:r>
            <w:r>
              <w:rPr>
                <w:rFonts w:ascii="Times New Roman" w:hAnsi="Times New Roman"/>
                <w:noProof/>
                <w:color w:val="000000"/>
                <w:sz w:val="18"/>
                <w:szCs w:val="18"/>
              </w:rPr>
              <w:br/>
              <w:t>4 Încorporarea IA în sistemul de producție pentru a îmbunătăți productivitatea întreprinderilor spaniole.</w:t>
            </w:r>
            <w:r>
              <w:rPr>
                <w:rFonts w:ascii="Times New Roman" w:hAnsi="Times New Roman"/>
                <w:noProof/>
                <w:color w:val="000000"/>
                <w:sz w:val="18"/>
                <w:szCs w:val="18"/>
              </w:rPr>
              <w:br/>
              <w:t>5 Crearea unui mediu de încredere în ceea ce privește IA.</w:t>
            </w:r>
            <w:r>
              <w:rPr>
                <w:rFonts w:ascii="Times New Roman" w:hAnsi="Times New Roman"/>
                <w:noProof/>
                <w:color w:val="000000"/>
                <w:sz w:val="18"/>
                <w:szCs w:val="18"/>
              </w:rPr>
              <w:br/>
              <w:t>6 Dezvoltarea unui cadru etic care să garanteze drepturile individuale și colective ale cetățenilor în domeniul IA.</w:t>
            </w:r>
            <w:r>
              <w:rPr>
                <w:rFonts w:ascii="Times New Roman" w:hAnsi="Times New Roman"/>
                <w:noProof/>
                <w:color w:val="000000"/>
                <w:sz w:val="18"/>
                <w:szCs w:val="18"/>
              </w:rPr>
              <w:br/>
              <w:t>7 Consolidarea IA durabile și favorabile incluziunii; în special pentru a reduce decalajul de gen și decalajul digital și pentru a sprijini tranziția ecologică și coeziunea teritorială.</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250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C16.R1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Carta drepturilor digitale</w:t>
            </w:r>
          </w:p>
        </w:tc>
        <w:tc>
          <w:tcPr>
            <w:tcW w:w="127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Publicarea în JO</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81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Adoptarea de către guvernul spaniol și publicarea pe pagina de internet oficială a Cartei drepturilor digitale. Carta nu are un caracter normativ, ci urmărește să recunoască noile provocări legate de aplicare și interpretare pe care le implică adaptarea drepturilor la mediul digital și să sugereze principii și politici conexe în acest context. Pe lângă aceasta, Comisia propune, de asemenea, un cadru de referință pentru acțiunile autorităților publice, valorificând și dezvoltând toate posibilitățile și oportunitățile mediului digital actual, evitând în același timp riscurile acestuia.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251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C16.R1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Sprijin pentru proiectele privind inteligența artificială </w:t>
            </w:r>
          </w:p>
        </w:tc>
        <w:tc>
          <w:tcPr>
            <w:tcW w:w="127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Publicarea și finanțarea granturilor programului</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81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Un buget de cel puțin 500 000 000 EUR angajat pentru granturi pentru proiecte privind inteligența artificială C &amp; D, Centrul spaniol pentru talente în domeniul IA, bursele de cercetare în domeniul IA, institutul multidisciplinar privind IA, observatoarele, informatica cuantică și programul național privind algoritmii ecologici. Granturile se acordă prin proceduri competitive de ofertare.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252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C16.R1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69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Misiunile de țară vizate </w:t>
            </w:r>
          </w:p>
        </w:tc>
        <w:tc>
          <w:tcPr>
            <w:tcW w:w="127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7</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2026</w:t>
            </w:r>
          </w:p>
        </w:tc>
        <w:tc>
          <w:tcPr>
            <w:tcW w:w="581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Cel puțin 7 proiecte finanțate pentru a aborda misiuni specifice la nivel de țară cu soluții inovatoare bazate pe IA pentru a aborda problemele identificate în cadrul acestor misiuni: sănătate, industrie, mediu, societate, energie, agricultură și economie. Proiectele se pun în aplicare prin finanțarea unor proiecte colaborative în valoare de aproximativ 10 000 000-15 000 000 EUR.</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253</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C16.R1</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694"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Finalizarea proiectelor privind inteligența artificială </w:t>
            </w:r>
          </w:p>
        </w:tc>
        <w:tc>
          <w:tcPr>
            <w:tcW w:w="127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Notificarea finalizării proiectelor de investiții</w:t>
            </w:r>
          </w:p>
        </w:tc>
        <w:tc>
          <w:tcPr>
            <w:tcW w:w="851" w:type="dxa"/>
            <w:shd w:val="clear" w:color="auto" w:fill="C6EFCE"/>
            <w:noWrap/>
          </w:tcPr>
          <w:p>
            <w:pPr>
              <w:spacing w:after="0" w:line="240" w:lineRule="auto"/>
              <w:jc w:val="center"/>
              <w:rPr>
                <w:rFonts w:ascii="Times New Roman" w:hAnsi="Times New Roman" w:cs="Times New Roman"/>
                <w:strike/>
                <w:noProof/>
                <w:color w:val="000000"/>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right"/>
              <w:rPr>
                <w:rFonts w:ascii="Times New Roman" w:hAnsi="Times New Roman" w:cs="Times New Roman"/>
                <w:strike/>
                <w:noProof/>
                <w:color w:val="000000"/>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right"/>
              <w:rPr>
                <w:rFonts w:ascii="Times New Roman" w:hAnsi="Times New Roman" w:cs="Times New Roman"/>
                <w:strike/>
                <w:noProof/>
                <w:color w:val="000000"/>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Q1</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2026</w:t>
            </w:r>
          </w:p>
        </w:tc>
        <w:tc>
          <w:tcPr>
            <w:tcW w:w="5812"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Finalizarea proiectelor privind inteligența artificială C &amp; D, Centrul spaniol de talente în domeniul IA, bursele de cercetare în domeniul IA, institutul multidisciplinar privind IA, observatoarele, informatica cuantică și algoritmii ecologici, în conformitate cu criteriile stabilite în cererile de oferte (jalonul #251)</w:t>
            </w:r>
          </w:p>
        </w:tc>
      </w:tr>
    </w:tbl>
    <w:p>
      <w:pPr>
        <w:spacing w:before="120" w:after="120" w:line="240" w:lineRule="auto"/>
        <w:ind w:left="709"/>
        <w:jc w:val="both"/>
        <w:rPr>
          <w:rFonts w:ascii="Times New Roman" w:hAnsi="Times New Roman" w:cs="Times New Roman"/>
          <w:noProof/>
          <w:sz w:val="24"/>
          <w:szCs w:val="24"/>
        </w:rPr>
        <w:sectPr>
          <w:headerReference w:type="even" r:id="rId205"/>
          <w:headerReference w:type="default" r:id="rId206"/>
          <w:footerReference w:type="even" r:id="rId207"/>
          <w:footerReference w:type="default" r:id="rId208"/>
          <w:headerReference w:type="first" r:id="rId209"/>
          <w:footerReference w:type="first" r:id="rId210"/>
          <w:pgSz w:w="16839" w:h="11907" w:orient="landscape"/>
          <w:pgMar w:top="1417" w:right="1134" w:bottom="1417" w:left="1134" w:header="709" w:footer="709" w:gutter="0"/>
          <w:cols w:space="720"/>
          <w:docGrid w:linePitch="360"/>
        </w:sectPr>
      </w:pPr>
    </w:p>
    <w:p>
      <w:pPr>
        <w:pStyle w:val="Heading1"/>
        <w:rPr>
          <w:noProof/>
        </w:rPr>
      </w:pPr>
      <w:r>
        <w:rPr>
          <w:noProof/>
        </w:rPr>
        <w:t xml:space="preserve">Q. COMPONENTA 17: Știință, tehnologie și inovare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sz w:val="24"/>
          <w:szCs w:val="24"/>
        </w:rPr>
        <w:t xml:space="preserve">Strategia Spaniei pentru știință, tehnologie și inovare pentru perioada 2021-2027 </w:t>
      </w:r>
      <w:r>
        <w:rPr>
          <w:rFonts w:ascii="Times New Roman" w:hAnsi="Times New Roman"/>
          <w:noProof/>
          <w:color w:val="000000" w:themeColor="text1"/>
          <w:sz w:val="24"/>
          <w:szCs w:val="24"/>
        </w:rPr>
        <w:t>preconizează o creștere semnificativă a investițiilor în cercetare, dezvoltare și inovare („C &amp; D &amp; I”) în Spania, ajungând la 2,12 % din PIB în 2027</w:t>
      </w:r>
      <w:r>
        <w:rPr>
          <w:rFonts w:ascii="Times New Roman" w:hAnsi="Times New Roman"/>
          <w:noProof/>
          <w:sz w:val="24"/>
          <w:szCs w:val="24"/>
        </w:rPr>
        <w:t>.</w:t>
      </w:r>
      <w:r>
        <w:rPr>
          <w:rFonts w:ascii="Times New Roman" w:hAnsi="Times New Roman"/>
          <w:noProof/>
          <w:color w:val="000000" w:themeColor="text1"/>
          <w:sz w:val="24"/>
          <w:szCs w:val="24"/>
        </w:rPr>
        <w:t xml:space="preserve"> În acest context, principalul obiectiv al acestei componente a planului spaniol de redresare și reziliență este de a îmbunătăți sistemul spaniol de știință, tehnologie și inovare prin reformarea guvernanței sale, îmbunătățirea coordonării între actori, sporirea eficacității acestuia și accelerarea investițiilor în C &amp; D &amp; I prin următoarele elemente: </w:t>
      </w:r>
    </w:p>
    <w:p>
      <w:pPr>
        <w:numPr>
          <w:ilvl w:val="0"/>
          <w:numId w:val="19"/>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Dezvoltarea unui cadru de reglementare clar și previzibil care să consolideze guvernanța sectorului, să sporească eficacitatea C &amp; D &amp; I a politicilor publice, să îmbunătățească transferul de cunoștințe și să promoveze investițiile în C &amp; D &amp; I; </w:t>
      </w:r>
    </w:p>
    <w:p>
      <w:pPr>
        <w:numPr>
          <w:ilvl w:val="0"/>
          <w:numId w:val="19"/>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investițiile în infrastructură, echipamente și capital uman; </w:t>
      </w:r>
    </w:p>
    <w:p>
      <w:pPr>
        <w:numPr>
          <w:ilvl w:val="0"/>
          <w:numId w:val="19"/>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investițiile în transferul de cunoștințe, C &amp; D &amp; I la nivel regional, C &amp; D &amp; I la nivel național și parteneriatele public-privat; și </w:t>
      </w:r>
    </w:p>
    <w:p>
      <w:pPr>
        <w:numPr>
          <w:ilvl w:val="0"/>
          <w:numId w:val="19"/>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investițiile în C &amp; D &amp; I în sectoarele strategice ale sănătății, mediului, schimbărilor climatice și energiei, autovehiculelor durabile și aerospațiale.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Această componentă abordează recomandările specifice fiecărei țări privind promovarea investițiilor în inovare și în eficiența energetică și sporirea eficacității politicilor de sprijinire a cercetării și inovării (recomandarea specifică țării 3 din 2019), promovarea investițiilor publice și private și a cercetării și inovării (recomandarea specifică țării 3 din 2020) și îmbunătățirea coordonării la toate nivelurile de guvernare (recomandarea specifică țării 4 din 2020).</w:t>
      </w:r>
    </w:p>
    <w:p>
      <w:pPr>
        <w:spacing w:before="120" w:after="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szCs w:val="24"/>
        </w:rPr>
        <w:t xml:space="preserve">Se preconizează că nicio măsură din cadrul acestei componente nu aduce prejudicii semnificative obiectivelor de mediu în sensul articolului 17 din Regulamentul (UE) 2020/852, ținând seama de descrierea măsurilor și a măsurilor de atenuare stabilite în planul de redresare și reziliență în conformitate cu Orientările tehnice DNSH (2021/C58/01). </w:t>
      </w:r>
    </w:p>
    <w:p>
      <w:pPr>
        <w:spacing w:before="120" w:after="120" w:line="240" w:lineRule="auto"/>
        <w:ind w:left="709"/>
        <w:jc w:val="both"/>
        <w:rPr>
          <w:rFonts w:ascii="Times New Roman" w:hAnsi="Times New Roman" w:cs="Times New Roman"/>
          <w:b/>
          <w:bCs/>
          <w:i/>
          <w:iCs/>
          <w:noProof/>
          <w:color w:val="4F81BD" w:themeColor="accent1"/>
          <w:sz w:val="24"/>
        </w:rPr>
      </w:pPr>
      <w:r>
        <w:rPr>
          <w:rFonts w:ascii="Times New Roman" w:hAnsi="Times New Roman"/>
          <w:b/>
          <w:bCs/>
          <w:noProof/>
          <w:sz w:val="24"/>
          <w:u w:val="single"/>
        </w:rPr>
        <w:t xml:space="preserve">Q.1. </w:t>
      </w:r>
      <w:r>
        <w:rPr>
          <w:rFonts w:ascii="Times New Roman" w:hAnsi="Times New Roman"/>
          <w:b/>
          <w:noProof/>
          <w:sz w:val="24"/>
          <w:u w:val="single"/>
        </w:rPr>
        <w:tab/>
      </w:r>
      <w:r>
        <w:rPr>
          <w:rFonts w:ascii="Times New Roman" w:hAnsi="Times New Roman"/>
          <w:b/>
          <w:bCs/>
          <w:noProof/>
          <w:sz w:val="24"/>
          <w:u w:val="single"/>
        </w:rPr>
        <w:t>Descrierea reformelor și a investițiilor pentru care se prevede acordarea sprijinului financiar nerambursabil</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 xml:space="preserve">Reforma 1 (C17.R1): </w:t>
      </w:r>
      <w:r>
        <w:rPr>
          <w:rFonts w:ascii="Times New Roman" w:hAnsi="Times New Roman"/>
          <w:noProof/>
          <w:sz w:val="24"/>
          <w:u w:val="single"/>
        </w:rPr>
        <w:t>Reforma legii privind știința, tehnologia și inovarea</w:t>
      </w:r>
      <w:r>
        <w:rPr>
          <w:rFonts w:ascii="Times New Roman" w:hAnsi="Times New Roman"/>
          <w:noProof/>
          <w:color w:val="000000" w:themeColor="text1"/>
          <w:sz w:val="24"/>
          <w:u w:val="single"/>
        </w:rPr>
        <w:t xml:space="preserve">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Obiectivul acestei măsuri este de a consolida cadrul de reglementare pentru sectorul științei, tehnologiei și inovării, cu scopul de a consolida guvernanța și coordonarea sectorului, de a crea o carieră științifică atractivă și de a îmbunătăți transferul de cunoștințe de la cercetare la produse/servicii aplicate pentru societate. </w:t>
      </w:r>
      <w:r>
        <w:rPr>
          <w:rFonts w:ascii="Times New Roman" w:hAnsi="Times New Roman"/>
          <w:noProof/>
          <w:sz w:val="24"/>
        </w:rPr>
        <w:t>În special, Spania actualizează Legea 14/2011 privind știința, tehnologia și inovarea, îmbunătățind coordonarea politicilor în domeniul științei, cercetării și inovării, consolidând guvernanța și coordonarea sistemului spaniol de tehnologie științifică și inovare, introducând o nouă carieră științifică și intensificând transferul de cunoștințe.</w:t>
      </w:r>
      <w:r>
        <w:rPr>
          <w:rFonts w:ascii="Times New Roman" w:hAnsi="Times New Roman"/>
          <w:noProof/>
          <w:color w:val="000000"/>
          <w:sz w:val="24"/>
        </w:rPr>
        <w:t xml:space="preserve">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Această măsură este legată de investițiile incluse la C17.I1, C17.I4 și C17.I5 descrise mai jos.</w:t>
      </w:r>
    </w:p>
    <w:p>
      <w:pPr>
        <w:autoSpaceDE w:val="0"/>
        <w:autoSpaceDN w:val="0"/>
        <w:spacing w:before="40" w:after="40"/>
        <w:rPr>
          <w:rFonts w:ascii="Times New Roman" w:hAnsi="Times New Roman" w:cs="Times New Roman"/>
          <w:noProof/>
          <w:sz w:val="24"/>
          <w:szCs w:val="24"/>
        </w:rPr>
      </w:pPr>
      <w:r>
        <w:rPr>
          <w:rFonts w:ascii="Times New Roman" w:hAnsi="Times New Roman"/>
          <w:noProof/>
          <w:sz w:val="24"/>
          <w:szCs w:val="24"/>
        </w:rPr>
        <w:t>Punerea în aplicare a măsurii se finalizează până la 30 iunie 2022.</w:t>
      </w:r>
      <w:r>
        <w:rPr>
          <w:rFonts w:ascii="Times New Roman" w:hAnsi="Times New Roman"/>
          <w:noProof/>
          <w:color w:val="000000"/>
          <w:sz w:val="24"/>
          <w:szCs w:val="24"/>
        </w:rPr>
        <w:t xml:space="preserve"> </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 xml:space="preserve">Reforma 2 (C17.R2): </w:t>
      </w:r>
      <w:bookmarkStart w:id="2" w:name="_Hlk60056026"/>
      <w:bookmarkEnd w:id="2"/>
      <w:r>
        <w:rPr>
          <w:rFonts w:ascii="Times New Roman" w:hAnsi="Times New Roman"/>
          <w:noProof/>
          <w:sz w:val="24"/>
          <w:u w:val="single"/>
        </w:rPr>
        <w:t>Strategia spaniolă pentru știință, tehnologie și inovare 2021-2027 și dezvoltarea avansată a sistemului de informații privind știința, tehnologia și inovarea</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Măsura include adoptarea de către guvernul spaniol a Strategiei spaniole pentru știință, tehnologie și inovare 2021-2027. Strategia stabilește obiectivele generale pentru acest sector în perioada 2021-2027. Cu obiectivul de a consolida transferul de cunoștințe, strategia a fuzionat anterior strategii separate privind știința și tehnologia și strategia privind inovarea. Strategia oferă un cadru general pentru orientarea atât a planurilor naționale, cât și a celor regionale privind C &amp; D &amp; I. În acest scop, Spania a adoptat o strategie privind „Strategia de specializare inteligentă a Spaniei”, în cadrul Fondului european de dezvoltare regională (FEDR), care oferă structura viitoarelor strategii regionale de specializare inteligentă.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sz w:val="24"/>
        </w:rPr>
        <w:t xml:space="preserve">Consiliul pentru politica în domeniul științei, tehnologiei și inovării, prezidat de Ministerul Științei și Inovării, cu reprezentarea ministerelor și a regiunilor-cheie, a elaborat strategia. Strategia a fost consultată cu principalele părți interesate, inclusiv cu sectorul privat, cu organizațiile publice de cercetare și cu societatea civilă. </w:t>
      </w:r>
      <w:r>
        <w:rPr>
          <w:rFonts w:ascii="Times New Roman" w:hAnsi="Times New Roman"/>
          <w:noProof/>
          <w:color w:val="000000" w:themeColor="text1"/>
          <w:sz w:val="24"/>
        </w:rPr>
        <w:t xml:space="preserve">Pentru a monitoriza și evalua strategia, a fost înființat un comitet format din reprezentanți ai statului, regiunilor, agenților economici și sociali, comunității științifice și inovatoare și societății civile.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sz w:val="24"/>
        </w:rPr>
        <w:t xml:space="preserve">Strategia prevede rapoarte anuale de monitorizare, o evaluare intermediară (până în decembrie 2023) și o evaluare finală a strategiei. Evaluările vor aborda, de asemenea, progresele înregistrate în direcția îndeplinirii recomandărilor specifice fiecărei țări adresate Spaniei în domeniul cercetării și dezvoltării. </w:t>
      </w:r>
      <w:r>
        <w:rPr>
          <w:rFonts w:ascii="Times New Roman" w:hAnsi="Times New Roman"/>
          <w:noProof/>
          <w:color w:val="000000" w:themeColor="text1"/>
          <w:sz w:val="24"/>
        </w:rPr>
        <w:t>În plus, această măsură urmărește în mod specific să consolideze sistemul de informații privind știința, tehnologia și inovarea, să îmbunătățească colectarea și analiza datelor pentru monitorizarea strategiei spaniole pentru știință, tehnologie și inovare.</w:t>
      </w:r>
    </w:p>
    <w:p>
      <w:pPr>
        <w:autoSpaceDE w:val="0"/>
        <w:autoSpaceDN w:val="0"/>
        <w:spacing w:before="40" w:after="40"/>
        <w:rPr>
          <w:rFonts w:ascii="Times New Roman" w:hAnsi="Times New Roman" w:cs="Times New Roman"/>
          <w:noProof/>
          <w:sz w:val="24"/>
          <w:szCs w:val="24"/>
        </w:rPr>
      </w:pPr>
      <w:r>
        <w:rPr>
          <w:rFonts w:ascii="Times New Roman" w:hAnsi="Times New Roman"/>
          <w:noProof/>
          <w:sz w:val="24"/>
          <w:szCs w:val="24"/>
        </w:rPr>
        <w:t>Punerea în aplicare a măsurii se finalizează până la 31 decembrie 2023.</w:t>
      </w:r>
      <w:r>
        <w:rPr>
          <w:rFonts w:ascii="Times New Roman" w:hAnsi="Times New Roman"/>
          <w:noProof/>
          <w:color w:val="000000"/>
          <w:sz w:val="24"/>
          <w:szCs w:val="24"/>
        </w:rPr>
        <w:t xml:space="preserve"> </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Reforma 3 (C17.R3): Reorganizarea organizațiilor publice de cercetare și raționalizarea structurii și funcționării acestora</w:t>
      </w:r>
      <w:bookmarkStart w:id="3" w:name="_Hlk60056040"/>
      <w:bookmarkEnd w:id="3"/>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Obiectivul acestei măsuri este de a spori eficacitatea organizațiilor publice de cercetare (PRO), după o analiză a provocărilor, prin reorganizarea organizațiilor de cercetare, inclusiv a structurii lor de guvernanță. La începutul anului 2021, un comitet de experți a efectuat o analiză a organizațiilor de cercetare publice și a concluzionat că agențiile de cercetare mai mari, independente și flexibile dispun de structuri mai bune pentru a concura.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În urma acestei analize, Spania va integra în Consiliul Național de Cercetare din Spania (</w:t>
      </w:r>
      <w:r>
        <w:rPr>
          <w:rFonts w:ascii="Times New Roman" w:hAnsi="Times New Roman"/>
          <w:i/>
          <w:noProof/>
          <w:color w:val="000000" w:themeColor="text1"/>
          <w:sz w:val="24"/>
        </w:rPr>
        <w:t>Centro Superior de Investigaciones Científicas</w:t>
      </w:r>
      <w:r>
        <w:rPr>
          <w:rFonts w:ascii="Times New Roman" w:hAnsi="Times New Roman"/>
          <w:noProof/>
          <w:color w:val="000000" w:themeColor="text1"/>
          <w:sz w:val="24"/>
        </w:rPr>
        <w:t xml:space="preserve">, CSIC) trei PROS: </w:t>
      </w:r>
      <w:r>
        <w:rPr>
          <w:rFonts w:ascii="Times New Roman" w:hAnsi="Times New Roman"/>
          <w:noProof/>
        </w:rPr>
        <w:t>Institutul Național de Cercetare Agricolă și Alimentară (</w:t>
      </w:r>
      <w:r>
        <w:rPr>
          <w:rFonts w:ascii="Times New Roman" w:hAnsi="Times New Roman"/>
          <w:i/>
          <w:noProof/>
        </w:rPr>
        <w:t>Instituto Nacional de Investigación y Tecnología Agraria, INIA</w:t>
      </w:r>
      <w:r>
        <w:rPr>
          <w:rFonts w:ascii="Times New Roman" w:hAnsi="Times New Roman"/>
          <w:noProof/>
        </w:rPr>
        <w:t>), Institutul spaniol de oceanografie (</w:t>
      </w:r>
      <w:r>
        <w:rPr>
          <w:rFonts w:ascii="Times New Roman" w:hAnsi="Times New Roman"/>
          <w:i/>
          <w:noProof/>
        </w:rPr>
        <w:t>Instituto Español de Oceanografía, IEO</w:t>
      </w:r>
      <w:r>
        <w:rPr>
          <w:rFonts w:ascii="Times New Roman" w:hAnsi="Times New Roman"/>
          <w:noProof/>
        </w:rPr>
        <w:t>) și Institutul Geologic și Mineral din Spania (</w:t>
      </w:r>
      <w:r>
        <w:rPr>
          <w:rFonts w:ascii="Times New Roman" w:hAnsi="Times New Roman"/>
          <w:i/>
          <w:noProof/>
        </w:rPr>
        <w:t>Instituto Geológico Minero de España, IGME</w:t>
      </w:r>
      <w:r>
        <w:rPr>
          <w:rFonts w:ascii="Times New Roman" w:hAnsi="Times New Roman"/>
          <w:noProof/>
        </w:rPr>
        <w:t>).</w:t>
      </w:r>
      <w:r>
        <w:rPr>
          <w:rFonts w:ascii="Times New Roman" w:hAnsi="Times New Roman"/>
          <w:noProof/>
          <w:color w:val="000000" w:themeColor="text1"/>
          <w:sz w:val="24"/>
        </w:rPr>
        <w:t xml:space="preserve"> Această reorganizare consolidează capacitatea de expertiză a Spaniei în ceea ce privește politica în domeniul pescuitului, tranziția agroalimentară și tranziția ecologică. Cele trei organizații de producători au un regim juridic de agenție de stat, care oferă o mai mare flexibilitate și un cadru bazat pe performanță, stabilit într-un contract de gestionare pe mai mulți ani. În plus, Spania introduce întocmirea bugetului în funcție de performanțe. Reforma consolidează guvernanța, evaluarea performanței și controlul entităților rezultate. </w:t>
      </w:r>
    </w:p>
    <w:p>
      <w:pPr>
        <w:pStyle w:val="Text1"/>
        <w:ind w:left="0"/>
        <w:rPr>
          <w:noProof/>
          <w:color w:val="000000" w:themeColor="text1"/>
        </w:rPr>
      </w:pPr>
      <w:r>
        <w:rPr>
          <w:noProof/>
          <w:color w:val="000000" w:themeColor="text1"/>
        </w:rPr>
        <w:t xml:space="preserve">Punerea în aplicare a măsurii se finalizează până la 31 decembrie 2022. </w:t>
      </w:r>
    </w:p>
    <w:p>
      <w:pPr>
        <w:keepNext/>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Investiția 1 (C17.I1): Planuri suplimentare de cercetare și dezvoltare cu comunitățile autonome</w:t>
      </w:r>
    </w:p>
    <w:p>
      <w:pPr>
        <w:keepNext/>
        <w:spacing w:before="120" w:after="120" w:line="240" w:lineRule="auto"/>
        <w:jc w:val="both"/>
        <w:rPr>
          <w:rFonts w:ascii="Times New Roman" w:hAnsi="Times New Roman" w:cs="Times New Roman"/>
          <w:noProof/>
          <w:sz w:val="24"/>
        </w:rPr>
      </w:pPr>
      <w:r>
        <w:rPr>
          <w:rFonts w:ascii="Times New Roman" w:hAnsi="Times New Roman"/>
          <w:noProof/>
          <w:sz w:val="24"/>
        </w:rPr>
        <w:t xml:space="preserve">Obiectivul acestei măsuri este de a promova coordonarea la nivel de stat cu regiunile din domeniul C &amp; D &amp; I prin stabilirea unor planuri suplimentare de C &amp; D &amp; I care urmează să fie cofinanțate de Mecanismul de redresare și reziliență și de regiuni. Acest nou instrument va continua, de asemenea, colaborarea între regiuni, deoarece acestea stabilesc priorități comune în cadrul strategiilor lor regionale de specializare inteligentă (RIS3). </w:t>
      </w:r>
    </w:p>
    <w:p>
      <w:pPr>
        <w:spacing w:before="120" w:after="120" w:line="240" w:lineRule="auto"/>
        <w:jc w:val="both"/>
        <w:rPr>
          <w:rFonts w:ascii="Times New Roman" w:hAnsi="Times New Roman" w:cs="Times New Roman"/>
          <w:noProof/>
          <w:sz w:val="24"/>
        </w:rPr>
      </w:pPr>
      <w:r>
        <w:rPr>
          <w:rFonts w:ascii="Times New Roman" w:hAnsi="Times New Roman"/>
          <w:noProof/>
          <w:sz w:val="24"/>
        </w:rPr>
        <w:t>În conformitate cu Strategia spaniolă pentru știință, tehnologie și inovare 2021-2027, planurile suplimentare trebuie să îmbunătățească generarea de cunoștințe și inovarea tehnologică, coordonarea diferitelor niveluri de guvernare și să stimuleze transformarea economică teritorială în următoarele domenii strategice: comunicarea cuantică, energia și hidrogenul ecologic, sectorul agroalimentar, biodiversitatea, astrofizica și fizica de înaltă energie, științele marine, știința materialelor și biotehnologia aplicate sănătății. Pentru a crea sinergii teritoriale, planurile suplimentare au în vedere participarea mai multor regiuni la un program, cu posibilitatea de a participa la mai multe programe. Astfel, este posibil să se includă și să se mobilizeze capacități regionale specifice în mai multe planuri. Planurile au o durată de doi sau trei ani și necesită angajamente de cofinanțare din partea regiunilor.</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sz w:val="24"/>
        </w:rPr>
        <w:t xml:space="preserve">Acțiunile din cadrul acestei investiții includ semnarea a opt acorduri financiare între Ministerul Științei și Inovării și regiuni. </w:t>
      </w:r>
    </w:p>
    <w:p>
      <w:pPr>
        <w:pStyle w:val="Text1"/>
        <w:ind w:left="0"/>
        <w:rPr>
          <w:noProof/>
          <w:szCs w:val="24"/>
        </w:rPr>
      </w:pPr>
      <w:r>
        <w:rPr>
          <w:noProof/>
        </w:rPr>
        <w:t>Punerea în aplicare a investiției se finalizează până la 31 decembrie 2025.</w:t>
      </w:r>
      <w:r>
        <w:rPr>
          <w:noProof/>
          <w:color w:val="000000"/>
          <w:szCs w:val="24"/>
        </w:rPr>
        <w:t xml:space="preserve"> </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 xml:space="preserve">Investiția 2 (C17.I2): </w:t>
      </w:r>
      <w:r>
        <w:rPr>
          <w:rFonts w:ascii="Times New Roman" w:hAnsi="Times New Roman"/>
          <w:noProof/>
          <w:sz w:val="24"/>
          <w:u w:val="single"/>
        </w:rPr>
        <w:t>Consolidarea capacității, a infrastructurii și a echipamentelor sistemului de stat pentru știință, tehnologie și inovare</w:t>
      </w:r>
      <w:r>
        <w:rPr>
          <w:rFonts w:ascii="Times New Roman" w:hAnsi="Times New Roman"/>
          <w:noProof/>
          <w:color w:val="000000" w:themeColor="text1"/>
          <w:sz w:val="24"/>
          <w:u w:val="single"/>
        </w:rPr>
        <w:t xml:space="preserve">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Această investiție se axează pe furnizarea, îmbunătățirea și actualizarea echipamentelor și infrastructurii științifice tehnice ale sistemului de C &amp; D &amp; I, pentru a facilita excelența cercetării și a îmbunătăți competitivitatea sistemului.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Aceste investiții sprijină infrastructura și echipamentele din sectorul științei, tehnologiei și inovării prin cereri de propuneri. Investiția finanțează, de asemenea, refacerea, actualizarea sau noua infrastructură națională strategică, cum ar fi: </w:t>
      </w:r>
      <w:r>
        <w:rPr>
          <w:rFonts w:ascii="Times New Roman" w:hAnsi="Times New Roman"/>
          <w:noProof/>
          <w:sz w:val="24"/>
        </w:rPr>
        <w:t xml:space="preserve">o infrastructură de nivel 3 pentru biosiguranță pentru a face față noilor provocări reprezentate de agenții patogeni transmisibili, construirea unei noi plante fitogenetice, crearea unui nou centru pentru tehnica avansată și modernizarea infrastructurii </w:t>
      </w:r>
      <w:r>
        <w:rPr>
          <w:rFonts w:ascii="Times New Roman" w:hAnsi="Times New Roman"/>
          <w:i/>
          <w:noProof/>
          <w:sz w:val="24"/>
        </w:rPr>
        <w:t>Centro de Investigaciones Energéticas, Medioambientales y Tecnológicas</w:t>
      </w:r>
      <w:r>
        <w:rPr>
          <w:rFonts w:ascii="Times New Roman" w:hAnsi="Times New Roman"/>
          <w:noProof/>
          <w:sz w:val="24"/>
        </w:rPr>
        <w:t xml:space="preserve"> (CIEMAT), cu infrastructura necesară pentru a efectua cercetări în domeniul energiei din surse regenerabile.</w:t>
      </w:r>
      <w:r>
        <w:rPr>
          <w:rFonts w:ascii="Times New Roman" w:hAnsi="Times New Roman"/>
          <w:noProof/>
          <w:color w:val="000000" w:themeColor="text1"/>
          <w:sz w:val="24"/>
        </w:rPr>
        <w:t xml:space="preserve"> </w:t>
      </w:r>
      <w:r>
        <w:rPr>
          <w:rFonts w:ascii="Times New Roman" w:hAnsi="Times New Roman"/>
          <w:noProof/>
          <w:sz w:val="24"/>
        </w:rPr>
        <w:t>Printre acțiunile specifice din cadrul acestei investiții care urmează să fie sprijinite se numără infrastructurile științifice de mari dimensiuni cu sediul în Spania, în special cele incluse în „Harta de infrastructuri științifice și tehnice unice” (</w:t>
      </w:r>
      <w:r>
        <w:rPr>
          <w:rFonts w:ascii="Times New Roman" w:hAnsi="Times New Roman"/>
          <w:i/>
          <w:noProof/>
          <w:sz w:val="24"/>
        </w:rPr>
        <w:t>Mapa de Infraestructuras Científicas y Técnicas Singulares</w:t>
      </w:r>
      <w:r>
        <w:rPr>
          <w:rFonts w:ascii="Times New Roman" w:hAnsi="Times New Roman"/>
          <w:noProof/>
          <w:sz w:val="24"/>
        </w:rPr>
        <w:t>).</w:t>
      </w:r>
      <w:r>
        <w:rPr>
          <w:rFonts w:ascii="Times New Roman" w:hAnsi="Times New Roman"/>
          <w:noProof/>
          <w:color w:val="000000" w:themeColor="text1"/>
          <w:sz w:val="24"/>
        </w:rPr>
        <w:t xml:space="preserve"> În plus, investițiile sprijină, printre altele, infrastructurile europene și internaționale, cum ar fi CERN și Deep Underground Neutrino Experiment.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În plus, investiția include o serie de cereri de granturi pentru a consolida capacitatea de internaționalizare a sistemului spaniol de C &amp; D &amp; I, inclusiv: cerere de gestionare a proiectului european, cerere de propuneri pentru cercetare în Europa 2020, cerere de excelență europeană 2020, 2022 și 2023. Investiția prevede, de asemenea, digitalizarea gestionării C &amp; D.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Sprijinul acordat în cadrul acestei investiții ia forma ajutoarelor pentru investiții și a investițiilor publice directe. Acțiunile din cadrul acestei investiții se desfășoară prin cereri de propuneri și investiții publice directe. </w:t>
      </w:r>
    </w:p>
    <w:p>
      <w:pPr>
        <w:pStyle w:val="Text1"/>
        <w:ind w:left="0"/>
        <w:rPr>
          <w:noProof/>
          <w:sz w:val="22"/>
        </w:rPr>
      </w:pPr>
      <w:r>
        <w:rPr>
          <w:noProof/>
        </w:rPr>
        <w:t>Punerea în aplicare a investiției se finalizează până la 30 iunie 2026.</w:t>
      </w:r>
      <w:r>
        <w:rPr>
          <w:noProof/>
          <w:color w:val="000000"/>
          <w:sz w:val="20"/>
          <w:szCs w:val="20"/>
        </w:rPr>
        <w:t xml:space="preserve"> </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 xml:space="preserve">Investiția 3 (C17.I3): </w:t>
      </w:r>
      <w:r>
        <w:rPr>
          <w:rFonts w:ascii="Times New Roman" w:hAnsi="Times New Roman"/>
          <w:noProof/>
          <w:sz w:val="24"/>
          <w:u w:val="single"/>
        </w:rPr>
        <w:t>Noi proiecte private, interdisciplinare, publice de C &amp; D &amp; I, teste conceptuale și acordarea ajutorului ca urmare a procedurilor de atribuire competitivă internaționale. C &amp; D de vârf, orientată către provocările societale. Achiziții publice anterioare comercializării</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Obiectivul acțiunilor din cadrul acestei investiții este de a consolida generarea de cunoștințe, transferul de cunoștințe și parteneriatele public-privat în domeniul C &amp; D &amp; I. Prin acțiunile din cadrul acestei investiții, se intensifică activitatea de cercetare și inovare în sectorul privat și se consolidează colaborarea dintre organizațiile publice de cercetare și sectorul privat. Măsura urmărește, de asemenea, să intensifice C &amp; D &amp; I activitatea în domenii strategice, cum ar fi tranziția verde și tranziția digitală, precum și să sporească internaționalizarea grupurilor de cercetare spaniole. </w:t>
      </w:r>
    </w:p>
    <w:p>
      <w:pPr>
        <w:spacing w:before="120" w:after="120" w:line="240" w:lineRule="auto"/>
        <w:jc w:val="both"/>
        <w:rPr>
          <w:rFonts w:ascii="Times New Roman" w:hAnsi="Times New Roman" w:cs="Times New Roman"/>
          <w:noProof/>
          <w:sz w:val="24"/>
        </w:rPr>
      </w:pPr>
      <w:r>
        <w:rPr>
          <w:rFonts w:ascii="Times New Roman" w:hAnsi="Times New Roman"/>
          <w:noProof/>
          <w:sz w:val="24"/>
        </w:rPr>
        <w:t>În cadrul acestei investiții sunt prevăzute șapte cereri de propuneri: 1) o cerere de propuneri pentru validarea conceptului va finanța proiecte aflate în stadiile incipiente ale dezvoltării preconcurențiale pentru a accelera transformarea cunoștințelor științifice în produse sau servicii, 2) o cerere de proiecte interdisciplinare va finanța proiecte ale consorțiilor public-privat care consolidează C &amp; D &amp; I din Spania, competitivitatea spaniolă, 3) o cerere de propuneri de proiecte de cercetare &amp; D &amp; I legate de tranziția verde și digitală legată de tranziția verde și digitală 4) o cerere de propuneri de proiecte de colaborare public-privat pentru a finanța proiecte cu un nivel tehnologic mai ridicat, orientate către realizarea de proiecte de cercetare C &amp; D I, 5) o cerere de propuneri pentru proiecte de colaborare internațională pentru finanțarea de proiecte ale cercetătorilor publici spanioli care sunt parte a proiectelor selectate pentru finanțare prin programul Orizont 2020 și parteneriatele Orizont Europa, 6) o cerere de propuneri cercetare și inovare care să vizeze provocările societale, inclusiv, de exemplu, energie sigură, eficientă și curată sau securitatea cibernetică și 7) o cerere de propuneri pentru finanțarea achizițiilor publice precomerciale numită Alianța pentru inovare.</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Investițiile din cadrul acestei măsuri ar urma să aibă loc în perioada 2020-2026, cererile de propuneri și achizițiile publice înainte de comercializare urmând să fie concentrate în perioada 2020-2023, iar punerea în aplicare a unora dintre investițiile mai complexe se întinde până în 2026. </w:t>
      </w:r>
      <w:r>
        <w:rPr>
          <w:rFonts w:ascii="Times New Roman" w:hAnsi="Times New Roman"/>
          <w:noProof/>
          <w:sz w:val="24"/>
        </w:rPr>
        <w:t>Cel puțin 3 000 de proiecte de cercetare și dezvoltare ar putea fi finanțate în cadrul acestei investiții până în prima jumătate a anului 2024.</w:t>
      </w:r>
      <w:r>
        <w:rPr>
          <w:rFonts w:ascii="Times New Roman" w:hAnsi="Times New Roman"/>
          <w:noProof/>
          <w:color w:val="000000" w:themeColor="text1"/>
          <w:sz w:val="24"/>
        </w:rPr>
        <w:t xml:space="preserve">  </w:t>
      </w:r>
    </w:p>
    <w:p>
      <w:pPr>
        <w:pStyle w:val="Text1"/>
        <w:ind w:left="0"/>
        <w:rPr>
          <w:iCs/>
          <w:noProof/>
          <w:highlight w:val="green"/>
        </w:rPr>
      </w:pPr>
      <w:r>
        <w:rPr>
          <w:noProof/>
        </w:rPr>
        <w:t>Pentru a se asigura că măsura respectă Orientările tehnice „Fără prejudicii semnificative” (2021/C58/01), criteriile de eligibilitate cuprinse în termeni de referință pentru viitoarele cereri de propuneri de proiecte exclud următoarea listă de activități:</w:t>
      </w:r>
      <w:r>
        <w:rPr>
          <w:noProof/>
          <w:color w:val="FF0000"/>
        </w:rPr>
        <w:t xml:space="preserve"> </w:t>
      </w:r>
      <w:r>
        <w:rPr>
          <w:noProof/>
        </w:rPr>
        <w:t>(i) activități legate de combustibilii fosili, inclusiv utilizarea în aval</w:t>
      </w:r>
      <w:r>
        <w:rPr>
          <w:rStyle w:val="FootnoteReference"/>
          <w:noProof/>
          <w:lang w:val="en-IE"/>
        </w:rPr>
        <w:footnoteReference w:id="69"/>
      </w:r>
      <w:r>
        <w:rPr>
          <w:noProof/>
        </w:rPr>
        <w:t>; (ii) activitățile din cadrul schemei UE de comercializare a certificatelor de emisii (ETS) care ating previziuni privind emisiile de gaze cu efect de seră care nu sunt mai mici decât valorile de referință relevante</w:t>
      </w:r>
      <w:r>
        <w:rPr>
          <w:rStyle w:val="FootnoteReference"/>
          <w:noProof/>
          <w:lang w:val="en-IE"/>
        </w:rPr>
        <w:footnoteReference w:id="70"/>
      </w:r>
      <w:r>
        <w:rPr>
          <w:noProof/>
        </w:rPr>
        <w:t>; (iii) activități legate de depozitele de deșeuri, incineratoare</w:t>
      </w:r>
      <w:r>
        <w:rPr>
          <w:rStyle w:val="FootnoteReference"/>
          <w:noProof/>
          <w:lang w:val="en-IE"/>
        </w:rPr>
        <w:footnoteReference w:id="71"/>
      </w:r>
      <w:r>
        <w:rPr>
          <w:noProof/>
        </w:rPr>
        <w:t xml:space="preserve"> și instalații de tratare mecano-biologică</w:t>
      </w:r>
      <w:r>
        <w:rPr>
          <w:rStyle w:val="FootnoteReference"/>
          <w:noProof/>
          <w:lang w:val="en-IE"/>
        </w:rPr>
        <w:footnoteReference w:id="72"/>
      </w:r>
      <w:r>
        <w:rPr>
          <w:noProof/>
        </w:rPr>
        <w:t>; și (iv) activități în cadrul cărora eliminarea pe termen lung a deșeurilor poate dăuna mediului. În plus, mandatul impune ca numai activitățile care respectă legislația UE și națională relevantă în materie de mediu să poată fi selectate.</w:t>
      </w:r>
    </w:p>
    <w:p>
      <w:pPr>
        <w:spacing w:before="120" w:after="120" w:line="240" w:lineRule="auto"/>
        <w:jc w:val="both"/>
        <w:rPr>
          <w:rFonts w:ascii="Times New Roman" w:hAnsi="Times New Roman" w:cs="Times New Roman"/>
          <w:noProof/>
          <w:sz w:val="24"/>
        </w:rPr>
      </w:pPr>
      <w:r>
        <w:rPr>
          <w:rFonts w:ascii="Times New Roman" w:hAnsi="Times New Roman"/>
          <w:noProof/>
          <w:sz w:val="24"/>
        </w:rPr>
        <w:t>Următoarele acțiuni C &amp; D &amp; I din cadrul acestei investiții sunt considerate conforme cu Orientările tehnice privind principiul de „a nu prejudicia în mod semnificativ” (2021/C58/01): (i) acțiunile C &amp; D &amp; I din cadrul acestei investiții care au ca rezultat rezultate neutre din punct de vedere tehnologic la nivelul aplicării lor; (ii) acele acțiuni C &amp; D &amp; I din cadrul acestei investiții care sprijină alternative cu impact redus asupra mediului pentru care există; sau (iii) acele acțiuni C &amp; D &amp; I din cadrul acestei investiții care se axează în principal pe dezvoltarea de alternative cu cel mai redus impact posibil asupra mediului în sector pentru acele activități pentru care nu există alternative cu impact scăzut fezabile din punct de vedere tehnologic și economic.</w:t>
      </w:r>
    </w:p>
    <w:p>
      <w:pPr>
        <w:autoSpaceDE w:val="0"/>
        <w:autoSpaceDN w:val="0"/>
        <w:spacing w:before="40" w:after="40"/>
        <w:rPr>
          <w:rFonts w:ascii="Times New Roman" w:hAnsi="Times New Roman" w:cs="Times New Roman"/>
          <w:noProof/>
          <w:sz w:val="24"/>
          <w:szCs w:val="24"/>
        </w:rPr>
      </w:pPr>
      <w:r>
        <w:rPr>
          <w:rFonts w:ascii="Times New Roman" w:hAnsi="Times New Roman"/>
          <w:noProof/>
          <w:sz w:val="24"/>
          <w:szCs w:val="24"/>
        </w:rPr>
        <w:t>Punerea în aplicare a investiției se finalizează până la 30 iunie 2026.</w:t>
      </w:r>
      <w:r>
        <w:rPr>
          <w:rFonts w:ascii="Times New Roman" w:hAnsi="Times New Roman"/>
          <w:noProof/>
          <w:color w:val="000000"/>
          <w:sz w:val="24"/>
          <w:szCs w:val="24"/>
        </w:rPr>
        <w:t xml:space="preserve"> </w:t>
      </w:r>
    </w:p>
    <w:p>
      <w:pPr>
        <w:keepNext/>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Investiția 4 (C17.I4): O nouă carieră științifică</w:t>
      </w:r>
    </w:p>
    <w:p>
      <w:pPr>
        <w:keepNext/>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Obiectivul acestei investiții este de a promova o carieră științifică stabilă. Este legat de C17.R1. Legea științei actualizată include o nouă carieră științifică în Spania, care oferă un cadru pentru întregul personal de cercetare, inclusiv pentru personalul universitar. Sistemul asigură transparență în ceea ce privește numirea personalului, flexibilitate, mobilitate și stabilitate în cariera de cercetare.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Sprijinul ia forma unui grant, care urmează să fie acordat prin intermediul unor cereri competitive în cadrul următoarelor programe: 1) bursă </w:t>
      </w:r>
      <w:r>
        <w:rPr>
          <w:rFonts w:ascii="Times New Roman" w:hAnsi="Times New Roman"/>
          <w:i/>
          <w:iCs/>
          <w:noProof/>
          <w:color w:val="000000" w:themeColor="text1"/>
          <w:sz w:val="24"/>
        </w:rPr>
        <w:t>Doctores Industriales</w:t>
      </w:r>
      <w:r>
        <w:rPr>
          <w:rFonts w:ascii="Times New Roman" w:hAnsi="Times New Roman"/>
          <w:noProof/>
          <w:color w:val="000000" w:themeColor="text1"/>
          <w:sz w:val="24"/>
        </w:rPr>
        <w:t xml:space="preserve">, un program de patru ani pentru doctoranzi în întreprindere (50 de locuri), 2) bursa </w:t>
      </w:r>
      <w:r>
        <w:rPr>
          <w:rFonts w:ascii="Times New Roman" w:hAnsi="Times New Roman"/>
          <w:i/>
          <w:iCs/>
          <w:noProof/>
          <w:color w:val="000000" w:themeColor="text1"/>
          <w:sz w:val="24"/>
        </w:rPr>
        <w:t>Torres Queved</w:t>
      </w:r>
      <w:r>
        <w:rPr>
          <w:rFonts w:ascii="Times New Roman" w:hAnsi="Times New Roman"/>
          <w:noProof/>
          <w:color w:val="000000" w:themeColor="text1"/>
          <w:sz w:val="24"/>
        </w:rPr>
        <w:t xml:space="preserve">o, un program de trei ani pentru doctoranzi în întreprindere (170 locuri), 3) bursa de formare </w:t>
      </w:r>
      <w:r>
        <w:rPr>
          <w:rFonts w:ascii="Times New Roman" w:hAnsi="Times New Roman"/>
          <w:i/>
          <w:iCs/>
          <w:noProof/>
          <w:color w:val="000000" w:themeColor="text1"/>
          <w:sz w:val="24"/>
        </w:rPr>
        <w:t>Juan de la Cierva</w:t>
      </w:r>
      <w:r>
        <w:rPr>
          <w:rFonts w:ascii="Times New Roman" w:hAnsi="Times New Roman"/>
          <w:noProof/>
          <w:color w:val="000000" w:themeColor="text1"/>
          <w:sz w:val="24"/>
        </w:rPr>
        <w:t xml:space="preserve">, un program de doi ani pentru doctorat în instituții academice, acesta include o bursă de mobilitate (1,200 locuri) și 4) grant </w:t>
      </w:r>
      <w:r>
        <w:rPr>
          <w:rFonts w:ascii="Times New Roman" w:hAnsi="Times New Roman"/>
          <w:i/>
          <w:iCs/>
          <w:noProof/>
          <w:color w:val="000000" w:themeColor="text1"/>
          <w:sz w:val="24"/>
        </w:rPr>
        <w:t>Juan de la Cierva Incorporation</w:t>
      </w:r>
      <w:r>
        <w:rPr>
          <w:rFonts w:ascii="Times New Roman" w:hAnsi="Times New Roman"/>
          <w:noProof/>
          <w:color w:val="000000" w:themeColor="text1"/>
          <w:sz w:val="24"/>
        </w:rPr>
        <w:t>, un program de trei ani pentru doctorat în instituții academice, acesta include 650 locuri. Această măsură include, de asemenea, un pachet pentru demararea activității de cercetare pentru 750 de cercetători cu contracte stabile în instituții academice sau organizații publice de cercetare.</w:t>
      </w:r>
    </w:p>
    <w:p>
      <w:pPr>
        <w:pStyle w:val="Text1"/>
        <w:ind w:left="0"/>
        <w:rPr>
          <w:noProof/>
          <w:color w:val="000000" w:themeColor="text1"/>
        </w:rPr>
      </w:pPr>
      <w:r>
        <w:rPr>
          <w:noProof/>
          <w:color w:val="000000" w:themeColor="text1"/>
        </w:rPr>
        <w:t xml:space="preserve">Acțiunile din cadrul acestei investiții se desfășoară prin cereri competitive de propuneri de granturi. </w:t>
      </w:r>
    </w:p>
    <w:p>
      <w:pPr>
        <w:pStyle w:val="Text1"/>
        <w:ind w:left="0"/>
        <w:rPr>
          <w:noProof/>
          <w:sz w:val="22"/>
        </w:rPr>
      </w:pPr>
      <w:r>
        <w:rPr>
          <w:noProof/>
        </w:rPr>
        <w:t>Punerea în aplicare a investiției se finalizează până la 30 iunie 2026.</w:t>
      </w:r>
      <w:r>
        <w:rPr>
          <w:noProof/>
          <w:color w:val="000000"/>
          <w:sz w:val="20"/>
          <w:szCs w:val="20"/>
        </w:rPr>
        <w:t xml:space="preserve"> </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Investiția 5 (C17.I5): Transferul de cunoștințe</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Obiectivul acestei investiții este de a promova transferul de tehnologie și de a sprijini transferul rezultatelor cercetării privind tehnologiile inovatoare. Această investiție este legată de reforma C17.R1; Legea științei actualizată sprijină transferul de cunoștințe prin încurajarea mobilității cercetătorilor, prin crearea unui instrument juridic flexibil pentru a coinvesti în întreprinderi tehnologice nou-înființate și prin remodelarea structurii de stimulare astfel încât transferul de cunoștințe să fie recunoscut în mod corespunzător în remunerarea cercetătorului, împreună cu activitatea tradițională de cercetare.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Aceste măsuri includ șase acțiuni specifice de consolidare a transferurilor de cunoștințe: 1) cererea de propuneri „Ecosistemele de inovare bazate pe rețelele de excelență </w:t>
      </w:r>
      <w:r>
        <w:rPr>
          <w:rFonts w:ascii="Times New Roman" w:hAnsi="Times New Roman"/>
          <w:i/>
          <w:noProof/>
          <w:color w:val="000000" w:themeColor="text1"/>
          <w:sz w:val="24"/>
        </w:rPr>
        <w:t>Cervera</w:t>
      </w:r>
      <w:r>
        <w:rPr>
          <w:rFonts w:ascii="Times New Roman" w:hAnsi="Times New Roman"/>
          <w:noProof/>
          <w:color w:val="000000" w:themeColor="text1"/>
          <w:sz w:val="24"/>
        </w:rPr>
        <w:t xml:space="preserve">”, 2) îmbunătățirea capacităților și orientarea birourilor de transfer al rezultatelor cercetării, 3) cererile de granturi Cervera pentru centre tehnologice, centre de cercetare și IMM-uri și întreprinderi cu capitalizare medie pentru a realiza C &amp; D în tehnologii prioritare, 4) cereri de sprijin pentru IMM-urile spaniole cu marca europeană de excelență, 5) sprijin sub formă de capital de risc pentru a coinvesti și a investi în întreprinderi cu tehnologii strategice prin intermediul unui fond de transfer de tehnologie și 6) sprijin pentru crearea unui program bazat pe NEOTEC, un cadru de capital de risc pentru coinvestiții și investiții în întreprinderi cu tehnologii strategice prin intermediul unui fond de transfer de tehnologie și) sprijin pentru crearea de tehnologii NEOTEC.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Acțiunile din cadrul acestei investiții se desfășoară în principal prin cereri de propuneri.  </w:t>
      </w:r>
    </w:p>
    <w:p>
      <w:pPr>
        <w:pStyle w:val="Text1"/>
        <w:ind w:left="0"/>
        <w:rPr>
          <w:iCs/>
          <w:noProof/>
          <w:highlight w:val="green"/>
        </w:rPr>
      </w:pPr>
      <w:r>
        <w:rPr>
          <w:noProof/>
        </w:rPr>
        <w:t>Pentru a se asigura că măsura respectă Orientările tehnice „Fără prejudicii semnificative” (2021/C58/01), criteriile de eligibilitate cuprinse în termeni de referință pentru viitoarele cereri de propuneri de proiecte exclud următoarea listă de activități:</w:t>
      </w:r>
      <w:r>
        <w:rPr>
          <w:noProof/>
          <w:color w:val="FF0000"/>
        </w:rPr>
        <w:t xml:space="preserve"> </w:t>
      </w:r>
      <w:r>
        <w:rPr>
          <w:noProof/>
        </w:rPr>
        <w:t>(i) activități legate de combustibilii fosili, inclusiv utilizarea în aval</w:t>
      </w:r>
      <w:r>
        <w:rPr>
          <w:rStyle w:val="FootnoteReference"/>
          <w:noProof/>
          <w:lang w:val="en-IE"/>
        </w:rPr>
        <w:footnoteReference w:id="73"/>
      </w:r>
      <w:r>
        <w:rPr>
          <w:noProof/>
        </w:rPr>
        <w:t>; (ii) activitățile din cadrul schemei UE de comercializare a certificatelor de emisii (ETS) care ating previziuni privind emisiile de gaze cu efect de seră care nu sunt mai mici decât valorile de referință relevante</w:t>
      </w:r>
      <w:r>
        <w:rPr>
          <w:rStyle w:val="FootnoteReference"/>
          <w:noProof/>
          <w:lang w:val="en-IE"/>
        </w:rPr>
        <w:footnoteReference w:id="74"/>
      </w:r>
      <w:r>
        <w:rPr>
          <w:noProof/>
        </w:rPr>
        <w:t>; (iii) activități legate de depozitele de deșeuri, incineratoare</w:t>
      </w:r>
      <w:r>
        <w:rPr>
          <w:rStyle w:val="FootnoteReference"/>
          <w:noProof/>
          <w:lang w:val="en-IE"/>
        </w:rPr>
        <w:footnoteReference w:id="75"/>
      </w:r>
      <w:r>
        <w:rPr>
          <w:noProof/>
        </w:rPr>
        <w:t xml:space="preserve"> și instalații de tratare mecano-biologică</w:t>
      </w:r>
      <w:r>
        <w:rPr>
          <w:rStyle w:val="FootnoteReference"/>
          <w:noProof/>
          <w:lang w:val="en-IE"/>
        </w:rPr>
        <w:footnoteReference w:id="76"/>
      </w:r>
      <w:r>
        <w:rPr>
          <w:noProof/>
        </w:rPr>
        <w:t>; și (iv) activități în cadrul cărora eliminarea pe termen lung a deșeurilor poate dăuna mediului. În plus, mandatul impune ca numai activitățile care respectă legislația UE și națională relevantă în materie de mediu să poată fi selectate.</w:t>
      </w:r>
    </w:p>
    <w:p>
      <w:pPr>
        <w:spacing w:before="120" w:after="120" w:line="240" w:lineRule="auto"/>
        <w:jc w:val="both"/>
        <w:rPr>
          <w:rFonts w:ascii="Times New Roman" w:hAnsi="Times New Roman" w:cs="Times New Roman"/>
          <w:noProof/>
          <w:sz w:val="24"/>
        </w:rPr>
      </w:pPr>
      <w:r>
        <w:rPr>
          <w:rFonts w:ascii="Times New Roman" w:hAnsi="Times New Roman"/>
          <w:noProof/>
          <w:sz w:val="24"/>
        </w:rPr>
        <w:t>Următoarele acțiuni C &amp; D &amp; I din cadrul acestei investiții sunt considerate conforme cu Orientările tehnice privind principiul de „a nu prejudicia în mod semnificativ” (2021/C58/01): (i) acțiunile C &amp; D &amp; I din cadrul acestei investiții care au ca rezultat rezultate neutre din punct de vedere tehnologic la nivelul aplicării lor; (ii) acele acțiuni C &amp; D &amp; I din cadrul acestei investiții care sprijină alternative cu impact redus asupra mediului pentru care există; sau (iii) acele acțiuni C &amp; D &amp; I din cadrul acestei investiții care se axează în principal pe dezvoltarea de alternative cu cel mai redus impact posibil asupra mediului în sector pentru acele activități pentru care nu există alternative cu impact scăzut fezabile din punct de vedere tehnologic și economic.</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sz w:val="24"/>
          <w:szCs w:val="24"/>
        </w:rPr>
        <w:t>Punerea în aplicare a investiției se finalizează până la 30 iunie 2026.</w:t>
      </w:r>
    </w:p>
    <w:p>
      <w:pPr>
        <w:spacing w:before="120" w:after="120" w:line="240" w:lineRule="auto"/>
        <w:jc w:val="both"/>
        <w:rPr>
          <w:rFonts w:ascii="Times New Roman" w:hAnsi="Times New Roman" w:cs="Times New Roman"/>
          <w:noProof/>
          <w:sz w:val="24"/>
          <w:lang w:val="fr-BE"/>
        </w:rPr>
      </w:pP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Investiția 6 (C17.I6): Sănătate</w:t>
      </w:r>
    </w:p>
    <w:p>
      <w:pPr>
        <w:spacing w:before="120" w:after="120" w:line="240" w:lineRule="auto"/>
        <w:jc w:val="both"/>
        <w:rPr>
          <w:rFonts w:ascii="Times New Roman" w:hAnsi="Times New Roman" w:cs="Times New Roman"/>
          <w:noProof/>
          <w:sz w:val="24"/>
        </w:rPr>
      </w:pPr>
      <w:r>
        <w:rPr>
          <w:rFonts w:ascii="Times New Roman" w:hAnsi="Times New Roman"/>
          <w:noProof/>
          <w:color w:val="000000" w:themeColor="text1"/>
          <w:sz w:val="24"/>
        </w:rPr>
        <w:t xml:space="preserve">Obiectivul acestei măsuri este de a promova dezvoltarea cercetării și a inovării în sectorul sănătății. Măsura include patru linii de acțiune specifice: </w:t>
      </w:r>
      <w:r>
        <w:rPr>
          <w:rFonts w:ascii="Times New Roman" w:hAnsi="Times New Roman"/>
          <w:noProof/>
          <w:sz w:val="24"/>
        </w:rPr>
        <w:t xml:space="preserve">1) investiții în terapii avansate, medicamente emergente și medicină personalizată, 2) măsuri de consolidare a capacităților strategice și internaționalizarea sistemului național de sănătate, 3) acțiuni de sprijinire a capacităților de combatere a bolilor infecțioase și a amenințărilor globale ale </w:t>
      </w:r>
      <w:r>
        <w:rPr>
          <w:rFonts w:ascii="Times New Roman" w:hAnsi="Times New Roman"/>
          <w:i/>
          <w:noProof/>
          <w:sz w:val="24"/>
        </w:rPr>
        <w:t>Instituto de Salud Carlos III</w:t>
      </w:r>
      <w:r>
        <w:rPr>
          <w:rFonts w:ascii="Times New Roman" w:hAnsi="Times New Roman"/>
          <w:noProof/>
          <w:sz w:val="24"/>
        </w:rPr>
        <w:t xml:space="preserve">, în special Centrul Național pentru Microbiologie, Centrul Național de Epidemiologie și Școala Națională de Medicină a Muncii și Școala Națională de Sănătate, 4) participarea la proiectul multinațional „Genome of Europe”, la inițiativa „Genom of Europe” și la inițiativa „Genome of Europe” în cadrul inițiativei „1 milion de genomuri” și 5) măsuri de consolidare a capacităților legate de cercetarea în domeniul bolilor infecțioase și a altor amenințări globale la adresa sănătății și a îmbătrânirii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Acțiunile din cadrul acestei investiții se desfășoară prin cereri de propuneri, investiții publice și private cu capital de risc și investiții publice directe.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Punerea în aplicare a investiției se finalizează până la 30 iunie 2026.</w:t>
      </w:r>
      <w:r>
        <w:rPr>
          <w:rFonts w:ascii="Times New Roman" w:hAnsi="Times New Roman"/>
          <w:noProof/>
          <w:color w:val="000000"/>
          <w:sz w:val="24"/>
          <w:szCs w:val="24"/>
        </w:rPr>
        <w:t xml:space="preserve"> </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Investiția 7 (C17.I7): Mediu, schimbări climatice și energie</w:t>
      </w:r>
    </w:p>
    <w:p>
      <w:pPr>
        <w:spacing w:before="120" w:after="120" w:line="240" w:lineRule="auto"/>
        <w:jc w:val="both"/>
        <w:rPr>
          <w:rFonts w:ascii="Times New Roman" w:hAnsi="Times New Roman" w:cs="Times New Roman"/>
          <w:noProof/>
          <w:sz w:val="24"/>
        </w:rPr>
      </w:pPr>
      <w:r>
        <w:rPr>
          <w:rFonts w:ascii="Times New Roman" w:hAnsi="Times New Roman"/>
          <w:noProof/>
          <w:color w:val="000000" w:themeColor="text1"/>
          <w:sz w:val="24"/>
        </w:rPr>
        <w:t xml:space="preserve">Obiectivul acestei măsuri este de a promova cercetarea și inovarea în domeniul mediului, al schimbărilor climatice și al energiei. Măsura sprijină: </w:t>
      </w:r>
      <w:r>
        <w:rPr>
          <w:rFonts w:ascii="Times New Roman" w:hAnsi="Times New Roman"/>
          <w:noProof/>
          <w:sz w:val="24"/>
        </w:rPr>
        <w:t>1) C &amp; D &amp; I proiecte legate de materialele plastice durabile într-o economie circulară, producția de materiale plastice alternative și gestionarea durabilă a deșeurilor de plastic, 2) un proiect privind schimbările climatice și impactul asupra rezervelor de apă, 3) un proiect privind componentele de înaltă tehnologie în tranziția energetică, în special în ceea ce privește stocarea energiei și dezvoltarea de prototipuri pentru captarea de CO</w:t>
      </w:r>
      <w:r>
        <w:rPr>
          <w:rFonts w:ascii="Times New Roman" w:hAnsi="Times New Roman"/>
          <w:noProof/>
          <w:sz w:val="24"/>
          <w:vertAlign w:val="subscript"/>
        </w:rPr>
        <w:t>2</w:t>
      </w:r>
      <w:r>
        <w:rPr>
          <w:rFonts w:ascii="Times New Roman" w:hAnsi="Times New Roman"/>
          <w:noProof/>
          <w:sz w:val="24"/>
        </w:rPr>
        <w:t xml:space="preserve"> din emisiile de proces industrial în industriile mari consumatoare de energie al </w:t>
      </w:r>
      <w:r>
        <w:rPr>
          <w:rFonts w:ascii="Times New Roman" w:hAnsi="Times New Roman"/>
          <w:i/>
          <w:noProof/>
          <w:sz w:val="24"/>
        </w:rPr>
        <w:t>Consejo Superior de Investigaciones Científicas</w:t>
      </w:r>
      <w:r>
        <w:rPr>
          <w:rFonts w:ascii="Times New Roman" w:hAnsi="Times New Roman"/>
          <w:noProof/>
          <w:sz w:val="24"/>
        </w:rPr>
        <w:t xml:space="preserve"> (CSIC). În cazul în care sunt implicate instalații din cadrul schemei UE de comercializare a certificatelor de emisii (ETS), acestea trebuie să atingă emisiile de gaze cu efect de seră preconizate cel puțin sub valorile de referință relevante</w:t>
      </w:r>
      <w:r>
        <w:rPr>
          <w:rFonts w:ascii="Times New Roman" w:hAnsi="Times New Roman" w:cs="Times New Roman"/>
          <w:noProof/>
          <w:sz w:val="24"/>
          <w:vertAlign w:val="superscript"/>
          <w:lang w:val="en-IE"/>
        </w:rPr>
        <w:footnoteReference w:id="77"/>
      </w:r>
      <w:r>
        <w:rPr>
          <w:rFonts w:ascii="Times New Roman" w:hAnsi="Times New Roman"/>
          <w:noProof/>
          <w:sz w:val="24"/>
        </w:rPr>
        <w:t>, iar activitățile legate de combustibilii fosili, inclusiv utilizarea în aval, sunt excluse</w:t>
      </w:r>
      <w:r>
        <w:rPr>
          <w:rFonts w:ascii="Times New Roman" w:hAnsi="Times New Roman" w:cs="Times New Roman"/>
          <w:noProof/>
          <w:sz w:val="24"/>
          <w:vertAlign w:val="superscript"/>
          <w:lang w:val="en-IE"/>
        </w:rPr>
        <w:footnoteReference w:id="78"/>
      </w:r>
      <w:r>
        <w:rPr>
          <w:rFonts w:ascii="Times New Roman" w:hAnsi="Times New Roman"/>
          <w:noProof/>
          <w:sz w:val="24"/>
        </w:rPr>
        <w:t xml:space="preserve">, 4) un proiect de cercetare privind metalele strategice pentru tranziția energetică și 5) crearea unui centru C &amp; D de stocare a energiei în Extremadura cu scopul de a stimula răspunsul tehnologic și științific la gestionarea producției de energie ecologică, în special în ceea ce privește aplicațiile industriale pe bază de hidrogen, precum și stocarea ecologică a hidrogenului, precum și producția de hidrogen verde. Măsura sprijină, de asemenea, consolidarea capacităților care urmează să fie furnizate în centru pentru formarea oamenilor de știință și a cercetătorilor în domeniul industriilor energetice și de stocare a energiei.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Acțiunile din cadrul acestei investiții se desfășoară prin proceduri de ofertare.</w:t>
      </w:r>
    </w:p>
    <w:p>
      <w:pPr>
        <w:pStyle w:val="Text1"/>
        <w:ind w:left="0"/>
        <w:rPr>
          <w:iCs/>
          <w:noProof/>
          <w:highlight w:val="green"/>
        </w:rPr>
      </w:pPr>
      <w:r>
        <w:rPr>
          <w:noProof/>
        </w:rPr>
        <w:t>Pentru a se asigura că măsura respectă Orientările tehnice „Fără prejudicii semnificative” (2021/C58/01), criteriile de eligibilitate cuprinse în termeni de referință pentru viitoarele cereri de propuneri de proiecte exclud următoarea listă de activități:</w:t>
      </w:r>
      <w:r>
        <w:rPr>
          <w:noProof/>
          <w:color w:val="FF0000"/>
        </w:rPr>
        <w:t xml:space="preserve"> </w:t>
      </w:r>
      <w:r>
        <w:rPr>
          <w:noProof/>
        </w:rPr>
        <w:t>(i) activități legate de combustibilii fosili, inclusiv utilizarea în aval</w:t>
      </w:r>
      <w:r>
        <w:rPr>
          <w:rStyle w:val="FootnoteReference"/>
          <w:noProof/>
          <w:lang w:val="en-IE"/>
        </w:rPr>
        <w:footnoteReference w:id="79"/>
      </w:r>
      <w:r>
        <w:rPr>
          <w:noProof/>
        </w:rPr>
        <w:t>; (ii) activitățile din cadrul schemei UE de comercializare a certificatelor de emisii (ETS) care ating previziuni privind emisiile de gaze cu efect de seră care nu sunt mai mici decât valorile de referință relevante</w:t>
      </w:r>
      <w:r>
        <w:rPr>
          <w:rStyle w:val="FootnoteReference"/>
          <w:noProof/>
          <w:lang w:val="en-IE"/>
        </w:rPr>
        <w:footnoteReference w:id="80"/>
      </w:r>
      <w:r>
        <w:rPr>
          <w:noProof/>
        </w:rPr>
        <w:t>; (iii) activități legate de depozitele de deșeuri, incineratoare</w:t>
      </w:r>
      <w:r>
        <w:rPr>
          <w:rStyle w:val="FootnoteReference"/>
          <w:noProof/>
          <w:lang w:val="en-IE"/>
        </w:rPr>
        <w:footnoteReference w:id="81"/>
      </w:r>
      <w:r>
        <w:rPr>
          <w:noProof/>
        </w:rPr>
        <w:t xml:space="preserve"> și instalații de tratare mecano-biologică</w:t>
      </w:r>
      <w:r>
        <w:rPr>
          <w:rStyle w:val="FootnoteReference"/>
          <w:noProof/>
          <w:lang w:val="en-IE"/>
        </w:rPr>
        <w:footnoteReference w:id="82"/>
      </w:r>
      <w:r>
        <w:rPr>
          <w:noProof/>
        </w:rPr>
        <w:t>; și (iv) activități în cadrul cărora eliminarea pe termen lung a deșeurilor poate dăuna mediului. În plus, mandatul impune ca numai activitățile care respectă legislația UE și națională relevantă în materie de mediu să poată fi selectate.</w:t>
      </w:r>
    </w:p>
    <w:p>
      <w:pPr>
        <w:spacing w:before="120" w:after="120" w:line="240" w:lineRule="auto"/>
        <w:jc w:val="both"/>
        <w:rPr>
          <w:rFonts w:ascii="Times New Roman" w:hAnsi="Times New Roman" w:cs="Times New Roman"/>
          <w:noProof/>
          <w:sz w:val="24"/>
        </w:rPr>
      </w:pPr>
      <w:r>
        <w:rPr>
          <w:rFonts w:ascii="Times New Roman" w:hAnsi="Times New Roman"/>
          <w:noProof/>
          <w:sz w:val="24"/>
        </w:rPr>
        <w:t>Următoarele acțiuni C &amp; D &amp; I din cadrul acestei investiții sunt considerate conforme cu Orientările tehnice privind principiul de „a nu prejudicia în mod semnificativ” (2021/C58/01): (i) acțiunile C &amp; D &amp; I din cadrul acestei investiții care au ca rezultat rezultate neutre din punct de vedere tehnologic la nivelul aplicării lor; (ii) acele acțiuni C &amp; D &amp; I din cadrul acestei investiții care sprijină alternative cu impact redus asupra mediului pentru care există; sau (iii) acele acțiuni C &amp; D &amp; I din cadrul acestei investiții care se axează în principal pe dezvoltarea de alternative cu cel mai redus impact posibil asupra mediului în sector pentru acele activități pentru care nu există alternative cu impact scăzut fezabile din punct de vedere tehnologic și economic.</w:t>
      </w:r>
    </w:p>
    <w:p>
      <w:pPr>
        <w:autoSpaceDE w:val="0"/>
        <w:autoSpaceDN w:val="0"/>
        <w:spacing w:before="40" w:after="40"/>
        <w:rPr>
          <w:rFonts w:ascii="Times New Roman" w:hAnsi="Times New Roman" w:cs="Times New Roman"/>
          <w:noProof/>
          <w:sz w:val="24"/>
          <w:szCs w:val="24"/>
        </w:rPr>
      </w:pPr>
      <w:r>
        <w:rPr>
          <w:rFonts w:ascii="Times New Roman" w:hAnsi="Times New Roman"/>
          <w:noProof/>
          <w:sz w:val="24"/>
          <w:szCs w:val="24"/>
        </w:rPr>
        <w:t>Punerea în aplicare a investiției se finalizează până în iunie 2026.</w:t>
      </w:r>
      <w:r>
        <w:rPr>
          <w:rFonts w:ascii="Times New Roman" w:hAnsi="Times New Roman"/>
          <w:noProof/>
          <w:color w:val="000000"/>
          <w:sz w:val="24"/>
          <w:szCs w:val="24"/>
        </w:rPr>
        <w:t xml:space="preserve"> </w:t>
      </w:r>
    </w:p>
    <w:p>
      <w:pPr>
        <w:keepNext/>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Investiția 8 (C17.I8):</w:t>
      </w:r>
      <w:r>
        <w:rPr>
          <w:rFonts w:ascii="Times New Roman" w:hAnsi="Times New Roman"/>
          <w:noProof/>
          <w:sz w:val="24"/>
          <w:u w:val="single"/>
        </w:rPr>
        <w:t xml:space="preserve"> C &amp; D &amp; I (PTAS) pentru autovehicule durabile</w:t>
      </w:r>
      <w:r>
        <w:rPr>
          <w:rFonts w:ascii="Times New Roman" w:hAnsi="Times New Roman"/>
          <w:noProof/>
          <w:color w:val="000000" w:themeColor="text1"/>
          <w:sz w:val="24"/>
          <w:u w:val="single"/>
        </w:rPr>
        <w:t xml:space="preserve"> </w:t>
      </w:r>
    </w:p>
    <w:p>
      <w:pPr>
        <w:keepNext/>
        <w:spacing w:before="120" w:after="120" w:line="240" w:lineRule="auto"/>
        <w:jc w:val="both"/>
        <w:rPr>
          <w:rFonts w:ascii="Times New Roman" w:hAnsi="Times New Roman" w:cs="Times New Roman"/>
          <w:noProof/>
          <w:sz w:val="24"/>
        </w:rPr>
      </w:pPr>
      <w:r>
        <w:rPr>
          <w:rFonts w:ascii="Times New Roman" w:hAnsi="Times New Roman"/>
          <w:noProof/>
          <w:color w:val="000000" w:themeColor="text1"/>
          <w:sz w:val="24"/>
        </w:rPr>
        <w:t xml:space="preserve">Obiectivul acestei măsuri este de a promova cercetarea și inovarea în sectorul durabil al autovehiculelor. În special, măsura urmărește: </w:t>
      </w:r>
      <w:r>
        <w:rPr>
          <w:rFonts w:ascii="Times New Roman" w:hAnsi="Times New Roman"/>
          <w:noProof/>
          <w:sz w:val="24"/>
        </w:rPr>
        <w:t xml:space="preserve">1) sprijinirea dezvoltării de componente și platforme exclusiv pentru vehiculele electrice, hibride reîncărcabile și pe bază de hidrogen, 2) încurajarea cercetării și dezvoltării în domeniul conducerii autonome și al mobilității conectate prin dezvoltarea de noi arhitecturi hardware și software și 3) adaptarea domeniilor de producție ale componentelor și sistemelor exclusiv pentru vehiculele electrice, hibride reîncărcabile și pe bază de hidrogen. Proiectele sunt puse în aplicare de consorții de întreprinderi formate din trei până la opt întreprinderi (cel puțin una trebuie să fie IMM), cu o durată maximă de trei ani.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Acțiunile din cadrul acestei investiții se desfășoară prin cereri de propuneri. </w:t>
      </w:r>
    </w:p>
    <w:p>
      <w:pPr>
        <w:pStyle w:val="Text1"/>
        <w:ind w:left="0"/>
        <w:rPr>
          <w:iCs/>
          <w:noProof/>
          <w:highlight w:val="green"/>
        </w:rPr>
      </w:pPr>
      <w:r>
        <w:rPr>
          <w:noProof/>
        </w:rPr>
        <w:t>Pentru a se asigura că măsura respectă Orientările tehnice „Fără prejudicii semnificative” (2021/C58/01), criteriile de eligibilitate cuprinse în termeni de referință pentru viitoarele cereri de propuneri de proiecte exclud următoarea listă de activități:</w:t>
      </w:r>
      <w:r>
        <w:rPr>
          <w:noProof/>
          <w:color w:val="FF0000"/>
        </w:rPr>
        <w:t xml:space="preserve"> </w:t>
      </w:r>
      <w:r>
        <w:rPr>
          <w:noProof/>
        </w:rPr>
        <w:t>(i) activități legate de combustibilii fosili, inclusiv utilizarea în aval</w:t>
      </w:r>
      <w:r>
        <w:rPr>
          <w:rStyle w:val="FootnoteReference"/>
          <w:noProof/>
          <w:lang w:val="en-IE"/>
        </w:rPr>
        <w:footnoteReference w:id="83"/>
      </w:r>
      <w:r>
        <w:rPr>
          <w:noProof/>
        </w:rPr>
        <w:t>; (ii) activitățile din cadrul schemei UE de comercializare a certificatelor de emisii (ETS) care ating previziuni privind emisiile de gaze cu efect de seră care nu sunt mai mici decât valorile de referință relevante</w:t>
      </w:r>
      <w:r>
        <w:rPr>
          <w:rStyle w:val="FootnoteReference"/>
          <w:noProof/>
          <w:lang w:val="en-IE"/>
        </w:rPr>
        <w:footnoteReference w:id="84"/>
      </w:r>
      <w:r>
        <w:rPr>
          <w:noProof/>
        </w:rPr>
        <w:t>; (iii) activități legate de depozitele de deșeuri, incineratoare</w:t>
      </w:r>
      <w:r>
        <w:rPr>
          <w:rStyle w:val="FootnoteReference"/>
          <w:noProof/>
          <w:lang w:val="en-IE"/>
        </w:rPr>
        <w:footnoteReference w:id="85"/>
      </w:r>
      <w:r>
        <w:rPr>
          <w:noProof/>
        </w:rPr>
        <w:t xml:space="preserve"> și instalații de tratare mecano-biologică</w:t>
      </w:r>
      <w:r>
        <w:rPr>
          <w:rStyle w:val="FootnoteReference"/>
          <w:noProof/>
          <w:lang w:val="en-IE"/>
        </w:rPr>
        <w:footnoteReference w:id="86"/>
      </w:r>
      <w:r>
        <w:rPr>
          <w:noProof/>
        </w:rPr>
        <w:t>; și (iv) activități în cadrul cărora eliminarea pe termen lung a deșeurilor poate dăuna mediului. În plus, mandatul impune ca numai activitățile care respectă legislația UE și națională relevantă în materie de mediu să poată fi selectate.</w:t>
      </w:r>
    </w:p>
    <w:p>
      <w:pPr>
        <w:spacing w:before="120" w:after="120" w:line="240" w:lineRule="auto"/>
        <w:jc w:val="both"/>
        <w:rPr>
          <w:rFonts w:ascii="Times New Roman" w:hAnsi="Times New Roman" w:cs="Times New Roman"/>
          <w:noProof/>
          <w:sz w:val="24"/>
        </w:rPr>
      </w:pPr>
      <w:r>
        <w:rPr>
          <w:rFonts w:ascii="Times New Roman" w:hAnsi="Times New Roman"/>
          <w:noProof/>
          <w:sz w:val="24"/>
        </w:rPr>
        <w:t>Următoarele acțiuni C &amp; D &amp; I din cadrul acestei investiții sunt considerate conforme cu Orientările tehnice privind principiul de „a nu prejudicia în mod semnificativ” (2021/C58/01): (i) acțiunile C &amp; D &amp; I din cadrul acestei investiții care au ca rezultat rezultate neutre din punct de vedere tehnologic la nivelul aplicării lor; (ii) acele acțiuni C &amp; D &amp; I din cadrul acestei investiții care sprijină alternative cu impact redus asupra mediului pentru care există; sau (iii) acele acțiuni C &amp; D &amp; I din cadrul acestei investiții care se axează în principal pe dezvoltarea de alternative cu cel mai redus impact posibil asupra mediului în sector pentru acele activități pentru care nu există alternative cu impact scăzut fezabile din punct de vedere tehnologic și economic.</w:t>
      </w:r>
    </w:p>
    <w:p>
      <w:pPr>
        <w:autoSpaceDE w:val="0"/>
        <w:autoSpaceDN w:val="0"/>
        <w:spacing w:before="40" w:after="40"/>
        <w:rPr>
          <w:rFonts w:ascii="Times New Roman" w:hAnsi="Times New Roman" w:cs="Times New Roman"/>
          <w:noProof/>
          <w:sz w:val="24"/>
          <w:szCs w:val="24"/>
        </w:rPr>
      </w:pPr>
      <w:r>
        <w:rPr>
          <w:rFonts w:ascii="Times New Roman" w:hAnsi="Times New Roman"/>
          <w:noProof/>
          <w:sz w:val="24"/>
          <w:szCs w:val="24"/>
        </w:rPr>
        <w:t>Punerea în aplicare a investiției se finalizează până la 30 iunie 2024.</w:t>
      </w:r>
      <w:r>
        <w:rPr>
          <w:rFonts w:ascii="Times New Roman" w:hAnsi="Times New Roman"/>
          <w:noProof/>
          <w:color w:val="000000"/>
          <w:sz w:val="24"/>
          <w:szCs w:val="24"/>
        </w:rPr>
        <w:t xml:space="preserve"> </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Investiția 9 (C17.I9): Industria aerospațială</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sz w:val="24"/>
        </w:rPr>
        <w:t>Obiectivul acestei măsuri este de a promova cercetarea și inovarea în sectorul aerospațial, cu un accent principal pe acțiunile din cadrul acestei investiții legate de tehnologiile și aeronautica aerospațială cu emisii scăzute sau zero de dioxid de carbon. Măsura vizează îmbunătățirea capacităților industriale legate de viitoarele aeronave cu emisii scăzute și zero, de evoluțiile tehnologice esențiale legate de vehiculele aeriene fără pilot, de sistemele îmbarcate, de aeronavele multifuncționale și de sistemele avansate de fabricație care includ crearea de gemeni digitali, promovarea eficienței și reducerea consumului de resurse sau un impact mai redus asupra mediului.</w:t>
      </w:r>
      <w:bookmarkStart w:id="4" w:name="_Hlk70075465"/>
      <w:r>
        <w:rPr>
          <w:rFonts w:ascii="Times New Roman" w:hAnsi="Times New Roman"/>
          <w:noProof/>
          <w:sz w:val="24"/>
        </w:rPr>
        <w:t xml:space="preserve"> </w:t>
      </w:r>
      <w:bookmarkEnd w:id="4"/>
      <w:r>
        <w:rPr>
          <w:rFonts w:ascii="Times New Roman" w:hAnsi="Times New Roman"/>
          <w:noProof/>
          <w:sz w:val="24"/>
        </w:rPr>
        <w:t>Măsura sprijină, de asemenea, domenii ale tehnologiei spațiale, cum ar fi accesul la spațiu, observarea Pământului, sistemele optice și de comunicații securizate. Proiectele sunt puse în aplicare de consorții formate din două până la șase societăți (cel puțin un IMM), cu o durată cuprinsă între doi și patru ani.</w:t>
      </w:r>
      <w:r>
        <w:rPr>
          <w:rFonts w:ascii="Times New Roman" w:hAnsi="Times New Roman"/>
          <w:noProof/>
          <w:color w:val="000000" w:themeColor="text1"/>
          <w:sz w:val="24"/>
        </w:rPr>
        <w:t xml:space="preserve">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Acțiunile din cadrul acestei investiții se desfășoară prin cereri de propuneri și achiziții publice. </w:t>
      </w:r>
    </w:p>
    <w:p>
      <w:pPr>
        <w:pStyle w:val="Text1"/>
        <w:ind w:left="0"/>
        <w:rPr>
          <w:iCs/>
          <w:noProof/>
          <w:highlight w:val="green"/>
        </w:rPr>
      </w:pPr>
      <w:r>
        <w:rPr>
          <w:noProof/>
        </w:rPr>
        <w:t>Pentru a se asigura că măsura respectă Orientările tehnice „Fără prejudicii semnificative” (2021/C58/01), criteriile de eligibilitate cuprinse în termeni de referință pentru viitoarele cereri de proiecte sau proceduri de achiziții publice exclud următoarea listă de activități:</w:t>
      </w:r>
      <w:r>
        <w:rPr>
          <w:noProof/>
          <w:color w:val="FF0000"/>
        </w:rPr>
        <w:t xml:space="preserve"> </w:t>
      </w:r>
      <w:r>
        <w:rPr>
          <w:noProof/>
        </w:rPr>
        <w:t>(i) activități legate de combustibilii fosili, inclusiv utilizarea în aval</w:t>
      </w:r>
      <w:r>
        <w:rPr>
          <w:rStyle w:val="FootnoteReference"/>
          <w:noProof/>
          <w:lang w:val="en-IE"/>
        </w:rPr>
        <w:footnoteReference w:id="87"/>
      </w:r>
      <w:r>
        <w:rPr>
          <w:noProof/>
        </w:rPr>
        <w:t>; (ii) activitățile din cadrul schemei UE de comercializare a certificatelor de emisii (ETS) care ating previziuni privind emisiile de gaze cu efect de seră care nu sunt mai mici decât valorile de referință relevante</w:t>
      </w:r>
      <w:r>
        <w:rPr>
          <w:rStyle w:val="FootnoteReference"/>
          <w:noProof/>
          <w:lang w:val="en-IE"/>
        </w:rPr>
        <w:footnoteReference w:id="88"/>
      </w:r>
      <w:r>
        <w:rPr>
          <w:noProof/>
        </w:rPr>
        <w:t>; (iii) activități legate de depozitele de deșeuri, incineratoare</w:t>
      </w:r>
      <w:r>
        <w:rPr>
          <w:rStyle w:val="FootnoteReference"/>
          <w:noProof/>
          <w:lang w:val="en-IE"/>
        </w:rPr>
        <w:footnoteReference w:id="89"/>
      </w:r>
      <w:r>
        <w:rPr>
          <w:noProof/>
        </w:rPr>
        <w:t xml:space="preserve"> și instalații de tratare mecano-biologică</w:t>
      </w:r>
      <w:r>
        <w:rPr>
          <w:rStyle w:val="FootnoteReference"/>
          <w:noProof/>
          <w:lang w:val="en-IE"/>
        </w:rPr>
        <w:footnoteReference w:id="90"/>
      </w:r>
      <w:r>
        <w:rPr>
          <w:noProof/>
        </w:rPr>
        <w:t>; și (iv) activități în cadrul cărora eliminarea pe termen lung a deșeurilor poate dăuna mediului. În plus, mandatul impune ca numai activitățile care respectă legislația UE și națională relevantă în materie de mediu să poată fi selectate.</w:t>
      </w:r>
    </w:p>
    <w:p>
      <w:pPr>
        <w:spacing w:before="120" w:after="120" w:line="240" w:lineRule="auto"/>
        <w:jc w:val="both"/>
        <w:rPr>
          <w:rFonts w:ascii="Times New Roman" w:hAnsi="Times New Roman" w:cs="Times New Roman"/>
          <w:noProof/>
          <w:sz w:val="24"/>
        </w:rPr>
      </w:pPr>
      <w:r>
        <w:rPr>
          <w:rFonts w:ascii="Times New Roman" w:hAnsi="Times New Roman"/>
          <w:noProof/>
          <w:sz w:val="24"/>
        </w:rPr>
        <w:t>Următoarele acțiuni C &amp; D &amp; I din cadrul acestei investiții pot fi considerate conforme cu Orientările tehnice „Fără prejudicii semnificative” (2021/C58/01): (i) acțiunile C &amp; D &amp; I din cadrul acestei investiții care au ca rezultat rezultate neutre din punct de vedere tehnologic la nivelul aplicării lor; (ii) acele acțiuni C &amp; D &amp; I din cadrul acestei investiții care sprijină alternative cu impact redus asupra mediului pentru care există; sau (iii) acele acțiuni C &amp; D &amp; I din cadrul acestei investiții care se axează în principal pe dezvoltarea de alternative cu cel mai redus impact posibil asupra mediului în sector pentru acele activități pentru care nu există alternative cu impact scăzut fezabile din punct de vedere tehnologic și economic.</w:t>
      </w:r>
    </w:p>
    <w:p>
      <w:pPr>
        <w:autoSpaceDE w:val="0"/>
        <w:autoSpaceDN w:val="0"/>
        <w:spacing w:before="40" w:after="40"/>
        <w:rPr>
          <w:rFonts w:ascii="Times New Roman" w:hAnsi="Times New Roman" w:cs="Times New Roman"/>
          <w:noProof/>
          <w:sz w:val="24"/>
          <w:szCs w:val="24"/>
        </w:rPr>
      </w:pPr>
      <w:r>
        <w:rPr>
          <w:rFonts w:ascii="Times New Roman" w:hAnsi="Times New Roman"/>
          <w:noProof/>
          <w:sz w:val="24"/>
          <w:szCs w:val="24"/>
        </w:rPr>
        <w:t>Punerea în aplicare a investiției se finalizează până la 30 iunie 2026.</w:t>
      </w:r>
      <w:r>
        <w:rPr>
          <w:rFonts w:ascii="Times New Roman" w:hAnsi="Times New Roman"/>
          <w:noProof/>
          <w:color w:val="000000"/>
          <w:sz w:val="24"/>
          <w:szCs w:val="24"/>
        </w:rPr>
        <w:t xml:space="preserve"> </w:t>
      </w:r>
    </w:p>
    <w:p>
      <w:pPr>
        <w:spacing w:before="120" w:after="120" w:line="240" w:lineRule="auto"/>
        <w:jc w:val="both"/>
        <w:rPr>
          <w:rFonts w:ascii="Times New Roman" w:hAnsi="Times New Roman" w:cs="Times New Roman"/>
          <w:b/>
          <w:bCs/>
          <w:noProof/>
          <w:sz w:val="24"/>
          <w:u w:val="single"/>
        </w:rPr>
      </w:pPr>
      <w:r>
        <w:rPr>
          <w:rFonts w:ascii="Times New Roman" w:hAnsi="Times New Roman"/>
          <w:b/>
          <w:bCs/>
          <w:noProof/>
          <w:sz w:val="24"/>
          <w:u w:val="single"/>
        </w:rPr>
        <w:t xml:space="preserve">Q.2. </w:t>
      </w:r>
      <w:r>
        <w:rPr>
          <w:rFonts w:ascii="Times New Roman" w:hAnsi="Times New Roman"/>
          <w:b/>
          <w:noProof/>
          <w:sz w:val="24"/>
          <w:u w:val="single"/>
        </w:rPr>
        <w:tab/>
      </w:r>
      <w:r>
        <w:rPr>
          <w:rFonts w:ascii="Times New Roman" w:hAnsi="Times New Roman"/>
          <w:b/>
          <w:bCs/>
          <w:noProof/>
          <w:sz w:val="24"/>
          <w:u w:val="single"/>
        </w:rPr>
        <w:t>Jaloane, ținte, indicatori și calendarul de monitorizare și implementare aplicabile sprijinului financiar nerambursabil</w:t>
      </w:r>
    </w:p>
    <w:p>
      <w:pPr>
        <w:spacing w:before="120" w:after="120" w:line="240" w:lineRule="auto"/>
        <w:jc w:val="both"/>
        <w:rPr>
          <w:rFonts w:ascii="Times New Roman" w:hAnsi="Times New Roman" w:cs="Times New Roman"/>
          <w:noProof/>
          <w:sz w:val="24"/>
        </w:rPr>
        <w:sectPr>
          <w:headerReference w:type="even" r:id="rId211"/>
          <w:headerReference w:type="default" r:id="rId212"/>
          <w:footerReference w:type="even" r:id="rId213"/>
          <w:footerReference w:type="default" r:id="rId214"/>
          <w:headerReference w:type="first" r:id="rId215"/>
          <w:footerReference w:type="first" r:id="rId216"/>
          <w:pgSz w:w="11907" w:h="16839"/>
          <w:pgMar w:top="1134" w:right="1417" w:bottom="1134" w:left="1417" w:header="709" w:footer="709" w:gutter="0"/>
          <w:cols w:space="720"/>
          <w:docGrid w:linePitch="360"/>
        </w:sectPr>
      </w:pPr>
      <w:r>
        <w:rPr>
          <w:rFonts w:ascii="Times New Roman" w:hAnsi="Times New Roman"/>
          <w:i/>
          <w:iCs/>
          <w:noProof/>
          <w:color w:val="000000"/>
          <w:sz w:val="24"/>
        </w:rPr>
        <w:t>Tabelul de mai jos.</w:t>
      </w:r>
      <w:r>
        <w:rPr>
          <w:rFonts w:ascii="Times New Roman" w:hAnsi="Times New Roman"/>
          <w:noProof/>
          <w:color w:val="1F497D"/>
          <w:sz w:val="24"/>
        </w:rPr>
        <w:t xml:space="preserve"> </w:t>
      </w:r>
      <w:r>
        <w:rPr>
          <w:rFonts w:ascii="Times New Roman" w:hAnsi="Times New Roman"/>
          <w:i/>
          <w:iCs/>
          <w:noProof/>
          <w:color w:val="000000"/>
          <w:sz w:val="24"/>
        </w:rPr>
        <w:t>Data de referință pentru toți indicatorii este 1 februarie 2020, cu excepția cazului în care se indică altfel în descrierea acțiunii. Sumele din tabel nu includ TVA.</w:t>
      </w: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2552"/>
        <w:gridCol w:w="1134"/>
        <w:gridCol w:w="850"/>
        <w:gridCol w:w="709"/>
        <w:gridCol w:w="567"/>
        <w:gridCol w:w="567"/>
        <w:gridCol w:w="567"/>
        <w:gridCol w:w="5954"/>
      </w:tblGrid>
      <w:tr>
        <w:trPr>
          <w:trHeight w:val="309"/>
          <w:tblHeader/>
        </w:trPr>
        <w:tc>
          <w:tcPr>
            <w:tcW w:w="709" w:type="dxa"/>
            <w:tcBorders>
              <w:bottom w:val="nil"/>
            </w:tcBorders>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Număr</w:t>
            </w:r>
          </w:p>
        </w:tc>
        <w:tc>
          <w:tcPr>
            <w:tcW w:w="851" w:type="dxa"/>
            <w:tcBorders>
              <w:bottom w:val="nil"/>
            </w:tcBorders>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Măsură</w:t>
            </w:r>
          </w:p>
        </w:tc>
        <w:tc>
          <w:tcPr>
            <w:tcW w:w="850" w:type="dxa"/>
            <w:tcBorders>
              <w:bottom w:val="nil"/>
            </w:tcBorders>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Jalon</w:t>
            </w:r>
            <w:r>
              <w:rPr>
                <w:rFonts w:ascii="Times New Roman" w:hAnsi="Times New Roman"/>
                <w:b/>
                <w:noProof/>
                <w:color w:val="000000"/>
                <w:sz w:val="18"/>
                <w:szCs w:val="18"/>
              </w:rPr>
              <w:br/>
            </w:r>
            <w:r>
              <w:rPr>
                <w:rFonts w:ascii="Times New Roman" w:hAnsi="Times New Roman"/>
                <w:b/>
                <w:bCs/>
                <w:noProof/>
                <w:color w:val="000000"/>
                <w:sz w:val="18"/>
                <w:szCs w:val="18"/>
              </w:rPr>
              <w:t xml:space="preserve"> /Țintă</w:t>
            </w:r>
          </w:p>
        </w:tc>
        <w:tc>
          <w:tcPr>
            <w:tcW w:w="2552" w:type="dxa"/>
            <w:tcBorders>
              <w:bottom w:val="nil"/>
            </w:tcBorders>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Denumire</w:t>
            </w:r>
          </w:p>
        </w:tc>
        <w:tc>
          <w:tcPr>
            <w:tcW w:w="1134" w:type="dxa"/>
            <w:tcBorders>
              <w:bottom w:val="nil"/>
            </w:tcBorders>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Indicator calitativ pentru obiectivele de etapă</w:t>
            </w:r>
          </w:p>
        </w:tc>
        <w:tc>
          <w:tcPr>
            <w:tcW w:w="2126" w:type="dxa"/>
            <w:gridSpan w:val="3"/>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Indicator cantitativ pentru obiectiv</w:t>
            </w:r>
          </w:p>
        </w:tc>
        <w:tc>
          <w:tcPr>
            <w:tcW w:w="1134" w:type="dxa"/>
            <w:gridSpan w:val="2"/>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Timp</w:t>
            </w:r>
          </w:p>
        </w:tc>
        <w:tc>
          <w:tcPr>
            <w:tcW w:w="5954" w:type="dxa"/>
            <w:tcBorders>
              <w:bottom w:val="nil"/>
            </w:tcBorders>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sz w:val="18"/>
                <w:szCs w:val="18"/>
              </w:rPr>
              <w:t>Descrierea fiecărui jalon și a fiecărei ținte</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2552"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134"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Unitate</w:t>
            </w:r>
          </w:p>
        </w:tc>
        <w:tc>
          <w:tcPr>
            <w:tcW w:w="709" w:type="dxa"/>
            <w:shd w:val="clear" w:color="auto" w:fill="C6D9F1" w:themeFill="text2" w:themeFillTint="33"/>
            <w:noWrap/>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sz w:val="18"/>
                <w:szCs w:val="18"/>
              </w:rPr>
              <w:t>Scenariu de bază</w:t>
            </w:r>
          </w:p>
        </w:tc>
        <w:tc>
          <w:tcPr>
            <w:tcW w:w="567"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Obiectiv</w:t>
            </w:r>
          </w:p>
        </w:tc>
        <w:tc>
          <w:tcPr>
            <w:tcW w:w="567"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Q</w:t>
            </w:r>
          </w:p>
        </w:tc>
        <w:tc>
          <w:tcPr>
            <w:tcW w:w="567"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An</w:t>
            </w:r>
          </w:p>
        </w:tc>
        <w:tc>
          <w:tcPr>
            <w:tcW w:w="5954"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lang w:val="en-IE"/>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254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C17.R1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modificării Legii 14/2011 din 1 iunie privind știința, tehnologia și inovarea.</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Dispoziția legii privind intrarea în vigoare</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954"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Intrarea în vigoare a modificării Legii privind știința, tehnologia și inovarea, îmbunătățind coordonarea între diferitele niveluri de guvernare a politicilor din domeniul științei, cercetării și inovării, consolidând guvernanța și coordonarea sistemului spaniol de tehnologie științifică și inovare, introducând o nouă carieră științifică și îmbunătățind transferul de cunoștințe.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255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C17.R2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Publicarea Strategiei spaniole pentru știință, tehnologie și inovare 2021-2027</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Publicarea Strategiei spaniole pentru știință, tehnologie și inovare 2021-2027</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2020</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Strategia spaniolă pentru știință, tehnologie și inovare (EECTI) stabilește strategia generală care trebuie urmată în domeniul cercetării, dezvoltării și inovării de către toate administrațiile publice, inclusiv de la nivel regional și local. Strategia este strategia de specializare inteligentă pentru Spania. Se înființează un comitet de monitorizare a strategiei, care include reprezentanți ai statului, ai regiunilor, ai părților interesate din domeniul economic și social și ai comunității științifice. Strategia se bazează pe principiul coordonării diferitelor niveluri ale administrației și este concepută pentru a asigura perspectiva de gen în C &amp; &amp; I. Scopul său este de a consolida colaborarea dintre sectorul public și cel privat, de a promova transferul de cunoștințe, de a reține talentele științifice și de a dezvolta o carieră științifică, de a asigura stimulente fiscale adecvate pentru a sprijini C &amp; D &amp; I în sectorul privat și de a integra o perspectivă de gen.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256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C17.R2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Evaluarea intermediară a Strategiei spaniole pentru știință, tehnologie și inovare 2021-2027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Acord în </w:t>
            </w:r>
            <w:r>
              <w:rPr>
                <w:rFonts w:ascii="Times New Roman" w:hAnsi="Times New Roman"/>
                <w:i/>
                <w:noProof/>
                <w:color w:val="000000"/>
                <w:sz w:val="18"/>
                <w:szCs w:val="18"/>
              </w:rPr>
              <w:t>Consejo de Política Científica, Tecnológica y de Innovación</w:t>
            </w:r>
            <w:r>
              <w:rPr>
                <w:rFonts w:ascii="Times New Roman" w:hAnsi="Times New Roman"/>
                <w:noProof/>
                <w:color w:val="000000"/>
                <w:sz w:val="18"/>
                <w:szCs w:val="18"/>
              </w:rPr>
              <w:t xml:space="preserve"> și publicarea evaluării pe site-ul Ministerului Științei și Inovării.  </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Evaluarea intermediară efectuată de comitetul de monitorizare a Strategiei spaniole pentru știință, tehnologie și inovare 2021-2027 se publică în decembrie 2023. Indicatorii care urmează să fie utilizați în evaluare sunt conveniți în</w:t>
            </w:r>
            <w:r>
              <w:rPr>
                <w:rFonts w:ascii="Times New Roman" w:hAnsi="Times New Roman"/>
                <w:i/>
                <w:noProof/>
                <w:color w:val="000000"/>
                <w:sz w:val="18"/>
                <w:szCs w:val="18"/>
              </w:rPr>
              <w:t xml:space="preserve"> Consejo de Política Científica, Tecnoló Gica y de Innovación</w:t>
            </w:r>
            <w:r>
              <w:rPr>
                <w:rFonts w:ascii="Times New Roman" w:hAnsi="Times New Roman"/>
                <w:noProof/>
                <w:color w:val="000000"/>
                <w:sz w:val="18"/>
                <w:szCs w:val="18"/>
              </w:rPr>
              <w:t xml:space="preserve"> (în care sunt reprezentate cele 17 comunități autonome), o listă orientativă a acestor indicatori și căutarea de date fiind stabilită în Strategia spaniolă pentru știință, tehnologie și inovare 2021-2027. Sistemul Știință, Tehnologie și Inovare este utilizat pentru a colecta date privind progresele înregistrate în punerea în aplicare a strategiei.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257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C17.R3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Intrarea în vigoare a Decretului regal privind reorganizarea organizațiilor publice de cercetare.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Dispoziția decretului regal privind intrarea în vigoare</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Decretului regal privind reorganizarea organizațiilor publice de cercetare (PROS). Aceasta vizează îmbunătățirea capacității de gestionare și de consiliere științifică a celor trei organizații de producători cu masă critică redusă prin integrarea într-un PRO mai mare, prin: i) îmbunătățirea poziției concurențiale a OPR rezultat, ii) creșterea eficienței acestora și iii) asigurarea flexibilității administrative.</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258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C17.I1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Acorduri semnate de Ministerul Științei și Inovării cu comunitățile autonome pentru punerea în aplicare a „planurilor complementare C &amp; D”.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Patru acorduri semnate de Ministerul Științei și Inovării cu comunitățile autonome pentru punerea în aplicare a „planurilor complementare C &amp; D” de cel puțin 140 000 000 EUR. Acordurile permit coordonarea strategică și sinergiile dintre strategiile regionale și naționale de specializare inteligentă.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259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C17.I2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Premii pentru proiecte de consolidare a infrastructurilor științifice naționale și a capacității sistemului spaniol de tehnologie științifică și inovare, precum și acorduri bilaterale semnate cu entități internaționale și alte instrumente de finanțare a proiectelor de infrastructură europeană și internațională.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EUR (milioane)</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300,2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954"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Publicarea în baza de date națională a subvențiilor a cel puțin 255 155 000 EUR pentru proiecte de consolidare a infrastructurilor științifice naționale, a capacității sistemului spaniol de tehnologie științifică și inovare și a acordurilor semnate cu entități internaționale și a altor instrumente de finanțare a proiectelor în valoare de cel puțin 45 000 000 EUR în domeniul infrastructurii europene și internaționale (CERN, dune, HKK, ESS-Lund, Harmony și SKA).</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260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C17.I2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Finalizarea tuturor proiectelor de consolidare a infrastructurilor științifice și a capacității sistemului spaniol de tehnologie științifică și inovare, inclusiv a proiectelor privind infrastructura europeană și internațională.</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100</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2026</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100 % din proiectele C &amp; I finalizate (buget total de 439 000 000 EUR) în conformitate cu obiectivul care vizează consolidarea infrastructurilor științifice și a capacității sistemului științific spaniol de tehnologie și inovare prin reînnoirea echipamentelor științifice, modernizarea instalației BSL3, crearea unei noi infrastructuri fitogenetice, echiparea CIEMAT (</w:t>
            </w:r>
            <w:r>
              <w:rPr>
                <w:rFonts w:ascii="Times New Roman" w:hAnsi="Times New Roman"/>
                <w:i/>
                <w:noProof/>
                <w:color w:val="000000"/>
                <w:sz w:val="18"/>
                <w:szCs w:val="18"/>
              </w:rPr>
              <w:t>Centro de Investigaciones Energéticas, Medioambientales y Tecnológicas</w:t>
            </w:r>
            <w:r>
              <w:rPr>
                <w:rFonts w:ascii="Times New Roman" w:hAnsi="Times New Roman"/>
                <w:noProof/>
                <w:color w:val="000000"/>
                <w:sz w:val="18"/>
                <w:szCs w:val="18"/>
              </w:rPr>
              <w:t xml:space="preserve">) cu infrastructura necesară pentru a realiza cercetarea în domeniul energiei din surse regenerabile (inclusiv în ceea ce privește hidrogenul și stocarea), precum și în vederea creării unui centru pentru optică avansată, precum și infrastructură C&amp;D în urma </w:t>
            </w:r>
            <w:r>
              <w:rPr>
                <w:rFonts w:ascii="Times New Roman" w:hAnsi="Times New Roman"/>
                <w:i/>
                <w:noProof/>
                <w:color w:val="000000"/>
                <w:sz w:val="18"/>
                <w:szCs w:val="18"/>
              </w:rPr>
              <w:t>Planes Estratégicos de Infrastructuras científicas y Técnicas Singulares</w:t>
            </w:r>
            <w:r>
              <w:rPr>
                <w:rFonts w:ascii="Times New Roman" w:hAnsi="Times New Roman"/>
                <w:noProof/>
                <w:color w:val="000000"/>
                <w:sz w:val="18"/>
                <w:szCs w:val="18"/>
              </w:rPr>
              <w:t xml:space="preserve"> și proiecte de sprijinire a infrastructurii europene și internaționale (CERN, DUNE, HKK, ESS-lund, Harmony și SKA).</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261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C17.I3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Atribuirea de noi proiecte private, interdisciplinare, publice de C &amp; D &amp; I, teste de concepție, cereri competitive internaționale și C &amp; D de vârf, adaptate provocărilor sociale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lang w:val="fr-BE" w:eastAsia="en-GB"/>
              </w:rPr>
            </w:pP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EUR (milioane)</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897</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Publicarea în JO a atribuirii unei sume de cel puțin 897 000 000 EUR în cadrul următoarelor cereri de propuneri: cerere de proiecte de validare a conceptului (80 000 000 EUR), cerere de proiecte interdisciplinare în linii strategice (73 000 000 EUR), cerere de proiecte C &amp; D legate de tranziția verde și digitală (296 000 000 EUR), cerere de proiecte de colaborare public-privat (140 000 000 EUR), cerere de C &amp; D pentru a viza provocările societale (230 000 000 EUR) și cerere de proiecte de colaborare internațională (78 000 000 EUR). Criteriile de selecție pentru cererea de propuneri asigură conformitatea cu Orientările tehnice privind principiul „de a nu prejudicia în mod semnificativ”(2021/C58/01), cu activitățile neselectate și nefinanțate, precum și cu legislația UE și națională relevantă în materie de mediu.</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262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C17.I3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Aprobarea proiectelor C &amp; I cu cel puțin 35 % legate de tranziția verde și digitală</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3 000</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Cel puțin 3 000 proiecte C &amp; I au fost aprobate cu cel puțin 35 % legate de tranziția verde și digitală, cu criterii de selecție care să asigure conformitatea cu Orientările tehnice privind principiul „de a nu prejudicia în mod semnificativ”(2021/C58/01), cu activitățile neselectate și nefinanțate, precum și cu legislația UE și națională relevantă în materie de mediu.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263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C17.I4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Sprijin pentru cariera în domeniul cercetării științifice prin burse și granturi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2 070</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Cariera spaniolă în domeniul cercetării științifice este consolidată prin sprijinul a cel puțin 2 070 de cercetători prin intermediul programului Juan de la Cierva Incorporation, al programului de formare Juan de la Cierva, al programului de doctorat industrial și al programului Torres Quevedo. În plus, cel puțin 750 de cercetători au primit un „pachet de întreprinderi nou înființate în domeniul cercetării” în cadrul contractului stabil, similar cu Tenure Track.</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264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C17.I4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Finalizarea bursei și a burselor pentru sprijinirea carierei spaniole în domeniul cercetării științifice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2 070</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2026</w:t>
            </w:r>
          </w:p>
        </w:tc>
        <w:tc>
          <w:tcPr>
            <w:tcW w:w="5954" w:type="dxa"/>
            <w:shd w:val="clear" w:color="auto" w:fill="C6EFCE"/>
            <w:noWrap/>
          </w:tcPr>
          <w:p>
            <w:pPr>
              <w:spacing w:after="0" w:line="240" w:lineRule="auto"/>
              <w:jc w:val="both"/>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Cariera spaniolă în domeniul cercetării științifice este consolidată de cel puțin 2070 de cercetători care au finalizat programul Juan de la Cierva Incorporation, programul de formare Juan de la Cierva, programul de doctorat industrial și programul Torres Quevedo.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265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C17.I5</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Întreprinderile inovatoare și bazate pe tehnologie au primit capital în cadrul programului INNVIERTE pentru a-și consolida activitățile de cercetare într-un stadiu incipient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45</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Pentru a promova transferul de tehnologie și a contribui la crearea unei structuri de afaceri inovatoare bazate pe tehnologii inovatoare, cel puțin 45 de întreprinderi inovatoare și bazate pe tehnologie au primit capital în cadrul programului INNVIERTE pentru a-și consolida activitățile de cercetare într-un stadiu incipient. Toate aceste societăți au beneficiat, de asemenea, de investiții din partea sectorului privat. În conformitate cu criteriile de selecție, proiectele din cadrul acestei investiții asigură conformitatea cu Orientările tehnice privind principiul „de a nu prejudicia în mod semnificativ”(2021/C58/01), cu activitățile neselectate și nefinanțate, precum și cu legislația UE și națională relevantă în materie de mediu.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266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C17.I5</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Sprijinirea întreprinderilor tinere bazate pe tehnologie pentru a-și continua planul de afaceri.</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348</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Prin cererile de granturi NEOTEC, să promoveze transferul de tehnologie și să contribuie la crearea de noi întreprinderi bazate pe tehnologii inovatoare:  Cel puțin 348 de noi întreprinderi bazate pe tehnologie au fost acordate pentru a-și continua planul de afaceri. Aceste societăți ar trebui să aibă o vechime de trei ani sau mai puțin și ar trebui să fie întreprinderi inovatoare, astfel cum sunt definite în RGECA. În conformitate cu criteriile de selecție, proiectele asigură conformitatea cu Orientările tehnice privind principiul „de a nu prejudicia în mod semnificativ”(2021/C58/01), cu activitățile neselectate și nefinanțate, precum și cu legislația UE și națională relevantă în materie de mediu.</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267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C17.I6</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Sprijin pentru proiecte de consolidare a capacităților strategice și internaționalizarea sistemului național de sănătate, proiecte legate de strategia de medicină personalizată de precizie și contribuția la un vehicul de investiții publice și private în terapii avansate.</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EUR (milioane)</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351,2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954"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Publicarea în JO a cel puțin 351 185 000 EUR atribuite:</w:t>
            </w:r>
            <w:r>
              <w:rPr>
                <w:rFonts w:ascii="Times New Roman" w:hAnsi="Times New Roman"/>
                <w:noProof/>
                <w:color w:val="000000"/>
                <w:sz w:val="18"/>
                <w:szCs w:val="18"/>
              </w:rPr>
              <w:br/>
              <w:t xml:space="preserve">* 174 000 000 EUR în proiecte de consolidare a capacităților strategice și internaționalizarea sistemului național de sănătate, inclusiv:  </w:t>
            </w:r>
            <w:r>
              <w:rPr>
                <w:rFonts w:ascii="Times New Roman" w:hAnsi="Times New Roman"/>
                <w:noProof/>
                <w:color w:val="000000"/>
                <w:sz w:val="18"/>
                <w:szCs w:val="18"/>
              </w:rPr>
              <w:br/>
              <w:t xml:space="preserve">- 80 000 000 EUR pentru premierea acțiunii strategice în domeniul sănătății </w:t>
            </w:r>
            <w:r>
              <w:rPr>
                <w:rFonts w:ascii="Times New Roman" w:hAnsi="Times New Roman"/>
                <w:noProof/>
                <w:color w:val="000000"/>
                <w:sz w:val="18"/>
                <w:szCs w:val="18"/>
              </w:rPr>
              <w:br/>
              <w:t>-75 000 000 EUR granturi pentru creșterea capacităților științifice ale centrelor de cercetare asociate sistemului național de sănătate și granturi pentru propuneri legate de finanțarea echipamentelor științifice și tehnice, inclusiv reînnoirea echipamentelor tehnico-științifice în uzură,</w:t>
            </w:r>
            <w:r>
              <w:rPr>
                <w:rFonts w:ascii="Times New Roman" w:hAnsi="Times New Roman"/>
                <w:noProof/>
                <w:color w:val="000000"/>
                <w:sz w:val="18"/>
                <w:szCs w:val="18"/>
              </w:rPr>
              <w:br/>
              <w:t>- 6 000 000 EUR pentru granturi pentru marca de excelență Instituto de Salud Carlos III;</w:t>
            </w:r>
            <w:r>
              <w:rPr>
                <w:rFonts w:ascii="Times New Roman" w:hAnsi="Times New Roman"/>
                <w:noProof/>
                <w:color w:val="000000"/>
                <w:sz w:val="18"/>
                <w:szCs w:val="18"/>
              </w:rPr>
              <w:br/>
              <w:t>- Granturi în valoare de 13 000 000 EUR pentru parteneriate public-privat pentru integrarea mediului GMP/GPL în grupurile de cercetare SNS, și anume granturi pentru internaționalizarea sistemului național de sănătate</w:t>
            </w:r>
            <w:r>
              <w:rPr>
                <w:rFonts w:ascii="Times New Roman" w:hAnsi="Times New Roman"/>
                <w:noProof/>
                <w:color w:val="000000"/>
                <w:sz w:val="18"/>
                <w:szCs w:val="18"/>
              </w:rPr>
              <w:br/>
              <w:t>* 140 500 000 EUR în proiecte legate de Strategia privind medicina personalizată, inclusiv:</w:t>
            </w:r>
            <w:r>
              <w:rPr>
                <w:rFonts w:ascii="Times New Roman" w:hAnsi="Times New Roman"/>
                <w:noProof/>
                <w:color w:val="000000"/>
                <w:sz w:val="18"/>
                <w:szCs w:val="18"/>
              </w:rPr>
              <w:br/>
              <w:t>- cerere de propuneri generale în valoare de 29 500 000 EUR privind medicina personalizată</w:t>
            </w:r>
            <w:r>
              <w:rPr>
                <w:rFonts w:ascii="Times New Roman" w:hAnsi="Times New Roman"/>
                <w:noProof/>
                <w:color w:val="000000"/>
                <w:sz w:val="18"/>
                <w:szCs w:val="18"/>
              </w:rPr>
              <w:br/>
              <w:t>- cerere de propuneri în valoare de 91 500 000 EUR pentru programe specifice privind medicina personalizată</w:t>
            </w:r>
            <w:r>
              <w:rPr>
                <w:rFonts w:ascii="Times New Roman" w:hAnsi="Times New Roman"/>
                <w:noProof/>
                <w:color w:val="000000"/>
                <w:sz w:val="18"/>
                <w:szCs w:val="18"/>
              </w:rPr>
              <w:br/>
              <w:t>- cerere de propuneri în valoare de 15 000 000 EUR pentru Planul privind terapiile personalizate și avansate</w:t>
            </w:r>
            <w:r>
              <w:rPr>
                <w:rFonts w:ascii="Times New Roman" w:hAnsi="Times New Roman"/>
                <w:noProof/>
                <w:color w:val="000000"/>
                <w:sz w:val="18"/>
                <w:szCs w:val="18"/>
              </w:rPr>
              <w:br/>
              <w:t>- cerere de propuneri în valoare de 4 500 000 EUR pentru internaționalizarea spaniolă a programelor de medicină personalizată</w:t>
            </w:r>
            <w:r>
              <w:rPr>
                <w:rFonts w:ascii="Times New Roman" w:hAnsi="Times New Roman"/>
                <w:noProof/>
                <w:color w:val="000000"/>
                <w:sz w:val="18"/>
                <w:szCs w:val="18"/>
              </w:rPr>
              <w:br/>
              <w:t>Măsurile pentru internaționalizarea măsurilor de medicină sprijină poziția Spaniei în sectorul european al sănătății prin încurajarea participării Spaniei la programul EU HEALTH și la programul Orizont Europa. Acesta permite finanțarea clusterelor de cercetare și inovare care fac parte din proiectele de programare transfrontalieră comună selectate pentru finanțare de către Orizont Europa și parteneriatele Orizont 2020, cum ar fi cofondul ERA-Net, inițiativele europene de programare comună (EJP) sau inițiativele de programare comună internațională (IPC), inițiativele instituite în temeiul articolului 187 și 185 din Tratatul privind funcționarea Uniunii Europene (TFUE) și parteneriatele stabilite în Programul-cadru Orizont Europa.</w:t>
            </w:r>
            <w:r>
              <w:rPr>
                <w:rFonts w:ascii="Times New Roman" w:hAnsi="Times New Roman"/>
                <w:noProof/>
                <w:color w:val="000000"/>
                <w:sz w:val="18"/>
                <w:szCs w:val="18"/>
              </w:rPr>
              <w:br/>
              <w:t>* Și cel puțin o contribuție de 36 685 000 EUR la un vehicul de investiții public-privat în terapii avansate.</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268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C17.I6</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Finalizarea tuturor proiectelor de consolidare a cercetării și inovării în sectorul sănătății.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100</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2026</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Finalizarea tuturor proiectelor în valoare totală de 527 126 000 EUR.</w:t>
            </w:r>
            <w:r>
              <w:rPr>
                <w:rFonts w:ascii="Times New Roman" w:hAnsi="Times New Roman"/>
                <w:noProof/>
                <w:color w:val="000000"/>
                <w:sz w:val="18"/>
                <w:szCs w:val="18"/>
              </w:rPr>
              <w:br/>
              <w:t>Proiecte atribuite, inclusiv următoarele cereri de propuneri:</w:t>
            </w:r>
            <w:r>
              <w:rPr>
                <w:rFonts w:ascii="Times New Roman" w:hAnsi="Times New Roman"/>
                <w:noProof/>
                <w:color w:val="000000"/>
                <w:sz w:val="18"/>
                <w:szCs w:val="18"/>
              </w:rPr>
              <w:br/>
              <w:t xml:space="preserve">* În ceea ce privește consolidarea capacităților strategice și internaționalizarea sistemului național de sănătate: </w:t>
            </w:r>
            <w:r>
              <w:rPr>
                <w:rFonts w:ascii="Times New Roman" w:hAnsi="Times New Roman"/>
                <w:noProof/>
                <w:color w:val="000000"/>
                <w:sz w:val="18"/>
                <w:szCs w:val="18"/>
              </w:rPr>
              <w:br/>
              <w:t xml:space="preserve"> - acțiunea strategică în domeniul sănătății</w:t>
            </w:r>
            <w:r>
              <w:rPr>
                <w:rFonts w:ascii="Times New Roman" w:hAnsi="Times New Roman"/>
                <w:noProof/>
                <w:color w:val="000000"/>
                <w:sz w:val="18"/>
                <w:szCs w:val="18"/>
              </w:rPr>
              <w:br/>
              <w:t>- proiecte de creștere a capacităților științifice ale centrelor de cercetare asociate sistemului național de sănătate,</w:t>
            </w:r>
            <w:r>
              <w:rPr>
                <w:rFonts w:ascii="Times New Roman" w:hAnsi="Times New Roman"/>
                <w:noProof/>
                <w:color w:val="000000"/>
                <w:sz w:val="18"/>
                <w:szCs w:val="18"/>
              </w:rPr>
              <w:br/>
              <w:t xml:space="preserve">- propuneri legate de finanțarea echipamentelor științifice și tehnice, inclusiv reînnoirea echipamentelor tehnico-științifice în obsolescență, </w:t>
            </w:r>
            <w:r>
              <w:rPr>
                <w:rFonts w:ascii="Times New Roman" w:hAnsi="Times New Roman"/>
                <w:noProof/>
                <w:color w:val="000000"/>
                <w:sz w:val="18"/>
                <w:szCs w:val="18"/>
              </w:rPr>
              <w:br/>
              <w:t xml:space="preserve">- proiecte pentru marca de excelență Instituto de Salud Carlos III; și </w:t>
            </w:r>
            <w:r>
              <w:rPr>
                <w:rFonts w:ascii="Times New Roman" w:hAnsi="Times New Roman"/>
                <w:noProof/>
                <w:color w:val="000000"/>
                <w:sz w:val="18"/>
                <w:szCs w:val="18"/>
              </w:rPr>
              <w:br/>
              <w:t>parteneriate public-privat pentru încorporarea mediului GMP/GPL în grupurile de cercetare SSR.</w:t>
            </w:r>
            <w:r>
              <w:rPr>
                <w:rFonts w:ascii="Times New Roman" w:hAnsi="Times New Roman"/>
                <w:noProof/>
                <w:color w:val="000000"/>
                <w:sz w:val="18"/>
                <w:szCs w:val="18"/>
              </w:rPr>
              <w:br/>
              <w:t>* În ceea ce privește Strategia privind medicina personalizată:</w:t>
            </w:r>
            <w:r>
              <w:rPr>
                <w:rFonts w:ascii="Times New Roman" w:hAnsi="Times New Roman"/>
                <w:noProof/>
                <w:color w:val="000000"/>
                <w:sz w:val="18"/>
                <w:szCs w:val="18"/>
              </w:rPr>
              <w:br/>
              <w:t xml:space="preserve"> - proiecte din cadrul apelului general pentru medicina personalizată</w:t>
            </w:r>
            <w:r>
              <w:rPr>
                <w:rFonts w:ascii="Times New Roman" w:hAnsi="Times New Roman"/>
                <w:noProof/>
                <w:color w:val="000000"/>
                <w:sz w:val="18"/>
                <w:szCs w:val="18"/>
              </w:rPr>
              <w:br/>
              <w:t xml:space="preserve"> - cerere de propuneri pentru Planul privind terapiile personalizate și avansate</w:t>
            </w:r>
            <w:r>
              <w:rPr>
                <w:rFonts w:ascii="Times New Roman" w:hAnsi="Times New Roman"/>
                <w:noProof/>
                <w:color w:val="000000"/>
                <w:sz w:val="18"/>
                <w:szCs w:val="18"/>
              </w:rPr>
              <w:br/>
              <w:t xml:space="preserve"> - cerere de propuneri pentru internaționalizarea spaniolă a programelor de medicină personalizată</w:t>
            </w:r>
            <w:r>
              <w:rPr>
                <w:rFonts w:ascii="Times New Roman" w:hAnsi="Times New Roman"/>
                <w:noProof/>
                <w:color w:val="000000"/>
                <w:sz w:val="18"/>
                <w:szCs w:val="18"/>
              </w:rPr>
              <w:br/>
              <w:t xml:space="preserve"> * Cel puțin 2 majorări de capital pentru efectuarea de studii clinice (fazele II și III) în medicamentele pentru terapiile avansate</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269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C17.I7</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Centrul C &amp; D de stocare a energiei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Construcție și echipare în centru</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Un centru C &amp; D de stocare a energiei este construit și echipat în Extremadura cu scopul de a stimula răspunsul tehnologic și științific la gestionarea producției de energie ecologică, în special în ceea ce privește aplicațiile pe bază de hidrogen industrial, precum și producția, stocarea și transportul hidrogenului ecologic. Centrul include instalații demonstrative experimentale pentru testarea și validarea soluțiilor de stocare a energiei. Acesta este echipat cu echipamentele științifice și tehnice necesare. În conformitate cu criteriile de selecție, proiectele din cadrul acestei investiții asigură conformitatea cu Orientările tehnice privind principiul „de a nu prejudicia în mod semnificativ”(2021/C58/01), cu activitățile neselectate și nefinanțate, precum și cu legislația UE și națională relevantă în materie de mediu.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270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C17.I8</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Sprijin pentru C &amp; D &amp; I proiecte în domeniul autovehiculelor durabile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35</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Cel puțin 35 de întreprinderi au primit proiecte de C &amp; D &amp; I în domeniul autovehiculelor durabile pentru a crește capacitatea tehnologică a întreprinderilor în domeniile legate de dezvoltarea unor sisteme de stocare a energiei cu emisii foarte scăzute și cu un grad ridicat de reciclare, sisteme de mobilitate pe bază de hidrogen de înaltă eficiență, conducerea autonomă și mobilitatea conectată sau adaptarea unor medii productive cu sisteme sigure și robuste de interacțiune om-mașină în mediul de producție inteligent. Proiectele asigură conformitatea cu Orientările tehnice privind principiul „de a nu prejudicia în mod semnificativ”(2021/C58/01), cu activitățile neselectate și nefinanțate, precum și cu legislația UE și națională relevantă în materie de mediu. Proiectele se referă la:</w:t>
            </w:r>
            <w:r>
              <w:rPr>
                <w:rFonts w:ascii="Times New Roman" w:hAnsi="Times New Roman"/>
                <w:noProof/>
                <w:color w:val="000000"/>
                <w:sz w:val="18"/>
                <w:szCs w:val="18"/>
              </w:rPr>
              <w:br/>
              <w:t>- dezvoltarea de componente și platforme exclusiv pentru vehiculele electrice, hibride reîncărcabile și pe bază de hidrogen</w:t>
            </w:r>
            <w:r>
              <w:rPr>
                <w:rFonts w:ascii="Times New Roman" w:hAnsi="Times New Roman"/>
                <w:noProof/>
                <w:color w:val="000000"/>
                <w:sz w:val="18"/>
                <w:szCs w:val="18"/>
              </w:rPr>
              <w:br/>
              <w:t xml:space="preserve">- încurajarea cercetării și dezvoltării în domeniul conducerii autonome și al mobilității conectate prin dezvoltarea de noi arhitecturi hardware și software </w:t>
            </w:r>
            <w:r>
              <w:rPr>
                <w:rFonts w:ascii="Times New Roman" w:hAnsi="Times New Roman"/>
                <w:noProof/>
                <w:color w:val="000000"/>
                <w:sz w:val="18"/>
                <w:szCs w:val="18"/>
              </w:rPr>
              <w:br/>
              <w:t>- adaptarea spațiilor de producție a componentelor și platformelor exclusiv pentru vehiculele electrice, hibride reîncărcabile și pe bază de hidrogen.</w:t>
            </w:r>
            <w:r>
              <w:rPr>
                <w:rFonts w:ascii="Times New Roman" w:hAnsi="Times New Roman"/>
                <w:noProof/>
                <w:color w:val="000000"/>
                <w:sz w:val="18"/>
                <w:szCs w:val="18"/>
              </w:rPr>
              <w:br/>
              <w:t>Proiectele sunt puse în aplicare de consorții de întreprinderi formate din trei până la opt întreprinderi (cel puțin una trebuie să fie IMM-uri), cu o durată maximă de trei ani și cu un buget minim de 5 000 000 EUR.</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271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C17.I9</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Sprijin pentru C &amp; D &amp; Proiecte de inovare în domeniul aerospațial, cu accent pe emisii scăzute și zero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65</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Cel puțin 65 de întreprinderi au primit C &amp; D &amp; Proiecte de inovare în domeniul aerospațial, cu accent pe emisii scăzute și zero, inclusiv investiții legate de tehnologiile aerospațiale și aeronautică, cu sprijin din Planul </w:t>
            </w:r>
            <w:r>
              <w:rPr>
                <w:rFonts w:ascii="Times New Roman" w:hAnsi="Times New Roman"/>
                <w:i/>
                <w:noProof/>
                <w:color w:val="000000"/>
                <w:sz w:val="18"/>
                <w:szCs w:val="18"/>
              </w:rPr>
              <w:t>Aeronáutica</w:t>
            </w:r>
            <w:r>
              <w:rPr>
                <w:rFonts w:ascii="Times New Roman" w:hAnsi="Times New Roman"/>
                <w:noProof/>
                <w:color w:val="000000"/>
                <w:sz w:val="18"/>
                <w:szCs w:val="18"/>
              </w:rPr>
              <w:t xml:space="preserve">. Proiectele sunt puse în aplicare de consorții de întreprinderi între 3 și 6 întreprinderi (cel puțin una trebuie să fie IMM-uri), cu o durată maximă de 3 ani. În conformitate cu criteriile de selecție, proiectele asigură conformitatea cu Orientările tehnice privind principiul „de a nu prejudicia în mod semnificativ”(2021/C58/01), cu activitățile neselectate și nefinanțate, precum și cu legislația UE și națională relevantă în materie de mediu.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272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C17.I9</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Finalizarea C &amp; D &amp; Proiecte de inovare în domeniul aerospațial, cu accent pe emisii scăzute și zero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65</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2026</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Cel puțin 65 de întreprinderi și-au finalizat C &amp; D &amp; Proiecte de inovare în domeniul aerospațial, cu accent pe emisii scăzute și zero, inclusiv investiții legate de tehnologiile aerospațiale și aeronautică, cu sprijin din Planul Aeronáutica. În conformitate cu criteriile de selecție, proiectele asigură conformitatea cu Orientările tehnice privind principiul „de a nu prejudicia în mod semnificativ”(2021/C58/01), cu activitățile neselectate și nefinanțate, precum și cu legislația UE și națională relevantă în materie de mediu.  </w:t>
            </w:r>
          </w:p>
        </w:tc>
      </w:tr>
    </w:tbl>
    <w:p>
      <w:pPr>
        <w:spacing w:before="120" w:after="120" w:line="240" w:lineRule="auto"/>
        <w:ind w:left="709"/>
        <w:jc w:val="both"/>
        <w:rPr>
          <w:rFonts w:ascii="Times New Roman" w:hAnsi="Times New Roman" w:cs="Times New Roman"/>
          <w:noProof/>
          <w:sz w:val="24"/>
        </w:rPr>
      </w:pPr>
    </w:p>
    <w:p>
      <w:pPr>
        <w:spacing w:before="120" w:after="120" w:line="240" w:lineRule="auto"/>
        <w:ind w:left="709"/>
        <w:jc w:val="both"/>
        <w:rPr>
          <w:rFonts w:ascii="Times New Roman" w:hAnsi="Times New Roman" w:cs="Times New Roman"/>
          <w:noProof/>
          <w:sz w:val="24"/>
          <w:szCs w:val="24"/>
        </w:rPr>
        <w:sectPr>
          <w:headerReference w:type="even" r:id="rId217"/>
          <w:headerReference w:type="default" r:id="rId218"/>
          <w:footerReference w:type="even" r:id="rId219"/>
          <w:footerReference w:type="default" r:id="rId220"/>
          <w:headerReference w:type="first" r:id="rId221"/>
          <w:footerReference w:type="first" r:id="rId222"/>
          <w:pgSz w:w="16839" w:h="11907" w:orient="landscape"/>
          <w:pgMar w:top="1417" w:right="1134" w:bottom="1417" w:left="1134" w:header="709" w:footer="709" w:gutter="0"/>
          <w:cols w:space="720"/>
          <w:docGrid w:linePitch="360"/>
        </w:sectPr>
      </w:pPr>
    </w:p>
    <w:p>
      <w:pPr>
        <w:pStyle w:val="Heading1"/>
        <w:rPr>
          <w:noProof/>
        </w:rPr>
      </w:pPr>
      <w:r>
        <w:rPr>
          <w:noProof/>
        </w:rPr>
        <w:t>R. COMPONENTA 18: Renovarea și extinderea capacităților sistemului național de sănătate</w:t>
      </w:r>
    </w:p>
    <w:p>
      <w:pPr>
        <w:spacing w:before="120" w:after="120" w:line="240" w:lineRule="auto"/>
        <w:jc w:val="both"/>
        <w:rPr>
          <w:rFonts w:ascii="Times New Roman" w:hAnsi="Times New Roman" w:cs="Times New Roman"/>
          <w:noProof/>
          <w:sz w:val="24"/>
        </w:rPr>
      </w:pPr>
      <w:r>
        <w:rPr>
          <w:rFonts w:ascii="Times New Roman" w:hAnsi="Times New Roman"/>
          <w:noProof/>
          <w:sz w:val="24"/>
        </w:rPr>
        <w:t>Criza sanitară a demonstrat forța sistemului național de sănătate din Spania, dar a evidențiat, de asemenea, dificultățile cu care se confruntă în abordarea situațiilor care necesită anticipare, reacție rapidă și coordonare, precum și necesitatea de a corecta problemele structurale existente legate de tendințele demografice, sociale, tehnologice sau economice. Această componentă a planului de redresare și reziliență al Spaniei abordează următoarele provocări: i) vulnerabilitatea la criza sanitară mondială, ii) transformarea sistemului de sănătate din cauza îmbătrânirii populației, iii) egalitatea de gen și iv) sustenabilitatea și reziliența pe termen lung a sistemului.</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Obiectivele acestei componente sunt: </w:t>
      </w:r>
    </w:p>
    <w:p>
      <w:pPr>
        <w:numPr>
          <w:ilvl w:val="0"/>
          <w:numId w:val="22"/>
        </w:numPr>
        <w:spacing w:before="120" w:after="120" w:line="240" w:lineRule="auto"/>
        <w:ind w:left="993" w:hanging="284"/>
        <w:jc w:val="both"/>
        <w:rPr>
          <w:rFonts w:ascii="Times New Roman" w:hAnsi="Times New Roman" w:cs="Times New Roman"/>
          <w:noProof/>
          <w:sz w:val="24"/>
        </w:rPr>
      </w:pPr>
      <w:r>
        <w:rPr>
          <w:rFonts w:ascii="Times New Roman" w:hAnsi="Times New Roman"/>
          <w:noProof/>
          <w:sz w:val="24"/>
        </w:rPr>
        <w:t>Să pregătească sistemul de sănătate pentru a preveni și a aborda potențialele amenințări la adresa sănătății la nivel mondial, cum ar fi actuala pandemie de COVID-19, prin creșterea capacităților de sănătate publică și a sistemelor de supraveghere epidemiologică.</w:t>
      </w:r>
    </w:p>
    <w:p>
      <w:pPr>
        <w:numPr>
          <w:ilvl w:val="0"/>
          <w:numId w:val="22"/>
        </w:numPr>
        <w:spacing w:before="120" w:after="120" w:line="240" w:lineRule="auto"/>
        <w:ind w:left="993" w:hanging="284"/>
        <w:jc w:val="both"/>
        <w:rPr>
          <w:rFonts w:ascii="Times New Roman" w:hAnsi="Times New Roman" w:cs="Times New Roman"/>
          <w:noProof/>
          <w:sz w:val="24"/>
        </w:rPr>
      </w:pPr>
      <w:r>
        <w:rPr>
          <w:rFonts w:ascii="Times New Roman" w:hAnsi="Times New Roman"/>
          <w:noProof/>
          <w:sz w:val="24"/>
        </w:rPr>
        <w:t>Furnizarea unui serviciu de sănătate cu cea mai mare viteză, calitate și securitate, indiferent de resursele pacienților, locul de reședință, sexul, originea sau vârsta acestora.</w:t>
      </w:r>
    </w:p>
    <w:p>
      <w:pPr>
        <w:numPr>
          <w:ilvl w:val="0"/>
          <w:numId w:val="22"/>
        </w:numPr>
        <w:spacing w:before="120" w:after="120" w:line="240" w:lineRule="auto"/>
        <w:ind w:left="993" w:hanging="284"/>
        <w:jc w:val="both"/>
        <w:rPr>
          <w:rFonts w:ascii="Times New Roman" w:hAnsi="Times New Roman" w:cs="Times New Roman"/>
          <w:noProof/>
          <w:sz w:val="24"/>
        </w:rPr>
      </w:pPr>
      <w:r>
        <w:rPr>
          <w:rFonts w:ascii="Times New Roman" w:hAnsi="Times New Roman"/>
          <w:noProof/>
          <w:sz w:val="24"/>
        </w:rPr>
        <w:t xml:space="preserve">Să mențină oamenii în centrul sistemului de sănătate, îmbunătățind participarea acestora și redefinind asistența medicală în funcție de nevoile oamenilor și ale comunităților. </w:t>
      </w:r>
    </w:p>
    <w:p>
      <w:pPr>
        <w:numPr>
          <w:ilvl w:val="0"/>
          <w:numId w:val="22"/>
        </w:numPr>
        <w:spacing w:before="120" w:after="120" w:line="240" w:lineRule="auto"/>
        <w:ind w:left="993" w:hanging="284"/>
        <w:jc w:val="both"/>
        <w:rPr>
          <w:rFonts w:ascii="Times New Roman" w:hAnsi="Times New Roman" w:cs="Times New Roman"/>
          <w:noProof/>
          <w:sz w:val="24"/>
        </w:rPr>
      </w:pPr>
      <w:r>
        <w:rPr>
          <w:rFonts w:ascii="Times New Roman" w:hAnsi="Times New Roman"/>
          <w:noProof/>
          <w:sz w:val="24"/>
        </w:rPr>
        <w:t>Asigurarea unor sisteme de informații care să măsoare nu numai activitatea, ci și rezultatele finale în materie de sănătate.</w:t>
      </w:r>
    </w:p>
    <w:p>
      <w:pPr>
        <w:numPr>
          <w:ilvl w:val="0"/>
          <w:numId w:val="22"/>
        </w:numPr>
        <w:spacing w:before="120" w:after="120" w:line="240" w:lineRule="auto"/>
        <w:ind w:left="993" w:hanging="284"/>
        <w:jc w:val="both"/>
        <w:rPr>
          <w:rFonts w:ascii="Times New Roman" w:hAnsi="Times New Roman" w:cs="Times New Roman"/>
          <w:noProof/>
          <w:sz w:val="24"/>
        </w:rPr>
      </w:pPr>
      <w:r>
        <w:rPr>
          <w:rFonts w:ascii="Times New Roman" w:hAnsi="Times New Roman"/>
          <w:noProof/>
          <w:sz w:val="24"/>
        </w:rPr>
        <w:t>Promovarea activă a sănătății și bunăstării și prevenirea bolilor și a dependenței pe tot parcursul vieții.</w:t>
      </w:r>
    </w:p>
    <w:p>
      <w:pPr>
        <w:numPr>
          <w:ilvl w:val="0"/>
          <w:numId w:val="22"/>
        </w:numPr>
        <w:spacing w:before="120" w:after="120" w:line="240" w:lineRule="auto"/>
        <w:ind w:left="993" w:hanging="284"/>
        <w:jc w:val="both"/>
        <w:rPr>
          <w:rFonts w:ascii="Times New Roman" w:hAnsi="Times New Roman" w:cs="Times New Roman"/>
          <w:noProof/>
          <w:sz w:val="24"/>
        </w:rPr>
      </w:pPr>
      <w:r>
        <w:rPr>
          <w:rFonts w:ascii="Times New Roman" w:hAnsi="Times New Roman"/>
          <w:noProof/>
          <w:sz w:val="24"/>
        </w:rPr>
        <w:t>Atragerea și păstrarea celor mai buni profesioniști care le oferă oportunități de dezvoltare individuală și colectivă.</w:t>
      </w:r>
    </w:p>
    <w:p>
      <w:pPr>
        <w:numPr>
          <w:ilvl w:val="0"/>
          <w:numId w:val="22"/>
        </w:numPr>
        <w:spacing w:before="120" w:after="120" w:line="240" w:lineRule="auto"/>
        <w:ind w:left="993" w:hanging="284"/>
        <w:jc w:val="both"/>
        <w:rPr>
          <w:rFonts w:ascii="Times New Roman" w:hAnsi="Times New Roman" w:cs="Times New Roman"/>
          <w:noProof/>
          <w:sz w:val="24"/>
        </w:rPr>
      </w:pPr>
      <w:r>
        <w:rPr>
          <w:rFonts w:ascii="Times New Roman" w:hAnsi="Times New Roman"/>
          <w:noProof/>
          <w:sz w:val="24"/>
        </w:rPr>
        <w:t>Trecerea la un sistem național de sănătate digitalizat, care generează informații și cunoștințe și care consolidează cercetarea și inovarea în domeniul sănătății, ca motor al creării de locuri de muncă, al creșterii economice, al productivității și al inovării.</w:t>
      </w:r>
    </w:p>
    <w:p>
      <w:pPr>
        <w:numPr>
          <w:ilvl w:val="0"/>
          <w:numId w:val="22"/>
        </w:numPr>
        <w:spacing w:before="120" w:after="120" w:line="240" w:lineRule="auto"/>
        <w:ind w:left="993" w:hanging="284"/>
        <w:jc w:val="both"/>
        <w:rPr>
          <w:rFonts w:ascii="Times New Roman" w:hAnsi="Times New Roman" w:cs="Times New Roman"/>
          <w:noProof/>
          <w:sz w:val="24"/>
        </w:rPr>
      </w:pPr>
      <w:r>
        <w:rPr>
          <w:rFonts w:ascii="Times New Roman" w:hAnsi="Times New Roman"/>
          <w:noProof/>
          <w:sz w:val="24"/>
        </w:rPr>
        <w:t>Asigurarea unei finanțări adecvate și durabile pentru a aborda noile provocări în materie de sănătate ale unei societăți moderne și dezvoltate și, de asemenea, pentru a asigura eficiența cheltuielilor.</w:t>
      </w:r>
    </w:p>
    <w:p>
      <w:pPr>
        <w:numPr>
          <w:ilvl w:val="0"/>
          <w:numId w:val="22"/>
        </w:numPr>
        <w:spacing w:before="120" w:after="120" w:line="240" w:lineRule="auto"/>
        <w:ind w:left="993" w:hanging="284"/>
        <w:jc w:val="both"/>
        <w:rPr>
          <w:rFonts w:ascii="Times New Roman" w:hAnsi="Times New Roman" w:cs="Times New Roman"/>
          <w:noProof/>
          <w:sz w:val="24"/>
        </w:rPr>
      </w:pPr>
      <w:r>
        <w:rPr>
          <w:rFonts w:ascii="Times New Roman" w:hAnsi="Times New Roman"/>
          <w:noProof/>
          <w:sz w:val="24"/>
        </w:rPr>
        <w:t>Consolidarea și dezvoltarea coordonării și a guvernanței pe mai multe niveluri în gestionarea sistemului național de sănătate și consolidarea coeziunii teritoriale. Promovarea activă a strategiilor de realizare a egalității de gen în sistemul de sănătate.</w:t>
      </w:r>
    </w:p>
    <w:p>
      <w:pPr>
        <w:spacing w:before="120" w:after="120" w:line="240" w:lineRule="auto"/>
        <w:jc w:val="both"/>
        <w:rPr>
          <w:rFonts w:ascii="Times New Roman" w:hAnsi="Times New Roman" w:cs="Times New Roman"/>
          <w:noProof/>
          <w:sz w:val="24"/>
        </w:rPr>
      </w:pPr>
      <w:r>
        <w:rPr>
          <w:rFonts w:ascii="Times New Roman" w:hAnsi="Times New Roman"/>
          <w:noProof/>
          <w:sz w:val="24"/>
        </w:rPr>
        <w:t>Această componentă a planului de redresare și reziliență al Spaniei sprijină abordarea recomandărilor specifice fiecărei țări privind combaterea eficace a pandemiei și consolidarea capacității și a rezilienței sistemului de sănătate în ceea ce privește lucrătorii din domeniul sănătății și produsele și infrastructura medicală esențială (recomandarea specifică țării 1 2020) și sprijinirea ocupării forței de muncă prin măsuri de menținere a locurilor de muncă, stimulente eficace pentru angajare și dezvoltarea competențelor (recomandarea specifică țării 2 din 2020).</w:t>
      </w:r>
    </w:p>
    <w:p>
      <w:pPr>
        <w:spacing w:before="120" w:after="120" w:line="240" w:lineRule="auto"/>
        <w:jc w:val="both"/>
        <w:rPr>
          <w:rFonts w:ascii="Times New Roman" w:hAnsi="Times New Roman" w:cs="Times New Roman"/>
          <w:noProof/>
          <w:sz w:val="24"/>
        </w:rPr>
      </w:pPr>
      <w:r>
        <w:rPr>
          <w:rFonts w:ascii="Times New Roman" w:hAnsi="Times New Roman"/>
          <w:noProof/>
          <w:color w:val="000000" w:themeColor="text1"/>
          <w:sz w:val="24"/>
          <w:szCs w:val="24"/>
        </w:rPr>
        <w:t>Se preconizează că nicio măsură din cadrul acestei componente nu aduce prejudicii semnificative obiectivelor de mediu în sensul articolului 17 din Regulamentul (UE) 2020/852, ținând seama de descrierea măsurilor și a măsurilor de atenuare stabilite în planul de redresare și reziliență în conformitate cu Orientările tehnice DNSH (2021/C58/01).</w:t>
      </w:r>
    </w:p>
    <w:p>
      <w:pPr>
        <w:keepNext/>
        <w:spacing w:before="120" w:after="120" w:line="240" w:lineRule="auto"/>
        <w:jc w:val="both"/>
        <w:rPr>
          <w:rFonts w:ascii="Times New Roman" w:hAnsi="Times New Roman" w:cs="Times New Roman"/>
          <w:b/>
          <w:i/>
          <w:noProof/>
          <w:color w:val="4F81BD" w:themeColor="accent1"/>
          <w:sz w:val="24"/>
        </w:rPr>
      </w:pPr>
      <w:r>
        <w:rPr>
          <w:rFonts w:ascii="Times New Roman" w:hAnsi="Times New Roman"/>
          <w:b/>
          <w:bCs/>
          <w:noProof/>
          <w:sz w:val="24"/>
          <w:u w:val="single"/>
        </w:rPr>
        <w:t xml:space="preserve">R.1. </w:t>
      </w:r>
      <w:r>
        <w:rPr>
          <w:rFonts w:ascii="Times New Roman" w:hAnsi="Times New Roman"/>
          <w:b/>
          <w:noProof/>
          <w:sz w:val="24"/>
          <w:u w:val="single"/>
        </w:rPr>
        <w:tab/>
      </w:r>
      <w:r>
        <w:rPr>
          <w:rFonts w:ascii="Times New Roman" w:hAnsi="Times New Roman"/>
          <w:b/>
          <w:bCs/>
          <w:noProof/>
          <w:sz w:val="24"/>
          <w:u w:val="single"/>
        </w:rPr>
        <w:t>Descrierea reformelor și a investițiilor pentru care se prevede acordarea sprijinului financiar nerambursabil</w:t>
      </w:r>
    </w:p>
    <w:p>
      <w:pPr>
        <w:keepNext/>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Reforma 1 (C18.R1) - Consolidarea asistenței medicale primare și comunitare</w:t>
      </w:r>
    </w:p>
    <w:p>
      <w:pPr>
        <w:keepNext/>
        <w:spacing w:before="120" w:after="120" w:line="240" w:lineRule="auto"/>
        <w:jc w:val="both"/>
        <w:rPr>
          <w:rFonts w:ascii="Times New Roman" w:hAnsi="Times New Roman" w:cs="Times New Roman"/>
          <w:noProof/>
          <w:sz w:val="24"/>
        </w:rPr>
      </w:pPr>
      <w:r>
        <w:rPr>
          <w:rFonts w:ascii="Times New Roman" w:hAnsi="Times New Roman"/>
          <w:noProof/>
          <w:sz w:val="24"/>
        </w:rPr>
        <w:t>Consolidarea asistenței medicale primare este una dintre cele mai importante provocări în materie de sănătate cu care se confruntă Spania în următorii ani. Obiectivele acestei reforme sunt de a oferi răspunsuri mai bune la problemele de sănătate emergente, de a îmbunătăți experiența individuală în materie de îngrijire pentru toți, de a preveni bolile și de a spori rolul asistenței medicale primare.</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Reforma constă în pregătirea și punerea în aplicare a unui plan de acțiune pentru dezvoltarea cadrului strategic pentru consolidarea îngrijirii primare și comunitare adoptat de guvernul central și de comunitățile autonome în 2019. Planul de acțiune este structurat în jurul unor linii de acțiune în care trebuie încadrată execuția regională a proiectelor. Aceasta include îmbunătățirea proceselor de gestionare clinică, extinderea și reînnoirea echipamentelor de diagnosticare în centrele de sănătate, dezvoltarea IT, formarea profesioniștilor sau îmbunătățirea infrastructurilor centrelor de sănătate și ale serviciilor de sănătate și de urgență. Planul de acțiune este aprobat de Consiliul interteritorial. Punerea sa în aplicare nu va fi finanțată prin Planul de redresare și reziliență.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Punerea în aplicare a măsurii se finalizează până la 31 decembrie 2023.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Reforma 2 (C18.R2) - Reforma sistemului de sănătate publică</w:t>
      </w:r>
    </w:p>
    <w:p>
      <w:pPr>
        <w:spacing w:before="120" w:after="120" w:line="240" w:lineRule="auto"/>
        <w:jc w:val="both"/>
        <w:rPr>
          <w:rFonts w:ascii="Times New Roman" w:hAnsi="Times New Roman" w:cs="Times New Roman"/>
          <w:noProof/>
          <w:sz w:val="24"/>
        </w:rPr>
      </w:pPr>
      <w:r>
        <w:rPr>
          <w:rFonts w:ascii="Times New Roman" w:hAnsi="Times New Roman"/>
          <w:noProof/>
          <w:sz w:val="24"/>
        </w:rPr>
        <w:t>Reforma are ca obiectiv stabilirea unui cadru general și integrat pentru asigurarea sănătății publice. Acesta constă în dezvoltarea unui sistem de sănătate publică mai ambițios, mai integrat și mai bine articulat, prin intermediul următoarelor acțiuni:</w:t>
      </w:r>
    </w:p>
    <w:p>
      <w:pPr>
        <w:spacing w:before="120" w:after="120" w:line="240" w:lineRule="auto"/>
        <w:ind w:left="850" w:hanging="425"/>
        <w:jc w:val="both"/>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O strategie în domeniul sănătății publice care stabilește un cadru general și integrat care va fi luat în considerare în toate politicile de sănătate publică și are o durată de cinci ani, cu evaluări intermediare din doi în doi ani în care se analizează gradul de punere în aplicare.</w:t>
      </w:r>
      <w:r>
        <w:rPr>
          <w:rFonts w:ascii="Times New Roman" w:hAnsi="Times New Roman"/>
          <w:noProof/>
          <w:color w:val="000000" w:themeColor="text1"/>
          <w:sz w:val="18"/>
          <w:szCs w:val="18"/>
        </w:rPr>
        <w:t xml:space="preserve"> </w:t>
      </w:r>
      <w:r>
        <w:rPr>
          <w:rFonts w:ascii="Times New Roman" w:hAnsi="Times New Roman"/>
          <w:noProof/>
          <w:sz w:val="24"/>
        </w:rPr>
        <w:t>Strategia se aprobă cu acordul Consiliului Interteritorial al Sistemului Național de Sănătate.</w:t>
      </w:r>
    </w:p>
    <w:p>
      <w:pPr>
        <w:spacing w:before="120" w:after="120" w:line="240" w:lineRule="auto"/>
        <w:ind w:left="850" w:hanging="425"/>
        <w:jc w:val="both"/>
        <w:rPr>
          <w:rFonts w:ascii="Times New Roman" w:hAnsi="Times New Roman" w:cs="Times New Roman"/>
          <w:noProof/>
          <w:sz w:val="24"/>
          <w:szCs w:val="24"/>
        </w:rPr>
      </w:pPr>
      <w:r>
        <w:rPr>
          <w:rFonts w:ascii="Times New Roman" w:hAnsi="Times New Roman"/>
          <w:noProof/>
          <w:sz w:val="24"/>
          <w:szCs w:val="24"/>
        </w:rPr>
        <w:t>-</w:t>
      </w:r>
      <w:r>
        <w:rPr>
          <w:rFonts w:ascii="Times New Roman" w:hAnsi="Times New Roman"/>
          <w:noProof/>
          <w:sz w:val="24"/>
        </w:rPr>
        <w:tab/>
      </w:r>
      <w:r>
        <w:rPr>
          <w:rFonts w:ascii="Times New Roman" w:hAnsi="Times New Roman"/>
          <w:noProof/>
          <w:sz w:val="24"/>
          <w:szCs w:val="24"/>
        </w:rPr>
        <w:t>O rețea de supraveghere a sănătății publice și un nou Centru de stat pentru sănătate publică, care vor fi înființate prin lege sau printr-un decret regal al guvernului.</w:t>
      </w:r>
    </w:p>
    <w:p>
      <w:pPr>
        <w:spacing w:before="120" w:after="120" w:line="240" w:lineRule="auto"/>
        <w:jc w:val="both"/>
        <w:rPr>
          <w:rFonts w:ascii="Times New Roman" w:hAnsi="Times New Roman" w:cs="Times New Roman"/>
          <w:noProof/>
          <w:sz w:val="24"/>
        </w:rPr>
      </w:pPr>
      <w:r>
        <w:rPr>
          <w:rFonts w:ascii="Times New Roman" w:hAnsi="Times New Roman"/>
          <w:noProof/>
          <w:sz w:val="24"/>
        </w:rPr>
        <w:t>Punerea în aplicare a măsurii se finalizează până la 31 decembrie 2023.</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Reforma 3 (C18. R3) - Consolidarea coeziunii, echității și universalității</w:t>
      </w:r>
    </w:p>
    <w:p>
      <w:pPr>
        <w:spacing w:before="120" w:after="120" w:line="240" w:lineRule="auto"/>
        <w:jc w:val="both"/>
        <w:rPr>
          <w:rFonts w:ascii="Times New Roman" w:hAnsi="Times New Roman" w:cs="Times New Roman"/>
          <w:noProof/>
          <w:sz w:val="24"/>
        </w:rPr>
      </w:pPr>
      <w:r>
        <w:rPr>
          <w:rFonts w:ascii="Times New Roman" w:hAnsi="Times New Roman"/>
          <w:noProof/>
          <w:sz w:val="24"/>
        </w:rPr>
        <w:t>Scopul acestei reforme este de a consolida în continuare accesul la asistență medicală universală în Spania, egalitatea în ceea ce privește accesul la asistență medicală și coeziunea în domeniul asistenței medicale între diferitele teritorii ale țării. Reforma constă în trei piloni:</w:t>
      </w:r>
    </w:p>
    <w:p>
      <w:pPr>
        <w:spacing w:before="120" w:after="120" w:line="240" w:lineRule="auto"/>
        <w:ind w:left="850" w:hanging="425"/>
        <w:jc w:val="both"/>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Legea privind echitatea, universalitatea și coeziunea sistemului național de sănătate. Obiectivele legii sunt: i) asigurarea accesului la asistență medicală pentru toți, ii) integrarea reprezentanților pacienților în organismele de guvernanță ale Sistemului Național de Sănătate din Spania, iii) limitarea utilizării noilor coplăți, iv) modificarea definiției prestațiilor sociale și de sănătate în portofoliul de servicii al sistemului național de sănătate, v) asigurarea coordonării între autoritățile sanitare și cele sociale, vi) introducerea unei evaluări a impactului pentru toate modificările de reglementare din domeniu și vii) reformarea utilizării produselor farmaceutice în sistemul național de sănătate. Această lege este însoțită de o evaluare aprofundată a impactului care analizează, de asemenea, efectele sale asupra sustenabilității pe termen lung a finanțelor publice și este făcută publică.</w:t>
      </w:r>
    </w:p>
    <w:p>
      <w:pPr>
        <w:spacing w:before="120" w:after="120" w:line="240" w:lineRule="auto"/>
        <w:ind w:left="850" w:hanging="425"/>
        <w:jc w:val="both"/>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 xml:space="preserve">Reorientarea asistenței medicale extrem de complexe în sistemul de sănătate prin consolidarea și dezvoltarea rețelei de puncte focale (DST) și prin reordonarea serviciilor de îngrijire non-CSUR extrem de complexe. </w:t>
      </w:r>
    </w:p>
    <w:p>
      <w:pPr>
        <w:spacing w:before="120" w:after="120" w:line="240" w:lineRule="auto"/>
        <w:ind w:left="850" w:hanging="425"/>
        <w:jc w:val="both"/>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Creșterea portofoliului comun de servicii de sănătate publică. Această reformă va extinde și va îmbunătăți serviciile din portofoliul comun în ceea ce privește asistența stomatologică, medicina genomică, îngrijirea ortopedică și protetică și îngrijirea preventivă.</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Punerea în aplicare a măsurii se finalizează până la 31 decembrie 2023.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Reforma 4 (C18. R4) - Consolidarea competențelor profesionale și reducerea ocupării temporare a forței de muncă</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Scopul reformei este de a aborda deficitul de asistenți medicali și de asistenți medicali, de a reduce utilizarea contractelor temporare, de a îmbunătăți condițiile de muncă și de a îmbunătăți formarea și dezvoltarea profesională. </w:t>
      </w:r>
    </w:p>
    <w:p>
      <w:pPr>
        <w:spacing w:before="120" w:after="120" w:line="240" w:lineRule="auto"/>
        <w:jc w:val="both"/>
        <w:rPr>
          <w:rFonts w:ascii="Times New Roman" w:hAnsi="Times New Roman" w:cs="Times New Roman"/>
          <w:noProof/>
          <w:sz w:val="24"/>
        </w:rPr>
      </w:pPr>
      <w:r>
        <w:rPr>
          <w:rFonts w:ascii="Times New Roman" w:hAnsi="Times New Roman"/>
          <w:noProof/>
          <w:sz w:val="24"/>
        </w:rPr>
        <w:t>Reforma vizează două domenii:</w:t>
      </w:r>
    </w:p>
    <w:p>
      <w:pPr>
        <w:numPr>
          <w:ilvl w:val="0"/>
          <w:numId w:val="86"/>
        </w:numPr>
        <w:spacing w:before="120" w:after="160" w:line="259" w:lineRule="auto"/>
        <w:ind w:left="1134" w:hanging="425"/>
        <w:jc w:val="both"/>
        <w:rPr>
          <w:rFonts w:ascii="Times New Roman" w:hAnsi="Times New Roman" w:cs="Times New Roman"/>
          <w:noProof/>
          <w:sz w:val="24"/>
          <w:szCs w:val="24"/>
        </w:rPr>
      </w:pPr>
      <w:r>
        <w:rPr>
          <w:rFonts w:ascii="Times New Roman" w:hAnsi="Times New Roman"/>
          <w:noProof/>
          <w:sz w:val="24"/>
          <w:szCs w:val="24"/>
        </w:rPr>
        <w:t>Modificarea legii care reglementează lucrătorii din domeniul sănătății în Spania (statut cadru) pentru a reduce locurile de muncă temporare, pentru a asigura ocuparea unor posturi în anumite zone geografice insuficient deservite prin măsuri de stimulare, pentru a îmbunătăți mediul și condițiile de muncă prin măsuri care contribuie la dezvoltarea profesională și la păstrarea talentelor în sistemul spaniol, cu îmbunătățiri nu numai în ceea ce privește condițiile economice, ci și prin deschiderea posibilităților de predare și cercetare. În procesul de modificare a legii se întocmește un raport cu privire la impactul economic al acesteia și, în special, cu privire la efectele pe termen lung ale Legii privind sustenabilitatea finanțelor publice.</w:t>
      </w:r>
    </w:p>
    <w:p>
      <w:pPr>
        <w:numPr>
          <w:ilvl w:val="0"/>
          <w:numId w:val="86"/>
        </w:numPr>
        <w:spacing w:before="120" w:after="160" w:line="259" w:lineRule="auto"/>
        <w:ind w:left="1134" w:hanging="425"/>
        <w:contextualSpacing/>
        <w:jc w:val="both"/>
        <w:rPr>
          <w:rFonts w:ascii="Times New Roman" w:hAnsi="Times New Roman" w:cs="Times New Roman"/>
          <w:noProof/>
        </w:rPr>
      </w:pPr>
      <w:r>
        <w:rPr>
          <w:rFonts w:ascii="Times New Roman" w:hAnsi="Times New Roman"/>
          <w:noProof/>
          <w:sz w:val="24"/>
          <w:szCs w:val="24"/>
        </w:rPr>
        <w:t>Intrarea în vigoare a Decretului-lege regal pentru îmbunătățirea sistemului de formare specializată în domeniul sănătății. Legea reglementează formarea transversală în specializări în domeniul științelor sănătății, domenii specifice de formare și procedura de validare și recunoaștere a calificărilor de specialitate în științele sănătății.</w:t>
      </w:r>
    </w:p>
    <w:p>
      <w:pPr>
        <w:spacing w:before="120" w:after="160" w:line="259" w:lineRule="auto"/>
        <w:ind w:left="1134"/>
        <w:contextualSpacing/>
        <w:jc w:val="both"/>
        <w:rPr>
          <w:rFonts w:ascii="Times New Roman" w:hAnsi="Times New Roman" w:cs="Times New Roman"/>
          <w:noProof/>
        </w:rPr>
      </w:pP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Această reformă este legată de reforma 1 din cadrul componentei 11 (C11.R1). </w:t>
      </w:r>
    </w:p>
    <w:p>
      <w:pPr>
        <w:spacing w:before="120" w:after="120" w:line="240" w:lineRule="auto"/>
        <w:jc w:val="both"/>
        <w:rPr>
          <w:rFonts w:ascii="Times New Roman" w:hAnsi="Times New Roman" w:cs="Times New Roman"/>
          <w:noProof/>
          <w:sz w:val="24"/>
        </w:rPr>
      </w:pPr>
      <w:r>
        <w:rPr>
          <w:rFonts w:ascii="Times New Roman" w:hAnsi="Times New Roman"/>
          <w:noProof/>
          <w:sz w:val="24"/>
        </w:rPr>
        <w:t>Punerea în aplicare a măsurii se finalizează până la 31 decembrie 2023.</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Reforma 5 (C18.R5) - Reforma reglementărilor privind medicamentele și îmbunătățirea accesului la medicamente</w:t>
      </w:r>
    </w:p>
    <w:p>
      <w:pPr>
        <w:spacing w:before="120" w:after="120" w:line="240" w:lineRule="auto"/>
        <w:jc w:val="both"/>
        <w:rPr>
          <w:rFonts w:ascii="Times New Roman" w:hAnsi="Times New Roman" w:cs="Times New Roman"/>
          <w:bCs/>
          <w:noProof/>
          <w:sz w:val="24"/>
        </w:rPr>
      </w:pPr>
      <w:r>
        <w:rPr>
          <w:rFonts w:ascii="Times New Roman" w:hAnsi="Times New Roman"/>
          <w:noProof/>
          <w:sz w:val="24"/>
        </w:rPr>
        <w:t xml:space="preserve">Obiectivul principal al acestei reforme este de a actualiza cadrul de reglementare spaniol pentru medicamente și dispozitive medicale prin modificarea Legii privind garanțiile și utilizarea rațională a medicamentelor și a dispozitivelor medicale (Decretul regal legislativ 1/2015 din 24 iulie), care este legislația care stabilește în prezent cadrul de reglementare relevant în Spania. </w:t>
      </w:r>
      <w:r>
        <w:rPr>
          <w:rFonts w:ascii="Times New Roman" w:hAnsi="Times New Roman"/>
          <w:bCs/>
          <w:noProof/>
          <w:sz w:val="24"/>
        </w:rPr>
        <w:t xml:space="preserve">În special, sistemul trebuie să fie adaptat pentru a face față noilor evoluții științifice perturbatoare, pentru a aprofunda măsurile de raționalizare a cheltuielilor cu produsele farmaceutice, pentru a stimula utilizarea rațională a medicamentelor și pentru a face schimbări având în vedere experiența acumulată în timpul pandemiei. În procesul de elaborare a legii, se elaborează rapoarte cu privire la impactul economic al acesteia și, în special, cu privire la efectele pe termen lung ale Legii privind sustenabilitatea finanțelor publice. </w:t>
      </w:r>
    </w:p>
    <w:p>
      <w:pPr>
        <w:spacing w:before="120" w:after="120" w:line="240" w:lineRule="auto"/>
        <w:jc w:val="both"/>
        <w:rPr>
          <w:rFonts w:ascii="Times New Roman" w:hAnsi="Times New Roman" w:cs="Times New Roman"/>
          <w:noProof/>
          <w:sz w:val="24"/>
        </w:rPr>
      </w:pPr>
      <w:r>
        <w:rPr>
          <w:rFonts w:ascii="Times New Roman" w:hAnsi="Times New Roman"/>
          <w:noProof/>
          <w:sz w:val="24"/>
        </w:rPr>
        <w:t>Punerea în aplicare a măsurii se finalizează până la 31 decembrie 2022.</w:t>
      </w:r>
    </w:p>
    <w:p>
      <w:pPr>
        <w:keepNext/>
        <w:spacing w:before="120" w:after="120" w:line="240" w:lineRule="auto"/>
        <w:jc w:val="both"/>
        <w:rPr>
          <w:rFonts w:ascii="Times New Roman" w:hAnsi="Times New Roman" w:cs="Times New Roman"/>
          <w:bCs/>
          <w:noProof/>
          <w:sz w:val="24"/>
          <w:u w:val="single"/>
        </w:rPr>
      </w:pPr>
      <w:r>
        <w:rPr>
          <w:rFonts w:ascii="Times New Roman" w:hAnsi="Times New Roman"/>
          <w:bCs/>
          <w:noProof/>
          <w:sz w:val="24"/>
          <w:u w:val="single"/>
        </w:rPr>
        <w:t>Investiția 1 (C18.I1) - Plan de investiții pentru echipamente de înaltă tehnologie în sistemul național de sănătate</w:t>
      </w:r>
    </w:p>
    <w:p>
      <w:pPr>
        <w:keepNext/>
        <w:spacing w:before="120" w:after="120" w:line="240" w:lineRule="auto"/>
        <w:jc w:val="both"/>
        <w:rPr>
          <w:rFonts w:ascii="Times New Roman" w:hAnsi="Times New Roman" w:cs="Times New Roman"/>
          <w:bCs/>
          <w:noProof/>
          <w:sz w:val="24"/>
        </w:rPr>
      </w:pPr>
      <w:r>
        <w:rPr>
          <w:rFonts w:ascii="Times New Roman" w:hAnsi="Times New Roman"/>
          <w:bCs/>
          <w:noProof/>
          <w:sz w:val="24"/>
        </w:rPr>
        <w:t>Spania are un nivel de obsolescență a echipamentelor mai ridicat decât media europeană și un nivel mediu mai scăzut de densitate a echipamentelor pe cap de locuitor, dar cu unele excepții, cum ar fi scanerele IRM. Distribuția geografică a echipamentelor este, de asemenea, dezechilibrată. Obiectivul acestei investiții este de a reînnoi echipamentele existente și de a furniza Spaniei echipamente medicale suplimentare de înaltă tehnologie.</w:t>
      </w:r>
    </w:p>
    <w:p>
      <w:pPr>
        <w:spacing w:before="120" w:after="120" w:line="240" w:lineRule="auto"/>
        <w:jc w:val="both"/>
        <w:rPr>
          <w:rFonts w:ascii="Times New Roman" w:hAnsi="Times New Roman" w:cs="Times New Roman"/>
          <w:bCs/>
          <w:noProof/>
          <w:sz w:val="24"/>
        </w:rPr>
      </w:pPr>
      <w:r>
        <w:rPr>
          <w:rFonts w:ascii="Times New Roman" w:hAnsi="Times New Roman"/>
          <w:bCs/>
          <w:noProof/>
          <w:sz w:val="24"/>
        </w:rPr>
        <w:t>Investiția acoperă:</w:t>
      </w:r>
    </w:p>
    <w:p>
      <w:pPr>
        <w:spacing w:before="120" w:after="120" w:line="240" w:lineRule="auto"/>
        <w:ind w:left="709"/>
        <w:jc w:val="both"/>
        <w:rPr>
          <w:rFonts w:ascii="Times New Roman" w:hAnsi="Times New Roman" w:cs="Times New Roman"/>
          <w:bCs/>
          <w:noProof/>
          <w:sz w:val="24"/>
        </w:rPr>
      </w:pPr>
      <w:r>
        <w:rPr>
          <w:rFonts w:ascii="Times New Roman" w:hAnsi="Times New Roman"/>
          <w:bCs/>
          <w:noProof/>
          <w:sz w:val="24"/>
        </w:rPr>
        <w:t>-</w:t>
      </w:r>
      <w:r>
        <w:rPr>
          <w:rFonts w:ascii="Times New Roman" w:hAnsi="Times New Roman"/>
          <w:bCs/>
          <w:noProof/>
          <w:sz w:val="24"/>
        </w:rPr>
        <w:tab/>
        <w:t>Reînnoirea echipamentelor din cauza uzurii morale.</w:t>
      </w:r>
    </w:p>
    <w:p>
      <w:pPr>
        <w:spacing w:before="120" w:after="120" w:line="240" w:lineRule="auto"/>
        <w:ind w:left="1418" w:hanging="709"/>
        <w:jc w:val="both"/>
        <w:rPr>
          <w:rFonts w:ascii="Times New Roman" w:hAnsi="Times New Roman" w:cs="Times New Roman"/>
          <w:bCs/>
          <w:noProof/>
          <w:sz w:val="24"/>
        </w:rPr>
      </w:pPr>
      <w:r>
        <w:rPr>
          <w:rFonts w:ascii="Times New Roman" w:hAnsi="Times New Roman"/>
          <w:bCs/>
          <w:noProof/>
          <w:sz w:val="24"/>
        </w:rPr>
        <w:t>-</w:t>
      </w:r>
      <w:r>
        <w:rPr>
          <w:rFonts w:ascii="Times New Roman" w:hAnsi="Times New Roman"/>
          <w:bCs/>
          <w:noProof/>
          <w:sz w:val="24"/>
        </w:rPr>
        <w:tab/>
        <w:t>Extinderea stocului de echipamente pentru a echilibra diferențele interregionale și pentru a atinge treptat media Uniunii Europene în ceea ce privește numărul la un milion de locuitori, cu un accent deosebit pe zonele din teritoriul spaniol care sunt nedeservite pe cap de locuitor în comparație cu media națională.</w:t>
      </w:r>
    </w:p>
    <w:p>
      <w:pPr>
        <w:spacing w:before="120" w:after="120" w:line="240" w:lineRule="auto"/>
        <w:jc w:val="both"/>
        <w:rPr>
          <w:rFonts w:ascii="Times New Roman" w:hAnsi="Times New Roman" w:cs="Times New Roman"/>
          <w:bCs/>
          <w:noProof/>
          <w:sz w:val="24"/>
        </w:rPr>
      </w:pPr>
      <w:r>
        <w:rPr>
          <w:rFonts w:ascii="Times New Roman" w:hAnsi="Times New Roman"/>
          <w:bCs/>
          <w:noProof/>
          <w:sz w:val="24"/>
        </w:rPr>
        <w:t>Planul include următoarele tipuri de echipamente: acceleratoare liniare, tomografie computerizată axială (CAT), inclusiv acceleratoare de planificare; rezonanță magnetică, tomografie cu emisie de pozitron (PET), tomografie cu emisie de pozitron și CAT (PET-CAT), cameră gama, echipament de braquioterapie digitală, angiografie vasculară, angiografie neuroradiologică și camere hemodinamice.</w:t>
      </w:r>
    </w:p>
    <w:p>
      <w:pPr>
        <w:spacing w:before="120" w:after="120" w:line="240" w:lineRule="auto"/>
        <w:jc w:val="both"/>
        <w:rPr>
          <w:rFonts w:ascii="Times New Roman" w:hAnsi="Times New Roman" w:cs="Times New Roman"/>
          <w:noProof/>
          <w:sz w:val="24"/>
        </w:rPr>
      </w:pPr>
      <w:r>
        <w:rPr>
          <w:rFonts w:ascii="Times New Roman" w:hAnsi="Times New Roman"/>
          <w:noProof/>
          <w:sz w:val="24"/>
        </w:rPr>
        <w:t>Punerea în aplicare a investiției se finalizează până la 31 decembrie 2023.</w:t>
      </w:r>
    </w:p>
    <w:p>
      <w:pPr>
        <w:spacing w:before="120" w:after="120" w:line="240" w:lineRule="auto"/>
        <w:jc w:val="both"/>
        <w:rPr>
          <w:rFonts w:ascii="Times New Roman" w:hAnsi="Times New Roman" w:cs="Times New Roman"/>
          <w:bCs/>
          <w:noProof/>
          <w:sz w:val="24"/>
          <w:u w:val="single"/>
        </w:rPr>
      </w:pPr>
      <w:r>
        <w:rPr>
          <w:rFonts w:ascii="Times New Roman" w:hAnsi="Times New Roman"/>
          <w:bCs/>
          <w:noProof/>
          <w:sz w:val="24"/>
          <w:u w:val="single"/>
        </w:rPr>
        <w:t>Investiția 2 (C18.I2) - Acțiuni de consolidare a prevenirii și promovării sănătății</w:t>
      </w:r>
    </w:p>
    <w:p>
      <w:pPr>
        <w:spacing w:before="120" w:after="120" w:line="240" w:lineRule="auto"/>
        <w:jc w:val="both"/>
        <w:rPr>
          <w:rFonts w:ascii="Times New Roman" w:hAnsi="Times New Roman" w:cs="Times New Roman"/>
          <w:bCs/>
          <w:noProof/>
          <w:sz w:val="24"/>
        </w:rPr>
      </w:pPr>
      <w:r>
        <w:rPr>
          <w:rFonts w:ascii="Times New Roman" w:hAnsi="Times New Roman"/>
          <w:bCs/>
          <w:noProof/>
          <w:sz w:val="24"/>
        </w:rPr>
        <w:t>Această investiție vizează consolidarea asistenței preventive. Acesta se axează în special pe promovarea unor stiluri de viață și a unor medii sănătoase. Acesta acoperă domenii precum: combaterea fumatului, prevenirea consumului de alcool, promovarea sănătății mintale, promovarea unor medii de viață și a unor stiluri de viață sănătoase, planul de rezistență la antimicrobiene și prevenirea cancerului, inclusiv diseminarea codului european împotriva cancerului.</w:t>
      </w:r>
    </w:p>
    <w:p>
      <w:pPr>
        <w:spacing w:before="120" w:after="120" w:line="240" w:lineRule="auto"/>
        <w:jc w:val="both"/>
        <w:rPr>
          <w:rFonts w:ascii="Times New Roman" w:hAnsi="Times New Roman" w:cs="Times New Roman"/>
          <w:noProof/>
          <w:sz w:val="24"/>
        </w:rPr>
      </w:pPr>
      <w:r>
        <w:rPr>
          <w:rFonts w:ascii="Times New Roman" w:hAnsi="Times New Roman"/>
          <w:noProof/>
          <w:sz w:val="24"/>
        </w:rPr>
        <w:t>Punerea în aplicare a investiției se finalizează până la 31 decembrie 2023.</w:t>
      </w:r>
    </w:p>
    <w:p>
      <w:pPr>
        <w:spacing w:before="120" w:after="120" w:line="240" w:lineRule="auto"/>
        <w:jc w:val="both"/>
        <w:rPr>
          <w:rFonts w:ascii="Times New Roman" w:hAnsi="Times New Roman" w:cs="Times New Roman"/>
          <w:bCs/>
          <w:noProof/>
          <w:sz w:val="24"/>
          <w:u w:val="single"/>
        </w:rPr>
      </w:pPr>
      <w:r>
        <w:rPr>
          <w:rFonts w:ascii="Times New Roman" w:hAnsi="Times New Roman"/>
          <w:bCs/>
          <w:noProof/>
          <w:sz w:val="24"/>
          <w:u w:val="single"/>
        </w:rPr>
        <w:t>Investiții 3 (C18.I3) - Creșterea capacităților de răspuns la crizele sanitare</w:t>
      </w:r>
    </w:p>
    <w:p>
      <w:pPr>
        <w:spacing w:before="120" w:after="120" w:line="240" w:lineRule="auto"/>
        <w:jc w:val="both"/>
        <w:rPr>
          <w:rFonts w:ascii="Times New Roman" w:hAnsi="Times New Roman" w:cs="Times New Roman"/>
          <w:bCs/>
          <w:noProof/>
          <w:sz w:val="24"/>
        </w:rPr>
      </w:pPr>
      <w:r>
        <w:rPr>
          <w:rFonts w:ascii="Times New Roman" w:hAnsi="Times New Roman"/>
          <w:bCs/>
          <w:noProof/>
          <w:sz w:val="24"/>
        </w:rPr>
        <w:t>Pandemia a evidențiat necesitatea de a consolida capacitățile de supraveghere, de detectare timpurie și de reacție rapidă la situații critice, precum și necesitatea de a consolida capacitățile laboratoarelor și ale instituțiilor sanitare. Această investiție constă într-un set de acțiuni menite să sporească capacitatea de răspuns la viitoarele crize sanitare:</w:t>
      </w:r>
    </w:p>
    <w:p>
      <w:pPr>
        <w:spacing w:before="120" w:after="120" w:line="240" w:lineRule="auto"/>
        <w:ind w:left="720"/>
        <w:jc w:val="both"/>
        <w:rPr>
          <w:rFonts w:ascii="Times New Roman" w:hAnsi="Times New Roman" w:cs="Times New Roman"/>
          <w:bCs/>
          <w:noProof/>
          <w:sz w:val="24"/>
        </w:rPr>
      </w:pPr>
      <w:r>
        <w:rPr>
          <w:rFonts w:ascii="Times New Roman" w:hAnsi="Times New Roman"/>
          <w:bCs/>
          <w:noProof/>
          <w:sz w:val="24"/>
        </w:rPr>
        <w:t>1 Echipamente pentru noul Centru național de sănătate publică;</w:t>
      </w:r>
    </w:p>
    <w:p>
      <w:pPr>
        <w:spacing w:before="120" w:after="120" w:line="240" w:lineRule="auto"/>
        <w:ind w:left="720"/>
        <w:jc w:val="both"/>
        <w:rPr>
          <w:rFonts w:ascii="Times New Roman" w:hAnsi="Times New Roman" w:cs="Times New Roman"/>
          <w:bCs/>
          <w:noProof/>
          <w:sz w:val="24"/>
        </w:rPr>
      </w:pPr>
      <w:r>
        <w:rPr>
          <w:rFonts w:ascii="Times New Roman" w:hAnsi="Times New Roman"/>
          <w:bCs/>
          <w:noProof/>
          <w:sz w:val="24"/>
        </w:rPr>
        <w:t>2 Sistemul informatic de supraveghere a sănătății publice, care extinde, îmbunătățește și integrează sistemele de informații existente pentru bolile transmisibile și netransmisibile din Spania;</w:t>
      </w:r>
    </w:p>
    <w:p>
      <w:pPr>
        <w:spacing w:before="120" w:after="120" w:line="240" w:lineRule="auto"/>
        <w:ind w:left="720"/>
        <w:jc w:val="both"/>
        <w:rPr>
          <w:rFonts w:ascii="Times New Roman" w:hAnsi="Times New Roman" w:cs="Times New Roman"/>
          <w:bCs/>
          <w:noProof/>
          <w:sz w:val="24"/>
        </w:rPr>
      </w:pPr>
      <w:r>
        <w:rPr>
          <w:rFonts w:ascii="Times New Roman" w:hAnsi="Times New Roman"/>
          <w:bCs/>
          <w:noProof/>
          <w:sz w:val="24"/>
        </w:rPr>
        <w:t>3 Finalizarea Spitalului Universitar Melilla și construirea noii clădiri a Centrului național de dozimetrie;</w:t>
      </w:r>
    </w:p>
    <w:p>
      <w:pPr>
        <w:spacing w:before="120" w:after="120" w:line="240" w:lineRule="auto"/>
        <w:ind w:left="720"/>
        <w:jc w:val="both"/>
        <w:rPr>
          <w:rFonts w:ascii="Times New Roman" w:hAnsi="Times New Roman" w:cs="Times New Roman"/>
          <w:bCs/>
          <w:noProof/>
          <w:sz w:val="24"/>
        </w:rPr>
      </w:pPr>
      <w:r>
        <w:rPr>
          <w:rFonts w:ascii="Times New Roman" w:hAnsi="Times New Roman"/>
          <w:bCs/>
          <w:noProof/>
          <w:sz w:val="24"/>
        </w:rPr>
        <w:t>4 Creșterea capacității laboratorului de testare a echipamentului individual de protecție din cadrul Centrului Național pentru Echipamente Protective;</w:t>
      </w:r>
    </w:p>
    <w:p>
      <w:pPr>
        <w:spacing w:before="120" w:after="120" w:line="240" w:lineRule="auto"/>
        <w:ind w:left="720"/>
        <w:jc w:val="both"/>
        <w:rPr>
          <w:rFonts w:ascii="Times New Roman" w:hAnsi="Times New Roman" w:cs="Times New Roman"/>
          <w:bCs/>
          <w:noProof/>
          <w:sz w:val="24"/>
        </w:rPr>
      </w:pPr>
      <w:r>
        <w:rPr>
          <w:rFonts w:ascii="Times New Roman" w:hAnsi="Times New Roman"/>
          <w:bCs/>
          <w:noProof/>
          <w:sz w:val="24"/>
        </w:rPr>
        <w:t>5 Consolidarea Centrului Național pentru Alimentație și Laborator de Biotoxine;</w:t>
      </w:r>
    </w:p>
    <w:p>
      <w:pPr>
        <w:spacing w:before="120" w:after="120" w:line="240" w:lineRule="auto"/>
        <w:ind w:left="720"/>
        <w:jc w:val="both"/>
        <w:rPr>
          <w:rFonts w:ascii="Times New Roman" w:hAnsi="Times New Roman" w:cs="Times New Roman"/>
          <w:bCs/>
          <w:noProof/>
          <w:sz w:val="24"/>
        </w:rPr>
      </w:pPr>
      <w:r>
        <w:rPr>
          <w:rFonts w:ascii="Times New Roman" w:hAnsi="Times New Roman"/>
          <w:bCs/>
          <w:noProof/>
          <w:sz w:val="24"/>
        </w:rPr>
        <w:t>6 Investiții tehnologice în Agenția pentru Medicamente și în Organizația Națională de Transplant;</w:t>
      </w:r>
    </w:p>
    <w:p>
      <w:pPr>
        <w:spacing w:before="120" w:after="120" w:line="240" w:lineRule="auto"/>
        <w:ind w:left="720"/>
        <w:jc w:val="both"/>
        <w:rPr>
          <w:rFonts w:ascii="Times New Roman" w:hAnsi="Times New Roman" w:cs="Times New Roman"/>
          <w:bCs/>
          <w:noProof/>
          <w:sz w:val="24"/>
        </w:rPr>
      </w:pPr>
      <w:r>
        <w:rPr>
          <w:rFonts w:ascii="Times New Roman" w:hAnsi="Times New Roman"/>
          <w:bCs/>
          <w:noProof/>
          <w:sz w:val="24"/>
        </w:rPr>
        <w:t>7 Evaluarea performanței sistemului național de sănătate în timpul pandemiei.</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Punerea în aplicare a investiției se finalizează până la 31 decembrie 2023. </w:t>
      </w:r>
    </w:p>
    <w:p>
      <w:pPr>
        <w:keepNext/>
        <w:spacing w:before="120" w:after="120" w:line="240" w:lineRule="auto"/>
        <w:jc w:val="both"/>
        <w:rPr>
          <w:rFonts w:ascii="Times New Roman" w:hAnsi="Times New Roman" w:cs="Times New Roman"/>
          <w:bCs/>
          <w:noProof/>
          <w:sz w:val="24"/>
          <w:u w:val="single"/>
        </w:rPr>
      </w:pPr>
      <w:r>
        <w:rPr>
          <w:rFonts w:ascii="Times New Roman" w:hAnsi="Times New Roman"/>
          <w:bCs/>
          <w:noProof/>
          <w:sz w:val="24"/>
          <w:u w:val="single"/>
        </w:rPr>
        <w:t>Investiția 4 (C18.I4) - Formarea profesioniștilor din domeniul sănătății și a resurselor pentru schimbul de cunoștințe</w:t>
      </w:r>
    </w:p>
    <w:p>
      <w:pPr>
        <w:keepNext/>
        <w:tabs>
          <w:tab w:val="left" w:pos="1560"/>
        </w:tabs>
        <w:spacing w:before="120" w:after="120" w:line="240" w:lineRule="auto"/>
        <w:jc w:val="both"/>
        <w:rPr>
          <w:rFonts w:ascii="Times New Roman" w:hAnsi="Times New Roman" w:cs="Times New Roman"/>
          <w:bCs/>
          <w:noProof/>
          <w:sz w:val="24"/>
        </w:rPr>
      </w:pPr>
      <w:r>
        <w:rPr>
          <w:rFonts w:ascii="Times New Roman" w:hAnsi="Times New Roman"/>
          <w:bCs/>
          <w:noProof/>
          <w:sz w:val="24"/>
        </w:rPr>
        <w:t xml:space="preserve">Această investiție urmărește să consolideze aptitudinile și competențele profesioniștilor din domeniul sănătății, cu un accent deosebit pe formarea legată de reformele și investițiile acestei componente a planului spaniol de redresare și reziliență. Aceasta urmărește, de asemenea, să promoveze instrumente care să permită profesioniștilor din domeniul sănătății să facă schimb de cunoștințe pentru a îmbunătăți coordonarea și calitatea asistenței medicale, inclusiv cu privire la domeniile prioritare acoperite de această componentă. </w:t>
      </w:r>
    </w:p>
    <w:p>
      <w:pPr>
        <w:keepNext/>
        <w:tabs>
          <w:tab w:val="left" w:pos="1560"/>
        </w:tabs>
        <w:spacing w:before="120" w:after="120" w:line="240" w:lineRule="auto"/>
        <w:jc w:val="both"/>
        <w:rPr>
          <w:rFonts w:ascii="Times New Roman" w:hAnsi="Times New Roman" w:cs="Times New Roman"/>
          <w:bCs/>
          <w:noProof/>
          <w:sz w:val="24"/>
        </w:rPr>
      </w:pPr>
      <w:r>
        <w:rPr>
          <w:rFonts w:ascii="Times New Roman" w:hAnsi="Times New Roman"/>
          <w:bCs/>
          <w:noProof/>
          <w:sz w:val="24"/>
        </w:rPr>
        <w:t>Investiția acoperă patru domenii:</w:t>
      </w:r>
    </w:p>
    <w:p>
      <w:pPr>
        <w:numPr>
          <w:ilvl w:val="0"/>
          <w:numId w:val="87"/>
        </w:numPr>
        <w:spacing w:before="120" w:after="160" w:line="259" w:lineRule="auto"/>
        <w:contextualSpacing/>
        <w:jc w:val="both"/>
        <w:rPr>
          <w:rFonts w:ascii="Times New Roman" w:hAnsi="Times New Roman" w:cs="Times New Roman"/>
          <w:bCs/>
          <w:noProof/>
          <w:sz w:val="24"/>
          <w:szCs w:val="24"/>
        </w:rPr>
      </w:pPr>
      <w:r>
        <w:rPr>
          <w:rFonts w:ascii="Times New Roman" w:hAnsi="Times New Roman"/>
          <w:bCs/>
          <w:noProof/>
          <w:sz w:val="24"/>
          <w:szCs w:val="24"/>
        </w:rPr>
        <w:t>Formare continuă în următoarele domenii: utilizarea tehnologiilor medicale și a sistemelor informatice, supravegherea sănătății publice și a epidemiologiei, siguranța pacienților și a profesioniștilor, utilizarea rațională a resurselor de diagnosticare și terapeutice, depistarea timpurie a cancerului, sănătatea mintală, sănătatea mediului, prevenirea factorilor de risc, depistarea timpurie a violenței de gen, depistarea timpurie a abuzului asupra copiilor, bioetica, îngrijirea la sfârșitul vieții, comunicarea clinică, medicina bazată pe dovezi, lucrul în echipă, metodologia de cercetare, dezvoltarea competențelor de management ale persoanelor responsabile de centrele de sănătate, formarea de tutori specializați în domeniul sănătății și formarea evaluatorilor de educație continuă.</w:t>
      </w:r>
    </w:p>
    <w:p>
      <w:pPr>
        <w:numPr>
          <w:ilvl w:val="0"/>
          <w:numId w:val="87"/>
        </w:numPr>
        <w:spacing w:before="120" w:after="160" w:line="259" w:lineRule="auto"/>
        <w:contextualSpacing/>
        <w:jc w:val="both"/>
        <w:rPr>
          <w:rFonts w:ascii="Times New Roman" w:hAnsi="Times New Roman" w:cs="Times New Roman"/>
          <w:bCs/>
          <w:noProof/>
          <w:sz w:val="24"/>
          <w:szCs w:val="24"/>
        </w:rPr>
      </w:pPr>
      <w:r>
        <w:rPr>
          <w:rFonts w:ascii="Times New Roman" w:hAnsi="Times New Roman"/>
          <w:bCs/>
          <w:noProof/>
          <w:sz w:val="24"/>
          <w:szCs w:val="24"/>
        </w:rPr>
        <w:t>Instituirea unui sistem de evaluare și acreditare a competențelor nereglementate dobândite de profesioniștii din sistemul național de sănătate</w:t>
      </w:r>
    </w:p>
    <w:p>
      <w:pPr>
        <w:numPr>
          <w:ilvl w:val="0"/>
          <w:numId w:val="87"/>
        </w:numPr>
        <w:spacing w:before="120" w:after="160" w:line="259" w:lineRule="auto"/>
        <w:contextualSpacing/>
        <w:jc w:val="both"/>
        <w:rPr>
          <w:rFonts w:ascii="Times New Roman" w:hAnsi="Times New Roman" w:cs="Times New Roman"/>
          <w:bCs/>
          <w:noProof/>
          <w:sz w:val="24"/>
          <w:szCs w:val="24"/>
        </w:rPr>
      </w:pPr>
      <w:r>
        <w:rPr>
          <w:rFonts w:ascii="Times New Roman" w:hAnsi="Times New Roman"/>
          <w:bCs/>
          <w:noProof/>
          <w:sz w:val="24"/>
          <w:szCs w:val="24"/>
        </w:rPr>
        <w:t>Instrumente de colaborare pentru a face față unor condiții extrem de complexe.</w:t>
      </w:r>
    </w:p>
    <w:p>
      <w:pPr>
        <w:numPr>
          <w:ilvl w:val="0"/>
          <w:numId w:val="87"/>
        </w:numPr>
        <w:spacing w:before="120" w:after="160" w:line="259" w:lineRule="auto"/>
        <w:contextualSpacing/>
        <w:jc w:val="both"/>
        <w:rPr>
          <w:rFonts w:ascii="Times New Roman" w:hAnsi="Times New Roman" w:cs="Times New Roman"/>
          <w:bCs/>
          <w:noProof/>
          <w:sz w:val="24"/>
          <w:szCs w:val="24"/>
        </w:rPr>
      </w:pPr>
      <w:r>
        <w:rPr>
          <w:rFonts w:ascii="Times New Roman" w:hAnsi="Times New Roman"/>
          <w:bCs/>
          <w:noProof/>
          <w:sz w:val="24"/>
          <w:szCs w:val="24"/>
        </w:rPr>
        <w:t>Elaborarea unei cartografieri computerizate pentru vizualizarea resurselor și serviciilor comune pentru îngrijirea timpurie și medicina genomică în Spania.</w:t>
      </w:r>
    </w:p>
    <w:p>
      <w:pPr>
        <w:spacing w:before="120" w:after="160" w:line="259" w:lineRule="auto"/>
        <w:ind w:left="720"/>
        <w:contextualSpacing/>
        <w:jc w:val="both"/>
        <w:rPr>
          <w:rFonts w:ascii="Times New Roman" w:hAnsi="Times New Roman" w:cs="Times New Roman"/>
          <w:bCs/>
          <w:noProof/>
          <w:sz w:val="24"/>
          <w:szCs w:val="24"/>
        </w:rPr>
      </w:pP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Punerea în aplicare a investiției se finalizează până la 31 decembrie 2023.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Investiția 5 (C18.I5) - Plan de raționalizare a consumului de produse farmaceutice și de promovare a sustenabilității</w:t>
      </w:r>
    </w:p>
    <w:p>
      <w:pPr>
        <w:spacing w:before="120" w:after="120" w:line="240" w:lineRule="auto"/>
        <w:jc w:val="both"/>
        <w:rPr>
          <w:rFonts w:ascii="Times New Roman" w:hAnsi="Times New Roman" w:cs="Times New Roman"/>
          <w:bCs/>
          <w:noProof/>
          <w:sz w:val="24"/>
          <w:szCs w:val="24"/>
        </w:rPr>
      </w:pPr>
      <w:r>
        <w:rPr>
          <w:rFonts w:ascii="Times New Roman" w:hAnsi="Times New Roman"/>
          <w:bCs/>
          <w:noProof/>
          <w:sz w:val="24"/>
          <w:szCs w:val="24"/>
        </w:rPr>
        <w:t>Această investiție constă în punerea în aplicare a unui plan de raționalizare a utilizării medicamentelor și a dispozitivelor medicale. Planul vizează atingerea următoarelor obiective:</w:t>
      </w:r>
    </w:p>
    <w:p>
      <w:pPr>
        <w:numPr>
          <w:ilvl w:val="0"/>
          <w:numId w:val="88"/>
        </w:numPr>
        <w:spacing w:before="120" w:after="160" w:line="259" w:lineRule="auto"/>
        <w:contextualSpacing/>
        <w:jc w:val="both"/>
        <w:rPr>
          <w:rFonts w:ascii="Times New Roman" w:hAnsi="Times New Roman" w:cs="Times New Roman"/>
          <w:bCs/>
          <w:noProof/>
          <w:sz w:val="24"/>
          <w:szCs w:val="24"/>
        </w:rPr>
      </w:pPr>
      <w:r>
        <w:rPr>
          <w:rFonts w:ascii="Times New Roman" w:hAnsi="Times New Roman"/>
          <w:noProof/>
          <w:sz w:val="24"/>
          <w:szCs w:val="24"/>
        </w:rPr>
        <w:t>utilizarea produselor medicale numai în cazul în care acestea sunt necesare și, în cazul în care sunt utilizate, utilizarea celor care sunt cele mai eficiente din punctul de vedere al costurilor;</w:t>
      </w:r>
    </w:p>
    <w:p>
      <w:pPr>
        <w:numPr>
          <w:ilvl w:val="0"/>
          <w:numId w:val="88"/>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reducerea polifarmaciei (mai mult de cinci medicamente) și a utilizării inutile a medicamentelor;  </w:t>
      </w:r>
    </w:p>
    <w:p>
      <w:pPr>
        <w:numPr>
          <w:ilvl w:val="0"/>
          <w:numId w:val="88"/>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szCs w:val="24"/>
        </w:rPr>
        <w:t>reducerea incertitudinii clinice asociate cu medicamentele noi prin sporirea cunoștințelor științifice, îmbunătățirea informațiilor disponibile și reducerea incertitudinii financiare.</w:t>
      </w:r>
    </w:p>
    <w:p>
      <w:pPr>
        <w:spacing w:before="120" w:after="160" w:line="259" w:lineRule="auto"/>
        <w:ind w:left="720"/>
        <w:contextualSpacing/>
        <w:jc w:val="both"/>
        <w:rPr>
          <w:rFonts w:ascii="Times New Roman" w:hAnsi="Times New Roman" w:cs="Times New Roman"/>
          <w:noProof/>
          <w:sz w:val="24"/>
          <w:szCs w:val="24"/>
        </w:rPr>
      </w:pPr>
    </w:p>
    <w:p>
      <w:pPr>
        <w:spacing w:before="120" w:after="120" w:line="240" w:lineRule="auto"/>
        <w:jc w:val="both"/>
        <w:rPr>
          <w:rFonts w:ascii="Times New Roman" w:hAnsi="Times New Roman" w:cs="Times New Roman"/>
          <w:bCs/>
          <w:noProof/>
          <w:sz w:val="24"/>
          <w:szCs w:val="24"/>
        </w:rPr>
      </w:pPr>
      <w:r>
        <w:rPr>
          <w:rFonts w:ascii="Times New Roman" w:hAnsi="Times New Roman"/>
          <w:bCs/>
          <w:noProof/>
          <w:sz w:val="24"/>
          <w:szCs w:val="24"/>
        </w:rPr>
        <w:t>Planul include crearea sau dezvoltarea în continuare a trei sisteme pentru a îmbunătăți evaluarea medicamentelor și a tehnologiilor medicale în Spania:</w:t>
      </w:r>
    </w:p>
    <w:p>
      <w:pPr>
        <w:numPr>
          <w:ilvl w:val="0"/>
          <w:numId w:val="90"/>
        </w:numPr>
        <w:spacing w:before="120" w:after="160" w:line="259" w:lineRule="auto"/>
        <w:contextualSpacing/>
        <w:jc w:val="both"/>
        <w:rPr>
          <w:rFonts w:ascii="Times New Roman" w:hAnsi="Times New Roman" w:cs="Times New Roman"/>
          <w:bCs/>
          <w:noProof/>
          <w:sz w:val="24"/>
          <w:szCs w:val="24"/>
        </w:rPr>
      </w:pPr>
      <w:r>
        <w:rPr>
          <w:rFonts w:ascii="Times New Roman" w:hAnsi="Times New Roman"/>
          <w:bCs/>
          <w:noProof/>
          <w:sz w:val="24"/>
          <w:szCs w:val="24"/>
        </w:rPr>
        <w:t>Crearea Rețelei pentru evaluarea medicamentelor în sistemul național de sănătate: Se dezvoltă o platformă tehnologică pentru a gestiona și a partaja rapoartele de evaluare și de poziționare a medicamentelor (care analizează valoarea adăugată a noilor medicamente pe baza raportului cost-eficacitate al acestora) în diferitele stadii de dezvoltare.</w:t>
      </w:r>
    </w:p>
    <w:p>
      <w:pPr>
        <w:numPr>
          <w:ilvl w:val="0"/>
          <w:numId w:val="90"/>
        </w:numPr>
        <w:spacing w:before="120" w:after="160" w:line="259" w:lineRule="auto"/>
        <w:contextualSpacing/>
        <w:jc w:val="both"/>
        <w:rPr>
          <w:rFonts w:ascii="Times New Roman" w:hAnsi="Times New Roman" w:cs="Times New Roman"/>
          <w:bCs/>
          <w:noProof/>
          <w:sz w:val="24"/>
          <w:szCs w:val="24"/>
        </w:rPr>
      </w:pPr>
      <w:r>
        <w:rPr>
          <w:rFonts w:ascii="Times New Roman" w:hAnsi="Times New Roman"/>
          <w:bCs/>
          <w:noProof/>
          <w:sz w:val="24"/>
          <w:szCs w:val="24"/>
        </w:rPr>
        <w:t>Extinderea sistemului de medicamente cu impact ridicat (VALTERMED). Acest instrument se bazează pe un registru de date administrative, clinice și terapeutice pentru a urmări și analiza starea inițială și evoluția pacienților după începerea tratamentului farmacologic. Scopul acestui nou instrument este integrat în sistemele de informare ale comunităților autonome și include informații referitoare la impactul medicației asupra calității vieții pacienților.</w:t>
      </w:r>
    </w:p>
    <w:p>
      <w:pPr>
        <w:numPr>
          <w:ilvl w:val="0"/>
          <w:numId w:val="90"/>
        </w:numPr>
        <w:spacing w:before="120" w:after="160" w:line="240" w:lineRule="auto"/>
        <w:contextualSpacing/>
        <w:jc w:val="both"/>
        <w:rPr>
          <w:rFonts w:ascii="Times New Roman" w:hAnsi="Times New Roman" w:cs="Times New Roman"/>
          <w:bCs/>
          <w:noProof/>
          <w:sz w:val="24"/>
          <w:szCs w:val="24"/>
        </w:rPr>
      </w:pPr>
      <w:r>
        <w:rPr>
          <w:rFonts w:ascii="Times New Roman" w:hAnsi="Times New Roman"/>
          <w:bCs/>
          <w:noProof/>
          <w:sz w:val="24"/>
          <w:szCs w:val="24"/>
        </w:rPr>
        <w:t>Înființarea Rețelei spaniole de tehnologii și asistență medicală (REDETS). Această rețea joacă un rol esențial în furnizarea de consultanță științifică și tehnică pentru luarea deciziilor privind încorporarea tehnologiilor și serviciilor medicale în finanțarea publică. Platforma tehnologică permite gestionarea și partajarea diferitelor produse REDETS în diferitele stadii de dezvoltare între agențiile/unitățile rețelei și monitorizarea respectării termenelor stabilite pentru fiecare etapă.</w:t>
      </w:r>
    </w:p>
    <w:p>
      <w:pPr>
        <w:spacing w:before="120" w:after="120" w:line="240" w:lineRule="auto"/>
        <w:contextualSpacing/>
        <w:jc w:val="both"/>
        <w:rPr>
          <w:rFonts w:ascii="Times New Roman" w:hAnsi="Times New Roman" w:cs="Times New Roman"/>
          <w:bCs/>
          <w:noProof/>
          <w:sz w:val="24"/>
          <w:szCs w:val="24"/>
        </w:rPr>
      </w:pPr>
      <w:r>
        <w:rPr>
          <w:rFonts w:ascii="Times New Roman" w:hAnsi="Times New Roman"/>
          <w:bCs/>
          <w:noProof/>
          <w:sz w:val="24"/>
          <w:szCs w:val="24"/>
        </w:rPr>
        <w:t>Investițiile vor include proiecte legate de: promovarea utilizării medicamentelor generice și biosimilare, dezvoltarea și modernizarea serviciilor și produselor ortopedice și protetice, formarea profesioniștilor din domeniul sănătății cu privire la utilizarea rațională a medicamentelor și soluțiile de stimulare a inovațiilor în domeniul medicamentelor.</w:t>
      </w:r>
    </w:p>
    <w:p>
      <w:pPr>
        <w:spacing w:before="120" w:after="120" w:line="240" w:lineRule="auto"/>
        <w:jc w:val="both"/>
        <w:rPr>
          <w:rFonts w:ascii="Times New Roman" w:hAnsi="Times New Roman" w:cs="Times New Roman"/>
          <w:noProof/>
          <w:sz w:val="24"/>
        </w:rPr>
      </w:pPr>
      <w:r>
        <w:rPr>
          <w:rFonts w:ascii="Times New Roman" w:hAnsi="Times New Roman"/>
          <w:noProof/>
          <w:sz w:val="24"/>
        </w:rPr>
        <w:t>Punerea în aplicare a investiției se finalizează până la 31 decembrie 2023.</w:t>
      </w:r>
    </w:p>
    <w:p>
      <w:pPr>
        <w:spacing w:before="120" w:after="120" w:line="240" w:lineRule="auto"/>
        <w:jc w:val="both"/>
        <w:rPr>
          <w:rFonts w:ascii="Times New Roman" w:hAnsi="Times New Roman" w:cs="Times New Roman"/>
          <w:bCs/>
          <w:noProof/>
          <w:sz w:val="24"/>
          <w:szCs w:val="24"/>
          <w:u w:val="single"/>
        </w:rPr>
      </w:pPr>
      <w:r>
        <w:rPr>
          <w:rFonts w:ascii="Times New Roman" w:hAnsi="Times New Roman"/>
          <w:bCs/>
          <w:noProof/>
          <w:sz w:val="24"/>
          <w:szCs w:val="24"/>
          <w:u w:val="single"/>
        </w:rPr>
        <w:t>Investiția 6 (C18.I6) - Lac cu date privind sănătatea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Această investiție constă în crearea unui lac de date privind sănătatea, care colectează informații din diferite sisteme de informații, inclusiv sisteme regionale, cu scopul de a facilita analiza în masă a datelor în timp real pentru a sprijini și a îmbunătăți diagnosticarea și tratamentul, identificarea factorilor de risc, analiza tendințelor, identificarea modelelor, anticiparea situațiilor de risc pentru sănătate și programarea resurselor pentru a le gestiona, inclusiv utilizând algoritmi de inteligență artificială, precum și noi arhitecturi de sistem scalabile și noi instrumente de prelucrare și identificare a modelelor.</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Punerea în aplicare a investiției se finalizează până la 31 decembrie 2023.</w:t>
      </w:r>
    </w:p>
    <w:p>
      <w:pPr>
        <w:spacing w:before="120" w:after="120" w:line="240" w:lineRule="auto"/>
        <w:ind w:left="709"/>
        <w:jc w:val="both"/>
        <w:rPr>
          <w:rFonts w:ascii="Times New Roman" w:hAnsi="Times New Roman" w:cs="Times New Roman"/>
          <w:b/>
          <w:noProof/>
          <w:sz w:val="24"/>
          <w:szCs w:val="24"/>
          <w:u w:val="single"/>
        </w:rPr>
      </w:pPr>
      <w:r>
        <w:rPr>
          <w:rFonts w:ascii="Times New Roman" w:hAnsi="Times New Roman"/>
          <w:b/>
          <w:noProof/>
          <w:sz w:val="24"/>
          <w:szCs w:val="24"/>
          <w:u w:val="single"/>
        </w:rPr>
        <w:t xml:space="preserve">R.2. </w:t>
      </w:r>
      <w:r>
        <w:rPr>
          <w:rFonts w:ascii="Times New Roman" w:hAnsi="Times New Roman"/>
          <w:b/>
          <w:noProof/>
          <w:sz w:val="24"/>
          <w:u w:val="single"/>
        </w:rPr>
        <w:tab/>
      </w:r>
      <w:r>
        <w:rPr>
          <w:rFonts w:ascii="Times New Roman" w:hAnsi="Times New Roman"/>
          <w:b/>
          <w:noProof/>
          <w:sz w:val="24"/>
          <w:szCs w:val="24"/>
          <w:u w:val="single"/>
        </w:rPr>
        <w:t>Jaloane, ținte, indicatori și calendarul de monitorizare și implementare aplicabile sprijinului financiar nerambursabil</w:t>
      </w:r>
    </w:p>
    <w:p>
      <w:pPr>
        <w:spacing w:before="120" w:after="120" w:line="240" w:lineRule="auto"/>
        <w:jc w:val="both"/>
        <w:rPr>
          <w:rFonts w:ascii="Times New Roman" w:hAnsi="Times New Roman" w:cs="Times New Roman"/>
          <w:noProof/>
          <w:color w:val="1F497D"/>
        </w:rPr>
      </w:pPr>
      <w:r>
        <w:rPr>
          <w:rFonts w:ascii="Times New Roman" w:hAnsi="Times New Roman"/>
          <w:i/>
          <w:noProof/>
          <w:color w:val="000000"/>
          <w:sz w:val="24"/>
          <w:szCs w:val="24"/>
        </w:rPr>
        <w:t>Tabelul de mai jos.</w:t>
      </w:r>
      <w:r>
        <w:rPr>
          <w:rFonts w:ascii="Times New Roman" w:hAnsi="Times New Roman"/>
          <w:noProof/>
          <w:color w:val="1F497D"/>
          <w:sz w:val="24"/>
          <w:szCs w:val="24"/>
        </w:rPr>
        <w:t xml:space="preserve"> </w:t>
      </w:r>
      <w:r>
        <w:rPr>
          <w:rFonts w:ascii="Times New Roman" w:hAnsi="Times New Roman"/>
          <w:i/>
          <w:noProof/>
          <w:color w:val="000000"/>
          <w:sz w:val="24"/>
          <w:szCs w:val="24"/>
        </w:rPr>
        <w:t>Data de referință pentru toți indicatorii este 1 februarie 2020, cu excepția cazului în care se indică altfel în descrierea acțiunii. Sumele din tabel nu includ TVA.</w:t>
      </w:r>
    </w:p>
    <w:p>
      <w:pPr>
        <w:spacing w:before="120" w:after="120" w:line="240" w:lineRule="auto"/>
        <w:jc w:val="both"/>
        <w:rPr>
          <w:rFonts w:ascii="Times New Roman" w:hAnsi="Times New Roman" w:cs="Times New Roman"/>
          <w:noProof/>
          <w:sz w:val="24"/>
          <w:lang w:val="en-IE"/>
        </w:rPr>
        <w:sectPr>
          <w:headerReference w:type="even" r:id="rId223"/>
          <w:headerReference w:type="default" r:id="rId224"/>
          <w:footerReference w:type="even" r:id="rId225"/>
          <w:footerReference w:type="default" r:id="rId226"/>
          <w:headerReference w:type="first" r:id="rId227"/>
          <w:footerReference w:type="first" r:id="rId228"/>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2835"/>
        <w:gridCol w:w="1276"/>
        <w:gridCol w:w="851"/>
        <w:gridCol w:w="425"/>
        <w:gridCol w:w="709"/>
        <w:gridCol w:w="425"/>
        <w:gridCol w:w="567"/>
        <w:gridCol w:w="5812"/>
      </w:tblGrid>
      <w:tr>
        <w:trPr>
          <w:trHeight w:val="309"/>
          <w:tblHeader/>
        </w:trPr>
        <w:tc>
          <w:tcPr>
            <w:tcW w:w="70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Număr</w:t>
            </w:r>
          </w:p>
        </w:tc>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Măsură</w:t>
            </w:r>
          </w:p>
        </w:tc>
        <w:tc>
          <w:tcPr>
            <w:tcW w:w="85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Jalon</w:t>
            </w:r>
            <w:r>
              <w:rPr>
                <w:rFonts w:ascii="Times New Roman" w:hAnsi="Times New Roman"/>
                <w:b/>
                <w:noProof/>
                <w:color w:val="000000"/>
                <w:sz w:val="18"/>
                <w:szCs w:val="18"/>
              </w:rPr>
              <w:br/>
              <w:t xml:space="preserve"> /Țintă</w:t>
            </w:r>
          </w:p>
        </w:tc>
        <w:tc>
          <w:tcPr>
            <w:tcW w:w="2835"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Denumire</w:t>
            </w:r>
          </w:p>
        </w:tc>
        <w:tc>
          <w:tcPr>
            <w:tcW w:w="1276"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Indicator calitativ pentru obiectivele de etapă</w:t>
            </w:r>
          </w:p>
        </w:tc>
        <w:tc>
          <w:tcPr>
            <w:tcW w:w="1985" w:type="dxa"/>
            <w:gridSpan w:val="3"/>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Indicator cantitativ pentru obiectiv</w:t>
            </w:r>
          </w:p>
        </w:tc>
        <w:tc>
          <w:tcPr>
            <w:tcW w:w="992" w:type="dxa"/>
            <w:gridSpan w:val="2"/>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Timp</w:t>
            </w:r>
          </w:p>
        </w:tc>
        <w:tc>
          <w:tcPr>
            <w:tcW w:w="5812"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bCs/>
                <w:noProof/>
                <w:sz w:val="18"/>
                <w:szCs w:val="18"/>
              </w:rPr>
              <w:t>Descrierea fiecărui jalon și a fiecărei ținte</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2835"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276"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Unitate</w:t>
            </w:r>
          </w:p>
        </w:tc>
        <w:tc>
          <w:tcPr>
            <w:tcW w:w="425"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Valoare de referință</w:t>
            </w:r>
          </w:p>
        </w:tc>
        <w:tc>
          <w:tcPr>
            <w:tcW w:w="709"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Obiectiv</w:t>
            </w:r>
          </w:p>
        </w:tc>
        <w:tc>
          <w:tcPr>
            <w:tcW w:w="425"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Q</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An</w:t>
            </w:r>
          </w:p>
        </w:tc>
        <w:tc>
          <w:tcPr>
            <w:tcW w:w="5812"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lang w:val="en-IE"/>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273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C18.R1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835"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Plan de acțiune pentru asistența medicală primară și comunitară</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Aprobarea de către </w:t>
            </w:r>
            <w:r>
              <w:rPr>
                <w:rFonts w:ascii="Times New Roman" w:hAnsi="Times New Roman"/>
                <w:i/>
                <w:noProof/>
                <w:color w:val="000000"/>
                <w:sz w:val="18"/>
                <w:szCs w:val="18"/>
              </w:rPr>
              <w:t>Consejo Interterritorial</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81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Principalul obiectiv al planului de acțiune este de a consolida asistența medicală primară în cadrul sistemului național de sănătate, pentru a oferi răspunsuri mai bune la problemele de sănătate emergente, pentru a îmbunătăți experiența individuală în materie de îngrijire pentru toți, pentru a preveni bolile și pentru a crește capacitatea asistenței medicale primare de a rezolva problemele de sănătate.</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274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C18.R2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835"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Aprobarea strategiei spaniole de sănătate publică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Aprobarea de către </w:t>
            </w:r>
            <w:r>
              <w:rPr>
                <w:rFonts w:ascii="Times New Roman" w:hAnsi="Times New Roman"/>
                <w:i/>
                <w:noProof/>
                <w:color w:val="000000"/>
                <w:sz w:val="18"/>
                <w:szCs w:val="18"/>
              </w:rPr>
              <w:t>Consejo Interterritorial Sanidad</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81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Strategia de sănătate publică stabilește orientările strategice privind acțiunile în domeniul sănătății publice pe întreg teritoriul Spaniei. Obiectivul strategiei este de a îmbunătăți sănătatea populației spaniole prin stabilirea liniilor și priorităților esențiale care trebuie urmate de toate administrațiile din domeniul sănătății în politicile lor de promovare, prevenire și protecție a sănătății publice, în acțiunile privind grupurile-țintă ale populației, în informarea cetățenilor, în formarea profesioniștilor și în abordarea nevoilor acestora. Strategia asigură faptul că sănătatea publică și accesul egal la asistență medicală sunt luate în considerare în toate politicile publice și facilitează acțiunile intersectoriale în acest domeniu. Acesta are o durată de cinci ani, cu evaluări intermediare din doi în doi ani în care se analizează gradul de punere în aplicare. Aceasta include măsuri și acțiuni legate de toate domeniile sănătății publice care vor fi puse în aplicare în politicile, planurile și programele tuturor administrațiilor din domeniul sănătății din Spania pe durata strategiei, în termenele stabilite în strategie.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275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C18.R3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835"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Legea privind echitatea, universalitatea și coeziunea sistemului național de sănătate</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legii</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81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Obiectivele legii și elementele constitutive sunt: Asigurarea accesului la asistență medicală pentru toți, integrarea reprezentanților pacienților în organismele de guvernanță ale Sistemului Național de Sănătate din Spania, limitarea utilizării noilor coplăți, modificarea definiției prestațiilor sociale și de sănătate în portofoliul sistemului național de sănătate, asigurarea coordonării între autoritățile sanitare și cele sociale și introducerea unei evaluări a impactului pentru toate modificările în materie de reglementare din domeniu și, în cele din urmă, reformarea utilizării produselor farmaceutice în sistemul național de sănătate. Această lege este însoțită de o evaluare aprofundată a impactului, care va fi, de asemenea, făcută publică, analizând, de asemenea, efectele sale asupra sustenabilității pe termen lung a finanțelor publice.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276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C18.R4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835"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Legea privind statutul-cadru al personalului statutar din domeniul sănătății.</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modificării legii</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81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Statutul-cadru este norma de bază care reglementează accesul la statutul de funcționar sanitar și reglementează furnizarea de posturi, promovarea, mobilitatea și condițiile de muncă. Acest amendament are următoarele obiective: </w:t>
            </w:r>
            <w:r>
              <w:rPr>
                <w:rFonts w:ascii="Times New Roman" w:hAnsi="Times New Roman"/>
                <w:noProof/>
                <w:color w:val="000000"/>
                <w:sz w:val="18"/>
                <w:szCs w:val="18"/>
              </w:rPr>
              <w:br/>
              <w:t xml:space="preserve">- Reducerea contractelor temporare. </w:t>
            </w:r>
            <w:r>
              <w:rPr>
                <w:rFonts w:ascii="Times New Roman" w:hAnsi="Times New Roman"/>
                <w:noProof/>
                <w:color w:val="000000"/>
                <w:sz w:val="18"/>
                <w:szCs w:val="18"/>
              </w:rPr>
              <w:br/>
              <w:t xml:space="preserve">Asigurarea mobilizării profesioniștilor în anumite zone geografice insuficient deservite prin măsuri de stimulare. </w:t>
            </w:r>
            <w:r>
              <w:rPr>
                <w:rFonts w:ascii="Times New Roman" w:hAnsi="Times New Roman"/>
                <w:noProof/>
                <w:color w:val="000000"/>
                <w:sz w:val="18"/>
                <w:szCs w:val="18"/>
              </w:rPr>
              <w:br/>
              <w:t xml:space="preserve">Îmbunătățirea mediului și a condițiilor de muncă prin măsuri care contribuie la dezvoltarea profesională și la păstrarea talentelor în sistemul spaniol, cu îmbunătățiri nu numai în ceea ce privește condițiile economice, ci și prin deschiderea posibilităților în ceea ce privește aspectele legate de sănătate, predare și cercetare. </w:t>
            </w:r>
            <w:r>
              <w:rPr>
                <w:rFonts w:ascii="Times New Roman" w:hAnsi="Times New Roman"/>
                <w:noProof/>
                <w:color w:val="000000"/>
                <w:sz w:val="18"/>
                <w:szCs w:val="18"/>
              </w:rPr>
              <w:br/>
              <w:t>Această lege va fi însoțită de o evaluare aprofundată a impactului care să analizeze, de asemenea, efectele sale asupra sustenabilității pe termen lung a finanțelor publice.</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277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C18.R5</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835"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Legea privind garanțiile și utilizarea rațională a produselor medicale</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legii</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81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Legii privind garanțiile și utilizarea rațională a produselor medicale. Printre principalele obiective ale acestei reforme juridice se numără:</w:t>
            </w:r>
            <w:r>
              <w:rPr>
                <w:rFonts w:ascii="Times New Roman" w:hAnsi="Times New Roman"/>
                <w:noProof/>
                <w:color w:val="000000"/>
                <w:sz w:val="18"/>
                <w:szCs w:val="18"/>
              </w:rPr>
              <w:br/>
              <w:t xml:space="preserve">- Modificarea sistemului prețurilor de referință prin introducerea unor elemente care sporesc concurența. </w:t>
            </w:r>
            <w:r>
              <w:rPr>
                <w:rFonts w:ascii="Times New Roman" w:hAnsi="Times New Roman"/>
                <w:noProof/>
                <w:color w:val="000000"/>
                <w:sz w:val="18"/>
                <w:szCs w:val="18"/>
              </w:rPr>
              <w:br/>
              <w:t xml:space="preserve">- Consolidarea administrării la distanță a medicamentelor. </w:t>
            </w:r>
            <w:r>
              <w:rPr>
                <w:rFonts w:ascii="Times New Roman" w:hAnsi="Times New Roman"/>
                <w:noProof/>
                <w:color w:val="000000"/>
                <w:sz w:val="18"/>
                <w:szCs w:val="18"/>
              </w:rPr>
              <w:br/>
              <w:t xml:space="preserve">- Să permită ca depozitele de medicamente ale centrelor socio-sanitare să fie legate de serviciile farmaceutice de asistență medicală primară. </w:t>
            </w:r>
            <w:r>
              <w:rPr>
                <w:rFonts w:ascii="Times New Roman" w:hAnsi="Times New Roman"/>
                <w:noProof/>
                <w:color w:val="000000"/>
                <w:sz w:val="18"/>
                <w:szCs w:val="18"/>
              </w:rPr>
              <w:br/>
              <w:t>- Să modifice sistemul pentru a calcula contribuția trimestrială la Sistemul Național de Sănătate a producătorilor, importatorilor și furnizorilor de medicamente și produse de sănătate finanțate din fonduri publice.</w:t>
            </w:r>
            <w:r>
              <w:rPr>
                <w:rFonts w:ascii="Times New Roman" w:hAnsi="Times New Roman"/>
                <w:noProof/>
                <w:color w:val="000000"/>
                <w:sz w:val="18"/>
                <w:szCs w:val="18"/>
              </w:rPr>
              <w:br/>
              <w:t xml:space="preserve"> - Clarificarea competențelor în ceea ce privește controlul publicității la medicamente.</w:t>
            </w:r>
            <w:r>
              <w:rPr>
                <w:rFonts w:ascii="Times New Roman" w:hAnsi="Times New Roman"/>
                <w:noProof/>
                <w:color w:val="000000"/>
                <w:sz w:val="18"/>
                <w:szCs w:val="18"/>
              </w:rPr>
              <w:br/>
              <w:t xml:space="preserve"> - Modificarea ratelor aplicate de Agenția Medicină. </w:t>
            </w:r>
            <w:r>
              <w:rPr>
                <w:rFonts w:ascii="Times New Roman" w:hAnsi="Times New Roman"/>
                <w:noProof/>
                <w:color w:val="000000"/>
                <w:sz w:val="18"/>
                <w:szCs w:val="18"/>
              </w:rPr>
              <w:br/>
              <w:t xml:space="preserve">- Modificarea și actualizarea procedurii de sancționare și a infracțiunilor. </w:t>
            </w:r>
            <w:r>
              <w:rPr>
                <w:rFonts w:ascii="Times New Roman" w:hAnsi="Times New Roman"/>
                <w:noProof/>
                <w:color w:val="000000"/>
                <w:sz w:val="18"/>
                <w:szCs w:val="18"/>
              </w:rPr>
              <w:br/>
              <w:t>Această lege va fi însoțită de o evaluare aprofundată a impactului care să analizeze, de asemenea, efectele sale asupra sustenabilității pe termen lung a finanțelor publice.</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278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C18.I1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835"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Aprobarea planului de investiții în echipamente și distribuirea fondurilor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Aprobarea de către Consejo Interterritorial Sanidad</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812"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Aprobarea de către Consejo Interterritorial a planului și a distribuirii fondurilor, stabilind mecanisme pentru acordarea de granturi în valoare de 796 100 000 EUR.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279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C18.I1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835"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Instalarea/reînnoirea/extinderea echipamentelor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750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81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Punerea în funcțiune a cel puțin 750 de dispozitive noi de echipamente prin reînnoiri, extinderi sau instalații noi pe întreg teritoriul țării.</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280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C18.I2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835"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Campanii și acțiuni în domeniul sănătății publice</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11</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81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Au fost efectuate cel puțin 11 campanii de difuzare sau de screening în domeniul sănătății publice, în domenii precum: combaterea fumatului, prevenirea consumului de alcool, promovarea sănătății mintale, promovarea unor medii de viață și a unor stiluri de viață sănătoase, planul de rezistență la antimicrobiene și prevenirea cancerului, inclusiv diseminarea codului european împotriva cancerului.  Campaniile se desfășoară la nivel național. Difuzarea se realizează prin radio, presă scrisă, internet, marketing direct și acțiuni în aer liber.</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281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C18.I3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835"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Sistemul de informații al rețelei de supraveghere a sănătății publice</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Certificat de punere în funcțiune</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81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Un sistem de monitorizare pentru stat și comunitățile autonome (Sistemul de informații al rețelei de supraveghere a sănătății publice) este operațional pentru a permite alerta timpurie și reacția rapidă, în vederea detectării problemelor care pot prezenta un risc pentru sănătate, a diseminării informațiilor de la autoritățile competente și a facilitării punerii în aplicare a măsurilor de control.</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282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C18.I4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835"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Profesioniști din domeniul sănătății formați în cadrul planurilor de formare continuă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90 000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81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Cel puțin 90 000 de cadre medicale au finalizat un total de 360 000 de credite de educație continuă (CECs), echivalentul a 3,6 milioane de profesori de formare profesională în cadrul planurilor de formare continuă concepute în conformitate cu prioritățile stabilite în definiția C18.I4. Cursurile de formare acoperă: Utilizarea tehnologiilor medicale și a sistemelor informatice, supravegherea sănătății publice și epidemiologia, siguranța pacienților și profesională, utilizarea rațională a resurselor de diagnosticare și terapeutice, depistarea timpurie a cancerului, sănătatea mintală, sănătatea mediului, prevenirea factorilor de risc, depistarea timpurie a violenței bazate pe gen, depistarea timpurie a abuzului asupra copiilor, bioetica, comunicarea clinică, medicina bazată pe dovezi, colaborarea cu alte persoane, metodele de investigare, dezvoltarea competențelor manageriale ale managerilor din instituțiile sanitare și formarea mentorilor în formarea specializată în domeniul sănătății. Au fost oferite cursuri de formare sub formă de cursuri de formare bazate pe clase, formate de învățare online și mixte și au fost finalizate de profesioniști calificați din domeniul sănătății și de profesioniști din domeniul sănătății.</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283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C18.I5</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835"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Sistemul VALTERMED și platforma pentru evaluarea tehnologiilor și beneficiilor medicale ale sistemului național de sănătate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Certificat de punere în funcțiune</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81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Rețeaua dintre Ministerul Sănătății și Regiunile Autonome pentru evaluarea medicamentelor este operațională, sistemul VALTERMED este operațional și a fost creată o platformă pentru Rețeaua spaniolă a agențiilor de evaluare a tehnologiilor medicale și a beneficiilor sistemului național de sănătate (SNS REDETS).</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284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C18.I6</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835"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Lacul cu date medicale operațional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17</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81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Un lac cu date medicale este operațional pentru stat și include cel puțin 17 regiuni sau orașe autonome cu obiectivul de a permite analiza datelor în masă pentru identificarea și îmbunătățirea diagnosticării și a tratamentelor.</w:t>
            </w:r>
          </w:p>
        </w:tc>
      </w:tr>
    </w:tbl>
    <w:p>
      <w:pPr>
        <w:spacing w:before="120" w:after="120" w:line="240" w:lineRule="auto"/>
        <w:ind w:left="709"/>
        <w:jc w:val="both"/>
        <w:rPr>
          <w:rFonts w:ascii="Times New Roman" w:hAnsi="Times New Roman" w:cs="Times New Roman"/>
          <w:noProof/>
          <w:sz w:val="24"/>
          <w:szCs w:val="24"/>
        </w:rPr>
        <w:sectPr>
          <w:headerReference w:type="even" r:id="rId229"/>
          <w:headerReference w:type="default" r:id="rId230"/>
          <w:footerReference w:type="even" r:id="rId231"/>
          <w:footerReference w:type="default" r:id="rId232"/>
          <w:headerReference w:type="first" r:id="rId233"/>
          <w:footerReference w:type="first" r:id="rId234"/>
          <w:pgSz w:w="16839" w:h="11907" w:orient="landscape"/>
          <w:pgMar w:top="1417" w:right="1134" w:bottom="1417" w:left="1134" w:header="709" w:footer="709" w:gutter="0"/>
          <w:cols w:space="720"/>
          <w:docGrid w:linePitch="360"/>
        </w:sectPr>
      </w:pPr>
    </w:p>
    <w:p>
      <w:pPr>
        <w:pStyle w:val="Heading1"/>
        <w:rPr>
          <w:noProof/>
        </w:rPr>
      </w:pPr>
      <w:r>
        <w:rPr>
          <w:noProof/>
        </w:rPr>
        <w:t>S. COMPONENTA 19: Competențe digitale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Principalul obiectiv al acestei componente a planului spaniol de redresare și reziliență este de a crește nivelul competențelor digitale (de bază și avansate) prin acțiuni adresate diferitelor grupuri de populație. Dobândirea acestor competențe este esențială pentru ca Spania să profite de oportunitățile oferite de digitalizarea sporită a economiei și a societății.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Acțiunile specifice pentru digitalizarea IMM-urilor completează măsurile prevăzute în componenta 13 a planului (Sprijin pentru IMM-uri). Acțiunile de creștere a numărului de persoane cu înaltă calificare în domeniul TIC completează acțiunile din cadrul componentei 15 (Conectivitate digitală). În cele din urmă, acțiunile de digitalizare a școlilor ar trebui să consolideze măsurile din cadrul componentei 21 (Educație) și să sporească impactul acțiunilor prevăzute în cadrul componentei 23 (Piața forței de muncă).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Componenta abordează recomandările specifice țării privind promovarea inovării (recomandarea specifică țării 3 din 2019), accesul la învățarea digitală (recomandarea specifică țării 2 din 2020) și concentrarea la începutul perioadei a proiectelor de investiții publice mature, promovarea investițiilor private pentru încurajarea redresării economice și concentrarea investițiilor asupra tranziției verzi și digitale (recomandarea specifică țării 3 din 2020).</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themeColor="text1"/>
          <w:sz w:val="24"/>
          <w:szCs w:val="24"/>
        </w:rPr>
        <w:t>Se preconizează că nicio măsură din cadrul acestei componente nu aduce prejudicii semnificative obiectivelor de mediu în sensul articolului 17 din Regulamentul (UE) 2020/852, ținând seama de descrierea măsurilor și a măsurilor de atenuare stabilite în planul de redresare și reziliență în conformitate cu Orientările tehnice DNSH (2021/C58/01).</w:t>
      </w:r>
    </w:p>
    <w:p>
      <w:pPr>
        <w:spacing w:before="120" w:after="120" w:line="240" w:lineRule="auto"/>
        <w:ind w:left="709"/>
        <w:jc w:val="both"/>
        <w:rPr>
          <w:rFonts w:ascii="Times New Roman" w:hAnsi="Times New Roman" w:cs="Times New Roman"/>
          <w:b/>
          <w:i/>
          <w:noProof/>
          <w:color w:val="4F81BD" w:themeColor="accent1"/>
          <w:sz w:val="24"/>
          <w:szCs w:val="24"/>
        </w:rPr>
      </w:pPr>
      <w:r>
        <w:rPr>
          <w:rFonts w:ascii="Times New Roman" w:hAnsi="Times New Roman"/>
          <w:b/>
          <w:noProof/>
          <w:sz w:val="24"/>
          <w:szCs w:val="24"/>
          <w:u w:val="single"/>
        </w:rPr>
        <w:t xml:space="preserve">S.1. </w:t>
      </w:r>
      <w:r>
        <w:rPr>
          <w:rFonts w:ascii="Times New Roman" w:hAnsi="Times New Roman"/>
          <w:b/>
          <w:noProof/>
          <w:sz w:val="24"/>
          <w:u w:val="single"/>
        </w:rPr>
        <w:tab/>
      </w:r>
      <w:r>
        <w:rPr>
          <w:rFonts w:ascii="Times New Roman" w:hAnsi="Times New Roman"/>
          <w:b/>
          <w:noProof/>
          <w:sz w:val="24"/>
          <w:szCs w:val="24"/>
          <w:u w:val="single"/>
        </w:rPr>
        <w:t>Descrierea reformelor și a investițiilor pentru care se prevede acordarea sprijinului financiar nerambursabil</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Reforma 1 (C19.R1) - Planul național privind competențele digitale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Această măsură constă într-un plan strategic care are următoarele obiective: (i) furnizarea de formare în domeniul competențelor digitale pentru populația generală; (ii) reducerea decalajului digital dintre femei și bărbați; (iii) digitalizarea sistemului educațional și dezvoltarea competențelor digitale pentru învățare; (iv) furnizarea de competențe digitale pentru o mai bună inserție profesională a lucrătorilor privați și a șomerilor, (v) sprijinirea competențelor digitale ale lucrătorilor din sectorul public; (vi) dezvoltarea competențelor digitale în IMM-uri; și (vii) creșterea numărului de specialiști TIC. Investițiile în componenta respectivă contribuie la îndeplinirea obiectivelor planului strategic.</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Punerea în aplicare a măsurii se finalizează până la 31 ianuarie 2021.</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 xml:space="preserve">Investiția 1 (C19. I1) - Competențe digitale transversale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Obiectivul acestei măsuri este de a îmbunătăți nivelul competențelor digitale ale populației. Măsura are în vedere: (a) dezvoltarea unei rețele de centre de sprijin pentru formarea în domeniul competențelor digitale de bază și avansate, (b) acțiuni de e-incluziune cu scopul de a capacita persoanele în vârstă sau de a facilita formarea copiilor vulnerabili, (c) diverse campanii de sensibilizare, (d) activități de creștere a capacităților digitale ale populației în general și (e) dezvoltarea de resurse digitale pentru difuzarea și predarea limbii spaniole. Măsura promovează, de asemenea, emanciparea digitală a femeilor și promovează vocațiile științifice și tehnologice în școli. </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rPr>
        <w:t xml:space="preserve">Punerea în aplicare a măsurii se finalizează până la 31 decembrie 2025. </w:t>
      </w:r>
    </w:p>
    <w:p>
      <w:pPr>
        <w:keepNext/>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Investiția 2 (C19. I2) - Transformarea digitală a educației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Obiectivul acestei măsuri este de a îmbunătăți accesul la învățarea digitală prin furnizarea de dispozitive portabile pentru cel puțin 300 000 de elevi din grupuri vulnerabile din școli publice sau subvenționate din fonduri publice. De asemenea, acesta instalează, actualizează și întreține sisteme digitale interactive (IDS) în cel puțin 240 000 săli de clasă din școlile publice și subvenționate din fonduri publice, pentru a permite învățarea la distanță și învățarea mixtă. Măsura sprijină, de asemenea, pregătirea sau revizuirea unei strategii digitale în cel puțin 22 000 de centre școlare publice și subvenționate din fonduri publice și include formarea digitală a 700 000 de profesori.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Această măsură sprijină, de asemenea, punerea în aplicare a Planului EFP digital. Acest lucru se realizează prin intermediul unui instrument de gestionare a acreditării digitale pentru competențele profesionale dobândite prin experiență profesională (care se preconizează că va servi la acreditarea a 3 500 000 de persoane) și prin crearea unor instrumente digitale de gestionare a EFP pentru ocuparea forței de muncă, în conformitate cu Catalogul național al calificărilor și cu registrul vieții profesionale. În fine, măsura sprijină crearea de simulatoare, gemeni digitali și centre tehnologice.</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rPr>
        <w:t xml:space="preserve">Punerea în aplicare a măsurii se finalizează până la 31 decembrie 2025. </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Investiția 3 (C19. I3) - Competențe digitale pentru ocuparea forței de muncă</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Obiectivul acestei măsuri este de a consolida competențele digitale ale angajaților și ale șomerilor, în special ale tinerilor, pentru a le îmbunătăți capacitatea de inserție profesională. Formarea vizează, de asemenea, administrația publică (printre altele, profesioniștii din domeniul sănătății, trupele și navigatorii din forțele armate, precum și personalul care își desfășoară activitatea în domeniul securității sociale și al finanțelor). În cele din urmă, măsura sprijină digitalizarea IMM-urilor prin acțiuni adresate unor sectoare specifice ale economiei și prin formarea persoanelor care pot acționa ca catalizatori ai schimbării, inclusiv a experților și a managerilor de întreprinderi.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Obiectivul acestei investiții este de a ajunge la acea parte a forței de muncă cu competențe digitale foarte limitate. Pe baza datelor furnizate de Institutul Național de Statistică (INE) în 2019, această parte a populației reprezintă 3,62 % din totalul forței de muncă, echivalentul a aproximativ 832 600 de persoane. Obiectivul acestei măsuri este de a ajunge la 60 % din acest grup, echivalentul unui obiectiv de aproape 500 000 de persoane.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Punerea în aplicare a măsurii se finalizează până la 31 decembrie 2025.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Investiția 4 (C19. I4) - Profesioniști digitali</w:t>
      </w:r>
    </w:p>
    <w:p>
      <w:pPr>
        <w:spacing w:before="120" w:after="120" w:line="240" w:lineRule="auto"/>
        <w:jc w:val="both"/>
        <w:rPr>
          <w:rFonts w:ascii="Times New Roman" w:hAnsi="Times New Roman" w:cs="Times New Roman"/>
          <w:noProof/>
          <w:sz w:val="24"/>
        </w:rPr>
      </w:pPr>
      <w:r>
        <w:rPr>
          <w:rFonts w:ascii="Times New Roman" w:hAnsi="Times New Roman"/>
          <w:noProof/>
          <w:sz w:val="24"/>
        </w:rPr>
        <w:t>Obiectivul acestei măsuri este de a adapta oferta existentă de formare profesională privind competențele digitale avansate și de a atrage și păstra talentele în aceste domenii. Acesta creează, de asemenea, resurse educaționale deschise pentru predarea digitală în domeniul inteligenței artificiale și al securității cibernetice la diferite niveluri.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Măsura include cursuri de formare speciale pentru aproximativ 20 000 de experți IT, cu accent pe securitatea cibernetică, precum și finanțarea unor burse pe 4 ani pentru a atrage și a păstra talentele în ceea ce privește competențele digitale avansate. </w:t>
      </w:r>
    </w:p>
    <w:p>
      <w:pPr>
        <w:spacing w:before="120" w:after="120" w:line="240" w:lineRule="auto"/>
        <w:jc w:val="both"/>
        <w:rPr>
          <w:rFonts w:ascii="Times New Roman" w:hAnsi="Times New Roman" w:cs="Times New Roman"/>
          <w:b/>
          <w:noProof/>
          <w:sz w:val="24"/>
          <w:szCs w:val="24"/>
          <w:u w:val="single"/>
        </w:rPr>
      </w:pPr>
      <w:r>
        <w:rPr>
          <w:rFonts w:ascii="Times New Roman" w:hAnsi="Times New Roman"/>
          <w:noProof/>
          <w:sz w:val="24"/>
          <w:szCs w:val="24"/>
        </w:rPr>
        <w:t xml:space="preserve">Punerea în aplicare a măsurii se finalizează până la 31 decembrie 2025. </w:t>
      </w:r>
    </w:p>
    <w:p>
      <w:pPr>
        <w:spacing w:before="120" w:after="120" w:line="240" w:lineRule="auto"/>
        <w:jc w:val="both"/>
        <w:rPr>
          <w:rFonts w:ascii="Times New Roman" w:hAnsi="Times New Roman" w:cs="Times New Roman"/>
          <w:b/>
          <w:bCs/>
          <w:noProof/>
          <w:sz w:val="24"/>
          <w:u w:val="single"/>
        </w:rPr>
      </w:pPr>
      <w:r>
        <w:rPr>
          <w:rFonts w:ascii="Times New Roman" w:hAnsi="Times New Roman"/>
          <w:b/>
          <w:bCs/>
          <w:noProof/>
          <w:sz w:val="24"/>
          <w:u w:val="single"/>
        </w:rPr>
        <w:t xml:space="preserve">S.2. </w:t>
      </w:r>
      <w:r>
        <w:rPr>
          <w:rFonts w:ascii="Times New Roman" w:hAnsi="Times New Roman"/>
          <w:b/>
          <w:noProof/>
          <w:sz w:val="24"/>
          <w:u w:val="single"/>
        </w:rPr>
        <w:tab/>
      </w:r>
      <w:r>
        <w:rPr>
          <w:rFonts w:ascii="Times New Roman" w:hAnsi="Times New Roman"/>
          <w:b/>
          <w:bCs/>
          <w:noProof/>
          <w:sz w:val="24"/>
          <w:u w:val="single"/>
        </w:rPr>
        <w:t>Jaloane, ținte, indicatori și calendarul de monitorizare și implementare aplicabile sprijinului financiar nerambursabil</w:t>
      </w:r>
    </w:p>
    <w:p>
      <w:pPr>
        <w:spacing w:before="120" w:after="120" w:line="240" w:lineRule="auto"/>
        <w:jc w:val="both"/>
        <w:rPr>
          <w:rFonts w:ascii="Times New Roman" w:hAnsi="Times New Roman" w:cs="Times New Roman"/>
          <w:noProof/>
          <w:color w:val="1F497D"/>
        </w:rPr>
      </w:pPr>
      <w:r>
        <w:rPr>
          <w:rFonts w:ascii="Times New Roman" w:hAnsi="Times New Roman"/>
          <w:i/>
          <w:iCs/>
          <w:noProof/>
          <w:color w:val="000000"/>
          <w:sz w:val="24"/>
        </w:rPr>
        <w:t>Tabelul de mai jos.</w:t>
      </w:r>
      <w:r>
        <w:rPr>
          <w:rFonts w:ascii="Times New Roman" w:hAnsi="Times New Roman"/>
          <w:noProof/>
          <w:color w:val="1F497D"/>
          <w:sz w:val="24"/>
        </w:rPr>
        <w:t xml:space="preserve"> </w:t>
      </w:r>
      <w:r>
        <w:rPr>
          <w:rFonts w:ascii="Times New Roman" w:hAnsi="Times New Roman"/>
          <w:i/>
          <w:iCs/>
          <w:noProof/>
          <w:color w:val="000000"/>
          <w:sz w:val="24"/>
        </w:rPr>
        <w:t>Data de referință pentru toți indicatorii este începutul acțiunii, cu excepția cazului în care se indică altfel în descrierea acțiunii. Sumele din tabel nu includ TVA.</w:t>
      </w:r>
    </w:p>
    <w:p>
      <w:pPr>
        <w:spacing w:before="120" w:after="120" w:line="240" w:lineRule="auto"/>
        <w:ind w:left="709"/>
        <w:jc w:val="both"/>
        <w:rPr>
          <w:rFonts w:ascii="Times New Roman" w:hAnsi="Times New Roman" w:cs="Times New Roman"/>
          <w:noProof/>
          <w:sz w:val="24"/>
          <w:lang w:val="en-IE"/>
        </w:rPr>
        <w:sectPr>
          <w:headerReference w:type="even" r:id="rId235"/>
          <w:headerReference w:type="default" r:id="rId236"/>
          <w:footerReference w:type="even" r:id="rId237"/>
          <w:footerReference w:type="default" r:id="rId238"/>
          <w:headerReference w:type="first" r:id="rId239"/>
          <w:footerReference w:type="first" r:id="rId240"/>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11"/>
        <w:gridCol w:w="818"/>
        <w:gridCol w:w="852"/>
        <w:gridCol w:w="2700"/>
        <w:gridCol w:w="1420"/>
        <w:gridCol w:w="853"/>
        <w:gridCol w:w="568"/>
        <w:gridCol w:w="710"/>
        <w:gridCol w:w="427"/>
        <w:gridCol w:w="568"/>
        <w:gridCol w:w="5683"/>
      </w:tblGrid>
      <w:tr>
        <w:trPr>
          <w:trHeight w:val="309"/>
          <w:tblHeader/>
        </w:trPr>
        <w:tc>
          <w:tcPr>
            <w:tcW w:w="711" w:type="dxa"/>
            <w:tcBorders>
              <w:bottom w:val="nil"/>
            </w:tcBorders>
            <w:shd w:val="clear" w:color="auto" w:fill="C6D9F1" w:themeFill="text2" w:themeFillTint="33"/>
            <w:noWrap/>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Număr</w:t>
            </w:r>
          </w:p>
        </w:tc>
        <w:tc>
          <w:tcPr>
            <w:tcW w:w="818" w:type="dxa"/>
            <w:tcBorders>
              <w:bottom w:val="nil"/>
            </w:tcBorders>
            <w:shd w:val="clear" w:color="auto" w:fill="C6D9F1" w:themeFill="text2" w:themeFillTint="33"/>
            <w:noWrap/>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Măsură</w:t>
            </w:r>
          </w:p>
        </w:tc>
        <w:tc>
          <w:tcPr>
            <w:tcW w:w="852" w:type="dxa"/>
            <w:tcBorders>
              <w:bottom w:val="nil"/>
            </w:tcBorders>
            <w:shd w:val="clear" w:color="auto" w:fill="C6D9F1" w:themeFill="text2" w:themeFillTint="33"/>
            <w:noWrap/>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Jalon</w:t>
            </w:r>
            <w:r>
              <w:rPr>
                <w:rFonts w:ascii="Times New Roman" w:hAnsi="Times New Roman"/>
                <w:noProof/>
                <w:sz w:val="18"/>
                <w:szCs w:val="18"/>
              </w:rPr>
              <w:br/>
            </w:r>
            <w:r>
              <w:rPr>
                <w:rFonts w:ascii="Times New Roman" w:hAnsi="Times New Roman"/>
                <w:b/>
                <w:bCs/>
                <w:noProof/>
                <w:color w:val="000000" w:themeColor="text1"/>
                <w:sz w:val="18"/>
                <w:szCs w:val="18"/>
              </w:rPr>
              <w:t xml:space="preserve"> /Țintă</w:t>
            </w:r>
          </w:p>
        </w:tc>
        <w:tc>
          <w:tcPr>
            <w:tcW w:w="2700" w:type="dxa"/>
            <w:tcBorders>
              <w:bottom w:val="nil"/>
            </w:tcBorders>
            <w:shd w:val="clear" w:color="auto" w:fill="C6D9F1" w:themeFill="text2" w:themeFillTint="33"/>
            <w:noWrap/>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Denumire</w:t>
            </w:r>
          </w:p>
        </w:tc>
        <w:tc>
          <w:tcPr>
            <w:tcW w:w="1420" w:type="dxa"/>
            <w:tcBorders>
              <w:bottom w:val="nil"/>
            </w:tcBorders>
            <w:shd w:val="clear" w:color="auto" w:fill="C6D9F1" w:themeFill="text2" w:themeFillTint="33"/>
            <w:noWrap/>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Indicator calitativ pentru obiectivele de etapă</w:t>
            </w:r>
          </w:p>
        </w:tc>
        <w:tc>
          <w:tcPr>
            <w:tcW w:w="2131" w:type="dxa"/>
            <w:gridSpan w:val="3"/>
            <w:shd w:val="clear" w:color="auto" w:fill="C6D9F1" w:themeFill="text2" w:themeFillTint="33"/>
            <w:noWrap/>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Indicator cantitativ pentru obiectiv</w:t>
            </w:r>
          </w:p>
        </w:tc>
        <w:tc>
          <w:tcPr>
            <w:tcW w:w="995" w:type="dxa"/>
            <w:gridSpan w:val="2"/>
            <w:shd w:val="clear" w:color="auto" w:fill="C6D9F1" w:themeFill="text2" w:themeFillTint="33"/>
            <w:noWrap/>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Timp</w:t>
            </w:r>
          </w:p>
        </w:tc>
        <w:tc>
          <w:tcPr>
            <w:tcW w:w="5683" w:type="dxa"/>
            <w:tcBorders>
              <w:bottom w:val="nil"/>
            </w:tcBorders>
            <w:shd w:val="clear" w:color="auto" w:fill="C6D9F1" w:themeFill="text2" w:themeFillTint="33"/>
            <w:noWrap/>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sz w:val="18"/>
                <w:szCs w:val="18"/>
              </w:rPr>
              <w:t>Descrierea fiecărui jalon și a fiecărei ținte</w:t>
            </w:r>
          </w:p>
        </w:tc>
      </w:tr>
      <w:tr>
        <w:trPr>
          <w:trHeight w:val="309"/>
          <w:tblHeader/>
        </w:trPr>
        <w:tc>
          <w:tcPr>
            <w:tcW w:w="71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18"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2"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2700"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42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3" w:type="dxa"/>
            <w:shd w:val="clear" w:color="auto" w:fill="C6D9F1" w:themeFill="text2" w:themeFillTint="33"/>
            <w:noWrap/>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Unitate</w:t>
            </w:r>
          </w:p>
        </w:tc>
        <w:tc>
          <w:tcPr>
            <w:tcW w:w="568" w:type="dxa"/>
            <w:shd w:val="clear" w:color="auto" w:fill="C6D9F1" w:themeFill="text2" w:themeFillTint="33"/>
            <w:noWrap/>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Scenariu de bază</w:t>
            </w:r>
          </w:p>
        </w:tc>
        <w:tc>
          <w:tcPr>
            <w:tcW w:w="710" w:type="dxa"/>
            <w:shd w:val="clear" w:color="auto" w:fill="C6D9F1" w:themeFill="text2" w:themeFillTint="33"/>
            <w:noWrap/>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Obiectiv</w:t>
            </w:r>
          </w:p>
        </w:tc>
        <w:tc>
          <w:tcPr>
            <w:tcW w:w="427" w:type="dxa"/>
            <w:shd w:val="clear" w:color="auto" w:fill="C6D9F1" w:themeFill="text2" w:themeFillTint="33"/>
            <w:noWrap/>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Q</w:t>
            </w:r>
          </w:p>
        </w:tc>
        <w:tc>
          <w:tcPr>
            <w:tcW w:w="568" w:type="dxa"/>
            <w:shd w:val="clear" w:color="auto" w:fill="C6D9F1" w:themeFill="text2" w:themeFillTint="33"/>
            <w:noWrap/>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An</w:t>
            </w:r>
          </w:p>
        </w:tc>
        <w:tc>
          <w:tcPr>
            <w:tcW w:w="5683"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lang w:val="en-IE"/>
              </w:rPr>
            </w:pPr>
          </w:p>
        </w:tc>
      </w:tr>
      <w:tr>
        <w:trPr>
          <w:trHeight w:val="309"/>
        </w:trPr>
        <w:tc>
          <w:tcPr>
            <w:tcW w:w="71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285</w:t>
            </w:r>
          </w:p>
        </w:tc>
        <w:tc>
          <w:tcPr>
            <w:tcW w:w="81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C19.R1</w:t>
            </w:r>
          </w:p>
        </w:tc>
        <w:tc>
          <w:tcPr>
            <w:tcW w:w="85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70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Aprobarea Planului național privind competențele digitale de către Consiliul de Miniștri</w:t>
            </w:r>
          </w:p>
        </w:tc>
        <w:tc>
          <w:tcPr>
            <w:tcW w:w="142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Referința Consiliului de Miniștri</w:t>
            </w:r>
          </w:p>
        </w:tc>
        <w:tc>
          <w:tcPr>
            <w:tcW w:w="853"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8"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1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56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68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Aprobarea Planului național privind competențele digitale de către Consiliul de Miniștri. Planul are ca obiective: (1) furnizarea de formare în domeniul competențelor digitale pentru populația generală; (2) reducerea decalajului digital dintre femei și bărbați; (3) digitalizarea sistemului educațional și dezvoltarea competențelor digitale pentru învățare; (4, 5) furnizarea de competențe digitale pentru o mai bună inserție profesională a lucrătorilor din sectorul public și privat; (6) dezvoltarea competențelor digitale în IMM-uri; și (7) creșterea numărului de specialiști TIC, neavând caracter obligatoriu pentru regiuni și entități locale.</w:t>
            </w:r>
          </w:p>
        </w:tc>
      </w:tr>
      <w:tr>
        <w:trPr>
          <w:trHeight w:val="309"/>
        </w:trPr>
        <w:tc>
          <w:tcPr>
            <w:tcW w:w="71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286</w:t>
            </w:r>
          </w:p>
        </w:tc>
        <w:tc>
          <w:tcPr>
            <w:tcW w:w="81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C19.I1</w:t>
            </w:r>
          </w:p>
        </w:tc>
        <w:tc>
          <w:tcPr>
            <w:tcW w:w="85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70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Formarea cetățenilor cu privire la competențele digitale.</w:t>
            </w:r>
          </w:p>
        </w:tc>
        <w:tc>
          <w:tcPr>
            <w:tcW w:w="142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3"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8"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1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75</w:t>
            </w:r>
          </w:p>
        </w:tc>
        <w:tc>
          <w:tcPr>
            <w:tcW w:w="42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68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75 % din buget va fi fost alocat pentru acțiuni din cadrul investițiilor menite să formeze cetățenii cu privire la competențele digitale.</w:t>
            </w:r>
          </w:p>
        </w:tc>
      </w:tr>
      <w:tr>
        <w:trPr>
          <w:trHeight w:val="309"/>
        </w:trPr>
        <w:tc>
          <w:tcPr>
            <w:tcW w:w="71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287</w:t>
            </w:r>
          </w:p>
        </w:tc>
        <w:tc>
          <w:tcPr>
            <w:tcW w:w="81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C19.I1</w:t>
            </w:r>
          </w:p>
        </w:tc>
        <w:tc>
          <w:tcPr>
            <w:tcW w:w="85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700"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Finalizarea acțiunilor de consolidare a capacităților digitale</w:t>
            </w:r>
          </w:p>
        </w:tc>
        <w:tc>
          <w:tcPr>
            <w:tcW w:w="1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Certificat de calificare eliberat de centrele naționale de formare digitală</w:t>
            </w:r>
          </w:p>
        </w:tc>
        <w:tc>
          <w:tcPr>
            <w:tcW w:w="85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8"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10"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5683"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Crearea unei rețele naționale de competențe digitale (inclusiv reforma a 1 500 de centre de formare profesională) și punerea în aplicare a unor campanii de sensibilizare și a unor planuri de comunicare</w:t>
            </w:r>
          </w:p>
        </w:tc>
      </w:tr>
      <w:tr>
        <w:trPr>
          <w:trHeight w:val="309"/>
        </w:trPr>
        <w:tc>
          <w:tcPr>
            <w:tcW w:w="71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288</w:t>
            </w:r>
          </w:p>
        </w:tc>
        <w:tc>
          <w:tcPr>
            <w:tcW w:w="81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C19.I1</w:t>
            </w:r>
          </w:p>
        </w:tc>
        <w:tc>
          <w:tcPr>
            <w:tcW w:w="85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70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Formarea cetățenilor cu privire la competențele digitale.</w:t>
            </w:r>
          </w:p>
        </w:tc>
        <w:tc>
          <w:tcPr>
            <w:tcW w:w="142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3"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568"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1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2 600 000 </w:t>
            </w:r>
          </w:p>
        </w:tc>
        <w:tc>
          <w:tcPr>
            <w:tcW w:w="42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2025</w:t>
            </w:r>
          </w:p>
        </w:tc>
        <w:tc>
          <w:tcPr>
            <w:tcW w:w="568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2 600 000 de cetățeni au beneficiat de formare în domeniul competențelor digitale, în conformitate cu acțiunile din cadrul măsurii. Cursurile de formare trebuie să fie de cel puțin 10 ECTS. </w:t>
            </w:r>
          </w:p>
        </w:tc>
      </w:tr>
      <w:tr>
        <w:trPr>
          <w:trHeight w:val="309"/>
        </w:trPr>
        <w:tc>
          <w:tcPr>
            <w:tcW w:w="71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289</w:t>
            </w:r>
          </w:p>
        </w:tc>
        <w:tc>
          <w:tcPr>
            <w:tcW w:w="81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C19.I2</w:t>
            </w:r>
          </w:p>
        </w:tc>
        <w:tc>
          <w:tcPr>
            <w:tcW w:w="85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70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Program de dotare a școlilor publice și subvenționate din fonduri publice cu instrumente digitale</w:t>
            </w:r>
          </w:p>
        </w:tc>
        <w:tc>
          <w:tcPr>
            <w:tcW w:w="142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Publicarea în Jurnalul Oficial</w:t>
            </w:r>
          </w:p>
        </w:tc>
        <w:tc>
          <w:tcPr>
            <w:tcW w:w="853"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8"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1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68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Aprobarea programului de dotare a minimum 240 000 săli de clasă, de formare a 700 000 de profesori și de pregătire sau revizuire a strategiei digitale pentru cel puțin 22 000 de centre școlare publice și subvenționate public și de furnizare a 300 000 de dispozitive digitale conectate (laptopuri, tablete) în școli publice și subvenționate din fonduri publice, în cooperare cu comunitățile autonome. Programul este obligatoriu pentru comunitățile autonome.</w:t>
            </w:r>
          </w:p>
        </w:tc>
      </w:tr>
      <w:tr>
        <w:trPr>
          <w:trHeight w:val="309"/>
        </w:trPr>
        <w:tc>
          <w:tcPr>
            <w:tcW w:w="71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290</w:t>
            </w:r>
          </w:p>
        </w:tc>
        <w:tc>
          <w:tcPr>
            <w:tcW w:w="81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C19.I2</w:t>
            </w:r>
          </w:p>
        </w:tc>
        <w:tc>
          <w:tcPr>
            <w:tcW w:w="85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70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Finalizarea acțiunilor pentru transformarea digitală a educației</w:t>
            </w:r>
          </w:p>
        </w:tc>
        <w:tc>
          <w:tcPr>
            <w:tcW w:w="142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Certificare din partea administrației de stat și regionale</w:t>
            </w:r>
          </w:p>
        </w:tc>
        <w:tc>
          <w:tcPr>
            <w:tcW w:w="853"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8"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1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Q3</w:t>
            </w:r>
          </w:p>
        </w:tc>
        <w:tc>
          <w:tcPr>
            <w:tcW w:w="56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568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Finalizarea acțiunilor pentru transformarea digitală a educației, inclusiv certificarea competențelor digitale pentru cel puțin 80 % din cei 700 000 de profesori formați în domeniul competențelor digitale; și cel puțin 22 000 de centre sprijinite în pregătirea și revizuirea strategiilor lor digitale. </w:t>
            </w:r>
          </w:p>
        </w:tc>
      </w:tr>
      <w:tr>
        <w:trPr>
          <w:trHeight w:val="309"/>
        </w:trPr>
        <w:tc>
          <w:tcPr>
            <w:tcW w:w="71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291</w:t>
            </w:r>
          </w:p>
        </w:tc>
        <w:tc>
          <w:tcPr>
            <w:tcW w:w="81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C19.I2</w:t>
            </w:r>
          </w:p>
        </w:tc>
        <w:tc>
          <w:tcPr>
            <w:tcW w:w="85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T</w:t>
            </w:r>
          </w:p>
        </w:tc>
        <w:tc>
          <w:tcPr>
            <w:tcW w:w="270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Furnizarea de dispozitive digitale conectate în școlile publice și subvenționate din fonduri publice pentru a reduce „decalajul digital” și echiparea a cel puțin 240 000 săli de clasă</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w:t>
            </w:r>
          </w:p>
        </w:tc>
        <w:tc>
          <w:tcPr>
            <w:tcW w:w="85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Număr</w:t>
            </w:r>
          </w:p>
        </w:tc>
        <w:tc>
          <w:tcPr>
            <w:tcW w:w="5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0</w:t>
            </w:r>
          </w:p>
        </w:tc>
        <w:tc>
          <w:tcPr>
            <w:tcW w:w="71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hAnsi="Times New Roman" w:cs="Times New Roman"/>
                <w:noProof/>
                <w:color w:val="000000" w:themeColor="text1"/>
                <w:sz w:val="18"/>
                <w:szCs w:val="18"/>
              </w:rPr>
            </w:pPr>
            <w:r>
              <w:rPr>
                <w:rFonts w:ascii="Times New Roman" w:hAnsi="Times New Roman"/>
                <w:noProof/>
                <w:color w:val="000000"/>
                <w:sz w:val="18"/>
                <w:szCs w:val="18"/>
              </w:rPr>
              <w:t>540 000</w:t>
            </w:r>
          </w:p>
        </w:tc>
        <w:tc>
          <w:tcPr>
            <w:tcW w:w="42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Q4</w:t>
            </w:r>
          </w:p>
        </w:tc>
        <w:tc>
          <w:tcPr>
            <w:tcW w:w="5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2025</w:t>
            </w:r>
          </w:p>
        </w:tc>
        <w:tc>
          <w:tcPr>
            <w:tcW w:w="568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Furnizarea completă de dispozitive digitale conectate și interactive pentru cel puțin 300 000 de elevi și echipamente pentru cel puțin 240 000 de săli de clasă din școlile publice și subvenționate din fonduri publice pentru a reduce „decalajul digital”. Certificări de către administrațiile de stat și regionale ale achiziționării și livrării echipamentelor.</w:t>
            </w:r>
          </w:p>
        </w:tc>
      </w:tr>
      <w:tr>
        <w:trPr>
          <w:trHeight w:val="309"/>
        </w:trPr>
        <w:tc>
          <w:tcPr>
            <w:tcW w:w="71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292</w:t>
            </w:r>
          </w:p>
        </w:tc>
        <w:tc>
          <w:tcPr>
            <w:tcW w:w="81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C19.I3</w:t>
            </w:r>
          </w:p>
        </w:tc>
        <w:tc>
          <w:tcPr>
            <w:tcW w:w="85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700"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Formare digitală pentru ocuparea forței de muncă</w:t>
            </w:r>
          </w:p>
        </w:tc>
        <w:tc>
          <w:tcPr>
            <w:tcW w:w="1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568"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10"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450 000</w:t>
            </w:r>
          </w:p>
        </w:tc>
        <w:tc>
          <w:tcPr>
            <w:tcW w:w="42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2025</w:t>
            </w:r>
          </w:p>
        </w:tc>
        <w:tc>
          <w:tcPr>
            <w:tcW w:w="5683"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Cel puțin 450 000 de persoane au participat la cursuri de formare privind competențele digitale. Fiecare formare trebuie să aibă cel puțin 15 ECTS. </w:t>
            </w:r>
          </w:p>
        </w:tc>
      </w:tr>
      <w:tr>
        <w:trPr>
          <w:trHeight w:val="309"/>
        </w:trPr>
        <w:tc>
          <w:tcPr>
            <w:tcW w:w="71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293</w:t>
            </w:r>
          </w:p>
        </w:tc>
        <w:tc>
          <w:tcPr>
            <w:tcW w:w="81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C19.I4</w:t>
            </w:r>
          </w:p>
        </w:tc>
        <w:tc>
          <w:tcPr>
            <w:tcW w:w="85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T</w:t>
            </w:r>
          </w:p>
        </w:tc>
        <w:tc>
          <w:tcPr>
            <w:tcW w:w="270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 xml:space="preserve">Programe de burse pentru talente digitale </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w:t>
            </w:r>
          </w:p>
        </w:tc>
        <w:tc>
          <w:tcPr>
            <w:tcW w:w="85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Număr</w:t>
            </w:r>
          </w:p>
        </w:tc>
        <w:tc>
          <w:tcPr>
            <w:tcW w:w="5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0</w:t>
            </w:r>
          </w:p>
        </w:tc>
        <w:tc>
          <w:tcPr>
            <w:tcW w:w="71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hAnsi="Times New Roman" w:cs="Times New Roman"/>
                <w:noProof/>
                <w:color w:val="000000" w:themeColor="text1"/>
                <w:sz w:val="18"/>
                <w:szCs w:val="18"/>
              </w:rPr>
            </w:pPr>
            <w:r>
              <w:rPr>
                <w:rFonts w:ascii="Times New Roman" w:hAnsi="Times New Roman"/>
                <w:noProof/>
                <w:color w:val="000000"/>
                <w:sz w:val="18"/>
                <w:szCs w:val="18"/>
              </w:rPr>
              <w:t>300</w:t>
            </w:r>
          </w:p>
        </w:tc>
        <w:tc>
          <w:tcPr>
            <w:tcW w:w="42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Q4</w:t>
            </w:r>
          </w:p>
        </w:tc>
        <w:tc>
          <w:tcPr>
            <w:tcW w:w="5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2024</w:t>
            </w:r>
          </w:p>
        </w:tc>
        <w:tc>
          <w:tcPr>
            <w:tcW w:w="568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Cel puțin 300 de beneficiari au acordat programe de burse pentru atragere și reținere a talentelor digitale (cumulate în perioada 2021-2024). Fiecare formare trebuie să aibă cel puțin 240 ECTS.</w:t>
            </w:r>
          </w:p>
        </w:tc>
      </w:tr>
      <w:tr>
        <w:trPr>
          <w:trHeight w:val="309"/>
        </w:trPr>
        <w:tc>
          <w:tcPr>
            <w:tcW w:w="711"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294</w:t>
            </w:r>
          </w:p>
        </w:tc>
        <w:tc>
          <w:tcPr>
            <w:tcW w:w="81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C19.I4</w:t>
            </w:r>
          </w:p>
        </w:tc>
        <w:tc>
          <w:tcPr>
            <w:tcW w:w="852"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T</w:t>
            </w:r>
          </w:p>
        </w:tc>
        <w:tc>
          <w:tcPr>
            <w:tcW w:w="2700"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Formarea profesioniștilor din domeniul IT</w:t>
            </w:r>
          </w:p>
        </w:tc>
        <w:tc>
          <w:tcPr>
            <w:tcW w:w="1420"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 </w:t>
            </w:r>
          </w:p>
        </w:tc>
        <w:tc>
          <w:tcPr>
            <w:tcW w:w="853"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Număr</w:t>
            </w:r>
          </w:p>
        </w:tc>
        <w:tc>
          <w:tcPr>
            <w:tcW w:w="56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0</w:t>
            </w:r>
          </w:p>
        </w:tc>
        <w:tc>
          <w:tcPr>
            <w:tcW w:w="710" w:type="dxa"/>
            <w:shd w:val="clear" w:color="auto" w:fill="C6EFCE"/>
            <w:noWrap/>
          </w:tcPr>
          <w:p>
            <w:pPr>
              <w:spacing w:after="0" w:line="240" w:lineRule="auto"/>
              <w:jc w:val="right"/>
              <w:rPr>
                <w:rFonts w:ascii="Times New Roman" w:hAnsi="Times New Roman" w:cs="Times New Roman"/>
                <w:noProof/>
                <w:color w:val="000000" w:themeColor="text1"/>
                <w:sz w:val="18"/>
                <w:szCs w:val="18"/>
              </w:rPr>
            </w:pPr>
            <w:r>
              <w:rPr>
                <w:rFonts w:ascii="Times New Roman" w:hAnsi="Times New Roman"/>
                <w:noProof/>
                <w:color w:val="000000"/>
                <w:sz w:val="18"/>
                <w:szCs w:val="18"/>
              </w:rPr>
              <w:t>18 000</w:t>
            </w:r>
          </w:p>
        </w:tc>
        <w:tc>
          <w:tcPr>
            <w:tcW w:w="427"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Q4</w:t>
            </w:r>
          </w:p>
        </w:tc>
        <w:tc>
          <w:tcPr>
            <w:tcW w:w="56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2025</w:t>
            </w:r>
          </w:p>
        </w:tc>
        <w:tc>
          <w:tcPr>
            <w:tcW w:w="5683"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Cel puțin 18 000 profesioniști IT formați în cursuri specializate de câte 250 ore fiecare. </w:t>
            </w:r>
          </w:p>
        </w:tc>
      </w:tr>
    </w:tbl>
    <w:p>
      <w:pPr>
        <w:spacing w:before="120" w:after="120" w:line="240" w:lineRule="auto"/>
        <w:ind w:left="709"/>
        <w:jc w:val="both"/>
        <w:rPr>
          <w:rFonts w:ascii="Times New Roman" w:hAnsi="Times New Roman" w:cs="Times New Roman"/>
          <w:noProof/>
          <w:sz w:val="24"/>
          <w:lang w:val="en-IE"/>
        </w:rPr>
      </w:pPr>
    </w:p>
    <w:p>
      <w:pPr>
        <w:spacing w:before="120" w:after="120" w:line="240" w:lineRule="auto"/>
        <w:ind w:left="709"/>
        <w:jc w:val="both"/>
        <w:rPr>
          <w:rFonts w:ascii="Times New Roman" w:hAnsi="Times New Roman" w:cs="Times New Roman"/>
          <w:noProof/>
          <w:sz w:val="24"/>
          <w:szCs w:val="24"/>
          <w:lang w:val="en-IE"/>
        </w:rPr>
        <w:sectPr>
          <w:headerReference w:type="even" r:id="rId241"/>
          <w:headerReference w:type="default" r:id="rId242"/>
          <w:footerReference w:type="even" r:id="rId243"/>
          <w:footerReference w:type="default" r:id="rId244"/>
          <w:headerReference w:type="first" r:id="rId245"/>
          <w:footerReference w:type="first" r:id="rId246"/>
          <w:pgSz w:w="16839" w:h="11907" w:orient="landscape"/>
          <w:pgMar w:top="1417" w:right="1134" w:bottom="1417" w:left="1134" w:header="709" w:footer="709" w:gutter="0"/>
          <w:cols w:space="720"/>
          <w:docGrid w:linePitch="360"/>
        </w:sectPr>
      </w:pPr>
    </w:p>
    <w:p>
      <w:pPr>
        <w:pStyle w:val="Heading1"/>
        <w:rPr>
          <w:noProof/>
        </w:rPr>
      </w:pPr>
      <w:r>
        <w:rPr>
          <w:noProof/>
        </w:rPr>
        <w:t>T. COMPONENTA 20: Plan strategic pentru stimularea formării profesionale</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sz w:val="24"/>
          <w:szCs w:val="24"/>
        </w:rPr>
        <w:t>Componenta planului spaniol de redresare și reziliență vizează transformarea și modernizarea sistemului de educație și formare profesională (EFP), adaptându-l pentru a răspunde schimbărilor din sectoarele de producție ale economiei. În sfârșit, componenta urmărește să contribuie la îmbunătățirea capacității de inserție profesională și a mobilității profesionale a lucrătorilor și, prin extensie, la creșterea productivității și a competitivității.</w:t>
      </w:r>
      <w:r>
        <w:rPr>
          <w:rFonts w:ascii="Times New Roman" w:hAnsi="Times New Roman"/>
          <w:noProof/>
          <w:color w:val="000000" w:themeColor="text1"/>
          <w:sz w:val="24"/>
          <w:szCs w:val="24"/>
        </w:rPr>
        <w:t xml:space="preserve"> </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Neconcordanțele existente în materie de competențe vor fi abordate pentru a îmbunătăți echilibrul dintre nivelul de educație și formare al populației și nevoile pieței forței de muncă, în special prin sprijinirea perfecționării competențelor persoanelor slab calificate în vederea dobândirii unor competențe intermediare și a recalificării. </w:t>
      </w:r>
      <w:r>
        <w:rPr>
          <w:rFonts w:ascii="Times New Roman" w:hAnsi="Times New Roman"/>
          <w:noProof/>
          <w:sz w:val="24"/>
          <w:szCs w:val="24"/>
        </w:rPr>
        <w:t xml:space="preserve">Se acordă o atenție deosebită competențelor tehnice și digitale, abordând decalajul în materie de competențe între femei și bărbați și sporind atractivitatea programelor EFP mai ridicate pentru a îmbunătăți înscrierea. Componenta prevede, de asemenea, recunoașterea competențelor existente, în vederea deschiderii accesului la noi oportunități de formare și la noi calificări într-un sistem EFP mai integrat care însoțește persoanele atât în învățământul obligatoriu - contribuind la reducerea părăsirii timpurii a școlii - cât și pe parcursul întregii vieți profesionale. </w:t>
      </w:r>
    </w:p>
    <w:p>
      <w:pPr>
        <w:spacing w:before="120" w:after="120" w:line="240" w:lineRule="auto"/>
        <w:jc w:val="both"/>
        <w:textAlignment w:val="baseline"/>
        <w:rPr>
          <w:rFonts w:ascii="Times New Roman" w:eastAsia="Times New Roman" w:hAnsi="Times New Roman" w:cs="Times New Roman"/>
          <w:noProof/>
          <w:sz w:val="24"/>
          <w:szCs w:val="24"/>
        </w:rPr>
      </w:pPr>
      <w:r>
        <w:rPr>
          <w:rFonts w:ascii="Times New Roman" w:hAnsi="Times New Roman"/>
          <w:noProof/>
          <w:sz w:val="24"/>
          <w:szCs w:val="24"/>
        </w:rPr>
        <w:t>Componenta contribuie la abordarea recomandărilor specifice fiecărei țări referitoare la reducerea părăsirii timpurii a școlii (recomandarea specifică țării 2 din 2019); să intensifice cooperarea dintre educație și mediul de afaceri în vederea îmbunătățirii furnizării de competențe și calificări relevante pentru piața muncii, în special pentru tehnologiile informației și comunicațiilor (recomandarea specifică țării 2 din 2019); sprijinirea ocupării forței de muncă prin măsuri de menținere a locurilor de muncă, stimulente eficace pentru recrutare și dezvoltarea competențelor (recomandarea specifică țării 2 din 2020); îmbunătățirea accesului la învățarea digitală (recomandarea specifică țării 2 din 2020).</w:t>
      </w:r>
    </w:p>
    <w:p>
      <w:pPr>
        <w:spacing w:before="120" w:after="120" w:line="240" w:lineRule="auto"/>
        <w:jc w:val="both"/>
        <w:textAlignment w:val="baseline"/>
        <w:rPr>
          <w:rFonts w:ascii="Times New Roman" w:eastAsia="Times New Roman" w:hAnsi="Times New Roman" w:cs="Times New Roman"/>
          <w:noProof/>
          <w:sz w:val="24"/>
          <w:szCs w:val="24"/>
        </w:rPr>
      </w:pPr>
      <w:r>
        <w:rPr>
          <w:rFonts w:ascii="Times New Roman" w:hAnsi="Times New Roman"/>
          <w:noProof/>
          <w:color w:val="000000" w:themeColor="text1"/>
          <w:sz w:val="24"/>
          <w:szCs w:val="24"/>
        </w:rPr>
        <w:t>Se preconizează că nicio măsură din cadrul acestei componente nu aduce prejudicii semnificative obiectivelor de mediu în sensul articolului 17 din Regulamentul (UE) 2020/852, ținând seama de descrierea măsurilor și a măsurilor de atenuare stabilite în planul de redresare și reziliență în conformitate cu Orientările tehnice DNSH (2021/C58/01).</w:t>
      </w:r>
    </w:p>
    <w:p>
      <w:pPr>
        <w:spacing w:before="120" w:after="120" w:line="240" w:lineRule="auto"/>
        <w:ind w:left="709"/>
        <w:jc w:val="both"/>
        <w:rPr>
          <w:rFonts w:ascii="Times New Roman" w:hAnsi="Times New Roman" w:cs="Times New Roman"/>
          <w:b/>
          <w:i/>
          <w:noProof/>
          <w:color w:val="4F81BD" w:themeColor="accent1"/>
          <w:sz w:val="24"/>
          <w:szCs w:val="24"/>
        </w:rPr>
      </w:pPr>
      <w:r>
        <w:rPr>
          <w:rFonts w:ascii="Times New Roman" w:hAnsi="Times New Roman"/>
          <w:b/>
          <w:noProof/>
          <w:sz w:val="24"/>
          <w:szCs w:val="24"/>
          <w:u w:val="single"/>
        </w:rPr>
        <w:t xml:space="preserve">T.1. </w:t>
      </w:r>
      <w:r>
        <w:rPr>
          <w:rFonts w:ascii="Times New Roman" w:hAnsi="Times New Roman"/>
          <w:b/>
          <w:noProof/>
          <w:sz w:val="24"/>
          <w:u w:val="single"/>
        </w:rPr>
        <w:tab/>
      </w:r>
      <w:r>
        <w:rPr>
          <w:rFonts w:ascii="Times New Roman" w:hAnsi="Times New Roman"/>
          <w:b/>
          <w:noProof/>
          <w:sz w:val="24"/>
          <w:szCs w:val="24"/>
          <w:u w:val="single"/>
        </w:rPr>
        <w:t>Descrierea reformelor și a investițiilor pentru care se prevede acordarea sprijinului financiar nerambursabil</w:t>
      </w:r>
    </w:p>
    <w:p>
      <w:pPr>
        <w:spacing w:before="120" w:after="120" w:line="240" w:lineRule="auto"/>
        <w:jc w:val="both"/>
        <w:rPr>
          <w:rFonts w:ascii="Times New Roman" w:hAnsi="Times New Roman" w:cs="Times New Roman"/>
          <w:noProof/>
          <w:color w:val="000000"/>
          <w:sz w:val="24"/>
          <w:szCs w:val="24"/>
          <w:u w:val="single"/>
          <w:shd w:val="clear" w:color="auto" w:fill="FFFFFF"/>
        </w:rPr>
      </w:pPr>
      <w:r>
        <w:rPr>
          <w:rFonts w:ascii="Times New Roman" w:hAnsi="Times New Roman"/>
          <w:noProof/>
          <w:color w:val="000000"/>
          <w:sz w:val="24"/>
          <w:szCs w:val="24"/>
          <w:u w:val="single"/>
          <w:shd w:val="clear" w:color="auto" w:fill="FFFFFF"/>
        </w:rPr>
        <w:t xml:space="preserve">Reforma 1 (C20.R1) - Plan pentru modernizarea formării profesionale </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sz w:val="24"/>
          <w:szCs w:val="24"/>
          <w:shd w:val="clear" w:color="auto" w:fill="FFFFFF"/>
        </w:rPr>
        <w:t xml:space="preserve">Această reformă constă în adoptarea și punerea în aplicare a Planului pentru modernizarea formării profesionale. Planul a fost prezentat la 22 iulie 2020. </w:t>
      </w:r>
      <w:r>
        <w:rPr>
          <w:rFonts w:ascii="Times New Roman" w:hAnsi="Times New Roman"/>
          <w:noProof/>
          <w:sz w:val="24"/>
          <w:szCs w:val="24"/>
        </w:rPr>
        <w:t>Scopul său este de a asigura faptul că sistemul de formare profesională (EFP) răspunde unei piețe a locurilor de muncă care necesită o calificare intermediară, răspunzând astfel nevoilor sectorului de producție (în special tehnicienilor/tehnicienilor cu experiență) și asigurându-se că formarea profesională și calificările îmbunătățesc perspectivele de angajare.</w:t>
      </w:r>
      <w:r>
        <w:rPr>
          <w:rFonts w:ascii="Times New Roman" w:hAnsi="Times New Roman"/>
          <w:noProof/>
          <w:color w:val="000000" w:themeColor="text1"/>
          <w:sz w:val="24"/>
          <w:szCs w:val="24"/>
        </w:rPr>
        <w:t xml:space="preserve"> </w:t>
      </w:r>
      <w:r>
        <w:rPr>
          <w:rFonts w:ascii="Times New Roman" w:hAnsi="Times New Roman"/>
          <w:noProof/>
          <w:color w:val="000000"/>
          <w:sz w:val="24"/>
          <w:szCs w:val="24"/>
          <w:shd w:val="clear" w:color="auto" w:fill="FFFFFF"/>
        </w:rPr>
        <w:t>Acesta identifică formarea profesională drept un element-cheie pentru stimularea factorilor economici și sociali în urma pandemiei.</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Planul se axează</w:t>
      </w:r>
      <w:r>
        <w:rPr>
          <w:rFonts w:ascii="Times New Roman" w:hAnsi="Times New Roman"/>
          <w:noProof/>
          <w:color w:val="000000"/>
          <w:sz w:val="24"/>
          <w:szCs w:val="24"/>
        </w:rPr>
        <w:t xml:space="preserve"> pe instituirea unui sistem unic integrat de educație și formare profesională care să ofere formare și calificări profesionale întregii populații, inclusiv studenților EFP din sistemul de învățământ și EFP pentru ocuparea unui loc de muncă.</w:t>
      </w:r>
      <w:r>
        <w:rPr>
          <w:rFonts w:ascii="Times New Roman" w:hAnsi="Times New Roman"/>
          <w:noProof/>
          <w:color w:val="000000"/>
          <w:sz w:val="24"/>
          <w:szCs w:val="24"/>
          <w:shd w:val="clear" w:color="auto" w:fill="FFFFFF"/>
        </w:rPr>
        <w:t xml:space="preserve"> </w:t>
      </w:r>
      <w:r>
        <w:rPr>
          <w:rFonts w:ascii="Times New Roman" w:hAnsi="Times New Roman"/>
          <w:noProof/>
          <w:color w:val="000000"/>
          <w:sz w:val="24"/>
          <w:szCs w:val="24"/>
        </w:rPr>
        <w:t>Acesta poziționează EFP ca element recurent standard al dezvoltării profesionale pentru toți lucrătorii pe parcursul întregii lor vieți profesionale.</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Principalul instrument al planului este Catalogul național al calificărilor profesionale, care va fi revizuit și actualizat, inclusiv prin integrarea aplicării tranziției digitale și verzi. Aceasta include proiectarea de noi calificări de formare profesională în toate sectoarele, dar cu accent pe cele douăsprezece sectoare strategice în care se intensifică formarea profesională, ținând seama de nevoile regionale.</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Planul este pus în aplicare prin adoptarea</w:t>
      </w:r>
      <w:r>
        <w:rPr>
          <w:rFonts w:ascii="Times New Roman" w:hAnsi="Times New Roman"/>
          <w:noProof/>
          <w:color w:val="000000"/>
          <w:sz w:val="24"/>
          <w:szCs w:val="24"/>
        </w:rPr>
        <w:t xml:space="preserve"> mai multor Decret-lege regal, care corespund stabilirii unor noi programe de învățământ superior.</w:t>
      </w:r>
      <w:r>
        <w:rPr>
          <w:rFonts w:ascii="Times New Roman" w:hAnsi="Times New Roman"/>
          <w:noProof/>
          <w:color w:val="000000"/>
          <w:sz w:val="24"/>
          <w:szCs w:val="24"/>
          <w:shd w:val="clear" w:color="auto" w:fill="FFFFFF"/>
        </w:rPr>
        <w:t xml:space="preserve"> În total, se preconizează crearea treptată a aproximativ 42 de noi diplome în perioada 2021-2023, care să acopere diplome medii, superioare și de specialitate. Reforma implică, de asemenea, o revizuire periodică a diplomelor de formare profesională, conceperea de noi diplome de formare profesională care să răspundă nevoilor sectoarelor productive, punând accentul în special pe sectoarele prioritare în Planul strategic pentru formare profesională. </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Alte linii prioritare ale planului includ</w:t>
      </w:r>
      <w:r>
        <w:rPr>
          <w:rFonts w:ascii="Times New Roman" w:hAnsi="Times New Roman"/>
          <w:noProof/>
          <w:color w:val="000000"/>
          <w:sz w:val="24"/>
          <w:szCs w:val="24"/>
        </w:rPr>
        <w:t xml:space="preserve"> inovarea, cercetarea aplicată, spiritul antreprenorial, digitalizarea și durabilitatea ca elemente esențiale ale formării profesionale; și situarea întreprinderilor ca parte integrantă a formării profesionale, promovând colaborarea dintre sectorul public și cel privat în cadrul sistemului, în special promovând natura duală a formării profesionale. În acest scop,</w:t>
      </w:r>
      <w:r>
        <w:rPr>
          <w:rFonts w:ascii="Times New Roman" w:hAnsi="Times New Roman"/>
          <w:noProof/>
          <w:color w:val="000000"/>
          <w:sz w:val="24"/>
          <w:szCs w:val="24"/>
          <w:shd w:val="clear" w:color="auto" w:fill="FFFFFF"/>
        </w:rPr>
        <w:t xml:space="preserve"> reforma se bazează pe colaborarea dintre ministere, întreprinderi și partenerii sociali pentru a identifica competențele necesare economiei</w:t>
      </w:r>
      <w:r>
        <w:rPr>
          <w:rFonts w:ascii="Times New Roman" w:hAnsi="Times New Roman"/>
          <w:noProof/>
          <w:color w:val="000000"/>
          <w:sz w:val="24"/>
          <w:szCs w:val="24"/>
        </w:rPr>
        <w:t>.</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sz w:val="24"/>
          <w:szCs w:val="24"/>
          <w:shd w:val="clear" w:color="auto" w:fill="FFFFFF"/>
        </w:rPr>
        <w:t>Punerea în aplicare a măsurii se finalizează până la 31 decembrie 2020.</w:t>
      </w:r>
    </w:p>
    <w:p>
      <w:pPr>
        <w:spacing w:before="120" w:after="120" w:line="240" w:lineRule="auto"/>
        <w:jc w:val="both"/>
        <w:rPr>
          <w:rFonts w:ascii="Times New Roman" w:hAnsi="Times New Roman" w:cs="Times New Roman"/>
          <w:noProof/>
          <w:color w:val="000000"/>
          <w:sz w:val="24"/>
          <w:szCs w:val="24"/>
          <w:u w:val="single"/>
          <w:shd w:val="clear" w:color="auto" w:fill="FFFFFF"/>
        </w:rPr>
      </w:pPr>
      <w:r>
        <w:rPr>
          <w:rFonts w:ascii="Times New Roman" w:hAnsi="Times New Roman"/>
          <w:noProof/>
          <w:color w:val="000000"/>
          <w:sz w:val="24"/>
          <w:szCs w:val="24"/>
          <w:u w:val="single"/>
          <w:shd w:val="clear" w:color="auto" w:fill="FFFFFF"/>
        </w:rPr>
        <w:t xml:space="preserve">Reforma 2 (C20.R2) - Lege care reglementează sistemul EFP integrat legat de sistemul național de calificări </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rPr>
        <w:t xml:space="preserve">În conformitate cu obiectivele Planului de modernizare a formării profesionale și cu </w:t>
      </w:r>
      <w:r>
        <w:rPr>
          <w:rFonts w:ascii="Times New Roman" w:hAnsi="Times New Roman"/>
          <w:noProof/>
          <w:color w:val="000000"/>
          <w:sz w:val="24"/>
          <w:szCs w:val="24"/>
          <w:shd w:val="clear" w:color="auto" w:fill="FFFFFF"/>
        </w:rPr>
        <w:t xml:space="preserve">cadrul Sistemului Național de Calificări, Spania trebuie să prezinte și să adopte o lege care să reglementeze sistemul integrat de formare profesională (EFP). Noua lege va integra într-un singur sistem cele două sisteme actuale separate de formare profesională, cel din sistemul de învățământ și cel care vizează formarea profesională. Acesta stabilește un sistem integrat de învățare pe tot parcursul vieții pentru populația de la orice vârstă și în orice situație personală sau profesională, oferind cursuri complementare și cumulative care conduc la noi calificări. </w:t>
      </w:r>
      <w:r>
        <w:rPr>
          <w:rFonts w:ascii="Times New Roman" w:hAnsi="Times New Roman"/>
          <w:noProof/>
          <w:color w:val="000000"/>
          <w:sz w:val="24"/>
          <w:szCs w:val="24"/>
        </w:rPr>
        <w:t xml:space="preserve">Aceasta este însoțită, de asemenea, de un proces de orientare pe tot parcursul vieții. </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rPr>
        <w:t xml:space="preserve">În prima etapă de pregătire, Ministerul Educației și Formării Profesionale a pregătit un proiect de lege, cu consensul partenerilor sociali și al guvernelor regionale. </w:t>
      </w:r>
      <w:r>
        <w:rPr>
          <w:rFonts w:ascii="Times New Roman" w:hAnsi="Times New Roman"/>
          <w:noProof/>
          <w:color w:val="000000"/>
          <w:sz w:val="24"/>
          <w:szCs w:val="24"/>
          <w:shd w:val="clear" w:color="auto" w:fill="FFFFFF"/>
        </w:rPr>
        <w:t xml:space="preserve">Consiliul de Miniștri urmează să aprobe proiectul de lege înainte de 31 decembrie 2021, iar adoptarea în Parlament are loc până la 30 iunie 2022. </w:t>
      </w:r>
    </w:p>
    <w:p>
      <w:pPr>
        <w:spacing w:before="120" w:after="120" w:line="240" w:lineRule="auto"/>
        <w:jc w:val="both"/>
        <w:rPr>
          <w:rFonts w:ascii="Times New Roman" w:hAnsi="Times New Roman" w:cs="Times New Roman"/>
          <w:noProof/>
          <w:color w:val="000000"/>
          <w:sz w:val="24"/>
          <w:szCs w:val="24"/>
        </w:rPr>
      </w:pPr>
      <w:r>
        <w:rPr>
          <w:rFonts w:ascii="Times New Roman" w:hAnsi="Times New Roman"/>
          <w:noProof/>
          <w:color w:val="000000"/>
          <w:sz w:val="24"/>
          <w:szCs w:val="24"/>
        </w:rPr>
        <w:t xml:space="preserve">Legea aprobată definitiv și unificarea celor două sisteme de formare profesională existente anterior vizează modernizarea sistemului, în special prin: </w:t>
      </w:r>
    </w:p>
    <w:p>
      <w:pPr>
        <w:numPr>
          <w:ilvl w:val="0"/>
          <w:numId w:val="91"/>
        </w:numPr>
        <w:spacing w:before="120" w:after="160" w:line="259" w:lineRule="auto"/>
        <w:contextualSpacing/>
        <w:jc w:val="both"/>
        <w:rPr>
          <w:rFonts w:ascii="Times New Roman" w:hAnsi="Times New Roman" w:cs="Times New Roman"/>
          <w:noProof/>
          <w:color w:val="000000"/>
        </w:rPr>
      </w:pPr>
      <w:r>
        <w:rPr>
          <w:rFonts w:ascii="Times New Roman" w:hAnsi="Times New Roman"/>
          <w:noProof/>
          <w:color w:val="000000"/>
          <w:sz w:val="24"/>
          <w:szCs w:val="24"/>
        </w:rPr>
        <w:t xml:space="preserve">axarea pe actualizarea competențelor persoanelor slab calificate și îmbunătățirea capacității lor de inserție profesională; </w:t>
      </w:r>
    </w:p>
    <w:p>
      <w:pPr>
        <w:numPr>
          <w:ilvl w:val="0"/>
          <w:numId w:val="91"/>
        </w:numPr>
        <w:spacing w:before="120" w:after="160" w:line="259" w:lineRule="auto"/>
        <w:contextualSpacing/>
        <w:jc w:val="both"/>
        <w:rPr>
          <w:rFonts w:ascii="Times New Roman" w:hAnsi="Times New Roman" w:cs="Times New Roman"/>
          <w:noProof/>
          <w:color w:val="000000"/>
        </w:rPr>
      </w:pPr>
      <w:r>
        <w:rPr>
          <w:rFonts w:ascii="Times New Roman" w:hAnsi="Times New Roman"/>
          <w:noProof/>
          <w:color w:val="000000"/>
          <w:sz w:val="24"/>
          <w:szCs w:val="24"/>
        </w:rPr>
        <w:t xml:space="preserve">abordării decalajului competențelor; </w:t>
      </w:r>
    </w:p>
    <w:p>
      <w:pPr>
        <w:numPr>
          <w:ilvl w:val="0"/>
          <w:numId w:val="91"/>
        </w:numPr>
        <w:spacing w:before="120" w:after="160" w:line="259" w:lineRule="auto"/>
        <w:contextualSpacing/>
        <w:jc w:val="both"/>
        <w:rPr>
          <w:rFonts w:ascii="Times New Roman" w:hAnsi="Times New Roman" w:cs="Times New Roman"/>
          <w:noProof/>
          <w:color w:val="000000"/>
        </w:rPr>
      </w:pPr>
      <w:r>
        <w:rPr>
          <w:rFonts w:ascii="Times New Roman" w:hAnsi="Times New Roman"/>
          <w:noProof/>
          <w:color w:val="000000"/>
          <w:sz w:val="24"/>
          <w:szCs w:val="24"/>
        </w:rPr>
        <w:t>actualizarea Catalogului național al calificărilor profesionale, adaptarea acestuia la nevoile viitoare ale economiei, inclusiv sprijinirea tranziției verzi și digitale; și</w:t>
      </w:r>
    </w:p>
    <w:p>
      <w:pPr>
        <w:numPr>
          <w:ilvl w:val="0"/>
          <w:numId w:val="91"/>
        </w:numPr>
        <w:spacing w:before="120" w:after="160" w:line="259" w:lineRule="auto"/>
        <w:contextualSpacing/>
        <w:jc w:val="both"/>
        <w:rPr>
          <w:rFonts w:ascii="Times New Roman" w:hAnsi="Times New Roman" w:cs="Times New Roman"/>
          <w:noProof/>
          <w:color w:val="000000"/>
        </w:rPr>
      </w:pPr>
      <w:r>
        <w:rPr>
          <w:rFonts w:ascii="Times New Roman" w:hAnsi="Times New Roman"/>
          <w:noProof/>
          <w:color w:val="000000"/>
          <w:sz w:val="24"/>
          <w:szCs w:val="24"/>
        </w:rPr>
        <w:t>îmbunătățirea atractivității programelor EFP superioare în vederea îmbunătățirii înscrierii.</w:t>
      </w:r>
    </w:p>
    <w:p>
      <w:pPr>
        <w:spacing w:before="120" w:after="120" w:line="240" w:lineRule="auto"/>
        <w:jc w:val="both"/>
        <w:rPr>
          <w:rFonts w:ascii="Times New Roman" w:hAnsi="Times New Roman" w:cs="Times New Roman"/>
          <w:noProof/>
          <w:sz w:val="24"/>
          <w:szCs w:val="24"/>
          <w:u w:val="single"/>
          <w:shd w:val="clear" w:color="auto" w:fill="FFFFFF"/>
        </w:rPr>
      </w:pPr>
      <w:r>
        <w:rPr>
          <w:rFonts w:ascii="Times New Roman" w:hAnsi="Times New Roman"/>
          <w:noProof/>
          <w:color w:val="000000"/>
          <w:sz w:val="24"/>
          <w:szCs w:val="24"/>
          <w:shd w:val="clear" w:color="auto" w:fill="FFFFFF"/>
        </w:rPr>
        <w:t>Punerea în aplicare a măsurii se finalizează până la 30 iunie 2022.</w:t>
      </w:r>
    </w:p>
    <w:p>
      <w:pPr>
        <w:spacing w:before="120" w:after="120" w:line="240" w:lineRule="auto"/>
        <w:jc w:val="both"/>
        <w:rPr>
          <w:rFonts w:ascii="Times New Roman" w:hAnsi="Times New Roman" w:cs="Times New Roman"/>
          <w:noProof/>
          <w:sz w:val="24"/>
          <w:szCs w:val="24"/>
          <w:u w:val="single"/>
          <w:shd w:val="clear" w:color="auto" w:fill="FFFFFF"/>
        </w:rPr>
      </w:pPr>
      <w:r>
        <w:rPr>
          <w:rFonts w:ascii="Times New Roman" w:hAnsi="Times New Roman"/>
          <w:noProof/>
          <w:sz w:val="24"/>
          <w:szCs w:val="24"/>
          <w:u w:val="single"/>
          <w:shd w:val="clear" w:color="auto" w:fill="FFFFFF"/>
        </w:rPr>
        <w:t xml:space="preserve">Investiția 1 (C20.I1) - Reconversia și perfecționarea forței de muncă legate de calificările profesionale </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Această investiție include patru acțiuni menite să mențină și să îmbunătățească competențele profesionale ale populației active cu vârsta de peste 16 ani (angajați sau șomeri):</w:t>
      </w:r>
    </w:p>
    <w:p>
      <w:pPr>
        <w:numPr>
          <w:ilvl w:val="0"/>
          <w:numId w:val="92"/>
        </w:num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 xml:space="preserve">Evaluarea și acreditarea formală a competențelor profesionale dobândite prin experiența profesională și formarea non-formală. În acest scop, scopul său este de a asigura recunoașterea formală a competențelor existente și de a oferi acces la formare suplimentară și la noi calificări. În total, planul va investi în </w:t>
      </w:r>
      <w:r>
        <w:rPr>
          <w:rStyle w:val="normaltextrun"/>
          <w:rFonts w:ascii="Times New Roman" w:hAnsi="Times New Roman"/>
          <w:noProof/>
          <w:color w:val="000000"/>
          <w:sz w:val="24"/>
          <w:szCs w:val="24"/>
          <w:shd w:val="clear" w:color="auto" w:fill="FFFFFF"/>
        </w:rPr>
        <w:t>înregistrarea, evaluarea și acreditarea</w:t>
      </w:r>
      <w:r>
        <w:rPr>
          <w:rFonts w:ascii="Times New Roman" w:hAnsi="Times New Roman"/>
          <w:noProof/>
          <w:color w:val="000000"/>
          <w:sz w:val="24"/>
          <w:szCs w:val="24"/>
          <w:shd w:val="clear" w:color="auto" w:fill="FFFFFF"/>
        </w:rPr>
        <w:t xml:space="preserve"> a 3 000 000 de unități de competență pe o perioadă de patru ani.</w:t>
      </w:r>
    </w:p>
    <w:p>
      <w:pPr>
        <w:numPr>
          <w:ilvl w:val="0"/>
          <w:numId w:val="92"/>
        </w:num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 xml:space="preserve">O ofertă modulară d-Digital pentru angajații asociați unităților de competență din Catalogul național al calificărilor profesionale. </w:t>
      </w:r>
      <w:r>
        <w:rPr>
          <w:rFonts w:ascii="Times New Roman" w:hAnsi="Times New Roman"/>
          <w:noProof/>
          <w:color w:val="000000"/>
          <w:sz w:val="24"/>
          <w:szCs w:val="24"/>
        </w:rPr>
        <w:t>Acțiunea vizează persoanele angajate și se asigură că cel puțin 300 000 de lucrători beneficiază de formare digitală pentru avansarea profesională și le permit să dobândească competențe superioare.</w:t>
      </w:r>
      <w:r>
        <w:rPr>
          <w:rStyle w:val="normaltextrun"/>
          <w:rFonts w:ascii="Times New Roman" w:hAnsi="Times New Roman"/>
          <w:noProof/>
          <w:color w:val="000000"/>
          <w:shd w:val="clear" w:color="auto" w:fill="FFFFFF"/>
        </w:rPr>
        <w:t xml:space="preserve"> </w:t>
      </w:r>
    </w:p>
    <w:p>
      <w:pPr>
        <w:numPr>
          <w:ilvl w:val="0"/>
          <w:numId w:val="92"/>
        </w:num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O formare profesională mai flexibilă și mai accesibilă prin crearea „</w:t>
      </w:r>
      <w:r>
        <w:rPr>
          <w:rFonts w:ascii="Times New Roman" w:hAnsi="Times New Roman"/>
          <w:i/>
          <w:noProof/>
          <w:color w:val="000000"/>
          <w:sz w:val="24"/>
          <w:szCs w:val="24"/>
          <w:shd w:val="clear" w:color="auto" w:fill="FFFFFF"/>
        </w:rPr>
        <w:t>Aulas Mentor</w:t>
      </w:r>
      <w:r>
        <w:rPr>
          <w:rFonts w:ascii="Times New Roman" w:hAnsi="Times New Roman"/>
          <w:noProof/>
          <w:color w:val="000000"/>
          <w:sz w:val="24"/>
          <w:szCs w:val="24"/>
          <w:shd w:val="clear" w:color="auto" w:fill="FFFFFF"/>
        </w:rPr>
        <w:t xml:space="preserve">”. Acțiunea asigură formare non-formală în conformitate cu Catalogul național al calificărilor profesionale pentru persoanele din zonele rurale sau expuse riscului de depopulare. Scopul este de a oferi acces la formare în aceste domenii, care sunt în continuare non-formale, reprezentând în continuare o formare acreditată. Se acordă o atenție deosebită femeilor, în vederea deschiderii de noi oportunități de învățare, de creare de locuri de muncă și de îmbunătățire a economiei locale. </w:t>
      </w:r>
    </w:p>
    <w:p>
      <w:pPr>
        <w:numPr>
          <w:ilvl w:val="0"/>
          <w:numId w:val="92"/>
        </w:num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 xml:space="preserve">Formare modulară în materie de perfecționare și recalificare pentru angajați și șomeri. Acțiunea va oferi formare în ceea ce privește competențele prospective emergente și cu evoluție rapidă care se preconizează că vor genera locuri de muncă în viitor, inclusiv tranziția verde, economia serviciilor de îngrijire și alte sectoare strategice identificate în planul de modernizare. </w:t>
      </w:r>
      <w:r>
        <w:rPr>
          <w:rFonts w:ascii="Times New Roman" w:hAnsi="Times New Roman"/>
          <w:noProof/>
          <w:color w:val="000000"/>
          <w:sz w:val="24"/>
          <w:szCs w:val="24"/>
        </w:rPr>
        <w:t>Se acordă prioritate grupurilor celor mai vulnerabile și care oferă formare în vederea recalificării și perfecționării a cel puțin 700 000 de angajați și șomeri.</w:t>
      </w:r>
    </w:p>
    <w:p>
      <w:pPr>
        <w:spacing w:before="120" w:after="120" w:line="240" w:lineRule="auto"/>
        <w:jc w:val="both"/>
        <w:rPr>
          <w:rFonts w:ascii="Times New Roman" w:hAnsi="Times New Roman" w:cs="Times New Roman"/>
          <w:noProof/>
          <w:color w:val="000000"/>
          <w:sz w:val="24"/>
          <w:szCs w:val="24"/>
          <w:u w:val="single"/>
          <w:shd w:val="clear" w:color="auto" w:fill="FFFFFF"/>
        </w:rPr>
      </w:pPr>
      <w:r>
        <w:rPr>
          <w:rFonts w:ascii="Times New Roman" w:hAnsi="Times New Roman"/>
          <w:noProof/>
          <w:color w:val="000000"/>
          <w:sz w:val="24"/>
          <w:szCs w:val="24"/>
          <w:shd w:val="clear" w:color="auto" w:fill="FFFFFF"/>
        </w:rPr>
        <w:t>Punerea în aplicare a măsurii se finalizează până la 31 decembrie 2024.</w:t>
      </w:r>
    </w:p>
    <w:p>
      <w:pPr>
        <w:spacing w:before="120" w:after="120" w:line="240" w:lineRule="auto"/>
        <w:jc w:val="both"/>
        <w:rPr>
          <w:rFonts w:ascii="Times New Roman" w:hAnsi="Times New Roman" w:cs="Times New Roman"/>
          <w:noProof/>
          <w:color w:val="000000"/>
          <w:sz w:val="24"/>
          <w:szCs w:val="24"/>
          <w:u w:val="single"/>
          <w:shd w:val="clear" w:color="auto" w:fill="FFFFFF"/>
        </w:rPr>
      </w:pPr>
      <w:r>
        <w:rPr>
          <w:rFonts w:ascii="Times New Roman" w:hAnsi="Times New Roman"/>
          <w:noProof/>
          <w:color w:val="000000"/>
          <w:sz w:val="24"/>
          <w:szCs w:val="24"/>
          <w:u w:val="single"/>
          <w:shd w:val="clear" w:color="auto" w:fill="FFFFFF"/>
        </w:rPr>
        <w:t>Investiția 2 (C20.I2): Transformarea digitală a formării profesionale</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 xml:space="preserve">Această investiție vizează transformarea și modernizarea formării profesionale pentru a sprijini digitalizarea fiecărui sector de producție, dar, de asemenea, acordă prioritate durabilității mediului ca o competență-cheie. Aceasta include patru acțiuni: </w:t>
      </w:r>
    </w:p>
    <w:p>
      <w:pPr>
        <w:numPr>
          <w:ilvl w:val="0"/>
          <w:numId w:val="93"/>
        </w:num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 xml:space="preserve">Formarea digitală și ecologică a profesorilor de formare profesională, care să le permită să acționeze ca un pilon esențial în procesul de formare și ca pârghii pentru tranziția digitală și ecologică aplicate sectoarelor productive respective pentru formarea profesională. Se pune accentul pe asigurarea competențelor tehnice, profesionale și pedagogice ale cadrelor didactice, pentru a sprijini calitatea sistemului de educație și formare. </w:t>
      </w:r>
    </w:p>
    <w:p>
      <w:pPr>
        <w:numPr>
          <w:ilvl w:val="0"/>
          <w:numId w:val="93"/>
        </w:num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rPr>
        <w:t>Transformarea sălilor de clasă în spații tehnologice aplicate care recreează medii de lucru utilizând resurse tehnologice și permit studenților să se apropie de tehnologiile pe care le vor găsi ulterior în întreprinderi.</w:t>
      </w:r>
      <w:r>
        <w:rPr>
          <w:rFonts w:ascii="Times New Roman" w:hAnsi="Times New Roman"/>
          <w:noProof/>
          <w:color w:val="000000"/>
          <w:sz w:val="24"/>
          <w:szCs w:val="24"/>
        </w:rPr>
        <w:t xml:space="preserve"> Investiția permite crearea a cel puțin 600 de săli de clasă „tehnologice”.</w:t>
      </w:r>
    </w:p>
    <w:p>
      <w:pPr>
        <w:numPr>
          <w:ilvl w:val="0"/>
          <w:numId w:val="93"/>
        </w:num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rPr>
        <w:t>Crearea de săli de clasă „antreprenorială” în centrele publice de formare profesională, care să le ofere studenților posibilitatea de a înțelege spiritul antreprenorial ca parte integrantă a competenței profesionale și de a pune bazele pentru ca aceștia să desfășoare sau să înceapă o afacere. Spania se asigură că acțiunea este sustenabilă din punct de vedere fiscal după încheierea Mecanismului de redresare și reziliență, inclusiv prin utilizarea altor surse de finanțare din partea UE.</w:t>
      </w:r>
    </w:p>
    <w:p>
      <w:pPr>
        <w:numPr>
          <w:ilvl w:val="0"/>
          <w:numId w:val="93"/>
        </w:num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rPr>
        <w:t>Crearea unei rețele de 50 de centre de excelență, care să stimuleze cercetarea și inovarea în domeniul formării profesionale.</w:t>
      </w:r>
    </w:p>
    <w:p>
      <w:pPr>
        <w:spacing w:before="120" w:after="120" w:line="240" w:lineRule="auto"/>
        <w:jc w:val="both"/>
        <w:rPr>
          <w:rFonts w:ascii="Times New Roman" w:hAnsi="Times New Roman" w:cs="Times New Roman"/>
          <w:noProof/>
          <w:color w:val="000000"/>
          <w:sz w:val="24"/>
          <w:shd w:val="clear" w:color="auto" w:fill="FFFFFF"/>
        </w:rPr>
      </w:pPr>
      <w:r>
        <w:rPr>
          <w:rFonts w:ascii="Times New Roman" w:hAnsi="Times New Roman"/>
          <w:noProof/>
          <w:color w:val="000000"/>
          <w:sz w:val="24"/>
          <w:szCs w:val="24"/>
          <w:shd w:val="clear" w:color="auto" w:fill="FFFFFF"/>
        </w:rPr>
        <w:t>Investițiile în clasele tehnologice și antreprenoriale, împreună cu centrele de excelență axate pe cercetare și inovare, joacă un rol important în modernizarea structurii întreprinderilor, sprijinirea transformării economiei și îmbunătățirea competitivității. În plus, se consideră că acestea contribuie la stimularea creării de întreprinderi în sectoare strategice și la creșterea dimensiunii și productivității IMM-urilor.</w:t>
      </w:r>
    </w:p>
    <w:p>
      <w:pPr>
        <w:spacing w:before="120" w:after="120" w:line="240" w:lineRule="auto"/>
        <w:jc w:val="both"/>
        <w:rPr>
          <w:rFonts w:ascii="Times New Roman" w:hAnsi="Times New Roman" w:cs="Times New Roman"/>
          <w:noProof/>
          <w:color w:val="000000"/>
          <w:sz w:val="24"/>
          <w:szCs w:val="24"/>
          <w:u w:val="single"/>
          <w:shd w:val="clear" w:color="auto" w:fill="FFFFFF"/>
        </w:rPr>
      </w:pPr>
      <w:r>
        <w:rPr>
          <w:rFonts w:ascii="Times New Roman" w:hAnsi="Times New Roman"/>
          <w:noProof/>
          <w:color w:val="000000"/>
          <w:sz w:val="24"/>
          <w:szCs w:val="24"/>
          <w:shd w:val="clear" w:color="auto" w:fill="FFFFFF"/>
        </w:rPr>
        <w:t>Punerea în aplicare a măsurii se finalizează până la 31 decembrie 2024.</w:t>
      </w:r>
    </w:p>
    <w:p>
      <w:pPr>
        <w:keepNext/>
        <w:spacing w:before="120" w:after="120" w:line="240" w:lineRule="auto"/>
        <w:jc w:val="both"/>
        <w:rPr>
          <w:rFonts w:ascii="Times New Roman" w:hAnsi="Times New Roman" w:cs="Times New Roman"/>
          <w:noProof/>
          <w:color w:val="000000"/>
          <w:sz w:val="24"/>
          <w:u w:val="single"/>
          <w:shd w:val="clear" w:color="auto" w:fill="FFFFFF"/>
        </w:rPr>
      </w:pPr>
      <w:r>
        <w:rPr>
          <w:rFonts w:ascii="Times New Roman" w:hAnsi="Times New Roman"/>
          <w:noProof/>
          <w:color w:val="000000"/>
          <w:sz w:val="24"/>
          <w:szCs w:val="24"/>
          <w:u w:val="single"/>
          <w:shd w:val="clear" w:color="auto" w:fill="FFFFFF"/>
        </w:rPr>
        <w:t>Investiția 3 (C20.I3): Inovarea și internaționalizarea formării profesionale</w:t>
      </w:r>
    </w:p>
    <w:p>
      <w:pPr>
        <w:keepNext/>
        <w:spacing w:before="120" w:after="120" w:line="240" w:lineRule="auto"/>
        <w:jc w:val="both"/>
        <w:rPr>
          <w:rFonts w:ascii="Times New Roman" w:hAnsi="Times New Roman" w:cs="Times New Roman"/>
          <w:noProof/>
          <w:color w:val="000000"/>
          <w:sz w:val="24"/>
          <w:szCs w:val="24"/>
        </w:rPr>
      </w:pPr>
      <w:r>
        <w:rPr>
          <w:rFonts w:ascii="Times New Roman" w:hAnsi="Times New Roman"/>
          <w:noProof/>
          <w:color w:val="000000"/>
          <w:sz w:val="24"/>
          <w:szCs w:val="24"/>
          <w:shd w:val="clear" w:color="auto" w:fill="FFFFFF"/>
        </w:rPr>
        <w:t xml:space="preserve">Această investiție vizează creșterea ofertei globale de formare profesională prin crearea unui total de 135 000 de noi locuri (comparativ cu sfârșitul anului 2020) până în 2024, reechilibrând oferta cu nevoile întreprinderilor și răspunzând în mod eficace la lacunele regionale și locale. Accentul se pune pe satisfacerea cererii de calificări intermediare de pe piața forței de muncă. </w:t>
      </w:r>
      <w:r>
        <w:rPr>
          <w:rFonts w:ascii="Times New Roman" w:hAnsi="Times New Roman"/>
          <w:noProof/>
          <w:color w:val="000000"/>
          <w:sz w:val="24"/>
          <w:szCs w:val="24"/>
        </w:rPr>
        <w:t xml:space="preserve">Distribuția teritorială a noilor locuri EFP se bazează pe o evaluare a nevoilor și urmează discuții cu părțile interesate relevante pentru a se asigura că oferta răspunde în mod eficace la lacunele regionale/locale. Se preconizează că acesta va fi convenit în contextul conferințelor sectoriale din domeniul educației, cu regiunile autonome. </w:t>
      </w:r>
    </w:p>
    <w:p>
      <w:pPr>
        <w:spacing w:before="120" w:after="120" w:line="240" w:lineRule="auto"/>
        <w:jc w:val="both"/>
        <w:rPr>
          <w:rFonts w:ascii="Times New Roman" w:hAnsi="Times New Roman" w:cs="Times New Roman"/>
          <w:noProof/>
          <w:color w:val="000000"/>
          <w:sz w:val="24"/>
          <w:szCs w:val="24"/>
        </w:rPr>
      </w:pPr>
      <w:r>
        <w:rPr>
          <w:rFonts w:ascii="Times New Roman" w:hAnsi="Times New Roman"/>
          <w:noProof/>
          <w:sz w:val="24"/>
        </w:rPr>
        <w:t>În vederea promovării comunicării într-o limbă străină ca element-cheie al performanței profesionale, bilingvismul este promovat în domeniul EFP ca obiectiv strategic.</w:t>
      </w:r>
      <w:r>
        <w:rPr>
          <w:rFonts w:ascii="Times New Roman" w:hAnsi="Times New Roman"/>
          <w:noProof/>
          <w:color w:val="000000" w:themeColor="text1"/>
          <w:sz w:val="24"/>
        </w:rPr>
        <w:t xml:space="preserve"> Accentul se va pune atât pe educația profesorilor, cât și pe cea a elevilor într-o limbă străină, ca parte a ciclului formativ, prin transformarea a 3 700 de cicluri în ofertă bilingvă. </w:t>
      </w:r>
    </w:p>
    <w:p>
      <w:pPr>
        <w:spacing w:before="120" w:after="120" w:line="240" w:lineRule="auto"/>
        <w:jc w:val="both"/>
        <w:rPr>
          <w:rFonts w:ascii="Times New Roman" w:hAnsi="Times New Roman" w:cs="Times New Roman"/>
          <w:noProof/>
          <w:color w:val="000000"/>
          <w:sz w:val="24"/>
          <w:shd w:val="clear" w:color="auto" w:fill="FFFFFF"/>
        </w:rPr>
      </w:pPr>
      <w:r>
        <w:rPr>
          <w:rFonts w:ascii="Times New Roman" w:hAnsi="Times New Roman"/>
          <w:noProof/>
          <w:color w:val="000000"/>
          <w:sz w:val="24"/>
          <w:szCs w:val="24"/>
          <w:shd w:val="clear" w:color="auto" w:fill="FFFFFF"/>
        </w:rPr>
        <w:t>În plus, investiția vizează dezvoltarea de proiecte de inovare și transfer de cunoștințe între centrele EFP și întreprinderi, astfel încât acestea să devină un element-cheie al noului model de formare profesională. Investiția vizează, de asemenea, transformarea ciclurilor de formare de nivel mediu și înalt în cicluri bilingve, ca răspuns la internaționalizarea crescândă a întreprinderilor și la globalizarea economiilor.</w:t>
      </w:r>
    </w:p>
    <w:p>
      <w:pPr>
        <w:spacing w:before="120" w:after="120" w:line="240" w:lineRule="auto"/>
        <w:jc w:val="both"/>
        <w:rPr>
          <w:rFonts w:ascii="Times New Roman" w:hAnsi="Times New Roman" w:cs="Times New Roman"/>
          <w:noProof/>
          <w:color w:val="000000"/>
          <w:sz w:val="24"/>
          <w:szCs w:val="24"/>
        </w:rPr>
      </w:pPr>
      <w:r>
        <w:rPr>
          <w:rFonts w:ascii="Times New Roman" w:hAnsi="Times New Roman"/>
          <w:noProof/>
          <w:color w:val="000000"/>
          <w:sz w:val="24"/>
          <w:szCs w:val="24"/>
        </w:rPr>
        <w:t>Spania se asigură că acțiunea este sustenabilă din punct de vedere fiscal după încheierea Mecanismului de redresare și reziliență, inclusiv prin utilizarea altor surse de finanțare din partea UE.</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Punerea în aplicare a măsurii se finalizează până la 31 decembrie 2024.</w:t>
      </w:r>
    </w:p>
    <w:p>
      <w:pPr>
        <w:spacing w:before="120" w:after="120" w:line="240" w:lineRule="auto"/>
        <w:ind w:left="709"/>
        <w:jc w:val="both"/>
        <w:rPr>
          <w:rFonts w:ascii="Times New Roman" w:hAnsi="Times New Roman" w:cs="Times New Roman"/>
          <w:b/>
          <w:bCs/>
          <w:noProof/>
          <w:sz w:val="24"/>
          <w:u w:val="single"/>
        </w:rPr>
      </w:pPr>
      <w:r>
        <w:rPr>
          <w:rFonts w:ascii="Times New Roman" w:hAnsi="Times New Roman"/>
          <w:b/>
          <w:bCs/>
          <w:noProof/>
          <w:sz w:val="24"/>
          <w:u w:val="single"/>
        </w:rPr>
        <w:t xml:space="preserve">T.2. </w:t>
      </w:r>
      <w:r>
        <w:rPr>
          <w:rFonts w:ascii="Times New Roman" w:hAnsi="Times New Roman"/>
          <w:b/>
          <w:noProof/>
          <w:sz w:val="24"/>
          <w:u w:val="single"/>
        </w:rPr>
        <w:tab/>
      </w:r>
      <w:r>
        <w:rPr>
          <w:rFonts w:ascii="Times New Roman" w:hAnsi="Times New Roman"/>
          <w:b/>
          <w:bCs/>
          <w:noProof/>
          <w:sz w:val="24"/>
          <w:u w:val="single"/>
        </w:rPr>
        <w:t>Jaloane, ținte, indicatori și calendarul de monitorizare și implementare aplicabile sprijinului financiar nerambursabil</w:t>
      </w:r>
    </w:p>
    <w:p>
      <w:pPr>
        <w:spacing w:before="120" w:after="120" w:line="240" w:lineRule="auto"/>
        <w:jc w:val="both"/>
        <w:rPr>
          <w:rFonts w:ascii="Times New Roman" w:hAnsi="Times New Roman" w:cs="Times New Roman"/>
          <w:noProof/>
          <w:color w:val="1F497D"/>
        </w:rPr>
      </w:pPr>
      <w:r>
        <w:rPr>
          <w:rFonts w:ascii="Times New Roman" w:hAnsi="Times New Roman"/>
          <w:i/>
          <w:noProof/>
          <w:color w:val="000000"/>
          <w:sz w:val="24"/>
          <w:szCs w:val="24"/>
        </w:rPr>
        <w:t>Tabelul de mai jos.</w:t>
      </w:r>
      <w:r>
        <w:rPr>
          <w:rFonts w:ascii="Times New Roman" w:hAnsi="Times New Roman"/>
          <w:noProof/>
          <w:color w:val="1F497D"/>
          <w:sz w:val="24"/>
          <w:szCs w:val="24"/>
        </w:rPr>
        <w:t xml:space="preserve"> </w:t>
      </w:r>
      <w:r>
        <w:rPr>
          <w:rFonts w:ascii="Times New Roman" w:hAnsi="Times New Roman"/>
          <w:i/>
          <w:noProof/>
          <w:color w:val="000000"/>
          <w:sz w:val="24"/>
          <w:szCs w:val="24"/>
        </w:rPr>
        <w:t>Data de referință pentru toți indicatorii este 1 februarie 2020, cu excepția cazului în care se indică altfel în descrierea acțiunii. Sumele din tabel nu includ TVA.</w:t>
      </w:r>
    </w:p>
    <w:p>
      <w:pPr>
        <w:spacing w:before="120" w:after="120" w:line="240" w:lineRule="auto"/>
        <w:jc w:val="both"/>
        <w:rPr>
          <w:rFonts w:ascii="Times New Roman" w:hAnsi="Times New Roman" w:cs="Times New Roman"/>
          <w:b/>
          <w:noProof/>
          <w:sz w:val="24"/>
          <w:u w:val="single"/>
          <w:lang w:val="en-IE"/>
        </w:rPr>
      </w:pPr>
    </w:p>
    <w:p>
      <w:pPr>
        <w:spacing w:before="120" w:after="120" w:line="240" w:lineRule="auto"/>
        <w:ind w:left="709"/>
        <w:jc w:val="both"/>
        <w:rPr>
          <w:rFonts w:ascii="Times New Roman" w:hAnsi="Times New Roman" w:cs="Times New Roman"/>
          <w:noProof/>
          <w:sz w:val="24"/>
        </w:rPr>
      </w:pPr>
      <w:r>
        <w:rPr>
          <w:rFonts w:ascii="Times New Roman" w:hAnsi="Times New Roman"/>
          <w:i/>
          <w:iCs/>
          <w:noProof/>
          <w:color w:val="4F81BD" w:themeColor="accent1"/>
          <w:sz w:val="24"/>
        </w:rPr>
        <w:t xml:space="preserve"> </w:t>
      </w:r>
    </w:p>
    <w:p>
      <w:pPr>
        <w:spacing w:before="120" w:after="120" w:line="240" w:lineRule="auto"/>
        <w:ind w:left="709"/>
        <w:jc w:val="both"/>
        <w:rPr>
          <w:rFonts w:ascii="Times New Roman" w:hAnsi="Times New Roman" w:cs="Times New Roman"/>
          <w:noProof/>
          <w:sz w:val="24"/>
          <w:lang w:val="en-IE"/>
        </w:rPr>
        <w:sectPr>
          <w:headerReference w:type="even" r:id="rId247"/>
          <w:headerReference w:type="default" r:id="rId248"/>
          <w:footerReference w:type="even" r:id="rId249"/>
          <w:footerReference w:type="default" r:id="rId250"/>
          <w:headerReference w:type="first" r:id="rId251"/>
          <w:footerReference w:type="first" r:id="rId252"/>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51"/>
        <w:gridCol w:w="851"/>
        <w:gridCol w:w="850"/>
        <w:gridCol w:w="2693"/>
        <w:gridCol w:w="1418"/>
        <w:gridCol w:w="850"/>
        <w:gridCol w:w="993"/>
        <w:gridCol w:w="992"/>
        <w:gridCol w:w="425"/>
        <w:gridCol w:w="567"/>
        <w:gridCol w:w="4820"/>
      </w:tblGrid>
      <w:tr>
        <w:trPr>
          <w:trHeight w:val="309"/>
          <w:tblHeader/>
        </w:trPr>
        <w:tc>
          <w:tcPr>
            <w:tcW w:w="851"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Număr</w:t>
            </w:r>
          </w:p>
        </w:tc>
        <w:tc>
          <w:tcPr>
            <w:tcW w:w="851"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Măsură</w:t>
            </w:r>
          </w:p>
        </w:tc>
        <w:tc>
          <w:tcPr>
            <w:tcW w:w="850"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Jalon</w:t>
            </w:r>
            <w:r>
              <w:rPr>
                <w:rFonts w:ascii="Times New Roman" w:hAnsi="Times New Roman"/>
                <w:b/>
                <w:noProof/>
                <w:color w:val="000000"/>
                <w:sz w:val="18"/>
                <w:szCs w:val="18"/>
              </w:rPr>
              <w:br/>
              <w:t xml:space="preserve"> /Țintă</w:t>
            </w:r>
          </w:p>
        </w:tc>
        <w:tc>
          <w:tcPr>
            <w:tcW w:w="2693"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Denumire</w:t>
            </w:r>
          </w:p>
        </w:tc>
        <w:tc>
          <w:tcPr>
            <w:tcW w:w="1418"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Indicator calitativ pentru obiectivele de etapă</w:t>
            </w:r>
          </w:p>
        </w:tc>
        <w:tc>
          <w:tcPr>
            <w:tcW w:w="2835" w:type="dxa"/>
            <w:gridSpan w:val="3"/>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Indicator cantitativ pentru obiectiv</w:t>
            </w:r>
          </w:p>
        </w:tc>
        <w:tc>
          <w:tcPr>
            <w:tcW w:w="992" w:type="dxa"/>
            <w:gridSpan w:val="2"/>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Timp</w:t>
            </w:r>
          </w:p>
        </w:tc>
        <w:tc>
          <w:tcPr>
            <w:tcW w:w="4820"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bCs/>
                <w:noProof/>
                <w:sz w:val="18"/>
                <w:szCs w:val="18"/>
              </w:rPr>
              <w:t>Descrierea fiecărui jalon și a fiecărei ținte</w:t>
            </w:r>
          </w:p>
        </w:tc>
      </w:tr>
      <w:tr>
        <w:trPr>
          <w:trHeight w:val="309"/>
          <w:tblHeader/>
        </w:trPr>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2693"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418"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Unitate</w:t>
            </w:r>
          </w:p>
        </w:tc>
        <w:tc>
          <w:tcPr>
            <w:tcW w:w="993"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Valoare de referință</w:t>
            </w:r>
          </w:p>
        </w:tc>
        <w:tc>
          <w:tcPr>
            <w:tcW w:w="992"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Obiectiv</w:t>
            </w:r>
          </w:p>
        </w:tc>
        <w:tc>
          <w:tcPr>
            <w:tcW w:w="425"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Q</w:t>
            </w:r>
          </w:p>
        </w:tc>
        <w:tc>
          <w:tcPr>
            <w:tcW w:w="567"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An</w:t>
            </w:r>
          </w:p>
        </w:tc>
        <w:tc>
          <w:tcPr>
            <w:tcW w:w="4820"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lang w:val="en-IE"/>
              </w:rPr>
            </w:pP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295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C20.R1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Planul de modernizare a formării profesionale și decretele legislative aferente</w:t>
            </w:r>
          </w:p>
        </w:tc>
        <w:tc>
          <w:tcPr>
            <w:tcW w:w="141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Publicarea pe pagina de internet a Memorandumului privind politica economică și financiară și prezentarea prim-ministrului </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993"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2020</w:t>
            </w:r>
          </w:p>
        </w:tc>
        <w:tc>
          <w:tcPr>
            <w:tcW w:w="482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Prezentarea de către prim-ministru a Planului de modernizare a formării profesionale și publicarea în Jurnalul Oficial a Decretului regal legislativ din 8 pentru punerea în aplicare a planului, care corespunde unui număr de 5 specialiști, 2 lucrători cu studii medii și 1 absolvent de învățământ superior</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296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C20.R2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Legii privind sistemul unic integrat de formare profesională, în scopul modernizării sistemului</w:t>
            </w:r>
          </w:p>
        </w:tc>
        <w:tc>
          <w:tcPr>
            <w:tcW w:w="141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Publicarea în Jurnalul Oficial</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993"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482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legii privind sistemul unic integrat de formare profesională, cu scopul de a moderniza sistemul. Legea unifică cele două sisteme de formare profesională existente anterior și le modernizează prin: i) punerea accentului pe perfecționarea competențelor persoanelor slab calificate și îmbunătățirea capacității lor de inserție profesională; ii) abordarea necorelării competențelor; actualizarea Catalogului național al calificărilor profesionale, adaptarea acestuia la nevoile viitoare ale economiei, inclusiv sprijinirea tranziției verzi și digitale; iv) îmbunătățirea atractivității programelor EFP mai ridicate în vederea îmbunătățirii înscrierii.</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297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C20.I1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Noi unități de competență ale Catalogului Național al Calificărilor Profesionale </w:t>
            </w:r>
          </w:p>
        </w:tc>
        <w:tc>
          <w:tcPr>
            <w:tcW w:w="141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993"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3 000 000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482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Înregistrarea, evaluarea și acreditarea a 3 000 000 de unități de competență din Catalogul Național al Calificărilor Profesionale dobândite prin experiență profesională și căi de formare non-formală.</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298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C20.I1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Cursuri de formare modulare pentru perfecționarea și recalificarea angajaților și a șomerilor </w:t>
            </w:r>
          </w:p>
        </w:tc>
        <w:tc>
          <w:tcPr>
            <w:tcW w:w="141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993"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1 000 000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482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Furnizarea unei formări digitale modulare pentru perfecționare și recalificare (din care cel puțin 300 000 lucrători formați) și a unei formări modulare care vizează recalificarea și perfecționarea lucrătorilor și a șomerilor (cel puțin 700 000 de persoane formate).</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299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C20.I2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Centre de excelență și inovare în formarea profesională</w:t>
            </w:r>
          </w:p>
        </w:tc>
        <w:tc>
          <w:tcPr>
            <w:tcW w:w="141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993"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50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482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Crearea a 50 centre de excelență și inovare în formarea profesională</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300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C20.I3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Cel puțin 50 000 de noi locuri EFP comparativ cu sfârșitul anului 2020.</w:t>
            </w:r>
          </w:p>
        </w:tc>
        <w:tc>
          <w:tcPr>
            <w:tcW w:w="141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993"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934 204</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984 204</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482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Crearea cumulată a cel puțin 50 000 de noi locuri EFP în comparație cu sfârșitul anului 2020. Distribuția teritorială a noilor locuri EFP ar trebui să se bazeze pe o evaluare a nevoilor și să continue discuțiile cu părțile interesate relevante pentru a se asigura că oferta răspunde în mod eficace la lacunele regionale/locale. Data scenariului de referință: 31 decembrie 2020.</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301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C20.I3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Cicluri bilingve de formare profesională </w:t>
            </w:r>
          </w:p>
        </w:tc>
        <w:tc>
          <w:tcPr>
            <w:tcW w:w="141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993"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3 700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482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3 700 de cicluri de formare profesională (medie și înaltă) transformate în oferte bilingve </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302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C20.I3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Noi locuri EFP în comparație cu sfârșitul anului 2020</w:t>
            </w:r>
          </w:p>
        </w:tc>
        <w:tc>
          <w:tcPr>
            <w:tcW w:w="141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993"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934 204</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1 069 204</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482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Cel puțin 135 000 de noi locuri EFP comparativ cu sfârșitul anului 2020. Data scenariului de referință: 31 decembrie 2020.</w:t>
            </w:r>
          </w:p>
        </w:tc>
      </w:tr>
    </w:tbl>
    <w:p>
      <w:pPr>
        <w:spacing w:before="120" w:after="120" w:line="240" w:lineRule="auto"/>
        <w:ind w:left="709"/>
        <w:jc w:val="both"/>
        <w:rPr>
          <w:rFonts w:ascii="Times New Roman" w:hAnsi="Times New Roman" w:cs="Times New Roman"/>
          <w:noProof/>
          <w:sz w:val="24"/>
          <w:lang w:val="en-IE"/>
        </w:rPr>
        <w:sectPr>
          <w:headerReference w:type="even" r:id="rId253"/>
          <w:headerReference w:type="default" r:id="rId254"/>
          <w:footerReference w:type="even" r:id="rId255"/>
          <w:footerReference w:type="default" r:id="rId256"/>
          <w:headerReference w:type="first" r:id="rId257"/>
          <w:footerReference w:type="first" r:id="rId258"/>
          <w:pgSz w:w="16839" w:h="11907" w:orient="landscape"/>
          <w:pgMar w:top="1417" w:right="1134" w:bottom="1417" w:left="1134" w:header="709" w:footer="709" w:gutter="0"/>
          <w:cols w:space="720"/>
          <w:docGrid w:linePitch="360"/>
        </w:sectPr>
      </w:pPr>
    </w:p>
    <w:p>
      <w:pPr>
        <w:pStyle w:val="Heading1"/>
        <w:rPr>
          <w:noProof/>
        </w:rPr>
      </w:pPr>
      <w:r>
        <w:rPr>
          <w:noProof/>
        </w:rPr>
        <w:t>U. COMPONENTA 21: Modernizarea și digitalizarea educației, inclusiv a educației timpurii pentru copiii cu vârste cuprinse între 0 și 3 ani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Această componentă a planului spaniol de redresare și reziliență se axează pe modernizarea sistemului de învățământ și pe îmbunătățirea infrastructurii educaționale. Acesta vizează un sistem mai flexibil și mai favorabil incluziunii, mai bine adaptat la nevoile fiecărui elev, și introducerea unor noi tehnici de predare și învățare, inclusiv digitale. Principalele obiective ale fiecărei etape educaționale sunt: </w:t>
      </w:r>
    </w:p>
    <w:p>
      <w:pPr>
        <w:numPr>
          <w:ilvl w:val="0"/>
          <w:numId w:val="94"/>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Educarea și îngrijirea copiilor de vârstă fragedă Componenta vizează creșterea treptată a înscrierii în EICP, acordând prioritate furnizării de noi locuri publice pentru copiii din zonele cu risc mai ridicat de sărăcie sau excluziune socială și din zonele rurale. Se va pune accentul pe copiii cu vârste cuprinse între 0 și 3 ani și se va acorda atenție atât accesului, cât și accesibilității, pentru a favoriza în special integrarea femeilor pe piața forței de muncă și pentru a pune bazele pentru îmbunătățirea rezultatelor școlare și prevenirea părăsirii timpurii a școlii în etapele ulterioare. </w:t>
      </w:r>
    </w:p>
    <w:p>
      <w:pPr>
        <w:numPr>
          <w:ilvl w:val="0"/>
          <w:numId w:val="94"/>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Învățământul primar și secundar. Componenta vizează îmbunătățirea rezultatelor școlare prin reducerea abandonului școlar timpuriu și a ratelor ridicate de repetare, prin acordarea de sprijin suplimentar elevilor cu performanțe slabe și prin elaborarea unei noi programe de învățământ pentru competențe-cheie (inclusiv digitale) în învățământul primar și secundar obligatoriu și bacalaureat. </w:t>
      </w:r>
    </w:p>
    <w:p>
      <w:pPr>
        <w:numPr>
          <w:ilvl w:val="0"/>
          <w:numId w:val="94"/>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szCs w:val="24"/>
        </w:rPr>
        <w:t>Sistemul universitar. Componenta vizează modernizarea sistemului universitar, prin adaptarea organizării de cursuri universitare la nevoile societale actuale, prin îmbunătățirea relevanței pe piața muncii a învățământului superior și prin sprijinirea transformării tehnologice. Aceasta vizează, de asemenea, creșterea accesului la învățământul superior și îmbunătățirea accesibilității acestuia.</w:t>
      </w:r>
    </w:p>
    <w:p>
      <w:pPr>
        <w:spacing w:before="120" w:after="120" w:line="240" w:lineRule="auto"/>
        <w:jc w:val="both"/>
        <w:rPr>
          <w:rFonts w:ascii="Times New Roman" w:hAnsi="Times New Roman" w:cs="Times New Roman"/>
          <w:bCs/>
          <w:noProof/>
          <w:sz w:val="24"/>
        </w:rPr>
      </w:pPr>
      <w:r>
        <w:rPr>
          <w:rFonts w:ascii="Times New Roman" w:hAnsi="Times New Roman"/>
          <w:bCs/>
          <w:noProof/>
          <w:sz w:val="24"/>
        </w:rPr>
        <w:t xml:space="preserve">Componenta contribuie la abordarea recomandărilor specifice fiecărei țări referitoare la reducerea părăsirii timpurii a școlii și la îmbunătățirea rezultatelor școlare, ținând seama de disparitățile regionale (recomandările specifice fiecărei țări 2 din 2019) și îmbunătățind accesul la învățarea digitală (recomandarea specifică țării 2 din 2020). </w:t>
      </w:r>
      <w:r>
        <w:rPr>
          <w:rFonts w:ascii="Times New Roman" w:hAnsi="Times New Roman"/>
          <w:noProof/>
          <w:sz w:val="24"/>
        </w:rPr>
        <w:t>Acesta contribuie, de asemenea, la abordarea recomandărilor specifice mai timpurii pentru fiecare țară referitoare la un sprijin mai bun pentru formarea studenților și a cadrelor didactice, precum și la îmbunătățirea sprijinului acordat familiilor (recomandarea specifică țării 2 din 2019), inclusiv accesul la servicii de îngrijire a copiilor de calitate.</w:t>
      </w:r>
      <w:r>
        <w:rPr>
          <w:rFonts w:ascii="Times New Roman" w:hAnsi="Times New Roman"/>
          <w:noProof/>
          <w:sz w:val="24"/>
          <w:szCs w:val="24"/>
        </w:rPr>
        <w:t xml:space="preserve"> </w:t>
      </w:r>
    </w:p>
    <w:p>
      <w:pPr>
        <w:spacing w:before="120" w:after="120" w:line="240" w:lineRule="auto"/>
        <w:jc w:val="both"/>
        <w:rPr>
          <w:rFonts w:ascii="Times New Roman" w:hAnsi="Times New Roman" w:cs="Times New Roman"/>
          <w:bCs/>
          <w:noProof/>
          <w:sz w:val="24"/>
        </w:rPr>
      </w:pPr>
      <w:r>
        <w:rPr>
          <w:rFonts w:ascii="Times New Roman" w:hAnsi="Times New Roman"/>
          <w:noProof/>
          <w:color w:val="000000" w:themeColor="text1"/>
          <w:sz w:val="24"/>
          <w:szCs w:val="24"/>
        </w:rPr>
        <w:t>Se preconizează că nicio măsură din cadrul acestei componente nu aduce prejudicii semnificative obiectivelor de mediu în sensul articolului 17 din Regulamentul (UE) 2020/852, ținând seama de descrierea măsurilor și a măsurilor de atenuare stabilite în planul de redresare și reziliență în conformitate cu Orientările tehnice DNSH (2021/C58/01).</w:t>
      </w:r>
    </w:p>
    <w:p>
      <w:pPr>
        <w:spacing w:before="120" w:after="120" w:line="240" w:lineRule="auto"/>
        <w:ind w:left="709"/>
        <w:jc w:val="both"/>
        <w:rPr>
          <w:rFonts w:ascii="Times New Roman" w:hAnsi="Times New Roman" w:cs="Times New Roman"/>
          <w:b/>
          <w:i/>
          <w:noProof/>
          <w:color w:val="4F81BD" w:themeColor="accent1"/>
          <w:sz w:val="24"/>
        </w:rPr>
      </w:pPr>
      <w:r>
        <w:rPr>
          <w:rFonts w:ascii="Times New Roman" w:hAnsi="Times New Roman"/>
          <w:b/>
          <w:bCs/>
          <w:noProof/>
          <w:sz w:val="24"/>
          <w:u w:val="single"/>
        </w:rPr>
        <w:t xml:space="preserve">U.1. </w:t>
      </w:r>
      <w:r>
        <w:rPr>
          <w:rFonts w:ascii="Times New Roman" w:hAnsi="Times New Roman"/>
          <w:b/>
          <w:noProof/>
          <w:sz w:val="24"/>
          <w:u w:val="single"/>
        </w:rPr>
        <w:tab/>
      </w:r>
      <w:r>
        <w:rPr>
          <w:rFonts w:ascii="Times New Roman" w:hAnsi="Times New Roman"/>
          <w:b/>
          <w:bCs/>
          <w:noProof/>
          <w:sz w:val="24"/>
          <w:u w:val="single"/>
        </w:rPr>
        <w:t>Descrierea reformelor și a investițiilor pentru care se prevede acordarea sprijinului financiar nerambursabil</w:t>
      </w:r>
    </w:p>
    <w:p>
      <w:pPr>
        <w:spacing w:before="120" w:after="120" w:line="240" w:lineRule="auto"/>
        <w:jc w:val="both"/>
        <w:rPr>
          <w:rFonts w:ascii="Times New Roman" w:hAnsi="Times New Roman" w:cs="Times New Roman"/>
          <w:noProof/>
          <w:color w:val="000000"/>
          <w:sz w:val="24"/>
          <w:u w:val="single"/>
          <w:shd w:val="clear" w:color="auto" w:fill="FFFFFF"/>
        </w:rPr>
      </w:pPr>
      <w:r>
        <w:rPr>
          <w:rFonts w:ascii="Times New Roman" w:hAnsi="Times New Roman"/>
          <w:noProof/>
          <w:color w:val="000000"/>
          <w:sz w:val="24"/>
          <w:szCs w:val="24"/>
          <w:u w:val="single"/>
          <w:shd w:val="clear" w:color="auto" w:fill="FFFFFF"/>
        </w:rPr>
        <w:t xml:space="preserve">Reforma 1 (C21.R1) - Noua lege organică privind educația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Această reformă include adoptarea unei noi legi privind educația copiilor preșcolari, învățământul primar și secundar obligatoriu și bacalaureatul. Acesta stabilește baza pentru creșterea oportunităților educaționale și de formare pentru întreaga populație, inclusiv prin îmbunătățirea rezultatelor școlare și prin detectarea timpurie a dificultăților și prin consolidarea autonomiei școlilor. Acesta se axează pe reducerea segregării în funcție de mediul de proveniență a studenților și pe îmbunătățirea capacității incluzive a sistemului. În plus, scopul este de a consolida competențele digitale la toate nivelurile educaționale, răspunzând astfel economiei din ce în ce mai digitalizate. O nouă lege (LOMLOE) a fost adoptată la 29 decembrie 2020.</w:t>
      </w:r>
    </w:p>
    <w:p>
      <w:pPr>
        <w:spacing w:before="120" w:after="120" w:line="240" w:lineRule="auto"/>
        <w:jc w:val="both"/>
        <w:rPr>
          <w:rFonts w:ascii="Times New Roman" w:hAnsi="Times New Roman" w:cs="Times New Roman"/>
          <w:noProof/>
          <w:color w:val="000000"/>
          <w:sz w:val="24"/>
          <w:szCs w:val="24"/>
        </w:rPr>
      </w:pPr>
      <w:r>
        <w:rPr>
          <w:rFonts w:ascii="Times New Roman" w:hAnsi="Times New Roman"/>
          <w:noProof/>
          <w:color w:val="000000"/>
          <w:sz w:val="24"/>
          <w:szCs w:val="24"/>
        </w:rPr>
        <w:t xml:space="preserve">Dezvoltarea în materie de reglementare a Legii educației urmează să fie implementată prin: </w:t>
      </w:r>
    </w:p>
    <w:p>
      <w:pPr>
        <w:numPr>
          <w:ilvl w:val="0"/>
          <w:numId w:val="95"/>
        </w:numPr>
        <w:spacing w:before="120" w:after="160" w:line="259" w:lineRule="auto"/>
        <w:contextualSpacing/>
        <w:jc w:val="both"/>
        <w:rPr>
          <w:rFonts w:ascii="Times New Roman" w:hAnsi="Times New Roman" w:cs="Times New Roman"/>
          <w:noProof/>
          <w:color w:val="000000"/>
          <w:sz w:val="24"/>
          <w:szCs w:val="24"/>
        </w:rPr>
      </w:pPr>
      <w:r>
        <w:rPr>
          <w:rFonts w:ascii="Times New Roman" w:hAnsi="Times New Roman"/>
          <w:noProof/>
          <w:color w:val="000000"/>
          <w:sz w:val="24"/>
          <w:szCs w:val="24"/>
        </w:rPr>
        <w:t xml:space="preserve">reglementarea unei noi programe de învățământ bazate pe competențe; </w:t>
      </w:r>
    </w:p>
    <w:p>
      <w:pPr>
        <w:numPr>
          <w:ilvl w:val="0"/>
          <w:numId w:val="95"/>
        </w:numPr>
        <w:spacing w:before="120" w:after="160" w:line="259" w:lineRule="auto"/>
        <w:contextualSpacing/>
        <w:jc w:val="both"/>
        <w:rPr>
          <w:rFonts w:ascii="Times New Roman" w:hAnsi="Times New Roman" w:cs="Times New Roman"/>
          <w:noProof/>
          <w:color w:val="000000"/>
          <w:sz w:val="24"/>
          <w:szCs w:val="24"/>
        </w:rPr>
      </w:pPr>
      <w:r>
        <w:rPr>
          <w:rFonts w:ascii="Times New Roman" w:hAnsi="Times New Roman"/>
          <w:noProof/>
          <w:color w:val="000000"/>
          <w:sz w:val="24"/>
          <w:szCs w:val="24"/>
        </w:rPr>
        <w:t xml:space="preserve">evaluarea, în special evaluarea generală a sistemului educațional, precum și evaluările de diagnosticare; </w:t>
      </w:r>
    </w:p>
    <w:p>
      <w:pPr>
        <w:numPr>
          <w:ilvl w:val="0"/>
          <w:numId w:val="95"/>
        </w:numPr>
        <w:spacing w:before="120" w:after="160" w:line="259" w:lineRule="auto"/>
        <w:contextualSpacing/>
        <w:jc w:val="both"/>
        <w:rPr>
          <w:rFonts w:ascii="Times New Roman" w:hAnsi="Times New Roman" w:cs="Times New Roman"/>
          <w:noProof/>
          <w:color w:val="000000"/>
          <w:sz w:val="24"/>
          <w:szCs w:val="24"/>
        </w:rPr>
      </w:pPr>
      <w:r>
        <w:rPr>
          <w:rFonts w:ascii="Times New Roman" w:hAnsi="Times New Roman"/>
          <w:noProof/>
          <w:color w:val="000000"/>
          <w:sz w:val="24"/>
          <w:szCs w:val="24"/>
        </w:rPr>
        <w:t>dezvoltarea profesiei de cadru didactic; și</w:t>
      </w:r>
    </w:p>
    <w:p>
      <w:pPr>
        <w:numPr>
          <w:ilvl w:val="0"/>
          <w:numId w:val="95"/>
        </w:numPr>
        <w:spacing w:before="120" w:after="160" w:line="259" w:lineRule="auto"/>
        <w:contextualSpacing/>
        <w:jc w:val="both"/>
        <w:rPr>
          <w:rFonts w:ascii="Times New Roman" w:hAnsi="Times New Roman" w:cs="Times New Roman"/>
          <w:noProof/>
          <w:color w:val="000000"/>
          <w:sz w:val="24"/>
          <w:szCs w:val="24"/>
        </w:rPr>
      </w:pPr>
      <w:r>
        <w:rPr>
          <w:rFonts w:ascii="Times New Roman" w:hAnsi="Times New Roman"/>
          <w:noProof/>
          <w:color w:val="000000"/>
          <w:sz w:val="24"/>
          <w:szCs w:val="24"/>
        </w:rPr>
        <w:t xml:space="preserve">reglementarea recunoașterii și validării certificatelor și studiilor neuniversitare străine. </w:t>
      </w:r>
    </w:p>
    <w:p>
      <w:pPr>
        <w:spacing w:before="120" w:after="120" w:line="240" w:lineRule="auto"/>
        <w:jc w:val="both"/>
        <w:rPr>
          <w:rFonts w:ascii="Times New Roman" w:hAnsi="Times New Roman" w:cs="Times New Roman"/>
          <w:noProof/>
          <w:color w:val="000000"/>
          <w:sz w:val="24"/>
          <w:shd w:val="clear" w:color="auto" w:fill="FFFFFF"/>
        </w:rPr>
      </w:pPr>
      <w:r>
        <w:rPr>
          <w:rFonts w:ascii="Times New Roman" w:hAnsi="Times New Roman"/>
          <w:noProof/>
          <w:sz w:val="24"/>
          <w:szCs w:val="24"/>
        </w:rPr>
        <w:t>În acest scop, ea pune bazele reformei 2 și diverse investiții incluse în componentă.</w:t>
      </w:r>
      <w:r>
        <w:rPr>
          <w:rFonts w:ascii="Times New Roman" w:hAnsi="Times New Roman"/>
          <w:noProof/>
          <w:color w:val="000000"/>
          <w:sz w:val="24"/>
          <w:szCs w:val="24"/>
          <w:shd w:val="clear" w:color="auto" w:fill="FFFFFF"/>
        </w:rPr>
        <w:t xml:space="preserve">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În cele din urmă, se preconizează că reforma va promova integrarea educației speciale în școlile obișnuite și va fi însoțită de un plan continuu pe 10 ani convenit cu autoritățile regionale, care să ofere resurse suplimentare pentru a sprijini școlile care găzduiesc elevi cu nevoi speciale. </w:t>
      </w:r>
    </w:p>
    <w:p>
      <w:pPr>
        <w:spacing w:before="120" w:after="120" w:line="240" w:lineRule="auto"/>
        <w:jc w:val="both"/>
        <w:rPr>
          <w:rFonts w:ascii="Times New Roman" w:hAnsi="Times New Roman" w:cs="Times New Roman"/>
          <w:noProof/>
          <w:sz w:val="24"/>
        </w:rPr>
      </w:pPr>
      <w:r>
        <w:rPr>
          <w:rFonts w:ascii="Times New Roman" w:hAnsi="Times New Roman"/>
          <w:noProof/>
          <w:color w:val="000000"/>
          <w:sz w:val="24"/>
          <w:szCs w:val="24"/>
          <w:shd w:val="clear" w:color="auto" w:fill="FFFFFF"/>
        </w:rPr>
        <w:t>Punerea în aplicare a măsurii se finalizează până la 31 martie 2021.</w:t>
      </w:r>
    </w:p>
    <w:p>
      <w:pPr>
        <w:spacing w:before="120" w:after="120" w:line="240" w:lineRule="auto"/>
        <w:jc w:val="both"/>
        <w:rPr>
          <w:rFonts w:ascii="Times New Roman" w:hAnsi="Times New Roman" w:cs="Times New Roman"/>
          <w:noProof/>
          <w:color w:val="000000"/>
          <w:sz w:val="24"/>
          <w:shd w:val="clear" w:color="auto" w:fill="FFFFFF"/>
        </w:rPr>
      </w:pPr>
      <w:r>
        <w:rPr>
          <w:rFonts w:ascii="Times New Roman" w:hAnsi="Times New Roman"/>
          <w:noProof/>
          <w:color w:val="000000"/>
          <w:sz w:val="24"/>
          <w:szCs w:val="24"/>
          <w:u w:val="single"/>
          <w:shd w:val="clear" w:color="auto" w:fill="FFFFFF"/>
        </w:rPr>
        <w:t>Reforma 2 (C21.R2) - Un nou model de curriculum pentru competențele-cheie, învățarea fundamentală și planificarea academică favorabilă incluziunii</w:t>
      </w:r>
      <w:r>
        <w:rPr>
          <w:rFonts w:ascii="Times New Roman" w:hAnsi="Times New Roman"/>
          <w:noProof/>
          <w:color w:val="000000"/>
          <w:sz w:val="24"/>
          <w:szCs w:val="24"/>
          <w:shd w:val="clear" w:color="auto" w:fill="FFFFFF"/>
        </w:rPr>
        <w:t xml:space="preserve"> </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sz w:val="24"/>
          <w:szCs w:val="24"/>
          <w:shd w:val="clear" w:color="auto" w:fill="FFFFFF"/>
        </w:rPr>
        <w:t xml:space="preserve">Pe baza adoptării noii legi privind învățământul (LOMLOE) la care se face referire în reforma din 1, această reformă include adoptarea de decrete-legi privind cerințele minime pentru învățământul primar, învățământul secundar obligatoriu și bacalaureat. </w:t>
      </w:r>
      <w:r>
        <w:rPr>
          <w:rFonts w:ascii="Times New Roman" w:hAnsi="Times New Roman"/>
          <w:noProof/>
          <w:sz w:val="24"/>
          <w:szCs w:val="24"/>
        </w:rPr>
        <w:t>Aceasta include, de asemenea, introducerea unor orientări metodologice pentru predare și învățare bazate pe o programă de învățământ bazată pe competențe și încorporarea „competențelor non-tehnice”, ținând seama de Recomandarea Consiliului din 2018 mai 22 privind competențele-cheie pentru învățarea pe tot parcursul vieții.</w:t>
      </w:r>
      <w:r>
        <w:rPr>
          <w:rFonts w:ascii="Times New Roman" w:hAnsi="Times New Roman"/>
          <w:noProof/>
          <w:color w:val="000000" w:themeColor="text1"/>
          <w:sz w:val="24"/>
          <w:szCs w:val="24"/>
        </w:rPr>
        <w:t xml:space="preserve"> Decretele legislative includ un cadru de evaluare elaborat în concordanță cu programa școlară și axat pe nivelul de dobândire a competențelor și pe evaluarea măsurilor care favorizează progresul studenților. Scopul este de a concepe un model educațional mai flexibil și mai deschis, care să promoveze învățarea profundă prin aplicarea unor metodologii colaborative, contribuind la îmbunătățirea rezultatelor școlare. Noua programă de învățământ acordă atenție educației pentru dezvoltare durabilă și cetățenie. Dezvoltarea competențelor digitale este inclusă la toate nivelurile, atât prin conținut specific, cât și într-o perspectivă transversală.</w:t>
      </w:r>
    </w:p>
    <w:p>
      <w:pPr>
        <w:pStyle w:val="Text1"/>
        <w:ind w:left="0"/>
        <w:rPr>
          <w:noProof/>
          <w:color w:val="000000" w:themeColor="text1"/>
          <w:szCs w:val="24"/>
        </w:rPr>
      </w:pPr>
      <w:r>
        <w:rPr>
          <w:noProof/>
          <w:color w:val="000000" w:themeColor="text1"/>
          <w:szCs w:val="24"/>
        </w:rPr>
        <w:t>În cadrul acestei reforme, cel puțin 100 de experți externi participă la elaborarea programei de învățământ pentru domeniile și subiectele din etapele educaționale și a cadrelor de evaluare, ceea ce va constitui baza pentru elaborarea decretelor regale ale noii programe de învățământ și ale cadrului comun de evaluare.</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themeColor="text1"/>
          <w:sz w:val="24"/>
          <w:szCs w:val="24"/>
        </w:rPr>
        <w:t xml:space="preserve">Reforma include, de asemenea, pregătirea de sprijin, orientare și materiale didactice, precum și formarea cadrelor didactice pentru a se asigura că aceștia pot pune în aplicare în mod eficace noua programă de învățământ. </w:t>
      </w:r>
      <w:r>
        <w:rPr>
          <w:rFonts w:ascii="Times New Roman" w:hAnsi="Times New Roman"/>
          <w:noProof/>
          <w:sz w:val="24"/>
          <w:szCs w:val="24"/>
        </w:rPr>
        <w:t>Materialele sunt publicate online pentru uzul tuturor profesorilor, împreună cu difuzarea bunelor practici.</w:t>
      </w:r>
      <w:r>
        <w:rPr>
          <w:rFonts w:ascii="Times New Roman" w:hAnsi="Times New Roman"/>
          <w:noProof/>
          <w:color w:val="000000"/>
          <w:sz w:val="24"/>
          <w:szCs w:val="24"/>
        </w:rPr>
        <w:t xml:space="preserve"> Cel puțin 4 000 de profesioniști finalizează formarea pentru aplicarea noii programe de învățământ. </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Elaborarea și punerea în aplicare a reformei se realizează în consultare cu organismele consultative și experții din domeniul educației și cu comunitățile autonome.</w:t>
      </w:r>
    </w:p>
    <w:p>
      <w:pPr>
        <w:spacing w:before="120" w:after="120" w:line="240" w:lineRule="auto"/>
        <w:jc w:val="both"/>
        <w:rPr>
          <w:rFonts w:ascii="Times New Roman" w:hAnsi="Times New Roman" w:cs="Times New Roman"/>
          <w:noProof/>
          <w:color w:val="000000"/>
          <w:sz w:val="24"/>
          <w:shd w:val="clear" w:color="auto" w:fill="FFFFFF"/>
        </w:rPr>
      </w:pPr>
      <w:r>
        <w:rPr>
          <w:rFonts w:ascii="Times New Roman" w:hAnsi="Times New Roman"/>
          <w:noProof/>
          <w:color w:val="000000"/>
          <w:sz w:val="24"/>
          <w:szCs w:val="24"/>
          <w:shd w:val="clear" w:color="auto" w:fill="FFFFFF"/>
        </w:rPr>
        <w:t>Punerea în aplicare a măsurii se finalizează până la 30 septembrie 2024.</w:t>
      </w:r>
    </w:p>
    <w:p>
      <w:pPr>
        <w:keepNext/>
        <w:spacing w:before="120" w:after="120" w:line="240" w:lineRule="auto"/>
        <w:jc w:val="both"/>
        <w:rPr>
          <w:rFonts w:ascii="Times New Roman" w:hAnsi="Times New Roman" w:cs="Times New Roman"/>
          <w:noProof/>
          <w:color w:val="000000"/>
          <w:sz w:val="24"/>
          <w:u w:val="single"/>
          <w:shd w:val="clear" w:color="auto" w:fill="FFFFFF"/>
        </w:rPr>
      </w:pPr>
      <w:r>
        <w:rPr>
          <w:rFonts w:ascii="Times New Roman" w:hAnsi="Times New Roman"/>
          <w:noProof/>
          <w:color w:val="000000"/>
          <w:sz w:val="24"/>
          <w:szCs w:val="24"/>
          <w:u w:val="single"/>
          <w:shd w:val="clear" w:color="auto" w:fill="FFFFFF"/>
        </w:rPr>
        <w:t xml:space="preserve">Reforma 3 (C21.R3) - Reforma cuprinzătoare a sistemului universitar </w:t>
      </w:r>
    </w:p>
    <w:p>
      <w:pPr>
        <w:spacing w:before="120" w:after="120" w:line="240" w:lineRule="auto"/>
        <w:jc w:val="both"/>
        <w:rPr>
          <w:rFonts w:ascii="Times New Roman" w:hAnsi="Times New Roman" w:cs="Times New Roman"/>
          <w:noProof/>
          <w:sz w:val="24"/>
        </w:rPr>
      </w:pPr>
      <w:r>
        <w:rPr>
          <w:rFonts w:ascii="Times New Roman" w:hAnsi="Times New Roman"/>
          <w:noProof/>
          <w:sz w:val="24"/>
          <w:szCs w:val="24"/>
        </w:rPr>
        <w:t>Reforma se axează pe o nouă lege privind sistemul universitar, care vizează o reformă cuprinzătoare a sistemului, bazată pe patru obiective-cheie:</w:t>
      </w:r>
      <w:bookmarkStart w:id="5" w:name="_Hlk65757328"/>
      <w:r>
        <w:rPr>
          <w:rFonts w:ascii="Times New Roman" w:hAnsi="Times New Roman"/>
          <w:noProof/>
          <w:sz w:val="24"/>
          <w:szCs w:val="24"/>
        </w:rPr>
        <w:t xml:space="preserve"> </w:t>
      </w:r>
    </w:p>
    <w:bookmarkEnd w:id="5"/>
    <w:p>
      <w:pPr>
        <w:numPr>
          <w:ilvl w:val="0"/>
          <w:numId w:val="96"/>
        </w:num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Promovarea accesului la învățământul superior. Bursele se majorează ținând seama de condițiile socioeconomice și se asigură egalitatea de șanse prin îmbunătățirea burselor pentru studenții cu handicap. Sistemul de burse a fost reformat în 2020, dar va fi dezvoltat în continuare în 2021 și 2022. Taxele publice pentru universități sunt, de asemenea, reduse, inclusiv prin stabilirea unor praguri și prin reducerea disparităților regionale mari.</w:t>
      </w:r>
    </w:p>
    <w:p>
      <w:pPr>
        <w:numPr>
          <w:ilvl w:val="0"/>
          <w:numId w:val="96"/>
        </w:num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 xml:space="preserve">Adoptarea organizării de cursuri universitare. Se adoptă un decret-lege pentru a reforma organizarea cursurilor universitare și pentru a asigura calitatea și relevanța acestora pentru piața forței de muncă. </w:t>
      </w:r>
      <w:r>
        <w:rPr>
          <w:rFonts w:ascii="Times New Roman" w:hAnsi="Times New Roman"/>
          <w:noProof/>
          <w:sz w:val="24"/>
          <w:szCs w:val="24"/>
        </w:rPr>
        <w:t>În acest scop, cooperarea universitară cu întreprinderile din învățământul terțiar este stimulată prin reglementarea diplomelor de licență și a diplomelor de master, inclusiv a programelor de formare în întreprinderi supravegheate de universități.</w:t>
      </w:r>
      <w:r>
        <w:rPr>
          <w:rFonts w:ascii="Times New Roman" w:hAnsi="Times New Roman"/>
          <w:noProof/>
          <w:color w:val="000000"/>
          <w:sz w:val="24"/>
          <w:szCs w:val="24"/>
          <w:shd w:val="clear" w:color="auto" w:fill="FFFFFF"/>
        </w:rPr>
        <w:t xml:space="preserve"> În conformitate cu obiectivele spațiului european al educației, se asigură recunoașterea automată a diplomelor. </w:t>
      </w:r>
      <w:r>
        <w:rPr>
          <w:rFonts w:ascii="Times New Roman" w:hAnsi="Times New Roman"/>
          <w:noProof/>
          <w:color w:val="000000"/>
          <w:sz w:val="24"/>
          <w:szCs w:val="24"/>
        </w:rPr>
        <w:t xml:space="preserve">Se consolidează, de asemenea, procesele de verificare, monitorizare și acreditare a predării non-față sau semi-față în față, combinând asigurarea calității ofertei de învățământ universitar și reducerea birocrației în cadrul procedurilor implicate. Se promovează, de asemenea, predarea inovatoare. </w:t>
      </w:r>
    </w:p>
    <w:p>
      <w:pPr>
        <w:numPr>
          <w:ilvl w:val="0"/>
          <w:numId w:val="96"/>
        </w:num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Asigurarea bunei guvernanțe a instituțiilor universitare și promovarea cercetării, transferului și mobilității personalului didactic și de cercetare. Scopul este de a asigura eficacitatea, eficiența și autonomia universităților în gestionarea curentă a universităților, de a spori participarea părților interesate la guvernanță și de a promova transparența și responsabilitatea. Aceasta asigură, de asemenea, faptul că universitățile dispun de profesori cu înaltă calificare, că cariera didactică este mai previzibilă și că legătura dintre predare și cercetare este consolidată.</w:t>
      </w:r>
    </w:p>
    <w:p>
      <w:pPr>
        <w:numPr>
          <w:ilvl w:val="0"/>
          <w:numId w:val="96"/>
        </w:num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 xml:space="preserve">Asigurarea calității instituțiilor universitare. </w:t>
      </w:r>
      <w:r>
        <w:rPr>
          <w:rFonts w:ascii="Times New Roman" w:hAnsi="Times New Roman"/>
          <w:noProof/>
          <w:color w:val="000000"/>
          <w:sz w:val="24"/>
          <w:szCs w:val="24"/>
        </w:rPr>
        <w:t>Se adoptă un decret-lege care stabilește criterii de calitate academică pentru crearea, recunoașterea, autorizarea și acreditarea universităților și a centrelor conexe, inclusiv a universităților de la distanță și de la distanță la fața locului.</w:t>
      </w:r>
      <w:r>
        <w:rPr>
          <w:rFonts w:ascii="Times New Roman" w:hAnsi="Times New Roman"/>
          <w:noProof/>
          <w:color w:val="000000"/>
          <w:sz w:val="24"/>
          <w:szCs w:val="24"/>
          <w:shd w:val="clear" w:color="auto" w:fill="FFFFFF"/>
        </w:rPr>
        <w:t xml:space="preserve"> </w:t>
      </w:r>
      <w:r>
        <w:rPr>
          <w:rFonts w:ascii="Times New Roman" w:hAnsi="Times New Roman"/>
          <w:noProof/>
          <w:color w:val="000000"/>
          <w:sz w:val="24"/>
          <w:szCs w:val="24"/>
        </w:rPr>
        <w:t>Obiectivul este ca universitățile să aibă o ofertă academică formativă minimă, asigurând, în același timp, posibilitatea specializării universităților; un număr minim de studenți la studii universitare; să dedice cel puțin 5 % din bugetul lor programelor de cercetare; și dispun de sisteme interne de asigurare a calității.</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În acest scop, reforma ține seama de recomandările Conferinței rectorilor universitari spanioli (CRUE). Acesta contribuie la sporirea relevanței pentru piața muncii a învățământului superior, inclusiv prin promovarea cooperării cu întreprinderile și prin introducerea unor modele de finanțare bazate pe performanță în universitățile publice.</w:t>
      </w:r>
    </w:p>
    <w:p>
      <w:pPr>
        <w:spacing w:before="120" w:after="120" w:line="240" w:lineRule="auto"/>
        <w:jc w:val="both"/>
        <w:rPr>
          <w:rFonts w:ascii="Times New Roman" w:hAnsi="Times New Roman" w:cs="Times New Roman"/>
          <w:noProof/>
          <w:color w:val="000000"/>
          <w:sz w:val="24"/>
          <w:shd w:val="clear" w:color="auto" w:fill="FFFFFF"/>
        </w:rPr>
      </w:pPr>
      <w:r>
        <w:rPr>
          <w:rFonts w:ascii="Times New Roman" w:hAnsi="Times New Roman"/>
          <w:noProof/>
          <w:color w:val="000000"/>
          <w:sz w:val="24"/>
          <w:szCs w:val="24"/>
          <w:shd w:val="clear" w:color="auto" w:fill="FFFFFF"/>
        </w:rPr>
        <w:t>Punerea în aplicare a măsurii se finalizează până la 30 iunie 2023.</w:t>
      </w:r>
    </w:p>
    <w:p>
      <w:pPr>
        <w:spacing w:before="120" w:after="120" w:line="240" w:lineRule="auto"/>
        <w:jc w:val="both"/>
        <w:rPr>
          <w:rFonts w:ascii="Times New Roman" w:hAnsi="Times New Roman" w:cs="Times New Roman"/>
          <w:noProof/>
          <w:color w:val="000000"/>
          <w:sz w:val="24"/>
          <w:u w:val="single"/>
          <w:shd w:val="clear" w:color="auto" w:fill="FFFFFF"/>
        </w:rPr>
      </w:pPr>
      <w:r>
        <w:rPr>
          <w:rFonts w:ascii="Times New Roman" w:hAnsi="Times New Roman"/>
          <w:noProof/>
          <w:color w:val="000000"/>
          <w:sz w:val="24"/>
          <w:szCs w:val="24"/>
          <w:u w:val="single"/>
          <w:shd w:val="clear" w:color="auto" w:fill="FFFFFF"/>
        </w:rPr>
        <w:t>Investiția 1 (C21.I1) - Promovarea educației și îngrijirii copiilor preșcolari (ECEC)</w:t>
      </w:r>
      <w:r>
        <w:rPr>
          <w:rFonts w:ascii="Times New Roman" w:hAnsi="Times New Roman"/>
          <w:noProof/>
          <w:color w:val="000000"/>
          <w:sz w:val="24"/>
          <w:szCs w:val="24"/>
          <w:shd w:val="clear" w:color="auto" w:fill="FFFFFF"/>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sz w:val="24"/>
          <w:szCs w:val="24"/>
          <w:shd w:val="clear" w:color="auto" w:fill="FFFFFF"/>
        </w:rPr>
        <w:t xml:space="preserve">Ca parte a acestei măsuri, Spania va investi în construirea de noi instalații ECEC, reabilitarea și renovarea clădirilor existente și în echipamente pentru crearea a cel puțin 60 000 de noi centre publice de educație și îngrijire a copiilor preșcolari pentru copiii cu vârsta sub 3 ani. </w:t>
      </w:r>
      <w:r>
        <w:rPr>
          <w:rFonts w:ascii="Times New Roman" w:hAnsi="Times New Roman"/>
          <w:noProof/>
          <w:sz w:val="24"/>
          <w:szCs w:val="24"/>
        </w:rPr>
        <w:t xml:space="preserve">Accentul se pune pe asigurarea unor locuri publice accesibile pentru copiii din zonele cu risc mai ridicat de sărăcie sau excluziune socială și din zonele rurale, în special pentru persoanele cu vârste cuprinse între 1 și 2 ani. Clădirile sunt proprietatea fie a autorităților regionale sau locale, fie a Ministerului Educației și Formării Profesionale în cazul Ceuta și Melilla. </w:t>
      </w:r>
    </w:p>
    <w:p>
      <w:pPr>
        <w:spacing w:before="120" w:after="120" w:line="240" w:lineRule="auto"/>
        <w:jc w:val="both"/>
        <w:rPr>
          <w:rFonts w:ascii="Times New Roman" w:hAnsi="Times New Roman" w:cs="Times New Roman"/>
          <w:noProof/>
          <w:color w:val="000000"/>
          <w:sz w:val="24"/>
          <w:szCs w:val="24"/>
        </w:rPr>
      </w:pPr>
      <w:r>
        <w:rPr>
          <w:rFonts w:ascii="Times New Roman" w:hAnsi="Times New Roman"/>
          <w:noProof/>
          <w:sz w:val="24"/>
          <w:szCs w:val="24"/>
        </w:rPr>
        <w:t xml:space="preserve">Se preconizează că investiția va acoperi, de asemenea, cheltuielile de funcționare, inclusiv salariile cadrelor didactice în timpul lansării investiției, pentru a stimula autoritățile regionale și locale pentru până la 40 000 de noi locuri de școlarizare. </w:t>
      </w:r>
      <w:r>
        <w:rPr>
          <w:rFonts w:ascii="Times New Roman" w:hAnsi="Times New Roman"/>
          <w:noProof/>
          <w:color w:val="000000"/>
          <w:sz w:val="24"/>
          <w:szCs w:val="24"/>
        </w:rPr>
        <w:t>Spania se asigură că acțiunea este sustenabilă din punct de vedere fiscal după încheierea Mecanismului de redresare și reziliență, inclusiv prin utilizarea altor surse de finanțare din partea UE.</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sz w:val="24"/>
          <w:szCs w:val="24"/>
          <w:shd w:val="clear" w:color="auto" w:fill="FFFFFF"/>
        </w:rPr>
        <w:t>Punerea în aplicare a măsurii se finalizează până la 31 decembrie 2024.</w:t>
      </w:r>
    </w:p>
    <w:p>
      <w:pPr>
        <w:spacing w:before="120" w:after="120" w:line="240" w:lineRule="auto"/>
        <w:jc w:val="both"/>
        <w:rPr>
          <w:rFonts w:ascii="Times New Roman" w:hAnsi="Times New Roman" w:cs="Times New Roman"/>
          <w:noProof/>
          <w:color w:val="000000"/>
          <w:sz w:val="24"/>
          <w:u w:val="single"/>
          <w:shd w:val="clear" w:color="auto" w:fill="FFFFFF"/>
        </w:rPr>
      </w:pPr>
      <w:r>
        <w:rPr>
          <w:rFonts w:ascii="Times New Roman" w:hAnsi="Times New Roman"/>
          <w:noProof/>
          <w:color w:val="000000"/>
          <w:sz w:val="24"/>
          <w:szCs w:val="24"/>
          <w:u w:val="single"/>
          <w:shd w:val="clear" w:color="auto" w:fill="FFFFFF"/>
        </w:rPr>
        <w:t xml:space="preserve">Investiția 2 (C21.I2): Program de orientare, progres și îmbogățire a educației („PROA +”) </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sz w:val="24"/>
          <w:szCs w:val="24"/>
          <w:shd w:val="clear" w:color="auto" w:fill="FFFFFF"/>
        </w:rPr>
        <w:t xml:space="preserve">Pentru a oferi sprijin și orientare elevilor cu performanțe scăzute și pentru a reduce atât rata abandonului școlar, cât și rata abandonului școlar timpuriu, Spania va investi în extinderea programului existent de orientare, progres și îmbogățire a educației (PROA +).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Acest program se axează pe activități care asigură condiții minime de educație pentru toți elevii, introduce măsuri de consolidare pentru cei care au mai multe dificultăți de învățare, în special în ceea ce privește competențele de bază, caută noi forme de organizare și gestionare în cadrul centrului educațional și oferă sprijin suplimentar și formare pentru profesori. Aceste activități ar trebui să vizeze îmbunătățirea succesului tuturor elevilor din aceste școli. </w:t>
      </w:r>
    </w:p>
    <w:p>
      <w:pPr>
        <w:spacing w:before="120" w:after="120" w:line="240" w:lineRule="auto"/>
        <w:jc w:val="both"/>
        <w:rPr>
          <w:rFonts w:ascii="Times New Roman" w:hAnsi="Times New Roman" w:cs="Times New Roman"/>
          <w:noProof/>
          <w:color w:val="000000"/>
          <w:sz w:val="24"/>
          <w:shd w:val="clear" w:color="auto" w:fill="FFFFFF"/>
        </w:rPr>
      </w:pPr>
      <w:r>
        <w:rPr>
          <w:rFonts w:ascii="Times New Roman" w:hAnsi="Times New Roman"/>
          <w:noProof/>
          <w:color w:val="000000"/>
          <w:sz w:val="24"/>
          <w:szCs w:val="24"/>
          <w:shd w:val="clear" w:color="auto" w:fill="FFFFFF"/>
        </w:rPr>
        <w:t>Programul se adresează școlilor cu o complexitate educațională deosebită, inclusiv în zonele rurale, cu un procent semnificativ de elevi vulnerabili care întâmpină dificultăți de învățare în sălile de clasă obișnuite.</w:t>
      </w:r>
      <w:r>
        <w:rPr>
          <w:rFonts w:ascii="Times New Roman" w:hAnsi="Times New Roman"/>
          <w:noProof/>
          <w:color w:val="000000"/>
          <w:sz w:val="24"/>
          <w:szCs w:val="24"/>
        </w:rPr>
        <w:t xml:space="preserve"> Selectarea centrelor este efectuată de administrațiile educaționale. </w:t>
      </w:r>
      <w:r>
        <w:rPr>
          <w:rFonts w:ascii="Times New Roman" w:hAnsi="Times New Roman"/>
          <w:noProof/>
          <w:color w:val="000000"/>
          <w:sz w:val="24"/>
          <w:szCs w:val="24"/>
          <w:shd w:val="clear" w:color="auto" w:fill="FFFFFF"/>
        </w:rPr>
        <w:t xml:space="preserve">Școlile vizate sunt situate în special în zone formate din elevi și familii cu un mediu socio-economic și educațional scăzut. În total, cel puțin 2 700 de școli trebuie să obțină sprijin. </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 xml:space="preserve">Investițiile sunt dezvoltate în cooperare cu comunitățile autonome în cadrul conferințelor sectoriale, iar distribuirea teritorială a fondurilor se bazează pe criterii specifice convenite pentru a reflecta nevoile și a contribui la reducerea disparităților regionale. </w:t>
      </w:r>
    </w:p>
    <w:p>
      <w:pPr>
        <w:spacing w:before="120" w:after="120" w:line="240" w:lineRule="auto"/>
        <w:jc w:val="both"/>
        <w:rPr>
          <w:rFonts w:ascii="Times New Roman" w:hAnsi="Times New Roman" w:cs="Times New Roman"/>
          <w:noProof/>
          <w:color w:val="000000"/>
          <w:sz w:val="24"/>
          <w:shd w:val="clear" w:color="auto" w:fill="FFFFFF"/>
        </w:rPr>
      </w:pPr>
      <w:r>
        <w:rPr>
          <w:rFonts w:ascii="Times New Roman" w:hAnsi="Times New Roman"/>
          <w:noProof/>
          <w:color w:val="000000"/>
          <w:sz w:val="24"/>
          <w:szCs w:val="24"/>
          <w:shd w:val="clear" w:color="auto" w:fill="FFFFFF"/>
        </w:rPr>
        <w:t>Punerea în aplicare a măsurii se finalizează până la 31 decembrie 2024.</w:t>
      </w:r>
    </w:p>
    <w:p>
      <w:pPr>
        <w:spacing w:before="120" w:after="120" w:line="240" w:lineRule="auto"/>
        <w:jc w:val="both"/>
        <w:rPr>
          <w:rFonts w:ascii="Times New Roman" w:hAnsi="Times New Roman" w:cs="Times New Roman"/>
          <w:noProof/>
          <w:color w:val="000000"/>
          <w:sz w:val="24"/>
          <w:u w:val="single"/>
          <w:shd w:val="clear" w:color="auto" w:fill="FFFFFF"/>
        </w:rPr>
      </w:pPr>
      <w:r>
        <w:rPr>
          <w:rFonts w:ascii="Times New Roman" w:hAnsi="Times New Roman"/>
          <w:noProof/>
          <w:color w:val="000000"/>
          <w:sz w:val="24"/>
          <w:szCs w:val="24"/>
          <w:u w:val="single"/>
          <w:shd w:val="clear" w:color="auto" w:fill="FFFFFF"/>
        </w:rPr>
        <w:t>Investiția 3 (C21.I3) - Sprijin pentru studenții și familiile vulnerabile</w:t>
      </w:r>
      <w:r>
        <w:rPr>
          <w:rFonts w:ascii="Times New Roman" w:hAnsi="Times New Roman"/>
          <w:noProof/>
          <w:color w:val="000000"/>
          <w:sz w:val="24"/>
          <w:szCs w:val="24"/>
          <w:shd w:val="clear" w:color="auto" w:fill="FFFFFF"/>
        </w:rPr>
        <w:t xml:space="preserve"> </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Spania investește în crearea a cel puțin 1 000 de unități vulnerabile de sprijin pentru elevi, de orientare și de servicii psihoeducative în cartierele școlare. Acesta facilitează sprijinul acordat studenților și familiilor acestora pentru a depăși obstacolele educaționale în vederea reducerii absenteismului și a părăsirii timpurii a școlii. Se sprijină cooperarea cu diferite cadre de învățare (atât formale, cât și non-formale), pentru a consolida dezvoltarea competențelor interpersonale, de comunicare și cognitive esențiale. Investițiile sunt dezvoltate prin cooperare teritorială cu comunitățile autonome și în contextul conferințelor sectoriale, care stabilesc criteriile de repartizare teritorială a fondurilor.</w:t>
      </w:r>
    </w:p>
    <w:p>
      <w:pPr>
        <w:spacing w:before="120" w:after="120" w:line="240" w:lineRule="auto"/>
        <w:jc w:val="both"/>
        <w:rPr>
          <w:rFonts w:ascii="Times New Roman" w:hAnsi="Times New Roman" w:cs="Times New Roman"/>
          <w:noProof/>
          <w:color w:val="000000"/>
          <w:sz w:val="24"/>
          <w:shd w:val="clear" w:color="auto" w:fill="FFFFFF"/>
        </w:rPr>
      </w:pPr>
      <w:r>
        <w:rPr>
          <w:rFonts w:ascii="Times New Roman" w:hAnsi="Times New Roman"/>
          <w:noProof/>
          <w:color w:val="000000"/>
          <w:sz w:val="24"/>
          <w:szCs w:val="24"/>
          <w:shd w:val="clear" w:color="auto" w:fill="FFFFFF"/>
        </w:rPr>
        <w:t>Punerea în aplicare a măsurii se finalizează până la 31 decembrie 2024.</w:t>
      </w:r>
    </w:p>
    <w:p>
      <w:pPr>
        <w:spacing w:before="120" w:after="120" w:line="240" w:lineRule="auto"/>
        <w:jc w:val="both"/>
        <w:rPr>
          <w:rFonts w:ascii="Times New Roman" w:hAnsi="Times New Roman" w:cs="Times New Roman"/>
          <w:noProof/>
          <w:color w:val="000000"/>
          <w:sz w:val="24"/>
          <w:u w:val="single"/>
          <w:shd w:val="clear" w:color="auto" w:fill="FFFFFF"/>
        </w:rPr>
      </w:pPr>
      <w:r>
        <w:rPr>
          <w:rFonts w:ascii="Times New Roman" w:hAnsi="Times New Roman"/>
          <w:noProof/>
          <w:color w:val="000000"/>
          <w:sz w:val="24"/>
          <w:szCs w:val="24"/>
          <w:u w:val="single"/>
          <w:shd w:val="clear" w:color="auto" w:fill="FFFFFF"/>
        </w:rPr>
        <w:t>Investiția 4 (C21.I4) - Formarea personalului didactic și de cercetare</w:t>
      </w:r>
      <w:r>
        <w:rPr>
          <w:rFonts w:ascii="Times New Roman" w:hAnsi="Times New Roman"/>
          <w:noProof/>
          <w:color w:val="000000"/>
          <w:sz w:val="24"/>
          <w:szCs w:val="24"/>
          <w:shd w:val="clear" w:color="auto" w:fill="FFFFFF"/>
        </w:rPr>
        <w:t xml:space="preserve"> </w:t>
      </w:r>
    </w:p>
    <w:p>
      <w:pPr>
        <w:spacing w:before="120" w:after="120" w:line="240" w:lineRule="auto"/>
        <w:jc w:val="both"/>
        <w:rPr>
          <w:rFonts w:ascii="Times New Roman" w:hAnsi="Times New Roman" w:cs="Times New Roman"/>
          <w:noProof/>
          <w:color w:val="000000"/>
          <w:sz w:val="24"/>
          <w:szCs w:val="24"/>
        </w:rPr>
      </w:pPr>
      <w:r>
        <w:rPr>
          <w:rFonts w:ascii="Times New Roman" w:hAnsi="Times New Roman"/>
          <w:noProof/>
          <w:sz w:val="24"/>
          <w:szCs w:val="24"/>
        </w:rPr>
        <w:t>Această măsură include investiții în granturi acordate universităților publice, cu obiectivul de a promova recalificarea sistemului universitar spaniol și de a promova dezvoltarea profesională a personalului didactic, precum și de a oferi oportunități noilor absolvenți de doctorat de a se integra în sistemul de învățământ superior în viitor. Granturile finanțează șederile post-doctorale găzduite de universități și centre de cercetare străine prestigioase, precum și în universitățile spaniole și în alți agenți publici ai Sistemului spaniol de știință, tehnologie și inovare.</w:t>
      </w:r>
      <w:r>
        <w:rPr>
          <w:rFonts w:ascii="Times New Roman" w:hAnsi="Times New Roman"/>
          <w:noProof/>
          <w:color w:val="000000"/>
          <w:sz w:val="24"/>
          <w:szCs w:val="24"/>
        </w:rPr>
        <w:t xml:space="preserve"> </w:t>
      </w:r>
      <w:r>
        <w:rPr>
          <w:rFonts w:ascii="Times New Roman" w:hAnsi="Times New Roman"/>
          <w:noProof/>
          <w:sz w:val="24"/>
          <w:szCs w:val="24"/>
        </w:rPr>
        <w:t>În acest scop, se preconizează că granturile vor contribui la atragerea talentelor internaționale și vor aborda rata scăzută de internaționalizare în universitățile spaniole.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Granturile sunt acordate în cadrul a trei programe diferite, aplicând criterii specifice în funcție de grupul-țintă, axându-se pe i) formarea tinerilor doctoranzi; ii) burse pentru lectori universitari - profesori permanenți și cursuri pentru seniori în curs de ocupare; și iii) granturi care vizează atragerea talentelor internaționale, finanțarea formării postdoctorale găzduite de universități spaniole prestigioase și de alți agenți publici ai Sistemului spaniol de știință, tehnologie și inovare. Programele durează între unu și trei ani, în funcție de program și de grupul-țintă.</w:t>
      </w:r>
    </w:p>
    <w:p>
      <w:pPr>
        <w:spacing w:after="120" w:line="240" w:lineRule="auto"/>
        <w:jc w:val="both"/>
        <w:rPr>
          <w:rFonts w:ascii="Times New Roman" w:hAnsi="Times New Roman" w:cs="Times New Roman"/>
          <w:noProof/>
          <w:sz w:val="24"/>
        </w:rPr>
      </w:pPr>
      <w:r>
        <w:rPr>
          <w:rFonts w:ascii="Times New Roman" w:hAnsi="Times New Roman"/>
          <w:noProof/>
          <w:sz w:val="24"/>
          <w:szCs w:val="24"/>
        </w:rPr>
        <w:t>Toate aceste granturi se execută în perioada 2021-23, de care beneficiază cel puțin 2 600 candidați.</w:t>
      </w:r>
      <w:r>
        <w:rPr>
          <w:rFonts w:ascii="Times New Roman" w:hAnsi="Times New Roman"/>
          <w:noProof/>
          <w:color w:val="000000"/>
          <w:sz w:val="24"/>
          <w:szCs w:val="24"/>
        </w:rPr>
        <w:t xml:space="preserve"> </w:t>
      </w:r>
      <w:r>
        <w:rPr>
          <w:rFonts w:ascii="Times New Roman" w:hAnsi="Times New Roman"/>
          <w:noProof/>
          <w:sz w:val="24"/>
        </w:rPr>
        <w:t xml:space="preserve">Fiecare universitate primește direct o alocare bugetară din partea Ministerului Universităților pe baza unor criterii obiective, inclusiv numărul personalului didactic și de cercetare, precum și a tezei DSP. Pe baza candidaturilor, candidații urmează să fie evaluați de un grup de experți cu prestigiu internațional numit de fiecare universitate, care include minimum trei membri și o majoritate de experți externi. </w:t>
      </w:r>
    </w:p>
    <w:p>
      <w:pPr>
        <w:spacing w:after="120" w:line="240" w:lineRule="auto"/>
        <w:jc w:val="both"/>
        <w:rPr>
          <w:rFonts w:ascii="Times New Roman" w:hAnsi="Times New Roman" w:cs="Times New Roman"/>
          <w:noProof/>
          <w:sz w:val="24"/>
        </w:rPr>
      </w:pPr>
      <w:r>
        <w:rPr>
          <w:rFonts w:ascii="Times New Roman" w:hAnsi="Times New Roman"/>
          <w:noProof/>
          <w:color w:val="000000"/>
          <w:sz w:val="24"/>
          <w:szCs w:val="24"/>
          <w:shd w:val="clear" w:color="auto" w:fill="FFFFFF"/>
        </w:rPr>
        <w:t>Punerea în aplicare a măsurii se finalizează până la 31 decembrie 2023.</w:t>
      </w:r>
    </w:p>
    <w:p>
      <w:pPr>
        <w:spacing w:before="120" w:after="120" w:line="240" w:lineRule="auto"/>
        <w:jc w:val="both"/>
        <w:rPr>
          <w:rFonts w:ascii="Times New Roman" w:hAnsi="Times New Roman" w:cs="Times New Roman"/>
          <w:noProof/>
          <w:color w:val="000000"/>
          <w:sz w:val="24"/>
          <w:u w:val="single"/>
          <w:shd w:val="clear" w:color="auto" w:fill="FFFFFF"/>
        </w:rPr>
      </w:pPr>
      <w:r>
        <w:rPr>
          <w:rFonts w:ascii="Times New Roman" w:hAnsi="Times New Roman"/>
          <w:noProof/>
          <w:color w:val="000000"/>
          <w:sz w:val="24"/>
          <w:szCs w:val="24"/>
          <w:u w:val="single"/>
          <w:shd w:val="clear" w:color="auto" w:fill="FFFFFF"/>
        </w:rPr>
        <w:t>Investiția 5 (C21.I5) - Îmbunătățirea infrastructurii digitale, a echipamentelor, a tehnologiilor, a predării și a evaluării universităților</w:t>
      </w:r>
      <w:r>
        <w:rPr>
          <w:rFonts w:ascii="Times New Roman" w:hAnsi="Times New Roman"/>
          <w:noProof/>
          <w:color w:val="000000"/>
          <w:sz w:val="24"/>
          <w:szCs w:val="24"/>
          <w:shd w:val="clear" w:color="auto" w:fill="FFFFFF"/>
        </w:rPr>
        <w:t xml:space="preserve"> </w:t>
      </w:r>
    </w:p>
    <w:p>
      <w:pPr>
        <w:spacing w:before="120" w:after="120" w:line="240" w:lineRule="auto"/>
        <w:jc w:val="both"/>
        <w:rPr>
          <w:rFonts w:ascii="Times New Roman" w:hAnsi="Times New Roman" w:cs="Times New Roman"/>
          <w:bCs/>
          <w:noProof/>
          <w:sz w:val="24"/>
        </w:rPr>
      </w:pPr>
      <w:r>
        <w:rPr>
          <w:rFonts w:ascii="Times New Roman" w:hAnsi="Times New Roman"/>
          <w:noProof/>
          <w:sz w:val="24"/>
          <w:szCs w:val="24"/>
        </w:rPr>
        <w:t xml:space="preserve">Această investiție include o serie de măsuri menite să îmbunătățească capacitățile și competențele tehnologice și digitale ale universităților. Printre acestea se numără investițiile în resursele și infrastructura de predare digitală, cum ar fi rețelele de stocare a datelor de tip cloud, securitatea cibernetică și tehnologiile din sala de clasă pentru cursurile online; și investiții în formarea digitală a personalului academic și a studenților. </w:t>
      </w:r>
    </w:p>
    <w:p>
      <w:pPr>
        <w:spacing w:before="120" w:after="120" w:line="240" w:lineRule="auto"/>
        <w:jc w:val="both"/>
        <w:rPr>
          <w:rFonts w:ascii="Times New Roman" w:hAnsi="Times New Roman" w:cs="Times New Roman"/>
          <w:noProof/>
          <w:sz w:val="24"/>
        </w:rPr>
      </w:pPr>
      <w:r>
        <w:rPr>
          <w:rFonts w:ascii="Times New Roman" w:hAnsi="Times New Roman"/>
          <w:noProof/>
          <w:sz w:val="24"/>
        </w:rPr>
        <w:t>Acțiunile de investiții îmbunătățesc dezvoltarea tehnologică și îmbunătățesc resursele digitale în sprijinul serviciilor de predare digitală. Se acordă sprijin infrastructurilor centralizate și serviciilor TIC, cu accent pe rețelele de fibră optică și implementarea serviciilor TIC în mod eficient, pe baza economiilor de scară și a interoperabilității. Un obiectiv-cheie este de a direcționa investițiile pentru a reduce decalajul digital dintre cadrele didactice universitare și studenți, pentru a îmbunătăți serviciile și echipamentele de predare la distanță. Printre alte obiective se numără investițiile în promovarea proiectelor de inovare digitală interuniversitară, care pot fi extinse și reproduse la scară mai largă, și oferirea de sprijin universității naționale de învățământ la distanță (UNED) pentru a spori oportunitățile de învățământ superior în zonele depopulate.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Obiectivul va fi monitorizarea și diseminarea, prin intermediul site-ului web al Ministerului Universităților, a evoluției „Indicelui digital al universităților”, cu scopul de a crește indicele cu cel puțin 10 % pentru sistemul universitar în ansamblu în 2023, comparativ cu 2019.</w:t>
      </w:r>
      <w:r>
        <w:rPr>
          <w:rFonts w:ascii="Times New Roman" w:hAnsi="Times New Roman"/>
          <w:noProof/>
          <w:color w:val="000000"/>
          <w:sz w:val="24"/>
          <w:szCs w:val="24"/>
        </w:rPr>
        <w:t xml:space="preserve"> </w:t>
      </w:r>
      <w:r>
        <w:rPr>
          <w:rFonts w:ascii="Times New Roman" w:hAnsi="Times New Roman"/>
          <w:noProof/>
          <w:sz w:val="24"/>
          <w:szCs w:val="24"/>
        </w:rPr>
        <w:t>Acest index acoperă diferite dimensiuni, inclusiv gestionarea (cum ar fi numărul de săli de clasă activate pentru predarea digitală, numărul profesorilor care utilizează sisteme digitale, numărul de proceduri online și nivelul de conectivitate în campusuri etc.); inovarea (cum ar fi acordurile digitale interuniversitare, acțiunile de analiză a învățării, arhivele multimedia, competențele digitale ale personalului didactic și itinerariile personalizate etc.);</w:t>
      </w:r>
      <w:r>
        <w:rPr>
          <w:rFonts w:ascii="Times New Roman" w:hAnsi="Times New Roman"/>
          <w:noProof/>
          <w:color w:val="000000"/>
          <w:sz w:val="24"/>
          <w:szCs w:val="24"/>
        </w:rPr>
        <w:t xml:space="preserve"> </w:t>
      </w:r>
      <w:r>
        <w:rPr>
          <w:rFonts w:ascii="Times New Roman" w:hAnsi="Times New Roman"/>
          <w:noProof/>
          <w:sz w:val="24"/>
          <w:szCs w:val="24"/>
        </w:rPr>
        <w:t xml:space="preserve">și guvernanță (cum ar fi un plan de transformare digitală, portofolii de proiecte privind digitalizarea și planuri de formare în domeniul competențelor digitale etc.). </w:t>
      </w:r>
    </w:p>
    <w:p>
      <w:pPr>
        <w:spacing w:before="120" w:after="120" w:line="240" w:lineRule="auto"/>
        <w:jc w:val="both"/>
        <w:rPr>
          <w:rFonts w:ascii="Times New Roman" w:hAnsi="Times New Roman" w:cs="Times New Roman"/>
          <w:noProof/>
          <w:color w:val="000000"/>
          <w:sz w:val="24"/>
          <w:szCs w:val="24"/>
        </w:rPr>
      </w:pPr>
      <w:r>
        <w:rPr>
          <w:rFonts w:ascii="Times New Roman" w:hAnsi="Times New Roman"/>
          <w:noProof/>
          <w:color w:val="000000"/>
          <w:sz w:val="24"/>
          <w:szCs w:val="24"/>
        </w:rPr>
        <w:t>Universitățile furnizează anual informații ulterioare prin certificarea domeniului lor de control intern.</w:t>
      </w:r>
    </w:p>
    <w:p>
      <w:pPr>
        <w:spacing w:before="120" w:after="120" w:line="240" w:lineRule="auto"/>
        <w:jc w:val="both"/>
        <w:rPr>
          <w:rFonts w:ascii="Times New Roman" w:hAnsi="Times New Roman" w:cs="Times New Roman"/>
          <w:b/>
          <w:bCs/>
          <w:noProof/>
          <w:sz w:val="24"/>
          <w:szCs w:val="24"/>
          <w:u w:val="single"/>
        </w:rPr>
      </w:pPr>
      <w:r>
        <w:rPr>
          <w:rFonts w:ascii="Times New Roman" w:hAnsi="Times New Roman"/>
          <w:noProof/>
          <w:color w:val="000000"/>
          <w:sz w:val="24"/>
          <w:szCs w:val="24"/>
          <w:shd w:val="clear" w:color="auto" w:fill="FFFFFF"/>
        </w:rPr>
        <w:t>Punerea în aplicare a măsurii se finalizează până la 31 decembrie 2023.</w:t>
      </w:r>
    </w:p>
    <w:p>
      <w:pPr>
        <w:spacing w:before="120" w:after="120" w:line="240" w:lineRule="auto"/>
        <w:ind w:left="709"/>
        <w:jc w:val="both"/>
        <w:rPr>
          <w:rFonts w:ascii="Times New Roman" w:hAnsi="Times New Roman" w:cs="Times New Roman"/>
          <w:b/>
          <w:noProof/>
          <w:sz w:val="24"/>
          <w:u w:val="single"/>
        </w:rPr>
      </w:pPr>
      <w:r>
        <w:rPr>
          <w:rFonts w:ascii="Times New Roman" w:hAnsi="Times New Roman"/>
          <w:b/>
          <w:bCs/>
          <w:noProof/>
          <w:sz w:val="24"/>
          <w:u w:val="single"/>
        </w:rPr>
        <w:t xml:space="preserve">U.2. </w:t>
      </w:r>
      <w:r>
        <w:rPr>
          <w:rFonts w:ascii="Times New Roman" w:hAnsi="Times New Roman"/>
          <w:b/>
          <w:noProof/>
          <w:sz w:val="24"/>
          <w:u w:val="single"/>
        </w:rPr>
        <w:tab/>
      </w:r>
      <w:r>
        <w:rPr>
          <w:rFonts w:ascii="Times New Roman" w:hAnsi="Times New Roman"/>
          <w:b/>
          <w:bCs/>
          <w:noProof/>
          <w:sz w:val="24"/>
          <w:u w:val="single"/>
        </w:rPr>
        <w:t>Jaloane, ținte, indicatori și calendarul de monitorizare și implementare aplicabile sprijinului financiar nerambursabil</w:t>
      </w:r>
    </w:p>
    <w:p>
      <w:pPr>
        <w:spacing w:before="120" w:after="120" w:line="240" w:lineRule="auto"/>
        <w:jc w:val="both"/>
        <w:rPr>
          <w:rFonts w:ascii="Times New Roman" w:hAnsi="Times New Roman" w:cs="Times New Roman"/>
          <w:noProof/>
          <w:color w:val="1F497D"/>
        </w:rPr>
      </w:pPr>
      <w:r>
        <w:rPr>
          <w:rFonts w:ascii="Times New Roman" w:hAnsi="Times New Roman"/>
          <w:i/>
          <w:noProof/>
          <w:color w:val="000000"/>
          <w:sz w:val="24"/>
          <w:szCs w:val="24"/>
        </w:rPr>
        <w:t>Tabelul de mai jos.</w:t>
      </w:r>
      <w:r>
        <w:rPr>
          <w:rFonts w:ascii="Times New Roman" w:hAnsi="Times New Roman"/>
          <w:noProof/>
          <w:color w:val="1F497D"/>
          <w:sz w:val="24"/>
          <w:szCs w:val="24"/>
        </w:rPr>
        <w:t xml:space="preserve"> </w:t>
      </w:r>
      <w:r>
        <w:rPr>
          <w:rFonts w:ascii="Times New Roman" w:hAnsi="Times New Roman"/>
          <w:i/>
          <w:noProof/>
          <w:color w:val="000000"/>
          <w:sz w:val="24"/>
          <w:szCs w:val="24"/>
        </w:rPr>
        <w:t>Data de referință pentru toți indicatorii este 1 februarie 2020, cu excepția cazului în care se indică altfel în descrierea acțiunii. Sumele din tabel nu includ TVA.</w:t>
      </w:r>
    </w:p>
    <w:p>
      <w:pPr>
        <w:spacing w:before="120" w:after="120" w:line="240" w:lineRule="auto"/>
        <w:jc w:val="both"/>
        <w:rPr>
          <w:rFonts w:ascii="Times New Roman" w:hAnsi="Times New Roman" w:cs="Times New Roman"/>
          <w:noProof/>
          <w:sz w:val="24"/>
          <w:lang w:val="en-IE"/>
        </w:rPr>
        <w:sectPr>
          <w:headerReference w:type="even" r:id="rId259"/>
          <w:headerReference w:type="default" r:id="rId260"/>
          <w:footerReference w:type="even" r:id="rId261"/>
          <w:footerReference w:type="default" r:id="rId262"/>
          <w:headerReference w:type="first" r:id="rId263"/>
          <w:footerReference w:type="first" r:id="rId264"/>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3119"/>
        <w:gridCol w:w="1134"/>
        <w:gridCol w:w="850"/>
        <w:gridCol w:w="709"/>
        <w:gridCol w:w="851"/>
        <w:gridCol w:w="567"/>
        <w:gridCol w:w="708"/>
        <w:gridCol w:w="4962"/>
      </w:tblGrid>
      <w:tr>
        <w:trPr>
          <w:trHeight w:val="309"/>
          <w:tblHeader/>
        </w:trPr>
        <w:tc>
          <w:tcPr>
            <w:tcW w:w="70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Număr</w:t>
            </w:r>
          </w:p>
        </w:tc>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Măsură</w:t>
            </w:r>
          </w:p>
        </w:tc>
        <w:tc>
          <w:tcPr>
            <w:tcW w:w="85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Jalon</w:t>
            </w:r>
            <w:r>
              <w:rPr>
                <w:rFonts w:ascii="Times New Roman" w:hAnsi="Times New Roman"/>
                <w:b/>
                <w:noProof/>
                <w:color w:val="000000"/>
                <w:sz w:val="18"/>
                <w:szCs w:val="18"/>
              </w:rPr>
              <w:br/>
              <w:t xml:space="preserve"> /Țintă</w:t>
            </w:r>
          </w:p>
        </w:tc>
        <w:tc>
          <w:tcPr>
            <w:tcW w:w="311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Denumire</w:t>
            </w:r>
          </w:p>
        </w:tc>
        <w:tc>
          <w:tcPr>
            <w:tcW w:w="1134"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Indicator calitativ pentru obiectivele de etapă</w:t>
            </w:r>
          </w:p>
        </w:tc>
        <w:tc>
          <w:tcPr>
            <w:tcW w:w="2410" w:type="dxa"/>
            <w:gridSpan w:val="3"/>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Indicator cantitativ pentru obiectiv</w:t>
            </w:r>
          </w:p>
        </w:tc>
        <w:tc>
          <w:tcPr>
            <w:tcW w:w="1275" w:type="dxa"/>
            <w:gridSpan w:val="2"/>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Timp</w:t>
            </w:r>
          </w:p>
        </w:tc>
        <w:tc>
          <w:tcPr>
            <w:tcW w:w="4962"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bCs/>
                <w:noProof/>
                <w:sz w:val="18"/>
                <w:szCs w:val="18"/>
              </w:rPr>
              <w:t>Descrierea fiecărui jalon și a fiecărei ținte</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3119"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134"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Unitate</w:t>
            </w:r>
          </w:p>
        </w:tc>
        <w:tc>
          <w:tcPr>
            <w:tcW w:w="709"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Valoare de referință</w:t>
            </w:r>
          </w:p>
        </w:tc>
        <w:tc>
          <w:tcPr>
            <w:tcW w:w="851"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Obiectiv</w:t>
            </w:r>
          </w:p>
        </w:tc>
        <w:tc>
          <w:tcPr>
            <w:tcW w:w="567"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Q</w:t>
            </w:r>
          </w:p>
        </w:tc>
        <w:tc>
          <w:tcPr>
            <w:tcW w:w="708"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An</w:t>
            </w:r>
          </w:p>
        </w:tc>
        <w:tc>
          <w:tcPr>
            <w:tcW w:w="4962"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lang w:val="en-IE"/>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303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C21.R1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Intrarea în vigoare a Legii organice privind educația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Dispoziție din lege care indică intrarea în vigoare a Legii organice </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70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496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Obiectivul Legii organice privind educația (LOMLOE) este de a institui un sistem juridic reînnoit care, în conformitate cu principiile calității, echității și incluziunii, să sporească oportunitățile educaționale și de formare ale studenților și să contribuie la îmbunătățirea rezultatelor educaționale.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304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C21.R2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Intrarea în vigoare a Decretului regal privind cerințele minime de predare în domeniul educației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Dispoziție din decretele regale care indică intrarea în vigoare a decretelor regale</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70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496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Decretul regal privind cerințele minime de predare pentru învățământul primar, învățământul secundar obligatoriu și bacalaureat include introducerea unor orientări metodologice pentru predare și învățare bazate pe o programă de învățământ bazată pe competențe, care să includă „competențe non-tehnice”; un cadru de evaluare pentru dobândirea de competențe; conceperea unui model mai flexibil și mai deschis, care să promoveze învățarea profundă; și pregătirea materialului didactic, a sprijinului, a orientării și a formării profesorilor pentru a se asigura că aceștia pot pune în aplicare în mod eficace noua programă de învățământ.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305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C21.R2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Materiale pentru îndrumarea și sprijinirea cadrelor didactice în ceea ce privește punerea în aplicare a noii programe de învățământ și formarea profesioniștilor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Certificate de materiale publicate și cursuri de formare oferite</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Q3</w:t>
            </w:r>
          </w:p>
        </w:tc>
        <w:tc>
          <w:tcPr>
            <w:tcW w:w="70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496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Finalizarea pregătirii ghidului de sprijin și a materialului didactic. Toate materialele se publică online pentru utilizarea a 100 % dintre profesori. Cel puțin 4 000 de cadre didactice trebuie să fi încheiat un curs de formare pentru aplicarea noii programe de învățământ. Cel puțin 100 experți externi urmează să participe la elaborarea programei de învățământ a domeniilor și subiectelor din etapele educaționale și a cadrelor de evaluare, ceea ce va constitui baza pentru elaborarea decretelor regale ale noii programe de învățământ și ale cadrului comun de evaluare.</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306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C21.R3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decretelor regale pentru organizarea universităților</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Dispoziție din decretele regale care indică intrarea în vigoare a decretelor regale</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Q3</w:t>
            </w:r>
          </w:p>
        </w:tc>
        <w:tc>
          <w:tcPr>
            <w:tcW w:w="70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496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Cele două decrete regale pentru organizarea universităților sunt:</w:t>
            </w:r>
            <w:r>
              <w:rPr>
                <w:rFonts w:ascii="Times New Roman" w:hAnsi="Times New Roman"/>
                <w:noProof/>
                <w:color w:val="000000"/>
                <w:sz w:val="18"/>
                <w:szCs w:val="18"/>
              </w:rPr>
              <w:br/>
              <w:t>- Decretul regal de stabilire a organizării de cursuri universitare și a procedurii de asigurare a calității acestora</w:t>
            </w:r>
            <w:r>
              <w:rPr>
                <w:rFonts w:ascii="Times New Roman" w:hAnsi="Times New Roman"/>
                <w:noProof/>
                <w:color w:val="000000"/>
                <w:sz w:val="18"/>
                <w:szCs w:val="18"/>
              </w:rPr>
              <w:br/>
              <w:t>- Decretul regal privind sistemul de creare, recunoaștere, autorizare și acreditare a universităților și a centrelor afiliate</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307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C21.R3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Legii organice privind sistemul universitar</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Dispoziție din lege care indică intrarea în vigoare a Legii organice</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5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70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496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Noua lege organică care vizează promovarea accesului la învățământul superior, adaptarea organizării de cursuri universitare, asigurarea bunei guvernanțe a instituțiilor universitare și promovarea cercetării, transferului și mobilității personalului didactic și de cercetare. Reforma sporește relevanța pentru piața muncii a învățământului superior, inclusiv promovarea cooperării cu instituțiile private și din sectorul terțiar și introducerea finanțării bazate pe performanță a universităților publice.</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308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C21.I1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Premiul bugetar pentru promovarea primului ciclu de educație a copiilor preșcolari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EURO</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670 990 000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70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4962" w:type="dxa"/>
            <w:shd w:val="clear" w:color="auto" w:fill="C6EFCE"/>
            <w:noWrap/>
          </w:tcPr>
          <w:p>
            <w:pPr>
              <w:spacing w:after="0" w:line="240" w:lineRule="auto"/>
              <w:jc w:val="both"/>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Premiul bugetar pentru entitățile regionale/locale în valoare de 670 990 000 EUR pentru promovarea primului ciclu de educație a copiilor preșcolari prin crearea de noi locuri aflate în proprietatea statului.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309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C21.I1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Noi locuri pentru primul ciclu de educație a copiilor preșcolari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highlight w:val="yellow"/>
              </w:rPr>
            </w:pPr>
            <w:r>
              <w:rPr>
                <w:rFonts w:ascii="Times New Roman" w:hAnsi="Times New Roman"/>
                <w:noProof/>
                <w:color w:val="000000"/>
                <w:sz w:val="18"/>
                <w:szCs w:val="18"/>
              </w:rPr>
              <w:t>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highlight w:val="yellow"/>
              </w:rPr>
            </w:pPr>
            <w:r>
              <w:rPr>
                <w:rFonts w:ascii="Times New Roman" w:hAnsi="Times New Roman"/>
                <w:noProof/>
                <w:color w:val="000000"/>
                <w:sz w:val="18"/>
                <w:szCs w:val="18"/>
              </w:rPr>
              <w:t>60 000</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70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496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Promovarea primului ciclu de educație a copiilor preșcolari prin crearea completă de noi locuri aflate în proprietatea statului (noi construcții și/sau reforme/reabilitare și echipamente în cel puțin 60 000 de locuri comparativ cu sfârșitul anului 2020, precum și a acestor cheltuieli de funcționare pentru până la 40 000 de locuri până în 2024).</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310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C21.I2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Sprijin pentru școli în cadrul programului PROA +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2 700</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70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496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Cel puțin 2 700 de școli sprijinite de programul PROA + din întreaga țară, în conformitate cu cerințele programului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311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C21.I3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Unitățile de asistență și orientare pentru elevii vulnerabili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1 000</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70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496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Cel puțin 1 000 unități de asistență și orientare pentru studenții vulnerabili sunt operaționale în întreaga țară.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312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C21.I4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Burse și burse pentru studenți postdoctorali, profesori asistenți și cercetători</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2 600</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70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496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Acordarea de burse și granturi pentru studenți postdoctorali, profesori asistenți și cercetători pentru cel puțin 2 600 candidați. Printre obiectivele acestor granturi se numără promovarea dezvoltării profesionale a personalului didactic care poate fi integrat în sistem în viitor. Granturile finanțează activitățile de cercetare găzduite de universități și centre de cercetare străine prestigioase, precum și în universitățile spaniole și în alți agenți publici. În acest scop, granturile contribuie la atragerea talentelor internaționale. Granturile se acordă în cadrul a trei programe diferite, aplicând criterii specifice în funcție de scop și de grupul-țintă, și durează între unu și trei ani, în funcție de program și de grupul-țintă.</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313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C21.I5</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Creșterea „Indicelui digital pentru universități”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Publicarea indicelui pe site-ul Ministerului Universități</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70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496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Realizarea unei creșteri a „Indicelui digital pentru universități” de cel puțin 10 % începând din 2019 pentru sistemul universitar în ansamblu, care să acopere diferite dimensiuni ale maturității: Management, inovare și guvernare. Proiectele eligibile au fost inițiate începând cu februarie 2020. „Indicele digital pentru universități” este o versiune scurtată a „modelului de maturitate digitală pentru universități” (MD4U), un cadru de indicatori utilizat de Crue-TIC (sectorul IT al Conferinței cancelarilor universităților spaniole) pentru studiul său anual pentru a caracteriza nivelul de digitalizare a universităților spaniole în domeniile gestionării, inovării și guvernanței. „Indicele digital pentru universități” este un „tablou de bord” pentru a monitoriza evoluția nivelului digital al universităților. Scenariul de referință pentru impactul programului este reprezentat de valorile nivelului de digitalizare a sistemului universitar în 2019, data de referință 31 decembrie 2019.</w:t>
            </w:r>
          </w:p>
        </w:tc>
      </w:tr>
    </w:tbl>
    <w:p>
      <w:pPr>
        <w:spacing w:before="120" w:after="120" w:line="240" w:lineRule="auto"/>
        <w:ind w:left="709"/>
        <w:jc w:val="both"/>
        <w:rPr>
          <w:rFonts w:ascii="Times New Roman" w:hAnsi="Times New Roman" w:cs="Times New Roman"/>
          <w:noProof/>
          <w:sz w:val="24"/>
          <w:lang w:val="fr-BE"/>
        </w:rPr>
      </w:pPr>
    </w:p>
    <w:p>
      <w:pPr>
        <w:spacing w:before="120" w:after="120" w:line="240" w:lineRule="auto"/>
        <w:ind w:left="709"/>
        <w:jc w:val="both"/>
        <w:rPr>
          <w:rFonts w:ascii="Times New Roman" w:hAnsi="Times New Roman" w:cs="Times New Roman"/>
          <w:noProof/>
          <w:sz w:val="24"/>
          <w:szCs w:val="24"/>
          <w:lang w:val="fr-BE"/>
        </w:rPr>
        <w:sectPr>
          <w:headerReference w:type="even" r:id="rId265"/>
          <w:headerReference w:type="default" r:id="rId266"/>
          <w:footerReference w:type="even" r:id="rId267"/>
          <w:footerReference w:type="default" r:id="rId268"/>
          <w:headerReference w:type="first" r:id="rId269"/>
          <w:footerReference w:type="first" r:id="rId270"/>
          <w:pgSz w:w="16839" w:h="11907" w:orient="landscape"/>
          <w:pgMar w:top="1417" w:right="1134" w:bottom="1417" w:left="1134" w:header="709" w:footer="709" w:gutter="0"/>
          <w:cols w:space="720"/>
          <w:docGrid w:linePitch="360"/>
        </w:sectPr>
      </w:pPr>
    </w:p>
    <w:p>
      <w:pPr>
        <w:pStyle w:val="Heading1"/>
        <w:rPr>
          <w:noProof/>
        </w:rPr>
      </w:pPr>
      <w:r>
        <w:rPr>
          <w:noProof/>
        </w:rPr>
        <w:t>V. COMPONENTA 22: Plan de acțiune pentru economia serviciilor de îngrijire, consolidarea politicilor în materie de egalitate și incluziune</w:t>
      </w:r>
    </w:p>
    <w:p>
      <w:pPr>
        <w:spacing w:before="120" w:after="0" w:line="240" w:lineRule="auto"/>
        <w:jc w:val="both"/>
        <w:textAlignment w:val="baseline"/>
        <w:rPr>
          <w:rFonts w:ascii="Times New Roman" w:eastAsia="Times New Roman" w:hAnsi="Times New Roman" w:cs="Times New Roman"/>
          <w:noProof/>
          <w:sz w:val="24"/>
        </w:rPr>
      </w:pPr>
      <w:r>
        <w:rPr>
          <w:rFonts w:ascii="Times New Roman" w:hAnsi="Times New Roman"/>
          <w:noProof/>
          <w:sz w:val="24"/>
        </w:rPr>
        <w:t xml:space="preserve">Principalul obiectiv al acestei componente a planului spaniol de redresare și reziliență este modernizarea și consolidarea serviciilor sociale și a politicilor de incluziune socială. Aceasta pune un accent deosebit pe modelul îngrijirii pe termen lung (LTC), cu scopul de a răspunde cererii tot mai mari de diferite servicii de asistență pe termen lung ca urmare a îmbătrânirii populației, promovând inovarea și un model de îngrijire axat pe oameni, axat pe o strategie de dezinstituționalizare. </w:t>
      </w:r>
    </w:p>
    <w:p>
      <w:pPr>
        <w:spacing w:before="120" w:after="0" w:line="240" w:lineRule="auto"/>
        <w:jc w:val="both"/>
        <w:rPr>
          <w:rFonts w:ascii="Times New Roman" w:eastAsia="Times New Roman" w:hAnsi="Times New Roman" w:cs="Times New Roman"/>
          <w:noProof/>
          <w:sz w:val="24"/>
        </w:rPr>
      </w:pPr>
      <w:r>
        <w:rPr>
          <w:rFonts w:ascii="Times New Roman" w:hAnsi="Times New Roman"/>
          <w:noProof/>
          <w:sz w:val="24"/>
        </w:rPr>
        <w:t>În domeniul altor servicii sociale și al incluziunii sociale, obiectivele includ modernizarea și consolidarea serviciilor sociale, prin promovarea inovării și a noilor tehnologii pentru a asigura furnizarea pe întreg teritoriul, pentru a identifica mai bine nevoile și pentru a îmbunătăți calitatea acestora. În domeniul sprijinului acordat familiilor, acțiunile vizează îmbunătățirea protecției juridice și a sprijinului material (în numerar și în natură) pentru familii, în vederea reducerii sărăciei în rândul copiilor.</w:t>
      </w:r>
      <w:r>
        <w:rPr>
          <w:rFonts w:ascii="Times New Roman" w:hAnsi="Times New Roman"/>
          <w:noProof/>
          <w:sz w:val="24"/>
          <w:szCs w:val="24"/>
        </w:rPr>
        <w:t xml:space="preserve"> </w:t>
      </w:r>
      <w:r>
        <w:rPr>
          <w:rFonts w:ascii="Times New Roman" w:hAnsi="Times New Roman"/>
          <w:noProof/>
          <w:sz w:val="24"/>
        </w:rPr>
        <w:t>Un alt obiectiv al componentei este modernizarea altor prestații sociale necontributive pentru a le îmbunătăți rolul de protecție și de activare.</w:t>
      </w:r>
      <w:r>
        <w:rPr>
          <w:rFonts w:ascii="Times New Roman" w:hAnsi="Times New Roman"/>
          <w:noProof/>
        </w:rPr>
        <w:t xml:space="preserve"> </w:t>
      </w:r>
      <w:r>
        <w:rPr>
          <w:rFonts w:ascii="Times New Roman" w:hAnsi="Times New Roman"/>
          <w:noProof/>
          <w:sz w:val="24"/>
        </w:rPr>
        <w:t>Acțiunile specifice vizează sprijinirea victimelor violenței de gen, promovarea accesibilității serviciilor publice și îmbunătățirea capacității sistemului de primire a solicitanților de protecție internațională. </w:t>
      </w:r>
    </w:p>
    <w:p>
      <w:pPr>
        <w:spacing w:before="120" w:after="120" w:line="240" w:lineRule="auto"/>
        <w:jc w:val="both"/>
        <w:rPr>
          <w:rFonts w:ascii="Times New Roman" w:hAnsi="Times New Roman" w:cs="Times New Roman"/>
          <w:bCs/>
          <w:noProof/>
          <w:sz w:val="24"/>
        </w:rPr>
      </w:pPr>
      <w:r>
        <w:rPr>
          <w:rFonts w:ascii="Times New Roman" w:hAnsi="Times New Roman"/>
          <w:noProof/>
          <w:sz w:val="24"/>
        </w:rPr>
        <w:t>Componenta contribuie la abordarea recomandărilor specifice fiecărei țări referitoare la asigurarea faptului că serviciile sociale și de ocupare a forței de muncă au capacitatea de a oferi un sprijin eficace (recomandarea specifică țării 2 din2019); îmbunătățirea sprijinului acordat familiilor (recomandarea specifică țării 2 din 2019); reducerea fragmentării sistemului național de asistență pentru șomaj și abordarea lacunelor în ceea ce privește acoperirea sistemelor regionale de venit minim (recomandarea specifică țării 2 din 2019); și îmbunătățirea gradului de acoperire și de adecvare a venitului minim și a schemelor de sprijin pentru familii (recomandarea specifică țării 2 din 2020).</w:t>
      </w:r>
    </w:p>
    <w:p>
      <w:pPr>
        <w:spacing w:before="120" w:after="120" w:line="240" w:lineRule="auto"/>
        <w:jc w:val="both"/>
        <w:rPr>
          <w:rFonts w:ascii="Times New Roman" w:hAnsi="Times New Roman" w:cs="Times New Roman"/>
          <w:bCs/>
          <w:noProof/>
          <w:sz w:val="24"/>
        </w:rPr>
      </w:pPr>
      <w:r>
        <w:rPr>
          <w:rFonts w:ascii="Times New Roman" w:hAnsi="Times New Roman"/>
          <w:noProof/>
          <w:color w:val="000000" w:themeColor="text1"/>
          <w:sz w:val="24"/>
          <w:szCs w:val="24"/>
        </w:rPr>
        <w:t>Se preconizează că nicio măsură din cadrul acestei componente nu aduce prejudicii semnificative obiectivelor de mediu în sensul articolului 17 din Regulamentul (UE) 2020/852, ținând seama de descrierea măsurilor și a măsurilor de atenuare stabilite în planul de redresare și reziliență în conformitate cu Orientările tehnice DNSH (2021/C58/01).</w:t>
      </w:r>
    </w:p>
    <w:p>
      <w:pPr>
        <w:spacing w:before="120" w:after="120" w:line="240" w:lineRule="auto"/>
        <w:ind w:left="709"/>
        <w:jc w:val="both"/>
        <w:rPr>
          <w:rFonts w:ascii="Times New Roman" w:hAnsi="Times New Roman" w:cs="Times New Roman"/>
          <w:b/>
          <w:bCs/>
          <w:i/>
          <w:iCs/>
          <w:noProof/>
          <w:color w:val="4F81BD" w:themeColor="accent1"/>
          <w:sz w:val="24"/>
        </w:rPr>
      </w:pPr>
      <w:r>
        <w:rPr>
          <w:rFonts w:ascii="Times New Roman" w:hAnsi="Times New Roman"/>
          <w:b/>
          <w:bCs/>
          <w:noProof/>
          <w:sz w:val="24"/>
          <w:u w:val="single"/>
        </w:rPr>
        <w:t xml:space="preserve">V.1. </w:t>
      </w:r>
      <w:r>
        <w:rPr>
          <w:rFonts w:ascii="Times New Roman" w:hAnsi="Times New Roman"/>
          <w:b/>
          <w:noProof/>
          <w:sz w:val="24"/>
          <w:u w:val="single"/>
        </w:rPr>
        <w:tab/>
      </w:r>
      <w:r>
        <w:rPr>
          <w:rFonts w:ascii="Times New Roman" w:hAnsi="Times New Roman"/>
          <w:b/>
          <w:bCs/>
          <w:noProof/>
          <w:sz w:val="24"/>
          <w:u w:val="single"/>
        </w:rPr>
        <w:t>Descrierea reformelor și a investițiilor pentru care se prevede acordarea sprijinului financiar nerambursabil</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szCs w:val="24"/>
          <w:u w:val="single"/>
        </w:rPr>
        <w:t>Reforma 1 (C22.R1) - Consolidarea îngrijirii pe termen lung și promovarea unei schimbări a modelului de sprijin și de îngrijire pe termen lung</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Reforma vizează un model de sprijin axat pe oameni și bazat pe drepturi. Se preconizează că sistemul de autonomie și dependență (SAAD) va fi îmbunătățit prin introducerea de reforme care să simplifice procedurile administrative, să accelereze prelucrarea cererilor și să reducă listele de așteptare pentru persoanele aflate în întreținere care nu beneficiază de serviciile la care au dreptul, precum și prin reducerea diferențelor de la un teritoriu la altul. Acesta se axează, de asemenea, pe consolidarea calității serviciilor profesionale, pe îmbunătățirea condițiilor de muncă și pe creșterea gradului de acoperire a diferitelor tipuri de beneficii financiare. Pe termen mediu, reforma se axează pe punerea în aplicare a unei strategii naționale de dezinstituționalizare, un model orientat către asistența comunitară care răspunde nevoilor și preferințelor persoanelor care au nevoie de sprijin, asigurând în același timp eficiența din punctul de vedere al costurilor și sprijinind familiile care le îngrijesc.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Baza reformei îngrijirii pe termen lung se bazează pe o evaluare a SAAD în cursul anului 2021, pentru a obține o înțelegere aprofundată a progreselor procesului de reformă a îngrijirii pe termen lung inițiate în 2020 și a impactului acestuia. Concluziile acestei evaluări sunt prezentate consiliului teritorial în prima jumătate a anului 2022. </w:t>
      </w:r>
    </w:p>
    <w:p>
      <w:pPr>
        <w:spacing w:before="120" w:after="120" w:line="240" w:lineRule="auto"/>
        <w:jc w:val="both"/>
        <w:rPr>
          <w:rFonts w:ascii="Times New Roman" w:hAnsi="Times New Roman" w:cs="Times New Roman"/>
          <w:noProof/>
          <w:sz w:val="24"/>
        </w:rPr>
      </w:pPr>
      <w:r>
        <w:rPr>
          <w:rFonts w:ascii="Times New Roman" w:hAnsi="Times New Roman"/>
          <w:noProof/>
          <w:color w:val="000000"/>
          <w:sz w:val="24"/>
          <w:szCs w:val="24"/>
          <w:shd w:val="clear" w:color="auto" w:fill="FFFFFF"/>
        </w:rPr>
        <w:t>Punerea în aplicare a măsurii se finalizează până la 30 iunie 2022.</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szCs w:val="24"/>
          <w:u w:val="single"/>
        </w:rPr>
        <w:t>Reforma 2 (C22.R2) - Modernizarea serviciilor sociale publice și punerea la dispoziția acestora a unui nou cadru de reglementare</w:t>
      </w:r>
    </w:p>
    <w:p>
      <w:pPr>
        <w:spacing w:before="120" w:after="120" w:line="240" w:lineRule="auto"/>
        <w:jc w:val="both"/>
        <w:rPr>
          <w:rFonts w:ascii="Times New Roman" w:hAnsi="Times New Roman" w:cs="Times New Roman"/>
          <w:noProof/>
          <w:sz w:val="24"/>
        </w:rPr>
      </w:pPr>
      <w:r>
        <w:rPr>
          <w:rFonts w:ascii="Times New Roman" w:hAnsi="Times New Roman"/>
          <w:noProof/>
          <w:sz w:val="24"/>
        </w:rPr>
        <w:t>Reforma vizează consolidarea sistemului public de servicii sociale prin adoptarea unei legislații care să garanteze un portofoliu minim comun de servicii și standarde comune pentru furnizarea acestora pe întreg teritoriul, garantând egalitatea tuturor spaniolilor în exercitarea drepturilor lor, astfel cum se prevede la articolul 149 alineatul (1) din Constituția spaniolă. În acest scop, contribuie la reducerea disparităților și a inegalităților legate de tipul, nivelul și calitatea serviciilor furnizate.</w:t>
      </w:r>
      <w:r>
        <w:rPr>
          <w:rFonts w:ascii="Times New Roman" w:hAnsi="Times New Roman"/>
          <w:noProof/>
          <w:color w:val="000000"/>
          <w:sz w:val="24"/>
        </w:rPr>
        <w:t xml:space="preserve"> Cadrul de reglementare este convenit cu regiunile și societățile locale și acoperă, de asemenea, organizarea sistemului public, inclusiv coordonarea și coordonarea internă cu alte sisteme de protecție socială (educație, sănătate, justiție, locuințe și urbanism, ocuparea forței de muncă etc.); participarea întreprinderilor sociale la furnizarea de servicii sociale; sistemul de competențe și finanțare. </w:t>
      </w:r>
      <w:r>
        <w:rPr>
          <w:rFonts w:ascii="Times New Roman" w:hAnsi="Times New Roman"/>
          <w:noProof/>
          <w:sz w:val="24"/>
        </w:rPr>
        <w:t xml:space="preserve">etc. În plus, aceasta vizează promovarea inovării, îmbunătățirea competențelor lucrătorilor din serviciile sociale și crearea unui nou sistem de informații privind serviciile sociale. </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sz w:val="24"/>
          <w:szCs w:val="24"/>
          <w:shd w:val="clear" w:color="auto" w:fill="FFFFFF"/>
        </w:rPr>
        <w:t>Punerea în aplicare a măsurii se finalizează până la 30 iunie 2023.</w:t>
      </w:r>
    </w:p>
    <w:p>
      <w:pPr>
        <w:spacing w:before="120" w:after="120" w:line="240" w:lineRule="auto"/>
        <w:jc w:val="both"/>
        <w:rPr>
          <w:rFonts w:ascii="Times New Roman" w:hAnsi="Times New Roman" w:cs="Times New Roman"/>
          <w:noProof/>
          <w:sz w:val="24"/>
        </w:rPr>
      </w:pPr>
      <w:r>
        <w:rPr>
          <w:rFonts w:ascii="Times New Roman" w:hAnsi="Times New Roman"/>
          <w:noProof/>
          <w:sz w:val="24"/>
          <w:szCs w:val="24"/>
          <w:u w:val="single"/>
        </w:rPr>
        <w:t>Reforma 3 (C22.R3) - Adoptarea unei noi legi privind protecția familiilor și recunoașterea diversității acestora</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sz w:val="24"/>
          <w:szCs w:val="24"/>
          <w:shd w:val="clear" w:color="auto" w:fill="FFFFFF"/>
        </w:rPr>
        <w:t xml:space="preserve">Se adoptă o nouă lege privind protecția familiilor și recunoașterea diversității acestora, pentru a răspunde transformărilor demografice și societale care au avut loc în ultimele decenii. Scopul acestei noi legi este de a oferi recunoașterea juridică a diferitelor tipuri de structuri familiale și de a stabili prestațiile și serviciile la care au dreptul în funcție de caracteristicile și nivelul veniturilor lor. </w:t>
      </w:r>
      <w:r>
        <w:rPr>
          <w:rFonts w:ascii="Times New Roman" w:hAnsi="Times New Roman"/>
          <w:noProof/>
          <w:color w:val="000000" w:themeColor="text1"/>
          <w:sz w:val="24"/>
          <w:szCs w:val="24"/>
        </w:rPr>
        <w:t xml:space="preserve">În acest scop, reformele includ sistematizarea, actualizarea și îmbunătățirea cadrului juridic și acțiunea de protecție pe care administrația generală de stat o recunoaște pentru familii, ținând seama de diversitatea acestora, atât în ceea ce privește protecția socială (prestații, servicii sociale), cât și juridică (reforme ale dreptului civil pentru anumite grupuri: cuplurile necăsătorite, familiile reconstituite) și economice (impozite, subvenții etc.). </w:t>
      </w:r>
      <w:r>
        <w:rPr>
          <w:rFonts w:ascii="Times New Roman" w:hAnsi="Times New Roman"/>
          <w:noProof/>
          <w:sz w:val="24"/>
          <w:szCs w:val="24"/>
        </w:rPr>
        <w:t>Aceasta include, de asemenea, o revizuire a Legii privind familiile mari.</w:t>
      </w:r>
      <w:r>
        <w:rPr>
          <w:rFonts w:ascii="Times New Roman" w:hAnsi="Times New Roman"/>
          <w:noProof/>
          <w:color w:val="000000" w:themeColor="text1"/>
          <w:sz w:val="24"/>
          <w:szCs w:val="24"/>
        </w:rPr>
        <w:t xml:space="preserve"> </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 xml:space="preserve">Un obiectiv general al reformei este reducerea sărăciei în rândul copiilor. Prin urmare, se pune un accent deosebit pe reducerea inegalităților prin acordarea de protecție familiilor cu nevoi speciale sau aflate în situații vulnerabile, cum ar fi gospodăriile monoparentale sau cele expuse riscului de sărăcie sau de excluziune socială. În plus, legea stabilește principii și obiective comune pentru a asigura coerența și complementaritatea cu alte politici publice, inclusiv impozitarea, și pentru a îmbunătăți protecția bazată pe drepturi subiective.   </w:t>
      </w:r>
    </w:p>
    <w:p>
      <w:pPr>
        <w:spacing w:before="120" w:after="120" w:line="240" w:lineRule="auto"/>
        <w:jc w:val="both"/>
        <w:rPr>
          <w:rFonts w:ascii="Times New Roman" w:hAnsi="Times New Roman" w:cs="Times New Roman"/>
          <w:noProof/>
          <w:color w:val="000000"/>
          <w:sz w:val="24"/>
          <w:shd w:val="clear" w:color="auto" w:fill="FFFFFF"/>
        </w:rPr>
      </w:pPr>
      <w:r>
        <w:rPr>
          <w:rFonts w:ascii="Times New Roman" w:hAnsi="Times New Roman"/>
          <w:noProof/>
          <w:color w:val="000000"/>
          <w:sz w:val="24"/>
          <w:szCs w:val="24"/>
          <w:shd w:val="clear" w:color="auto" w:fill="FFFFFF"/>
        </w:rPr>
        <w:t>Punerea în aplicare a măsurii se finalizează până la 30 iunie 2023.</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szCs w:val="24"/>
          <w:u w:val="single"/>
        </w:rPr>
        <w:t xml:space="preserve">Reforma 4 (C22.R4) - Reformarea sistemului de primire a migranților și a solicitanților de protecție internațională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Actualul sistem de primire a migranților și a solicitanților de protecție internațională din Spania va fi consolidat pentru a-i îmbunătăți capacitatea, adaptându-l la nevoile existente și estimate în viitor și contribuind la eficientizarea acestuia. Accentul se pune în special pe reducerea perioadelor lungi de așteptare și a ratelor scăzute de recunoaștere pentru solicitanții de protecție internațională. </w:t>
      </w:r>
      <w:r>
        <w:rPr>
          <w:rFonts w:ascii="Times New Roman" w:hAnsi="Times New Roman"/>
          <w:noProof/>
          <w:color w:val="000000"/>
          <w:sz w:val="24"/>
        </w:rPr>
        <w:t>Cu un sistem mai solid și mai funcțional, se preconizează că gestionarea viitoarelor crize ale migrației va fi mai ușoară.</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Politicile de primire sunt adaptate la nevoile persoanelor vulnerabile și ale solicitanților de azil, precum și la obiectivele de integrare în UE, făcând întregul sistem mai rezilient. De asemenea, politicile de primire stabilesc nivelul prestațiilor pentru serviciile de bază pentru solicitanții care nu dispun de resurse financiare și pentru solicitanții cu un profil mai vulnerabil care au nevoie de protecție sporită, cu scopul de a reduce la minimum furnizarea de condiții de primire sub formă de beneficii financiare.</w:t>
      </w:r>
      <w:r>
        <w:rPr>
          <w:rFonts w:ascii="Times New Roman" w:hAnsi="Times New Roman"/>
          <w:noProof/>
          <w:color w:val="000000"/>
          <w:sz w:val="24"/>
        </w:rPr>
        <w:t xml:space="preserve"> </w:t>
      </w:r>
      <w:r>
        <w:rPr>
          <w:rFonts w:ascii="Times New Roman" w:hAnsi="Times New Roman"/>
          <w:noProof/>
          <w:sz w:val="24"/>
        </w:rPr>
        <w:t xml:space="preserve">În plus, sistemul care acoperă serviciile și căile auxiliare trebuie adaptat. Aceasta abordează organizarea sistemului de primire din punct de vedere teritorial, cu scopul de a accelera preluarea competențelor de către comunitățile autonome, astfel cum se prevede în jurisprudență, prin intermediul a două proiecte-pilot. În cele din urmă, parametrii de distribuție teritorială pentru solicitanți în cooperare se stabilesc de comun acord cu comunitățile autonome. </w:t>
      </w:r>
    </w:p>
    <w:p>
      <w:pPr>
        <w:spacing w:before="120" w:after="120" w:line="240" w:lineRule="auto"/>
        <w:jc w:val="both"/>
        <w:rPr>
          <w:rFonts w:ascii="Times New Roman" w:hAnsi="Times New Roman" w:cs="Times New Roman"/>
          <w:noProof/>
          <w:color w:val="000000"/>
          <w:sz w:val="24"/>
        </w:rPr>
      </w:pPr>
      <w:r>
        <w:rPr>
          <w:rFonts w:ascii="Times New Roman" w:hAnsi="Times New Roman"/>
          <w:noProof/>
          <w:sz w:val="24"/>
        </w:rPr>
        <w:t>Pentru a asigura punerea în aplicare, se utilizează un sistem de indicatori care să includă elemente precum cetățenia, sexul, etnia, vulnerabilitatea, condițiile din țara de origine etc., într-o formulă ponderată care să permită un calcul obiectiv al probabilității de acordare a protecției.</w:t>
      </w:r>
      <w:r>
        <w:rPr>
          <w:rFonts w:ascii="Times New Roman" w:hAnsi="Times New Roman"/>
          <w:noProof/>
          <w:color w:val="000000"/>
          <w:sz w:val="24"/>
        </w:rPr>
        <w:t xml:space="preserve"> </w:t>
      </w:r>
      <w:r>
        <w:rPr>
          <w:rFonts w:ascii="Times New Roman" w:hAnsi="Times New Roman"/>
          <w:noProof/>
        </w:rPr>
        <w:t>În timpul prelucrării cererilor, rezultatul formulei permite autorităților responsabile cu primirea să direcționeze solicitanții către calea de primire de bază sau către cea îmbunătățită.</w:t>
      </w:r>
      <w:r>
        <w:rPr>
          <w:rFonts w:ascii="Times New Roman" w:hAnsi="Times New Roman"/>
          <w:noProof/>
          <w:color w:val="000000"/>
          <w:sz w:val="24"/>
        </w:rPr>
        <w:t xml:space="preserve"> Această dispoziție se aplică, de asemenea, prestațiilor corespunzătoare. Acest lucru va permite aplicarea unor condiții de primire de bază pentru toți solicitanții de azil și a unor condiții de primire mai bune pentru cei cu o probabilitate ridicată de recunoaștere.</w:t>
      </w:r>
    </w:p>
    <w:p>
      <w:pPr>
        <w:spacing w:before="120" w:after="120" w:line="240" w:lineRule="auto"/>
        <w:jc w:val="both"/>
        <w:rPr>
          <w:rFonts w:ascii="Times New Roman" w:hAnsi="Times New Roman" w:cs="Times New Roman"/>
          <w:noProof/>
          <w:color w:val="000000"/>
          <w:sz w:val="24"/>
        </w:rPr>
      </w:pPr>
      <w:r>
        <w:rPr>
          <w:rFonts w:ascii="Times New Roman" w:hAnsi="Times New Roman"/>
          <w:noProof/>
          <w:color w:val="000000"/>
          <w:sz w:val="24"/>
          <w:szCs w:val="24"/>
          <w:shd w:val="clear" w:color="auto" w:fill="FFFFFF"/>
        </w:rPr>
        <w:t>Punerea în aplicare a măsurii se finalizează până la 31 martie 2022.</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szCs w:val="24"/>
          <w:u w:val="single"/>
        </w:rPr>
        <w:t>Reforma 5 (C22.R5) - Îmbunătățirea sistemului de prestații financiare necontributive al administrației generale de stat</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Această reformă include aprobarea noului sistem de venit minim (MVI) în mai 2020, instituirea unui sistem național unic pentru prestațiile financiare necontributive și un nivel minim de prestații financiare necontributive pentru gospodăriile cele mai vulnerabile. </w:t>
      </w:r>
    </w:p>
    <w:p>
      <w:pPr>
        <w:spacing w:before="120" w:after="120" w:line="240" w:lineRule="auto"/>
        <w:jc w:val="both"/>
        <w:rPr>
          <w:rFonts w:ascii="Times New Roman" w:hAnsi="Times New Roman" w:cs="Times New Roman"/>
          <w:noProof/>
          <w:sz w:val="24"/>
        </w:rPr>
      </w:pPr>
      <w:r>
        <w:rPr>
          <w:rFonts w:ascii="Times New Roman" w:hAnsi="Times New Roman"/>
          <w:noProof/>
          <w:sz w:val="24"/>
        </w:rPr>
        <w:t>Luând ca punct de plecare schema MVI, se adoptă un plan de reorganizare și simplificare a sistemului de prestații financiare necontributive al Administrației generale de stat.</w:t>
      </w:r>
      <w:r>
        <w:rPr>
          <w:rFonts w:ascii="Times New Roman" w:hAnsi="Times New Roman"/>
          <w:noProof/>
          <w:color w:val="000000" w:themeColor="text1"/>
          <w:sz w:val="24"/>
        </w:rPr>
        <w:t xml:space="preserve"> </w:t>
      </w:r>
      <w:r>
        <w:rPr>
          <w:rFonts w:ascii="Times New Roman" w:hAnsi="Times New Roman"/>
          <w:noProof/>
          <w:sz w:val="24"/>
        </w:rPr>
        <w:t xml:space="preserve">Planul vizează integrarea și raționalizarea prestațiilor necontributive pe baza sistemului MVI, pentru a îmbunătăți eficacitatea și eficiența resurselor publice și pentru a le concentra asupra persoanelor vulnerabile și a persoanelor expuse riscului de sărăcie sau de excluziune socială. Accentul se pune pe asigurarea unei acoperiri adecvate în funcție de circumstanțele care conduc la vulnerabilitate și pe asigurarea unui sprijin adecvat pentru venit, contribuind astfel la reducerea sărăciei. În acest scop, Comisia ține seama de nevoile structurale ale gospodăriilor, în special ale familiilor cu copii și ale persoanelor cu handicap. De asemenea, acesta corelează sprijinul pentru venit cu căutarea activă a unui loc de muncă, pentru a promova integrarea socioeconomică și pentru a evita „capcanele sărăciei”. </w:t>
      </w:r>
    </w:p>
    <w:p>
      <w:pPr>
        <w:spacing w:before="120" w:after="120" w:line="240" w:lineRule="auto"/>
        <w:jc w:val="both"/>
        <w:rPr>
          <w:rFonts w:ascii="Times New Roman" w:hAnsi="Times New Roman" w:cs="Times New Roman"/>
          <w:noProof/>
          <w:sz w:val="24"/>
        </w:rPr>
      </w:pPr>
      <w:r>
        <w:rPr>
          <w:rFonts w:ascii="Times New Roman" w:hAnsi="Times New Roman"/>
          <w:noProof/>
          <w:color w:val="000000"/>
          <w:sz w:val="24"/>
          <w:szCs w:val="24"/>
          <w:shd w:val="clear" w:color="auto" w:fill="FFFFFF"/>
        </w:rPr>
        <w:t>Punerea în aplicare a măsurii se finalizează până la 31 decembrie 2023.</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szCs w:val="24"/>
          <w:u w:val="single"/>
        </w:rPr>
        <w:t>Investiția 1 (C22.I1): Planul de asistență și îngrijire pe termen lung: dezinstituționalizare, echipamente și tehnologie</w:t>
      </w:r>
      <w:r>
        <w:rPr>
          <w:rFonts w:ascii="Times New Roman" w:hAnsi="Times New Roman"/>
          <w:noProof/>
          <w:sz w:val="24"/>
          <w:szCs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În conformitate cu reforma 1 din cadrul acestei componente, Spania va investi în șase domenii de acțiune. </w:t>
      </w:r>
    </w:p>
    <w:p>
      <w:pPr>
        <w:numPr>
          <w:ilvl w:val="0"/>
          <w:numId w:val="97"/>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Într-un plan de sprijin pe termen lung care analizează situația actuală a politicilor de îngrijire, care urmărește să identifice nevoile de îmbunătățire și să prezinte propuneri de reformă a actualei legi privind autonomia personală și îngrijirea persoanelor aflate într-o situație de dependență. Acesta evaluează, de asemenea, situația și proiectele în curs de desfășurare în diferite teritorii; </w:t>
      </w:r>
    </w:p>
    <w:p>
      <w:pPr>
        <w:numPr>
          <w:ilvl w:val="0"/>
          <w:numId w:val="97"/>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O strategie națională de dezinstituționalizare, inclusiv punerea în aplicare a unor campanii de sensibilizare și de diseminare; </w:t>
      </w:r>
    </w:p>
    <w:p>
      <w:pPr>
        <w:numPr>
          <w:ilvl w:val="0"/>
          <w:numId w:val="97"/>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Patru proiecte-pilot menite să stimuleze dezinstituționalizarea și să tragă învățăminte pentru transformarea sprijinului și a îngrijirii pe termen lung, inclusiv pentru sprijinirea și îngrijirea pe termen lung a persoanelor cu dizabilități intelectuale;</w:t>
      </w:r>
      <w:r>
        <w:rPr>
          <w:rFonts w:ascii="Times New Roman" w:hAnsi="Times New Roman"/>
          <w:noProof/>
        </w:rPr>
        <w:t xml:space="preserve"> </w:t>
      </w:r>
    </w:p>
    <w:p>
      <w:pPr>
        <w:numPr>
          <w:ilvl w:val="0"/>
          <w:numId w:val="97"/>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Construirea și renovarea centrelor rezidențiale, nerezidențiale și de îngrijire de zi, precum și a echipamentelor de investiții pentru îmbunătățirea calității serviciilor de îngrijire. Aceste proiecte de investiții sunt puse în aplicare de comunitățile autonome pe baza evaluării nevoilor teritoriale; și asigurarea faptului că locurile rezidențiale noi și renovate sunt aliniate la Convenția Națiunilor Unite privind drepturile persoanelor cu handicap.</w:t>
      </w:r>
    </w:p>
    <w:p>
      <w:pPr>
        <w:numPr>
          <w:ilvl w:val="0"/>
          <w:numId w:val="97"/>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Reforma centrelor de zi integrate la nivel comunitar, inclusiv în zonele rurale, condusă de IMSERSO (</w:t>
      </w:r>
      <w:r>
        <w:rPr>
          <w:rFonts w:ascii="Times New Roman" w:hAnsi="Times New Roman"/>
          <w:i/>
          <w:iCs/>
          <w:noProof/>
          <w:sz w:val="24"/>
          <w:szCs w:val="24"/>
        </w:rPr>
        <w:t>Instituto de Mayores y Servicios Social</w:t>
      </w:r>
      <w:r>
        <w:rPr>
          <w:rFonts w:ascii="Times New Roman" w:hAnsi="Times New Roman"/>
          <w:noProof/>
          <w:sz w:val="24"/>
          <w:szCs w:val="24"/>
        </w:rPr>
        <w:t>, în cadrul Ministerului pentru Drepturi Sociale și Agenda 2030). Unsprezece centre sunt reformate și adaptate la noul model de îngrijire pe termen lung axat pe persoanele cu handicap fizic, care corespunde unui număr de 1 209 locuri. Investițiile sunt dedicate, de asemenea, proiectelor inovatoare din aceleași centre; și</w:t>
      </w:r>
    </w:p>
    <w:p>
      <w:pPr>
        <w:numPr>
          <w:ilvl w:val="0"/>
          <w:numId w:val="97"/>
        </w:numPr>
        <w:spacing w:before="120" w:after="120" w:line="240" w:lineRule="auto"/>
        <w:ind w:left="714" w:hanging="357"/>
        <w:jc w:val="both"/>
        <w:rPr>
          <w:rFonts w:ascii="Times New Roman" w:hAnsi="Times New Roman" w:cs="Times New Roman"/>
          <w:noProof/>
          <w:sz w:val="24"/>
          <w:szCs w:val="24"/>
        </w:rPr>
      </w:pPr>
      <w:r>
        <w:rPr>
          <w:rFonts w:ascii="Times New Roman" w:hAnsi="Times New Roman"/>
          <w:noProof/>
          <w:sz w:val="24"/>
          <w:szCs w:val="24"/>
        </w:rPr>
        <w:t>Investițiile în noi tehnologii pentru consolidarea telecomunicațiilor vizează promovarea autonomiei personale, a furnizării de servicii de îngrijire și a unui mediu de îngrijire favorabil incluziunii. Cel puțin 90 % dintre persoanele din sistemul de autonomie și dependență (SAAD) trebuie să aibă la dispoziție o listă minimă de servicii de telecomunicații la domiciliu ca urmare a acestei investiții.</w:t>
      </w:r>
      <w:r>
        <w:rPr>
          <w:rFonts w:ascii="Times New Roman" w:hAnsi="Times New Roman"/>
          <w:noProof/>
          <w:color w:val="000000" w:themeColor="text1"/>
          <w:sz w:val="24"/>
          <w:szCs w:val="24"/>
        </w:rPr>
        <w:t xml:space="preserve"> Aceasta include servicii prin intermediul liniei telefonice și cu echipamente specifice de comunicații și IT, situate într-un centru de îngrijire și în căminele utilizatorilor. </w:t>
      </w:r>
    </w:p>
    <w:p>
      <w:pPr>
        <w:keepNext/>
        <w:tabs>
          <w:tab w:val="left" w:pos="709"/>
        </w:tabs>
        <w:spacing w:before="120" w:after="120" w:line="240" w:lineRule="auto"/>
        <w:jc w:val="both"/>
        <w:rPr>
          <w:rFonts w:ascii="Times New Roman" w:hAnsi="Times New Roman" w:cs="Times New Roman"/>
          <w:noProof/>
          <w:sz w:val="24"/>
          <w:szCs w:val="24"/>
          <w:u w:val="single"/>
        </w:rPr>
      </w:pPr>
      <w:r>
        <w:rPr>
          <w:rFonts w:ascii="Times New Roman" w:hAnsi="Times New Roman"/>
          <w:noProof/>
          <w:color w:val="000000"/>
          <w:sz w:val="24"/>
          <w:szCs w:val="24"/>
          <w:shd w:val="clear" w:color="auto" w:fill="FFFFFF"/>
        </w:rPr>
        <w:t>Punerea în aplicare a măsurii se finalizează până la 31 decembrie 2023.</w:t>
      </w:r>
    </w:p>
    <w:p>
      <w:pPr>
        <w:keepNext/>
        <w:tabs>
          <w:tab w:val="left" w:pos="709"/>
        </w:tabs>
        <w:spacing w:before="120" w:after="120" w:line="240" w:lineRule="auto"/>
        <w:jc w:val="both"/>
        <w:rPr>
          <w:rFonts w:ascii="Times New Roman" w:hAnsi="Times New Roman" w:cs="Times New Roman"/>
          <w:noProof/>
          <w:sz w:val="24"/>
          <w:u w:val="single"/>
        </w:rPr>
      </w:pPr>
      <w:r>
        <w:rPr>
          <w:rFonts w:ascii="Times New Roman" w:hAnsi="Times New Roman"/>
          <w:noProof/>
          <w:sz w:val="24"/>
          <w:szCs w:val="24"/>
          <w:u w:val="single"/>
        </w:rPr>
        <w:t>Investiția 2 (C22.I2): Plan pentru modernizarea serviciilor sociale - transformare tehnologică, inovare, formare și consolidarea serviciilor de îngrijire a copiilor</w:t>
      </w:r>
      <w:r>
        <w:rPr>
          <w:rFonts w:ascii="Times New Roman" w:hAnsi="Times New Roman"/>
          <w:noProof/>
          <w:sz w:val="24"/>
          <w:szCs w:val="24"/>
        </w:rPr>
        <w:t xml:space="preserve"> </w:t>
      </w:r>
    </w:p>
    <w:p>
      <w:pPr>
        <w:keepNext/>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În conformitate cu reforma 2 din cadrul acestei componente, Spania va investi în cinci domenii de acțiune. </w:t>
      </w:r>
    </w:p>
    <w:p>
      <w:pPr>
        <w:keepNext/>
        <w:numPr>
          <w:ilvl w:val="0"/>
          <w:numId w:val="98"/>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Noi tehnologii pentru îmbunătățirea atât a eficacității serviciilor sociale (timpi de așteptare mai scurți), cât și a calității acestora (rezultate mai bune ale intervențiilor sociale), inclusiv promovarea asistenței integrate. </w:t>
      </w:r>
    </w:p>
    <w:p>
      <w:pPr>
        <w:numPr>
          <w:ilvl w:val="0"/>
          <w:numId w:val="98"/>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Instrumente tehnologice pentru îmbunătățirea gestionării serviciilor sociale și a sistemelor informatice, inclusiv o platformă online pentru centralizarea informațiilor disponibile în administrațiile naționale și regionale. Aceasta include în mod specific punerea în aplicare integrală a Sistemului spaniol de informații privind serviciile sociale (SIESS). </w:t>
      </w:r>
      <w:r>
        <w:rPr>
          <w:rFonts w:ascii="Times New Roman" w:hAnsi="Times New Roman"/>
          <w:noProof/>
          <w:color w:val="000000"/>
          <w:sz w:val="24"/>
          <w:szCs w:val="24"/>
        </w:rPr>
        <w:t>Se preconizează că acest nou sistem de informații va permite, de asemenea, interoperabilitatea cu alte sisteme (ocuparea forței de muncă, sănătate, sectorul terțiar). Acesta include, de asemenea, un instrument online pentru analizarea proiectelor elaborate de organizații din sectorul terțiar, pentru gestionarea diferitelor programe bugetare legate de serviciile sociale și de îngrijirea familiilor, a copiilor și a anumitor grupuri vulnerabile, precum și o platformă online pentru centralizarea informațiilor privind îngrijirea disponibile în administrația generală de stat și în comunitățile autonome.</w:t>
      </w:r>
    </w:p>
    <w:p>
      <w:pPr>
        <w:numPr>
          <w:ilvl w:val="0"/>
          <w:numId w:val="98"/>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Proiecte-pilot de promovare a inovării în domeniul serviciilor sociale. </w:t>
      </w:r>
    </w:p>
    <w:p>
      <w:pPr>
        <w:numPr>
          <w:ilvl w:val="0"/>
          <w:numId w:val="98"/>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Formarea personalului din sistemul de servicii sociale publice implicat în punerea în aplicare și sprijinirea noului model de îngrijire pe termen lung.</w:t>
      </w:r>
    </w:p>
    <w:p>
      <w:pPr>
        <w:numPr>
          <w:ilvl w:val="0"/>
          <w:numId w:val="98"/>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Îmbunătățirea infrastructurilor rezidențiale și a altor aspecte ale structurilor de îngrijire a copiilor și a centrelor de îngrijire a adolescenților, o mai bună abordare a nevoilor emoționale, personale și educaționale/profesionale.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Cea mai mare parte a investițiilor constă în proiecte puse în aplicare de administrațiile regionale pentru transformarea tehnologică a serviciilor sociale și pentru modernizarea infrastructurii și a serviciilor asociate cu protecția rezidențială și familiile substitutive.  </w:t>
      </w:r>
    </w:p>
    <w:p>
      <w:pPr>
        <w:spacing w:before="120" w:after="120" w:line="240" w:lineRule="auto"/>
        <w:jc w:val="both"/>
        <w:rPr>
          <w:rFonts w:ascii="Times New Roman" w:hAnsi="Times New Roman" w:cs="Times New Roman"/>
          <w:noProof/>
          <w:sz w:val="24"/>
        </w:rPr>
      </w:pPr>
      <w:r>
        <w:rPr>
          <w:rFonts w:ascii="Times New Roman" w:hAnsi="Times New Roman"/>
          <w:noProof/>
          <w:color w:val="000000"/>
          <w:sz w:val="24"/>
          <w:szCs w:val="24"/>
          <w:shd w:val="clear" w:color="auto" w:fill="FFFFFF"/>
        </w:rPr>
        <w:t>Punerea în aplicare a măsurii se finalizează până la 31 decembrie 2023.</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szCs w:val="24"/>
          <w:u w:val="single"/>
        </w:rPr>
        <w:t xml:space="preserve">Investiția 3 (C22.I3): Planul - Spain: țară accesibilă </w:t>
      </w:r>
    </w:p>
    <w:p>
      <w:pPr>
        <w:spacing w:before="120" w:after="120" w:line="240" w:lineRule="auto"/>
        <w:jc w:val="both"/>
        <w:rPr>
          <w:rFonts w:ascii="Times New Roman" w:hAnsi="Times New Roman" w:cs="Times New Roman"/>
          <w:noProof/>
          <w:sz w:val="24"/>
        </w:rPr>
      </w:pPr>
      <w:r>
        <w:rPr>
          <w:rFonts w:ascii="Times New Roman" w:hAnsi="Times New Roman"/>
          <w:noProof/>
          <w:sz w:val="24"/>
        </w:rPr>
        <w:t>Spania investește în îmbunătățirea accesibilității persoanelor cu handicap la serviciile publice, concentrându-se pe îmbunătățirea accesibilității cognitive în comunicarea cu autoritățile publice (inclusiv site-uri web), precum și pe accesul fizic la clădirile publice și la spațiile publice; adecvarea spațiilor fizice pentru serviciile de sănătate; accesibilitatea în centrele educaționale; și cazarea în mijloacele de transport public, inclusiv accesibilitatea între zonele urbane și cele rurale. Se acordă sprijin financiar municipalităților pentru executarea de lucrări și achiziționarea de echipamente, în special în zonele rurale. Investițiile sunt dedicate, de asemenea, campaniilor de comunicare și sensibilizare, precum și proiectelor de cercetare CDI în domeniul accesibilității cognitive.</w:t>
      </w:r>
    </w:p>
    <w:p>
      <w:pPr>
        <w:spacing w:before="120" w:after="120" w:line="240" w:lineRule="auto"/>
        <w:jc w:val="both"/>
        <w:rPr>
          <w:rFonts w:ascii="Times New Roman" w:hAnsi="Times New Roman" w:cs="Times New Roman"/>
          <w:noProof/>
          <w:sz w:val="24"/>
        </w:rPr>
      </w:pPr>
      <w:r>
        <w:rPr>
          <w:rFonts w:ascii="Times New Roman" w:hAnsi="Times New Roman"/>
          <w:noProof/>
          <w:color w:val="000000"/>
          <w:sz w:val="24"/>
          <w:szCs w:val="24"/>
          <w:shd w:val="clear" w:color="auto" w:fill="FFFFFF"/>
        </w:rPr>
        <w:t>Punerea în aplicare a măsurii se finalizează până la 31 martie 2023.</w:t>
      </w:r>
    </w:p>
    <w:p>
      <w:pPr>
        <w:spacing w:before="120" w:after="120" w:line="240" w:lineRule="auto"/>
        <w:jc w:val="both"/>
        <w:rPr>
          <w:rFonts w:ascii="Times New Roman" w:hAnsi="Times New Roman" w:cs="Times New Roman"/>
          <w:noProof/>
          <w:sz w:val="24"/>
          <w:szCs w:val="24"/>
          <w:u w:val="single"/>
          <w:lang w:val="fr-BE"/>
        </w:rPr>
      </w:pPr>
    </w:p>
    <w:p>
      <w:pPr>
        <w:spacing w:before="120" w:after="120" w:line="240" w:lineRule="auto"/>
        <w:jc w:val="both"/>
        <w:rPr>
          <w:rFonts w:ascii="Times New Roman" w:hAnsi="Times New Roman" w:cs="Times New Roman"/>
          <w:noProof/>
          <w:sz w:val="24"/>
          <w:szCs w:val="24"/>
          <w:u w:val="single"/>
          <w:lang w:val="fr-BE"/>
        </w:rPr>
      </w:pP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szCs w:val="24"/>
          <w:u w:val="single"/>
        </w:rPr>
        <w:t>Investiția 4 (C22.I4): Planul Spaniei vă protejează împotriva violenței de gen</w:t>
      </w:r>
      <w:r>
        <w:rPr>
          <w:rFonts w:ascii="Times New Roman" w:hAnsi="Times New Roman"/>
          <w:noProof/>
          <w:sz w:val="24"/>
          <w:szCs w:val="24"/>
        </w:rPr>
        <w:t xml:space="preserve"> </w:t>
      </w:r>
    </w:p>
    <w:p>
      <w:pPr>
        <w:spacing w:before="120" w:after="120" w:line="240" w:lineRule="auto"/>
        <w:jc w:val="both"/>
        <w:rPr>
          <w:rFonts w:ascii="Times New Roman" w:hAnsi="Times New Roman" w:cs="Times New Roman"/>
          <w:noProof/>
          <w:sz w:val="24"/>
        </w:rPr>
      </w:pPr>
      <w:r>
        <w:rPr>
          <w:rFonts w:ascii="Times New Roman" w:hAnsi="Times New Roman"/>
          <w:noProof/>
          <w:sz w:val="24"/>
        </w:rPr>
        <w:t>Spania investește în servicii de telefonie și servicii online pentru a sprijini victimele violenței împotriva femeilor, inclusiv victimele traficului de persoane și ale exploatării sexuale. Acesta include centre de asistență pentru situații de criză de 24 de ore în toate provinciile, inclusiv în Ceuta și Melilla, ținând seama de provocările legate de asigurarea anonimatului și a aspectelor demografice. Crearea acestor centre face parte din angajamentul Spaniei față de Convenția Consiliului Europei privind prevenirea și combaterea violenței împotriva femeilor și a violenței domestice, care a fost ratificată pentru Spania în 2014.</w:t>
      </w:r>
      <w:r>
        <w:rPr>
          <w:rFonts w:ascii="Times New Roman" w:hAnsi="Times New Roman"/>
          <w:noProof/>
          <w:color w:val="000000"/>
          <w:sz w:val="24"/>
        </w:rPr>
        <w:t xml:space="preserve"> </w:t>
      </w:r>
      <w:r>
        <w:rPr>
          <w:rFonts w:ascii="Times New Roman" w:hAnsi="Times New Roman"/>
          <w:noProof/>
          <w:sz w:val="24"/>
        </w:rPr>
        <w:t xml:space="preserve">Investiția furnizează, de asemenea, diferite tipuri de servicii, inclusiv consiliere juridică, sprijin psihologic și emoțional, precum și asistență pentru integrarea pe piața forței de muncă. Asistența include, de asemenea, protecția victimelor, inclusiv dispozitive de monitorizare a măsurilor de distanțare. </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sz w:val="24"/>
          <w:szCs w:val="24"/>
          <w:shd w:val="clear" w:color="auto" w:fill="FFFFFF"/>
        </w:rPr>
        <w:t>Punerea în aplicare a măsurii se finalizează până la 31 decembrie 2023.</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u w:val="single"/>
        </w:rPr>
        <w:t>Investiția 5 (C22.I5): Mărirea capacității sistemului de primire a migranților și a solicitanților de protecție internațională</w:t>
      </w:r>
      <w:r>
        <w:rPr>
          <w:rFonts w:ascii="Times New Roman" w:hAnsi="Times New Roman"/>
          <w:noProof/>
          <w:sz w:val="24"/>
          <w:szCs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Spania investește în creșterea capacității sistemului de primire prin creșterea participării directe a statului la resursele rețelei de primire. Acest lucru contribuie la asigurarea unei mai mari stabilități a serviciilor de cazare și de primire furnizate. Investiția include o evaluare a nevoilor sistemului în următorii trei ani, sprijin pentru reabilitarea și renovarea centrelor existente și proceduri administrative pentru achiziționarea, construirea de noi clădiri și posibila renovare a clădirilor existente, asigurând eficiența energetică. Pe baza unei evaluări a bunelor practici, Spania definește, de asemenea, gestionarea centrelor de primire de către terți. În cele din urmă, investiția acoperă digitalizarea centrelor și dezvoltarea unei noi arhitecturi digitale pentru a îmbunătăți gestionarea acestora și pentru a facilita alocarea locurilor solicitanților între comunitățile autonome. </w:t>
      </w:r>
    </w:p>
    <w:p>
      <w:pPr>
        <w:spacing w:before="120" w:after="120" w:line="240" w:lineRule="auto"/>
        <w:jc w:val="both"/>
        <w:rPr>
          <w:rFonts w:ascii="Times New Roman" w:hAnsi="Times New Roman" w:cs="Times New Roman"/>
          <w:noProof/>
          <w:sz w:val="24"/>
        </w:rPr>
      </w:pPr>
      <w:r>
        <w:rPr>
          <w:rFonts w:ascii="Times New Roman" w:hAnsi="Times New Roman"/>
          <w:noProof/>
          <w:color w:val="000000"/>
          <w:sz w:val="24"/>
          <w:szCs w:val="24"/>
          <w:shd w:val="clear" w:color="auto" w:fill="FFFFFF"/>
        </w:rPr>
        <w:t>Punerea în aplicare a măsurii se finalizează până la 31 decembrie 2024.</w:t>
      </w:r>
    </w:p>
    <w:p>
      <w:pPr>
        <w:spacing w:before="120" w:after="120" w:line="240" w:lineRule="auto"/>
        <w:ind w:left="709"/>
        <w:jc w:val="both"/>
        <w:rPr>
          <w:rFonts w:ascii="Times New Roman" w:hAnsi="Times New Roman" w:cs="Times New Roman"/>
          <w:b/>
          <w:bCs/>
          <w:noProof/>
          <w:sz w:val="24"/>
          <w:u w:val="single"/>
        </w:rPr>
      </w:pPr>
      <w:r>
        <w:rPr>
          <w:rFonts w:ascii="Times New Roman" w:hAnsi="Times New Roman"/>
          <w:b/>
          <w:bCs/>
          <w:noProof/>
          <w:sz w:val="24"/>
          <w:u w:val="single"/>
        </w:rPr>
        <w:t xml:space="preserve">V.2. </w:t>
      </w:r>
      <w:r>
        <w:rPr>
          <w:rFonts w:ascii="Times New Roman" w:hAnsi="Times New Roman"/>
          <w:b/>
          <w:noProof/>
          <w:sz w:val="24"/>
          <w:u w:val="single"/>
        </w:rPr>
        <w:tab/>
      </w:r>
      <w:r>
        <w:rPr>
          <w:rFonts w:ascii="Times New Roman" w:hAnsi="Times New Roman"/>
          <w:b/>
          <w:bCs/>
          <w:noProof/>
          <w:sz w:val="24"/>
          <w:u w:val="single"/>
        </w:rPr>
        <w:t>Jaloane, ținte, indicatori și calendarul de monitorizare și implementare aplicabile sprijinului financiar nerambursabil</w:t>
      </w:r>
    </w:p>
    <w:p>
      <w:pPr>
        <w:spacing w:before="120" w:after="120" w:line="240" w:lineRule="auto"/>
        <w:jc w:val="both"/>
        <w:rPr>
          <w:rFonts w:ascii="Times New Roman" w:hAnsi="Times New Roman" w:cs="Times New Roman"/>
          <w:noProof/>
          <w:color w:val="1F497D"/>
        </w:rPr>
      </w:pPr>
      <w:r>
        <w:rPr>
          <w:rFonts w:ascii="Times New Roman" w:hAnsi="Times New Roman"/>
          <w:i/>
          <w:iCs/>
          <w:noProof/>
          <w:color w:val="000000"/>
          <w:sz w:val="24"/>
        </w:rPr>
        <w:t>Tabelul de mai jos.</w:t>
      </w:r>
      <w:r>
        <w:rPr>
          <w:rFonts w:ascii="Times New Roman" w:hAnsi="Times New Roman"/>
          <w:noProof/>
          <w:color w:val="1F497D"/>
          <w:sz w:val="24"/>
        </w:rPr>
        <w:t xml:space="preserve"> </w:t>
      </w:r>
      <w:r>
        <w:rPr>
          <w:rFonts w:ascii="Times New Roman" w:hAnsi="Times New Roman"/>
          <w:i/>
          <w:iCs/>
          <w:noProof/>
          <w:color w:val="000000"/>
          <w:sz w:val="24"/>
        </w:rPr>
        <w:t>Data de referință pentru toți indicatorii este 1 februarie 2020, cu excepția cazului în care se indică altfel în descrierea acțiunii. Sumele din tabel nu includ TVA.</w:t>
      </w:r>
    </w:p>
    <w:p>
      <w:pPr>
        <w:spacing w:before="120" w:after="120" w:line="240" w:lineRule="auto"/>
        <w:ind w:left="709"/>
        <w:jc w:val="both"/>
        <w:rPr>
          <w:rFonts w:ascii="Times New Roman" w:hAnsi="Times New Roman" w:cs="Times New Roman"/>
          <w:noProof/>
          <w:sz w:val="24"/>
          <w:lang w:val="en-IE"/>
        </w:rPr>
        <w:sectPr>
          <w:headerReference w:type="even" r:id="rId271"/>
          <w:headerReference w:type="default" r:id="rId272"/>
          <w:footerReference w:type="even" r:id="rId273"/>
          <w:footerReference w:type="default" r:id="rId274"/>
          <w:headerReference w:type="first" r:id="rId275"/>
          <w:footerReference w:type="first" r:id="rId276"/>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992"/>
        <w:gridCol w:w="3119"/>
        <w:gridCol w:w="992"/>
        <w:gridCol w:w="850"/>
        <w:gridCol w:w="851"/>
        <w:gridCol w:w="709"/>
        <w:gridCol w:w="567"/>
        <w:gridCol w:w="567"/>
        <w:gridCol w:w="5103"/>
      </w:tblGrid>
      <w:tr>
        <w:trPr>
          <w:trHeight w:val="309"/>
          <w:tblHeader/>
        </w:trPr>
        <w:tc>
          <w:tcPr>
            <w:tcW w:w="70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Număr</w:t>
            </w:r>
          </w:p>
        </w:tc>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Măsură</w:t>
            </w:r>
          </w:p>
        </w:tc>
        <w:tc>
          <w:tcPr>
            <w:tcW w:w="992"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Jalon</w:t>
            </w:r>
            <w:r>
              <w:rPr>
                <w:rFonts w:ascii="Times New Roman" w:hAnsi="Times New Roman"/>
                <w:b/>
                <w:noProof/>
                <w:color w:val="000000"/>
                <w:sz w:val="18"/>
                <w:szCs w:val="18"/>
              </w:rPr>
              <w:br/>
            </w:r>
            <w:r>
              <w:rPr>
                <w:rFonts w:ascii="Times New Roman" w:hAnsi="Times New Roman"/>
                <w:b/>
                <w:bCs/>
                <w:noProof/>
                <w:color w:val="000000"/>
                <w:sz w:val="18"/>
                <w:szCs w:val="18"/>
              </w:rPr>
              <w:t xml:space="preserve"> /Țintă</w:t>
            </w:r>
          </w:p>
        </w:tc>
        <w:tc>
          <w:tcPr>
            <w:tcW w:w="311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Denumire</w:t>
            </w:r>
          </w:p>
        </w:tc>
        <w:tc>
          <w:tcPr>
            <w:tcW w:w="992"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Indicator calitativ pentru obiectivele de etapă</w:t>
            </w:r>
          </w:p>
        </w:tc>
        <w:tc>
          <w:tcPr>
            <w:tcW w:w="2410" w:type="dxa"/>
            <w:gridSpan w:val="3"/>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Indicator cantitativ pentru obiectiv</w:t>
            </w:r>
          </w:p>
        </w:tc>
        <w:tc>
          <w:tcPr>
            <w:tcW w:w="1134" w:type="dxa"/>
            <w:gridSpan w:val="2"/>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Timp</w:t>
            </w:r>
          </w:p>
        </w:tc>
        <w:tc>
          <w:tcPr>
            <w:tcW w:w="5103"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sz w:val="18"/>
                <w:szCs w:val="18"/>
              </w:rPr>
              <w:t>Descrierea fiecărui jalon și a fiecărei ținte</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992"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3119"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992"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Unitate</w:t>
            </w:r>
          </w:p>
        </w:tc>
        <w:tc>
          <w:tcPr>
            <w:tcW w:w="851"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Valoare de referință</w:t>
            </w:r>
          </w:p>
        </w:tc>
        <w:tc>
          <w:tcPr>
            <w:tcW w:w="709"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Obiectiv</w:t>
            </w:r>
          </w:p>
        </w:tc>
        <w:tc>
          <w:tcPr>
            <w:tcW w:w="567"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Q</w:t>
            </w:r>
          </w:p>
        </w:tc>
        <w:tc>
          <w:tcPr>
            <w:tcW w:w="567"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An</w:t>
            </w:r>
          </w:p>
        </w:tc>
        <w:tc>
          <w:tcPr>
            <w:tcW w:w="5103" w:type="dxa"/>
            <w:tcBorders>
              <w:top w:val="nil"/>
            </w:tcBorders>
            <w:shd w:val="clear" w:color="auto" w:fill="C6D9F1" w:themeFill="text2" w:themeFillTint="33"/>
            <w:noWrap/>
            <w:vAlign w:val="center"/>
          </w:tcPr>
          <w:p>
            <w:pPr>
              <w:spacing w:after="0" w:line="240" w:lineRule="auto"/>
              <w:rPr>
                <w:rFonts w:ascii="Times New Roman" w:hAnsi="Times New Roman" w:cs="Times New Roman"/>
                <w:b/>
                <w:noProof/>
                <w:color w:val="000000"/>
                <w:sz w:val="18"/>
                <w:szCs w:val="18"/>
                <w:lang w:val="en-IE"/>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314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C22.R1</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Aprobarea de către Consiliul teritorial a evaluării sistemului de autonomie și de dependență (SAAD). </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Publicarea evaluării </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10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Evaluarea va avea loc în cursul anului 2021 pentru a înțelege în profunzime progresele înregistrate în procesul de reformă a îngrijirii pe termen lung inițiat în 2020 și impactul acestuia. Concluziile acestei evaluări sunt prezentate consiliului teritorial în prima jumătate a anului 2022.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315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C22.R2</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Legii privind serviciile sociale și a reglementărilor ministeriale</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szCs w:val="18"/>
              </w:rPr>
              <w:t>Dispoziții din legi și decrete regale care indică intrarea lor în vigoare</w:t>
            </w:r>
            <w:r>
              <w:rPr>
                <w:rFonts w:ascii="Times New Roman" w:hAnsi="Times New Roman"/>
                <w:noProof/>
                <w:color w:val="000000"/>
                <w:sz w:val="18"/>
                <w:szCs w:val="18"/>
              </w:rPr>
              <w:t xml:space="preserve"> </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10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Legea privind serviciile sociale adoptată de Consiliul de Miniștri este urmată de adoptarea reglementărilor ministeriale necesare. Obiectivele legii sunt de a îmbunătăți sistemul actual de furnizare și de a reglementa condițiile de bază în care sunt prestate serviciile sociale în Spania.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316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C22.R3</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Legii privind diversitatea familială</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Dispoziție din lege care indică intrarea în vigoare a legii</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10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Legea privind diversitatea familială are ca obiective i) recunoașterea juridică a diferitelor tipuri de structuri familiale existente; stabilirea prestațiilor și serviciilor la care au dreptul în funcție de caracteristicile și nivelurile lor de venit; și iii) reducerea sărăciei în rândul copiilor, ținând seama de constatările unei evaluări a impactului redistributive.</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317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C22.R4</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Intrarea în vigoare a reformei legislative a sistemului de primire a migranților și a solicitanților de protecție internațională în Spania </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Dispoziție în ordinea în care se indică intrarea în vigoare a ordonanței</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10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Un ordin ministerial central reformează sistemul de primire a migranților și a solicitanților de protecție internațională în Spania, adoptat de Ministerul Incluziunii, Securității Sociale și Migrației. Obiectivele reformei sunt de a dezvolta noi proceduri de primire pentru toate centrele din rețeaua de primire și de a recunoaște condițiile de primire de bază pentru toți solicitanții de azil și condițiile de primire îmbunătățite pentru cei cu o probabilitate ridicată de recunoaștere.</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318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C22.R5</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Decretului-lege regal nr. 20/2020 din 29 mai de aprobare a venitului minim vital</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Dispoziție din lege care indică intrarea în vigoare a legii </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2020</w:t>
            </w:r>
          </w:p>
        </w:tc>
        <w:tc>
          <w:tcPr>
            <w:tcW w:w="510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Legii privind venitul minim (Decretul regal nr. 20/2020 din 29 mai).</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319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C22.R5</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Publicarea „Planului de reorganizare și simplificare a sistemului de prestații financiare necontributive ale administrației generale de stat”.</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Publicarea planului în Jurnalul Oficial</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Q3</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10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Adoptarea unui „Plan de reorganizare și simplificare a sistemului de prestații financiare necontributive ale administrației generale de stat” (publicare în Jurnalul Oficial). Planul vizează integrarea prestațiilor necontributive în jurul unui instrument de acoperire a veniturilor pentru a îmbunătăți eficacitatea și eficiența resurselor publice și pentru a le concentra asupra persoanelor expuse riscului de vulnerabilitate sau de excluziune socială. Acest plan se axează pe acoperirea adecvată a diferitelor circumstanțe care duc la vulnerabilitate, precum și pe caracterul adecvat al sprijinului pentru venit. În acest scop, Comisia ia în considerare, pe de o parte, nevoile structurale, cum ar fi gospodăriile cu copii și persoanele cu handicap, și, pe de altă parte, condiționează sprijinul pentru venit de căutarea activă a unui loc de muncă pentru incluziune și evită „capcanele sărăciei”. Planul ia în considerare toate contribuțiile necontributive existente în vederea integrării lor treptate și în timp într-un sistem național unic, pentru a se asigura că obiectivul planului este atins pe deplin.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320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C22.R5</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unei legislații pentru reorganizarea și simplificarea sistemului de prestații financiare necontributive</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Dispoziție din lege care indică intrarea în vigoare a legii </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10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Reforma reorganizează și simplifică sistemul de prestații în numerar de tip necontributiv. Obiectivul reformei este de a include în instrumentul de acoperire construit în jurul sistemului de venit minim vital (IMV) principalele prestații necontributive furnizate de administrația generală de stat, pentru a reorganiza și simplifica sistemul de prestații financiare necontributive în conformitate cu obiectivele „Planului de reorganizare și simplificare a sistemului de prestații financiare necontributive ale administrației generale de stat”.</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321</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C22.I1</w:t>
            </w:r>
          </w:p>
        </w:tc>
        <w:tc>
          <w:tcPr>
            <w:tcW w:w="99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Proiecte executate de Ministerul drepturilor sociale și al Agendei 2030</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Număr</w:t>
            </w:r>
          </w:p>
        </w:tc>
        <w:tc>
          <w:tcPr>
            <w:tcW w:w="851"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5103"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Finalizarea a 4 proiecte-pilot privind îngrijirea dezinstituționalizată, dintre care unul axat pe sprijinirea și îngrijirea persoanelor cu handicap intelectual, și reforma centrelor care corespund unui număr de cel puțin 1 100 de locuri IMSERSO.</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322</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C22.I1</w:t>
            </w:r>
          </w:p>
        </w:tc>
        <w:tc>
          <w:tcPr>
            <w:tcW w:w="99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Servicii de telecomunicații la domiciliu în cadrul sistemului de autonomie și îngrijire pentru dependență (SAAD) </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851"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26</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90</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5103"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Cel puțin 90 % dintre persoanele din sistemul de autonomie și îngrijire pentru dependență (SAAD) vor beneficia de o listă minimă de servicii de telecomunicații la domiciliu, în special prin linii telefonice și cu echipamente specifice de comunicații și IT, situate într-un centru de îngrijire și în căminele utilizatorilor. Data de referință: marți, 31 martie 2020.</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323</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C22.I1</w:t>
            </w:r>
          </w:p>
        </w:tc>
        <w:tc>
          <w:tcPr>
            <w:tcW w:w="99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Centre rezidențiale, nerezidențiale și de zi.  </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Număr</w:t>
            </w:r>
          </w:p>
        </w:tc>
        <w:tc>
          <w:tcPr>
            <w:tcW w:w="851"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22 360</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5103"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Centre rezidențiale, nerezidențiale și de zi, renovate și/sau construite, astfel încât să se adapteze 22 360 de locuri la noul model de îngrijire pe termen lung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324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C22.I2</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Punerea în aplicare a unor instrumente tehnologice specifice pentru îmbunătățirea sistemelor de informare și gestionare a serviciilor sociale.</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Evaluarea externă a tuturor fazelor și rezultatele finale ale proiectului.</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Q3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10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Dezvoltarea și punerea în aplicare a unor instrumente tehnologice specifice pentru îmbunătățirea sistemelor de informare și gestionare ale serviciilor sociale acoperă: i) sistemul spaniol de informații privind serviciile sociale (SIESS); ii) un instrument online pentru analiza proiectelor elaborate de entități din sectorul terțiar; iii) instrumente informatice pentru gestionarea diferitelor programe bugetare legate de serviciile sociale și de îngrijirea familiei, a copiilor și a anumitor grupuri vulnerabile; și iv) o platformă online pentru centralizarea informațiilor privind asistența medicală disponibile în țară.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325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C22.I2</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Finalizarea proiectelor de transformare tehnologică a serviciilor sociale și de modernizare a infrastructurii și a serviciilor legate de protecția rezidențială și familiile substitutive </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Controlul acordurilor și al acordurilor cu fiecare dintre regiunile autonome</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10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Finalizarea de către administrațiile regionale a transformării tehnologice a serviciilor sociale, permițând interoperabilitatea cu alte sisteme care interacționează cu serviciile sociale (ocuparea forței de muncă, sănătate, sectorul terțiar și modernizarea infrastructurii și a serviciilor legate de protecția rezidențială a centrelor de îngrijire a copiilor și adolescenților, inclusiv printr-o mai bună abordare a nevoilor de sprijin personalizate (inclusiv emoționale și educaționale/profesionale) și a familiilor substitutive de formare, pentru un buget total executat de cel puțin 450 000 000 EUR. </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326</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C22.I3</w:t>
            </w:r>
          </w:p>
        </w:tc>
        <w:tc>
          <w:tcPr>
            <w:tcW w:w="99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Proiecte privind îmbunătățirea accesibilității</w:t>
            </w:r>
          </w:p>
        </w:tc>
        <w:tc>
          <w:tcPr>
            <w:tcW w:w="99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Număr</w:t>
            </w:r>
          </w:p>
        </w:tc>
        <w:tc>
          <w:tcPr>
            <w:tcW w:w="851"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277</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Q1</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5103"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Finalizarea a cel puțin 277 de proiecte de către administrația regională și administrația centrală pentru îmbunătățirea accesibilității și eliminarea barierelor. </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327</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C22.I4</w:t>
            </w:r>
          </w:p>
        </w:tc>
        <w:tc>
          <w:tcPr>
            <w:tcW w:w="99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Centre pentru victimele violenței sexuale.</w:t>
            </w:r>
          </w:p>
        </w:tc>
        <w:tc>
          <w:tcPr>
            <w:tcW w:w="99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Număr</w:t>
            </w:r>
          </w:p>
        </w:tc>
        <w:tc>
          <w:tcPr>
            <w:tcW w:w="851"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19</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52</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5103"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Cel puțin un centru de îngrijire cuprinzător pentru victimele violenței sexuale, operațional pentru fiecare provincie, precum și unul în orașele autonome spaniole Ceuta și Melilla. Data de referință: sâmbătă, 1 februarie 2020.</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328</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C22.I5</w:t>
            </w:r>
          </w:p>
        </w:tc>
        <w:tc>
          <w:tcPr>
            <w:tcW w:w="99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Capacitatea sistemului de primire a migranților și a solicitanților de protecție internațională </w:t>
            </w:r>
          </w:p>
        </w:tc>
        <w:tc>
          <w:tcPr>
            <w:tcW w:w="99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Număr</w:t>
            </w:r>
          </w:p>
        </w:tc>
        <w:tc>
          <w:tcPr>
            <w:tcW w:w="851"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400</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6 100</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2024</w:t>
            </w:r>
          </w:p>
        </w:tc>
        <w:tc>
          <w:tcPr>
            <w:tcW w:w="5103"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Creșterea capacității de primire a sistemului de primire a solicitanților de azil de protecție internațională în centrele Ministerului Incluziunii, Securității Sociale și Migrației cu cel puțin 5 700 de locuri față de 2019. Cel puțin 176 000 000 EUR sunt cheltuiți pentru construirea și reabilitarea clădirilor, asigurând eficiența energetică. Data scenariului de referință: 31 decembrie 2019.</w:t>
            </w:r>
          </w:p>
        </w:tc>
      </w:tr>
    </w:tbl>
    <w:p>
      <w:pPr>
        <w:spacing w:before="120" w:after="120" w:line="240" w:lineRule="auto"/>
        <w:ind w:left="709"/>
        <w:jc w:val="both"/>
        <w:rPr>
          <w:rFonts w:ascii="Times New Roman" w:hAnsi="Times New Roman" w:cs="Times New Roman"/>
          <w:noProof/>
          <w:sz w:val="24"/>
          <w:lang w:val="en-IE"/>
        </w:rPr>
        <w:sectPr>
          <w:headerReference w:type="even" r:id="rId277"/>
          <w:headerReference w:type="default" r:id="rId278"/>
          <w:footerReference w:type="even" r:id="rId279"/>
          <w:footerReference w:type="default" r:id="rId280"/>
          <w:headerReference w:type="first" r:id="rId281"/>
          <w:footerReference w:type="first" r:id="rId282"/>
          <w:pgSz w:w="16839" w:h="11907" w:orient="landscape"/>
          <w:pgMar w:top="1417" w:right="1134" w:bottom="1417" w:left="1134" w:header="709" w:footer="709" w:gutter="0"/>
          <w:cols w:space="720"/>
          <w:docGrid w:linePitch="360"/>
        </w:sectPr>
      </w:pPr>
    </w:p>
    <w:p>
      <w:pPr>
        <w:pStyle w:val="Heading1"/>
        <w:rPr>
          <w:noProof/>
        </w:rPr>
      </w:pPr>
      <w:r>
        <w:rPr>
          <w:noProof/>
        </w:rPr>
        <w:t>W. COMPONENTA 23: Noi politici publice pentru o piață a muncii dinamică, rezilientă și favorabilă incluziunii</w:t>
      </w:r>
    </w:p>
    <w:p>
      <w:pPr>
        <w:spacing w:before="120" w:after="120" w:line="240" w:lineRule="auto"/>
        <w:jc w:val="both"/>
        <w:rPr>
          <w:rFonts w:ascii="Times New Roman" w:hAnsi="Times New Roman" w:cs="Times New Roman"/>
          <w:noProof/>
          <w:sz w:val="24"/>
        </w:rPr>
      </w:pPr>
      <w:r>
        <w:rPr>
          <w:rFonts w:ascii="Times New Roman" w:hAnsi="Times New Roman"/>
          <w:noProof/>
        </w:rPr>
        <w:t>Componenta planului spaniol de redresare și reziliență abordează provocări structurale importante de pe piața forței de muncă din Spania.</w:t>
      </w:r>
      <w:r>
        <w:rPr>
          <w:rFonts w:ascii="Times New Roman" w:hAnsi="Times New Roman"/>
          <w:noProof/>
          <w:sz w:val="24"/>
        </w:rPr>
        <w:t xml:space="preserve"> Principalele sale obiective sunt de a reduce șomajul structural și șomajul în rândul tinerilor, de a reduce utilizarea pe scară largă a contractelor temporare și de a corecta dualitatea pieței muncii, de a crește investițiile în capitalul uman, de a moderniza instrumentele de negociere colectivă și de a spori eficacitatea și eficiența politicilor active în domeniul pieței forței de muncă.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Componenta include investiții relevante, complementare celor finanțate din fondurile structurale (în special Fondul social european), care vizează maximizarea impactului reformelor asupra creării de locuri de muncă de calitate, a creșterii productivității și a reducerii disparităților sociale, teritoriale și de gen.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În ansamblu, măsurile incluse în componentă sunt menite să abordeze provocările de lungă durată de pe piața forței de muncă din Spania și să prezinte un set de reforme ambițioase și coerente, majoritatea acestora urmând să fie realizate până la sfârșitul anului 2021. Unele dintre propunerile de reformă sunt discutate în prezent cu partenerii sociali printr-un proces de dialog social. Prin urmare, unele detalii au fost lăsate deschise în mod explicit, pentru a lăsa suficient spațiu pentru acord și pentru aprobarea de către partenerii sociali. </w:t>
      </w:r>
    </w:p>
    <w:p>
      <w:pPr>
        <w:spacing w:before="120" w:after="120" w:line="240" w:lineRule="auto"/>
        <w:jc w:val="both"/>
        <w:rPr>
          <w:rFonts w:ascii="Times New Roman" w:hAnsi="Times New Roman" w:cs="Times New Roman"/>
          <w:iCs/>
          <w:noProof/>
          <w:color w:val="000000" w:themeColor="text1"/>
          <w:sz w:val="24"/>
        </w:rPr>
      </w:pPr>
      <w:r>
        <w:rPr>
          <w:rFonts w:ascii="Times New Roman" w:hAnsi="Times New Roman"/>
          <w:iCs/>
          <w:noProof/>
          <w:color w:val="000000" w:themeColor="text1"/>
          <w:sz w:val="24"/>
        </w:rPr>
        <w:t>Componenta abordează recomandările specifice fiecărei țări privind tranzițiile către contracte pe durată nedeterminată și stimulentele pentru angajare, serviciile publice de ocupare a forței de muncă, politicile active în domeniul pieței forței de muncă și învățarea în rândul adulților, protecția împotriva șomajului, sistemele de venit minim și păstrarea locului de muncă (recomandările specifice fiecărei țări 2 din 2019 și 2 din 2020).</w:t>
      </w:r>
    </w:p>
    <w:p>
      <w:pPr>
        <w:spacing w:before="120" w:after="120" w:line="240" w:lineRule="auto"/>
        <w:jc w:val="both"/>
        <w:rPr>
          <w:rFonts w:ascii="Times New Roman" w:hAnsi="Times New Roman" w:cs="Times New Roman"/>
          <w:noProof/>
          <w:sz w:val="24"/>
        </w:rPr>
      </w:pPr>
      <w:r>
        <w:rPr>
          <w:rFonts w:ascii="Times New Roman" w:hAnsi="Times New Roman"/>
          <w:noProof/>
          <w:color w:val="000000" w:themeColor="text1"/>
          <w:sz w:val="24"/>
          <w:szCs w:val="24"/>
        </w:rPr>
        <w:t>Se preconizează că nicio măsură din cadrul acestei componente nu aduce prejudicii semnificative obiectivelor de mediu în sensul articolului 17 din Regulamentul (UE) 2020/852, ținând seama de descrierea măsurilor și a măsurilor de atenuare stabilite în planul de redresare și reziliență în conformitate cu Orientările tehnice DNSH (2021/C58/01).</w:t>
      </w:r>
    </w:p>
    <w:p>
      <w:pPr>
        <w:spacing w:before="120" w:after="120" w:line="240" w:lineRule="auto"/>
        <w:ind w:left="709"/>
        <w:jc w:val="both"/>
        <w:rPr>
          <w:rFonts w:ascii="Times New Roman" w:hAnsi="Times New Roman" w:cs="Times New Roman"/>
          <w:b/>
          <w:i/>
          <w:noProof/>
          <w:color w:val="4F81BD" w:themeColor="accent1"/>
          <w:sz w:val="24"/>
        </w:rPr>
      </w:pPr>
      <w:r>
        <w:rPr>
          <w:rFonts w:ascii="Times New Roman" w:hAnsi="Times New Roman"/>
          <w:b/>
          <w:bCs/>
          <w:noProof/>
          <w:sz w:val="24"/>
          <w:u w:val="single"/>
        </w:rPr>
        <w:t xml:space="preserve">W.1. </w:t>
      </w:r>
      <w:r>
        <w:rPr>
          <w:rFonts w:ascii="Times New Roman" w:hAnsi="Times New Roman"/>
          <w:b/>
          <w:noProof/>
          <w:sz w:val="24"/>
          <w:u w:val="single"/>
        </w:rPr>
        <w:tab/>
      </w:r>
      <w:r>
        <w:rPr>
          <w:rFonts w:ascii="Times New Roman" w:hAnsi="Times New Roman"/>
          <w:b/>
          <w:bCs/>
          <w:noProof/>
          <w:sz w:val="24"/>
          <w:u w:val="single"/>
        </w:rPr>
        <w:t>Descrierea reformelor și a investițiilor pentru care se prevede acordarea sprijinului financiar nerambursabil</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Reforma 1 (C23.R1) - Reglementarea muncii la distanță</w:t>
      </w:r>
    </w:p>
    <w:p>
      <w:pPr>
        <w:spacing w:before="120" w:after="120" w:line="240" w:lineRule="auto"/>
        <w:jc w:val="both"/>
        <w:rPr>
          <w:rFonts w:ascii="Times New Roman" w:hAnsi="Times New Roman" w:cs="Times New Roman"/>
          <w:noProof/>
          <w:sz w:val="24"/>
        </w:rPr>
      </w:pPr>
      <w:r>
        <w:rPr>
          <w:rFonts w:ascii="Times New Roman" w:hAnsi="Times New Roman"/>
          <w:noProof/>
          <w:sz w:val="24"/>
        </w:rPr>
        <w:t>Această reformă stabilește un cadru de reglementare pentru furnizarea de muncă la distanță, cu scopul de a îmbunătăți protecția și flexibilitatea lucrătorilor, menținând în același timp productivitatea întreprinderilor. Acesta constă în aprobarea a două decrete-lege regale:</w:t>
      </w:r>
    </w:p>
    <w:p>
      <w:pPr>
        <w:numPr>
          <w:ilvl w:val="0"/>
          <w:numId w:val="99"/>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Decretul-lege regal nr. 28/2020 din 22 septembrie oferă un cadru de reglementare care favorizează introducerea muncii la distanță în sectorul privat, menținând în același timp productivitatea întreprinderilor și oferind protecție și flexibilitate lucrătorilor. Aceasta garantează aceleași condiții de muncă celor care lucrează de la distanță și la fața locului, precum și caracterul voluntar al muncii la distanță, atât pentru lucrător, cât și pentru angajator. Cadrul stabilit favorizează forme mixte de muncă la distanță și la fața locului. </w:t>
      </w:r>
    </w:p>
    <w:p>
      <w:pPr>
        <w:numPr>
          <w:ilvl w:val="0"/>
          <w:numId w:val="99"/>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szCs w:val="24"/>
        </w:rPr>
        <w:t>Decretul-lege regal nr. 29/2020 din 29 septembrie privind munca la distanță în administrațiile publice stabilește un cadru de reglementare pentru angajații din sectorul public care recunoaște posibilitatea de a furniza acest tip de muncă în mod voluntar și reversibil, cu autorizare prealabilă.</w:t>
      </w:r>
    </w:p>
    <w:p>
      <w:pPr>
        <w:spacing w:before="240" w:after="120" w:line="240" w:lineRule="auto"/>
        <w:jc w:val="both"/>
        <w:rPr>
          <w:rFonts w:ascii="Times New Roman" w:hAnsi="Times New Roman" w:cs="Times New Roman"/>
          <w:noProof/>
          <w:sz w:val="24"/>
          <w:szCs w:val="24"/>
        </w:rPr>
      </w:pPr>
      <w:r>
        <w:rPr>
          <w:rFonts w:ascii="Times New Roman" w:hAnsi="Times New Roman"/>
          <w:noProof/>
          <w:sz w:val="24"/>
          <w:szCs w:val="24"/>
        </w:rPr>
        <w:t>Această reformă este legată de reforma 1 din componenta 11 privind administrația publică.</w:t>
      </w:r>
    </w:p>
    <w:p>
      <w:pPr>
        <w:spacing w:before="240" w:after="120" w:line="240" w:lineRule="auto"/>
        <w:jc w:val="both"/>
        <w:rPr>
          <w:rFonts w:ascii="Times New Roman" w:hAnsi="Times New Roman" w:cs="Times New Roman"/>
          <w:noProof/>
          <w:sz w:val="24"/>
          <w:szCs w:val="24"/>
        </w:rPr>
      </w:pPr>
      <w:r>
        <w:rPr>
          <w:rFonts w:ascii="Times New Roman" w:hAnsi="Times New Roman"/>
          <w:noProof/>
          <w:sz w:val="24"/>
          <w:szCs w:val="24"/>
        </w:rPr>
        <w:t>Punerea în aplicare a măsurii se finalizează până la 31 decembrie 2020.</w:t>
      </w:r>
    </w:p>
    <w:p>
      <w:pPr>
        <w:keepNext/>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Reforma 2 (C23.R2) - Măsuri de eliminare a disparității de gen</w:t>
      </w:r>
    </w:p>
    <w:p>
      <w:pPr>
        <w:keepNext/>
        <w:spacing w:before="120" w:after="120" w:line="240" w:lineRule="auto"/>
        <w:jc w:val="both"/>
        <w:rPr>
          <w:rFonts w:ascii="Times New Roman" w:hAnsi="Times New Roman" w:cs="Times New Roman"/>
          <w:noProof/>
          <w:sz w:val="24"/>
        </w:rPr>
      </w:pPr>
      <w:r>
        <w:rPr>
          <w:rFonts w:ascii="Times New Roman" w:hAnsi="Times New Roman"/>
          <w:noProof/>
          <w:sz w:val="24"/>
        </w:rPr>
        <w:t>Această reformă are ca obiectiv eliminarea diferenței de remunerare între femei și bărbați. Acesta constă în două statute:</w:t>
      </w:r>
    </w:p>
    <w:p>
      <w:pPr>
        <w:numPr>
          <w:ilvl w:val="0"/>
          <w:numId w:val="99"/>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Decretul regal nr. 901/2020 din 13 octombrie reglementează obligația angajatorilor de a elabora și de a înregistra planuri de egalitate pentru a asigura transparența salarială. Toate întreprinderile cu peste 150 de angajați sunt obligate să prezinte și să înregistreze astfel de planuri, iar în 2022 toate întreprinderile cu peste 50 de lucrători sunt, de asemenea, obligate. Decretul regal stabilește procedura de negociere a planurilor, cerințele care trebuie respectate de diagnostic și caracteristicile evaluării și monitorizării acestora. </w:t>
      </w:r>
    </w:p>
    <w:p>
      <w:pPr>
        <w:numPr>
          <w:ilvl w:val="0"/>
          <w:numId w:val="99"/>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szCs w:val="24"/>
        </w:rPr>
        <w:t>Decretul regal nr. 902/2020 din 13 octombrie privind egalitatea de remunerare între bărbați și femei garantează principiul transparenței salariale pentru a identifica situațiile discriminatorii cauzate de evaluările incorecte ale locului de muncă (și anume, salarii mai mici pentru o muncă de valoare egală). Decretul definește situațiile în care o operă este considerată a avea o valoare egală. Acesta este în vigoare din aprilie 2021, ca urmare a perioadei de 6 luni acordate angajatorilor pentru a institui mecanismele de punere în aplicare necesare.</w:t>
      </w:r>
    </w:p>
    <w:p>
      <w:pPr>
        <w:spacing w:before="240" w:after="120" w:line="240" w:lineRule="auto"/>
        <w:jc w:val="both"/>
        <w:rPr>
          <w:rFonts w:ascii="Times New Roman" w:hAnsi="Times New Roman" w:cs="Times New Roman"/>
          <w:noProof/>
          <w:sz w:val="24"/>
          <w:szCs w:val="24"/>
        </w:rPr>
      </w:pPr>
      <w:r>
        <w:rPr>
          <w:rFonts w:ascii="Times New Roman" w:hAnsi="Times New Roman"/>
          <w:noProof/>
          <w:sz w:val="24"/>
          <w:szCs w:val="24"/>
        </w:rPr>
        <w:t>Punerea în aplicare a măsurii se finalizează până la 30 iunie 2021.</w:t>
      </w:r>
    </w:p>
    <w:p>
      <w:pPr>
        <w:spacing w:before="120" w:after="120" w:line="240" w:lineRule="auto"/>
        <w:jc w:val="both"/>
        <w:rPr>
          <w:rFonts w:ascii="Times New Roman" w:hAnsi="Times New Roman" w:cs="Times New Roman"/>
          <w:noProof/>
          <w:sz w:val="24"/>
        </w:rPr>
      </w:pPr>
      <w:r>
        <w:rPr>
          <w:rFonts w:ascii="Times New Roman" w:hAnsi="Times New Roman"/>
          <w:noProof/>
          <w:sz w:val="24"/>
          <w:u w:val="single"/>
        </w:rPr>
        <w:t>Reforma 3 (C23.R3) - Reglementarea activității distribuitorilor casnici de către platformele digitale (riders)</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Reforma are ca obiectiv reglementarea condițiilor de muncă ale așa-numiților conducători, care sunt implicați în activități de distribuție către terți prin mijloace tehnologice. Un decret-lege regal garantează acestor lucrători dreptul la un tratament echitabil și egal în ceea ce privește condițiile de muncă, precum și dreptul de acces la protecție socială și la formare, prin prezumția legală a unui raport de muncă între întreprindere și autorul infracțiunii. Aceasta permite, de asemenea, ca reprezentarea juridică a lucrătorilor să fie informată cu privire la normele conținute în algoritmii și sistemele de inteligență artificială care pot avea un impact asupra condițiilor de muncă, inclusiv asupra accesului la locuri de muncă și asupra menținerii acestora, precum și asupra creării de profiluri.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Punerea în aplicare a măsurii se finalizează până la 30 septembrie 2021.</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Reforma 4 (C23.R4) - Simplificarea contractelor: generalizarea contractului pe durată nedeterminată, motivele pentru utilizarea contractelor temporare și reglementarea contractului de formare/ucenicie.</w:t>
      </w:r>
    </w:p>
    <w:p>
      <w:pPr>
        <w:spacing w:before="120" w:after="120" w:line="240" w:lineRule="auto"/>
        <w:jc w:val="both"/>
        <w:rPr>
          <w:rFonts w:ascii="Times New Roman" w:hAnsi="Times New Roman" w:cs="Times New Roman"/>
          <w:noProof/>
          <w:sz w:val="24"/>
        </w:rPr>
      </w:pPr>
      <w:r>
        <w:rPr>
          <w:rFonts w:ascii="Times New Roman" w:hAnsi="Times New Roman"/>
          <w:noProof/>
          <w:sz w:val="24"/>
        </w:rPr>
        <w:t>Această reformă constă în modificarea regulamentului privind contractele prevăzut în Statutul lucrătorilor (Decretul legislativ nr. 2/2015), cu scopul de a reglementa utilizarea contractelor temporare ca origine exclusiv cauzală și de a generaliza utilizarea contractelor pe durată nedeterminată. Reforma include următoarele elemente:</w:t>
      </w:r>
    </w:p>
    <w:p>
      <w:pPr>
        <w:numPr>
          <w:ilvl w:val="0"/>
          <w:numId w:val="100"/>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Simplificarea și reorganizarea meniului de contracte, cu trei tipuri principale: cu durată nedeterminată, temporare și de formare/ucenicie. Concepția noilor tipuri de contracte urmărește să limiteze cauzele valide ale utilizării contractelor temporare, transformând astfel contractele pe durată nedeterminată în regula generală. </w:t>
      </w:r>
    </w:p>
    <w:p>
      <w:pPr>
        <w:numPr>
          <w:ilvl w:val="0"/>
          <w:numId w:val="100"/>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Revizuirea utilizării contractului de formare/ucenicie, pentru a oferi un cadru adecvat tinerilor pentru a intra pe piața forței de muncă. </w:t>
      </w:r>
    </w:p>
    <w:p>
      <w:pPr>
        <w:numPr>
          <w:ilvl w:val="0"/>
          <w:numId w:val="100"/>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szCs w:val="24"/>
        </w:rPr>
        <w:t>Consolidarea utilizării contractului sezonier, care este un tip special de contract pe durată nedeterminată utilizat în activități sezoniere.</w:t>
      </w:r>
    </w:p>
    <w:p>
      <w:pPr>
        <w:numPr>
          <w:ilvl w:val="0"/>
          <w:numId w:val="100"/>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szCs w:val="24"/>
        </w:rPr>
        <w:t>Reforma consolidează controlul utilizării contractelor cu fracțiune de normă, pentru a preveni timpul de lucru neregulat.</w:t>
      </w:r>
    </w:p>
    <w:p>
      <w:pPr>
        <w:numPr>
          <w:ilvl w:val="0"/>
          <w:numId w:val="100"/>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szCs w:val="24"/>
        </w:rPr>
        <w:t>Consolidarea luptei împotriva fraudei în domeniul muncii, inclusiv prin actualizarea sistemului de sancționare.</w:t>
      </w:r>
    </w:p>
    <w:p>
      <w:pPr>
        <w:spacing w:before="240" w:after="120" w:line="240" w:lineRule="auto"/>
        <w:jc w:val="both"/>
        <w:rPr>
          <w:rFonts w:ascii="Times New Roman" w:hAnsi="Times New Roman" w:cs="Times New Roman"/>
          <w:noProof/>
          <w:sz w:val="24"/>
        </w:rPr>
      </w:pPr>
      <w:r>
        <w:rPr>
          <w:rFonts w:ascii="Times New Roman" w:hAnsi="Times New Roman"/>
          <w:noProof/>
          <w:sz w:val="24"/>
          <w:szCs w:val="24"/>
        </w:rPr>
        <w:t>Această reformă este strâns legată de reforma 1 din cadrul componentei 11, care va introduce alte modificări juridice în Statutul lucrătorilor din sectorul public pentru a reduce utilizarea contractelor temporare în sectorul public. Aceasta este, de asemenea, legată de reforma 6 (flexibilitatea și mecanismul de stabilitate) din cadrul acestei componente.</w:t>
      </w:r>
    </w:p>
    <w:p>
      <w:pPr>
        <w:spacing w:before="240" w:after="120" w:line="240" w:lineRule="auto"/>
        <w:jc w:val="both"/>
        <w:rPr>
          <w:rFonts w:ascii="Times New Roman" w:hAnsi="Times New Roman" w:cs="Times New Roman"/>
          <w:noProof/>
          <w:sz w:val="24"/>
        </w:rPr>
      </w:pPr>
      <w:r>
        <w:rPr>
          <w:rFonts w:ascii="Times New Roman" w:hAnsi="Times New Roman"/>
          <w:noProof/>
          <w:sz w:val="24"/>
          <w:szCs w:val="24"/>
        </w:rPr>
        <w:t>Punerea în aplicare a măsurii se finalizează până la 31 decembrie 2021.</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Reforma 5 (C23.R5) - Modernizarea politicilor active în domeniul pieței forței de muncă (ALMP)</w:t>
      </w:r>
    </w:p>
    <w:p>
      <w:pPr>
        <w:spacing w:before="120" w:after="120" w:line="240" w:lineRule="auto"/>
        <w:jc w:val="both"/>
        <w:rPr>
          <w:rFonts w:ascii="Times New Roman" w:hAnsi="Times New Roman" w:cs="Times New Roman"/>
          <w:noProof/>
          <w:sz w:val="24"/>
        </w:rPr>
      </w:pPr>
      <w:r>
        <w:rPr>
          <w:rFonts w:ascii="Times New Roman" w:hAnsi="Times New Roman"/>
          <w:noProof/>
          <w:sz w:val="24"/>
        </w:rPr>
        <w:t>Obiectivul acestei reforme este de a moderniza punerea în aplicare a politicilor active privind piața forței de muncă în Spania, ținând seama de concluziile analizelor cheltuielilor efectuate de autoritatea bugetară independentă (AIReF). Reforma constă în mai multe elemente, cum ar fi dezvoltarea unor parcursuri individuale de consiliere, prevenirea abuzurilor în cadrul cursurilor de formare la locul de muncă (cum ar fi stagiile și contractele de formare), consolidarea sistemului de învățare în rândul adulților și recunoașterea competențelor, crearea unui ghișeu unic pentru tineri, îmbunătățirea coordonării între serviciile sociale și de ocupare a forței de muncă și cu regiunile, precum și îmbunătățirea cooperării cu sectorul privat.</w:t>
      </w:r>
    </w:p>
    <w:p>
      <w:pPr>
        <w:spacing w:before="120" w:after="120" w:line="240" w:lineRule="auto"/>
        <w:jc w:val="both"/>
        <w:rPr>
          <w:rFonts w:ascii="Times New Roman" w:hAnsi="Times New Roman" w:cs="Times New Roman"/>
          <w:noProof/>
          <w:sz w:val="24"/>
        </w:rPr>
      </w:pPr>
      <w:r>
        <w:rPr>
          <w:rFonts w:ascii="Times New Roman" w:hAnsi="Times New Roman"/>
          <w:noProof/>
          <w:sz w:val="24"/>
        </w:rPr>
        <w:t>Această reformă va fi completată de alte două reforme în cadrul acestei componente, și anume reforma 7 (stimulente pentru angajare) și reforma 11 (digitalizarea serviciilor publice de ocupare a forței de muncă). Unele elemente ale reformei (cum ar fi consolidarea programului de recalificare și de asistență pentru lucrătorii în vârstă) prezintă sinergii cu reforma 2 din C30 (alinierea vârstei efective de pensionare la vârsta legală de pensionare).</w:t>
      </w:r>
    </w:p>
    <w:p>
      <w:pPr>
        <w:spacing w:before="120" w:after="120" w:line="240" w:lineRule="auto"/>
        <w:jc w:val="both"/>
        <w:rPr>
          <w:rFonts w:ascii="Times New Roman" w:hAnsi="Times New Roman" w:cs="Times New Roman"/>
          <w:noProof/>
          <w:sz w:val="24"/>
        </w:rPr>
      </w:pPr>
      <w:r>
        <w:rPr>
          <w:rFonts w:ascii="Times New Roman" w:hAnsi="Times New Roman"/>
          <w:noProof/>
          <w:sz w:val="24"/>
        </w:rPr>
        <w:t>Reforma include o serie de etape legislative în 2021 și 2022:</w:t>
      </w:r>
    </w:p>
    <w:p>
      <w:pPr>
        <w:numPr>
          <w:ilvl w:val="0"/>
          <w:numId w:val="101"/>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Planul de acțiune 2021-2027 pentru combaterea șomajului în rândul tinerilor cu ocazia punerii în aplicare a Garanției pentru tineret a UE Plus. Planul de acțiune include o revizuire a contractelor de stagiu/ucenicie și aprobarea unui statut al stagiarilor. Aceste măsuri sunt coerente cu politicile educaționale menite să combată părăsirea timpurie a școlii (a se vedea componenta 21). Punerea în aplicare a măsurii se finalizează până la miercuri, 30 iunie 2021.</w:t>
      </w:r>
    </w:p>
    <w:p>
      <w:pPr>
        <w:numPr>
          <w:ilvl w:val="0"/>
          <w:numId w:val="101"/>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Strategia spaniolă de activare a ocupării forței de muncă 2021-2024, în urma unui proces de dialog social. Obiectivele principale ale noii strategii sunt: </w:t>
      </w:r>
    </w:p>
    <w:p>
      <w:pPr>
        <w:numPr>
          <w:ilvl w:val="1"/>
          <w:numId w:val="102"/>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Abordare centrată pe oameni și axată pe întreprinderi: se preconizează că elaborarea politicilor active în domeniul pieței forței de muncă se va axa pe circumstanțele specifice fiecărei persoane și fiecărei întreprinderi.</w:t>
      </w:r>
    </w:p>
    <w:p>
      <w:pPr>
        <w:numPr>
          <w:ilvl w:val="1"/>
          <w:numId w:val="102"/>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Coerența cu transformarea productivă: Politicile active în domeniul pieței forței de muncă ar trebui să permită tranzițiile profesionale care însoțesc trecerea modelului de producție la o economie verde și digitală.</w:t>
      </w:r>
    </w:p>
    <w:p>
      <w:pPr>
        <w:numPr>
          <w:ilvl w:val="1"/>
          <w:numId w:val="102"/>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Orientare către rezultate: Se preconizează că politicile active în domeniul pieței forței de muncă vor fi evaluate, monitorizate și favorizate obținerea de rezultate.</w:t>
      </w:r>
    </w:p>
    <w:p>
      <w:pPr>
        <w:numPr>
          <w:ilvl w:val="1"/>
          <w:numId w:val="102"/>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Îmbunătățirea capacităților serviciilor publice de ocupare a forței de muncă prin digitalizarea și modernizarea acestora. </w:t>
      </w:r>
    </w:p>
    <w:p>
      <w:pPr>
        <w:numPr>
          <w:ilvl w:val="1"/>
          <w:numId w:val="102"/>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Guvernanța și coeziunea sistemului național de ocupare a forței de muncă în vederea îmbunătățirii coordonării la nivel național și regional și a părților interesate implicate în ALMP.</w:t>
      </w:r>
    </w:p>
    <w:p>
      <w:pPr>
        <w:spacing w:before="120" w:after="160" w:line="240" w:lineRule="auto"/>
        <w:ind w:left="709"/>
        <w:contextualSpacing/>
        <w:jc w:val="both"/>
        <w:rPr>
          <w:rFonts w:ascii="Times New Roman" w:hAnsi="Times New Roman" w:cs="Times New Roman"/>
          <w:noProof/>
          <w:sz w:val="24"/>
          <w:szCs w:val="24"/>
        </w:rPr>
      </w:pPr>
      <w:r>
        <w:rPr>
          <w:rFonts w:ascii="Times New Roman" w:hAnsi="Times New Roman"/>
          <w:noProof/>
          <w:sz w:val="24"/>
          <w:szCs w:val="24"/>
        </w:rPr>
        <w:t>Punerea în aplicare a măsurii se finalizează până la 31 decembrie 2021.</w:t>
      </w:r>
    </w:p>
    <w:p>
      <w:pPr>
        <w:numPr>
          <w:ilvl w:val="0"/>
          <w:numId w:val="101"/>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Reforma Legii muncii, cu următoarele obiective: (i) să consolideze politicile și instrumentele de coordonare ale sistemului național de ocupare a forței de muncă; (ii) reformarea politicilor active în domeniul pieței forței de muncă; (iii) să revizuiască guvernanța sistemului; (iv) consolidarea dimensiunii locale a politicii de ocupare a forței de muncă; și (v) să îndeplinească cerințele pentru punerea în aplicare a diferitelor măsuri prevăzute în cadrul Planului național pentru politici active de ocupare a forței de muncă. În acest context, principalele elemente ale modificărilor legislative includ:</w:t>
      </w:r>
    </w:p>
    <w:p>
      <w:pPr>
        <w:numPr>
          <w:ilvl w:val="1"/>
          <w:numId w:val="102"/>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Consolidarea politicilor active și pasive de ocupare a forței de muncă, ținând seama de repartizarea competențelor între stat și comunitățile autonome.</w:t>
      </w:r>
    </w:p>
    <w:p>
      <w:pPr>
        <w:numPr>
          <w:ilvl w:val="1"/>
          <w:numId w:val="102"/>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Consolidarea sistemului de mediere și a parteneriatelor public-privat. </w:t>
      </w:r>
    </w:p>
    <w:p>
      <w:pPr>
        <w:numPr>
          <w:ilvl w:val="1"/>
          <w:numId w:val="102"/>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Portofoliul comun de servicii al Sistemului național de ocupare a forței de muncă.</w:t>
      </w:r>
    </w:p>
    <w:p>
      <w:pPr>
        <w:numPr>
          <w:ilvl w:val="1"/>
          <w:numId w:val="102"/>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Revizuirea modelului de finanțare. </w:t>
      </w:r>
    </w:p>
    <w:p>
      <w:pPr>
        <w:numPr>
          <w:ilvl w:val="1"/>
          <w:numId w:val="102"/>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Cooperarea cu serviciile sociale.</w:t>
      </w:r>
    </w:p>
    <w:p>
      <w:pPr>
        <w:numPr>
          <w:ilvl w:val="1"/>
          <w:numId w:val="102"/>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Dimensiunea locală și europeană.</w:t>
      </w:r>
    </w:p>
    <w:p>
      <w:pPr>
        <w:numPr>
          <w:ilvl w:val="1"/>
          <w:numId w:val="102"/>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Dezvoltarea tehnologică pentru capacitatea de inserție profesională.</w:t>
      </w:r>
    </w:p>
    <w:p>
      <w:pPr>
        <w:numPr>
          <w:ilvl w:val="1"/>
          <w:numId w:val="102"/>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Utilizarea TIC și a volumelor mari de date.</w:t>
      </w:r>
    </w:p>
    <w:p>
      <w:pPr>
        <w:numPr>
          <w:ilvl w:val="1"/>
          <w:numId w:val="102"/>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Îmbunătățirea capacității de inserție profesională.</w:t>
      </w:r>
    </w:p>
    <w:p>
      <w:pPr>
        <w:spacing w:before="120" w:after="160" w:line="240" w:lineRule="auto"/>
        <w:ind w:left="709"/>
        <w:contextualSpacing/>
        <w:jc w:val="both"/>
        <w:rPr>
          <w:rFonts w:ascii="Times New Roman" w:hAnsi="Times New Roman" w:cs="Times New Roman"/>
          <w:noProof/>
          <w:sz w:val="24"/>
          <w:szCs w:val="24"/>
        </w:rPr>
      </w:pPr>
      <w:r>
        <w:rPr>
          <w:rFonts w:ascii="Times New Roman" w:hAnsi="Times New Roman"/>
          <w:noProof/>
          <w:sz w:val="24"/>
          <w:szCs w:val="24"/>
        </w:rPr>
        <w:t>Punerea în aplicare a măsurii se finalizează până la 31 decembrie 2022.</w:t>
      </w:r>
    </w:p>
    <w:p>
      <w:pPr>
        <w:spacing w:before="240" w:after="120" w:line="240" w:lineRule="auto"/>
        <w:jc w:val="both"/>
        <w:rPr>
          <w:rFonts w:ascii="Times New Roman" w:hAnsi="Times New Roman" w:cs="Times New Roman"/>
          <w:noProof/>
          <w:sz w:val="24"/>
          <w:u w:val="single"/>
        </w:rPr>
      </w:pPr>
      <w:r>
        <w:rPr>
          <w:rFonts w:ascii="Times New Roman" w:hAnsi="Times New Roman"/>
          <w:noProof/>
          <w:sz w:val="24"/>
          <w:u w:val="single"/>
        </w:rPr>
        <w:t>Reforma 6 (C23.R6) - Mecanism permanent pentru flexibilitatea internă, stabilitatea locului de muncă și recalificarea lucrătorilor în tranziție.</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Această reformă are ca obiectiv instituirea unui sistem permanent de adaptare la șocurile ciclice și structurale, prin acoperirea suspendării sau reducerii timpului de lucru printr-un plan de reglementare a ocupării forței de muncă care să includă cerința de a îmbunătăți sau de a recalifica lucrătorii în ceea ce privește competențele identificate ca fiind solicitate. Schema se bazează pe experiența sistemelor de șomaj tehnic (așa-numitele „ERTE”) utilizate în timpul crizei provocate de pandemia de COVID-19 pentru a menține locurile de muncă în timpul izolării și al altor restricții de activitate cauzate de pandemie. </w:t>
      </w:r>
    </w:p>
    <w:p>
      <w:pPr>
        <w:spacing w:before="120" w:after="120" w:line="240" w:lineRule="auto"/>
        <w:jc w:val="both"/>
        <w:rPr>
          <w:rFonts w:ascii="Times New Roman" w:hAnsi="Times New Roman" w:cs="Times New Roman"/>
          <w:noProof/>
          <w:sz w:val="24"/>
        </w:rPr>
      </w:pPr>
      <w:r>
        <w:rPr>
          <w:rFonts w:ascii="Times New Roman" w:hAnsi="Times New Roman"/>
          <w:noProof/>
          <w:sz w:val="24"/>
        </w:rPr>
        <w:t>Reforma constă în două noi mecanisme de ajustare:</w:t>
      </w:r>
    </w:p>
    <w:p>
      <w:pPr>
        <w:numPr>
          <w:ilvl w:val="0"/>
          <w:numId w:val="103"/>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Un mecanism de stabilizare economică care oferă flexibilitate internă întreprinderilor și stabilitate lucrătorilor în fața șocurilor tranzitorii sau ciclice, cu un accent special pe formarea lucrătorilor.</w:t>
      </w:r>
    </w:p>
    <w:p>
      <w:pPr>
        <w:numPr>
          <w:ilvl w:val="0"/>
          <w:numId w:val="103"/>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Un mecanism care sprijină recalificarea și perfecționarea lucrătorilor și a întreprinderilor aflate în tranziție pentru a-i ajuta să facă față inovațiilor tehnologice sau ale cererii și care facilitează mobilitatea voluntară a lucrătorilor în cadrul întreprinderilor și între acestea.</w:t>
      </w:r>
    </w:p>
    <w:p>
      <w:pPr>
        <w:spacing w:before="240" w:after="120" w:line="240" w:lineRule="auto"/>
        <w:jc w:val="both"/>
        <w:rPr>
          <w:rFonts w:ascii="Times New Roman" w:hAnsi="Times New Roman" w:cs="Times New Roman"/>
          <w:noProof/>
          <w:sz w:val="24"/>
        </w:rPr>
      </w:pPr>
      <w:r>
        <w:rPr>
          <w:rFonts w:ascii="Times New Roman" w:hAnsi="Times New Roman"/>
          <w:noProof/>
          <w:sz w:val="24"/>
        </w:rPr>
        <w:t xml:space="preserve">Măsura este pusă în aplicare prin modificarea Statutului lucrătorilor. Acesta include crearea unui fond tripartit care urmează să fie finanțat prin contribuții de asigurări sociale din partea angajatorilor și a lucrătorilor și completat de stat. Aceasta asigură sustenabilitatea fiscală pe termen mediu și lung, luând în considerare diferite opțiuni și scenarii. Funcționarea concretă a acestui fond va fi negociată cu partenerii sociali. </w:t>
      </w:r>
    </w:p>
    <w:p>
      <w:pPr>
        <w:spacing w:before="240" w:after="120" w:line="240" w:lineRule="auto"/>
        <w:jc w:val="both"/>
        <w:rPr>
          <w:rFonts w:ascii="Times New Roman" w:hAnsi="Times New Roman" w:cs="Times New Roman"/>
          <w:noProof/>
          <w:sz w:val="24"/>
        </w:rPr>
      </w:pPr>
      <w:r>
        <w:rPr>
          <w:rFonts w:ascii="Times New Roman" w:hAnsi="Times New Roman"/>
          <w:noProof/>
          <w:sz w:val="24"/>
        </w:rPr>
        <w:t>Punerea în aplicare a măsurii se finalizează până la 31 decembrie 2021.</w:t>
      </w:r>
    </w:p>
    <w:p>
      <w:pPr>
        <w:keepNext/>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Reforma 7 (C23.R7) - Revizuirea stimulentelor pentru angajare</w:t>
      </w:r>
    </w:p>
    <w:p>
      <w:pPr>
        <w:spacing w:before="120" w:after="120" w:line="240" w:lineRule="auto"/>
        <w:jc w:val="both"/>
        <w:rPr>
          <w:rFonts w:ascii="Times New Roman" w:hAnsi="Times New Roman" w:cs="Times New Roman"/>
          <w:noProof/>
          <w:sz w:val="24"/>
        </w:rPr>
      </w:pPr>
      <w:r>
        <w:rPr>
          <w:rFonts w:ascii="Times New Roman" w:hAnsi="Times New Roman"/>
          <w:noProof/>
          <w:sz w:val="24"/>
        </w:rPr>
        <w:t>Obiectivul reformei este de a simplifica sistemul de stimulente pentru angajare și de a spori eficacitatea acestuia printr-o mai bună direcționare, ținând seama de analiza cheltuielilor efectuată de autoritatea bugetară independentă (AIReF). În special, aceasta vizează îmbunătățirea capacității de inserție profesională a grupurilor foarte specifice cu o participare scăzută pe piața forței de muncă, prin promovarea locurilor de muncă de calitate și a contractelor permanente. Numărul stimulentelor se reduce, iar cerințele pentru întreprinderile beneficiare sunt standardizate. Se are în vedere o monitorizare și o evaluare continuă a sistemului de stimulente pentru angajare.</w:t>
      </w:r>
    </w:p>
    <w:p>
      <w:pPr>
        <w:spacing w:before="120" w:after="120" w:line="240" w:lineRule="auto"/>
        <w:jc w:val="both"/>
        <w:rPr>
          <w:rFonts w:ascii="Times New Roman" w:hAnsi="Times New Roman" w:cs="Times New Roman"/>
          <w:noProof/>
          <w:sz w:val="24"/>
        </w:rPr>
      </w:pPr>
      <w:r>
        <w:rPr>
          <w:rFonts w:ascii="Times New Roman" w:hAnsi="Times New Roman"/>
          <w:noProof/>
          <w:sz w:val="24"/>
        </w:rPr>
        <w:t>Reforma este pusă în aplicare printr-o modificare a Legii nr. 43/2006. Acesta este strâns legat de alte măsuri din cadrul acestei componente, cum ar fi R5 (reforma generală a politicilor active în domeniul pieței forței de muncă) și I7 (căi de activare pentru beneficiarii sistemului de venit minim).</w:t>
      </w:r>
    </w:p>
    <w:p>
      <w:pPr>
        <w:spacing w:before="120" w:after="120" w:line="240" w:lineRule="auto"/>
        <w:jc w:val="both"/>
        <w:rPr>
          <w:rFonts w:ascii="Times New Roman" w:hAnsi="Times New Roman" w:cs="Times New Roman"/>
          <w:noProof/>
          <w:sz w:val="24"/>
        </w:rPr>
      </w:pPr>
      <w:r>
        <w:rPr>
          <w:rFonts w:ascii="Times New Roman" w:hAnsi="Times New Roman"/>
          <w:noProof/>
          <w:sz w:val="24"/>
        </w:rPr>
        <w:t>Punerea în aplicare a măsurii se finalizează până la 31 decembrie 2022.</w:t>
      </w:r>
    </w:p>
    <w:p>
      <w:pPr>
        <w:keepNext/>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Reforma 8 (C23.R8) - Modernizarea negocierilor colective</w:t>
      </w:r>
    </w:p>
    <w:p>
      <w:pPr>
        <w:keepNext/>
        <w:spacing w:before="120" w:after="120" w:line="240" w:lineRule="auto"/>
        <w:jc w:val="both"/>
        <w:rPr>
          <w:rFonts w:ascii="Times New Roman" w:hAnsi="Times New Roman" w:cs="Times New Roman"/>
          <w:noProof/>
          <w:sz w:val="24"/>
        </w:rPr>
      </w:pPr>
      <w:r>
        <w:rPr>
          <w:rFonts w:ascii="Times New Roman" w:hAnsi="Times New Roman"/>
          <w:noProof/>
          <w:sz w:val="24"/>
        </w:rPr>
        <w:t>Această reformă are ca obiectiv îmbunătățirea funcționării negocierii colective prin modificarea normelor juridice relevante din Statutul lucrătorilor (titlul III din Decretul legislativ nr. 2/2015) în urma unui proces de dialog social. Din acest motiv, modificările de reglementare avute în vedere nu sunt pe deplin detaliate în plan. Modificările îmbunătățesc normele juridice care reglementează negocierile colective.</w:t>
      </w:r>
    </w:p>
    <w:p>
      <w:pPr>
        <w:spacing w:before="120" w:after="120" w:line="240" w:lineRule="auto"/>
        <w:jc w:val="both"/>
        <w:rPr>
          <w:rFonts w:ascii="Times New Roman" w:hAnsi="Times New Roman" w:cs="Times New Roman"/>
          <w:noProof/>
          <w:sz w:val="24"/>
        </w:rPr>
      </w:pPr>
      <w:r>
        <w:rPr>
          <w:rFonts w:ascii="Times New Roman" w:hAnsi="Times New Roman"/>
          <w:noProof/>
          <w:sz w:val="24"/>
        </w:rPr>
        <w:t>Modernizarea negocierilor colective include modificări ale structurii de negociere în sine, cu scopul de a consolida reprezentativitatea părților participante la negocieri, de a îmbogăți conținutul dialogului și de a spori securitatea juridică în ceea ce privește punerea în aplicare și efectele acestuia. Modificările nu trebuie să conducă la obstacole disproporționate pentru întreprinderi în ceea ce privește menținerea sau îmbunătățirea productivității și adaptarea la ciclu.</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Punerea în aplicare a reformei se finalizează până la vineri, 31 decembrie 2021.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Reforma 9 (C23.R9) - Modernizarea activităților de subcontractare</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Această reformă are ca obiectiv îmbunătățirea condițiilor de muncă și a drepturilor persoanelor care lucrează în întreprinderile subcontractate, prin modificarea articolul 42 din Statutul lucrătorilor (Decretul legislativ nr. 2/2015) pentru a asigura utilizarea corectă a acestuia în cazurile în care îmbunătățește activitatea productivă și o descurajează de la cele în care este doar un mijloc de reducere a costurilor. </w:t>
      </w:r>
    </w:p>
    <w:p>
      <w:pPr>
        <w:spacing w:before="120" w:after="120" w:line="240" w:lineRule="auto"/>
        <w:jc w:val="both"/>
        <w:rPr>
          <w:rFonts w:ascii="Times New Roman" w:hAnsi="Times New Roman" w:cs="Times New Roman"/>
          <w:noProof/>
          <w:sz w:val="24"/>
        </w:rPr>
      </w:pPr>
      <w:r>
        <w:rPr>
          <w:rFonts w:ascii="Times New Roman" w:hAnsi="Times New Roman"/>
          <w:noProof/>
          <w:sz w:val="24"/>
        </w:rPr>
        <w:t>Această reformă asigură un nivel adecvat de protecție a lucrătorilor în cadrul subcontractării și evoluează către condiții de concurență echitabile între lucrătorii subcontractați și cei ai întreprinderilor. De asemenea, aceasta consolidează responsabilitatea contractanților sau a subcontractanților și împiedică externalizarea serviciilor prin subcontractare în cazurile în care a fost realizată cu scopul de a reduce standardele de muncă pentru persoanele care lucrează pentru subcontractanți.</w:t>
      </w:r>
    </w:p>
    <w:p>
      <w:pPr>
        <w:spacing w:before="120" w:after="120" w:line="240" w:lineRule="auto"/>
        <w:jc w:val="both"/>
        <w:rPr>
          <w:rFonts w:ascii="Times New Roman" w:hAnsi="Times New Roman" w:cs="Times New Roman"/>
          <w:noProof/>
          <w:sz w:val="24"/>
        </w:rPr>
      </w:pPr>
      <w:r>
        <w:rPr>
          <w:rFonts w:ascii="Times New Roman" w:hAnsi="Times New Roman"/>
          <w:noProof/>
          <w:sz w:val="24"/>
        </w:rPr>
        <w:t>Punerea în aplicare a reformei se finalizează până la vineri, 31 decembrie 2021.</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Reforma 10 (C23.R10) - Simplificarea și îmbunătățirea ajutorului de șomaj</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Această reformă legislativă se referă la ajutorul de șomaj necontributiv și are loc prin modificarea Decretului-lege regal nr. 8/2015. Acesta este strâns legat de R5 în C22, care prezintă o reformă mai generală a prestațiilor sociale necontributive. </w:t>
      </w:r>
    </w:p>
    <w:p>
      <w:pPr>
        <w:spacing w:before="120" w:after="120" w:line="240" w:lineRule="auto"/>
        <w:jc w:val="both"/>
        <w:rPr>
          <w:rFonts w:ascii="Times New Roman" w:hAnsi="Times New Roman" w:cs="Times New Roman"/>
          <w:noProof/>
          <w:sz w:val="24"/>
        </w:rPr>
      </w:pPr>
      <w:r>
        <w:rPr>
          <w:rFonts w:ascii="Times New Roman" w:hAnsi="Times New Roman"/>
          <w:noProof/>
          <w:sz w:val="24"/>
        </w:rPr>
        <w:t>Reforma include următoarele obiective:</w:t>
      </w:r>
    </w:p>
    <w:p>
      <w:pPr>
        <w:numPr>
          <w:ilvl w:val="2"/>
          <w:numId w:val="104"/>
        </w:numPr>
        <w:spacing w:before="120" w:after="160" w:line="240" w:lineRule="auto"/>
        <w:ind w:left="709"/>
        <w:contextualSpacing/>
        <w:jc w:val="both"/>
        <w:rPr>
          <w:rFonts w:ascii="Times New Roman" w:hAnsi="Times New Roman" w:cs="Times New Roman"/>
          <w:noProof/>
          <w:sz w:val="24"/>
          <w:szCs w:val="24"/>
        </w:rPr>
      </w:pPr>
      <w:r>
        <w:rPr>
          <w:rFonts w:ascii="Times New Roman" w:hAnsi="Times New Roman"/>
          <w:noProof/>
          <w:sz w:val="24"/>
          <w:szCs w:val="24"/>
        </w:rPr>
        <w:t xml:space="preserve">să extindă protecția împotriva șomajului prin completarea unora dintre lacunele sistemului actual în materie de acoperire și prin extinderea duratei maxime; </w:t>
      </w:r>
    </w:p>
    <w:p>
      <w:pPr>
        <w:numPr>
          <w:ilvl w:val="2"/>
          <w:numId w:val="104"/>
        </w:numPr>
        <w:spacing w:before="120" w:after="160" w:line="240" w:lineRule="auto"/>
        <w:ind w:left="709"/>
        <w:contextualSpacing/>
        <w:jc w:val="both"/>
        <w:rPr>
          <w:rFonts w:ascii="Times New Roman" w:hAnsi="Times New Roman" w:cs="Times New Roman"/>
          <w:noProof/>
          <w:sz w:val="24"/>
          <w:szCs w:val="24"/>
        </w:rPr>
      </w:pPr>
      <w:r>
        <w:rPr>
          <w:rFonts w:ascii="Times New Roman" w:hAnsi="Times New Roman"/>
          <w:noProof/>
          <w:sz w:val="24"/>
          <w:szCs w:val="24"/>
        </w:rPr>
        <w:t xml:space="preserve">simplificarea sistemului, în prezent fragmentată în mai multe sisteme; </w:t>
      </w:r>
    </w:p>
    <w:p>
      <w:pPr>
        <w:numPr>
          <w:ilvl w:val="2"/>
          <w:numId w:val="104"/>
        </w:numPr>
        <w:spacing w:before="120" w:after="160" w:line="240" w:lineRule="auto"/>
        <w:ind w:left="709"/>
        <w:contextualSpacing/>
        <w:jc w:val="both"/>
        <w:rPr>
          <w:rFonts w:ascii="Times New Roman" w:hAnsi="Times New Roman" w:cs="Times New Roman"/>
          <w:noProof/>
          <w:sz w:val="24"/>
          <w:szCs w:val="24"/>
        </w:rPr>
      </w:pPr>
      <w:r>
        <w:rPr>
          <w:rFonts w:ascii="Times New Roman" w:hAnsi="Times New Roman"/>
          <w:noProof/>
          <w:sz w:val="24"/>
          <w:szCs w:val="24"/>
        </w:rPr>
        <w:t xml:space="preserve">să coreleze prestația cu un itinerar de activare personalizat; </w:t>
      </w:r>
    </w:p>
    <w:p>
      <w:pPr>
        <w:numPr>
          <w:ilvl w:val="2"/>
          <w:numId w:val="104"/>
        </w:numPr>
        <w:spacing w:before="120" w:after="160" w:line="240" w:lineRule="auto"/>
        <w:ind w:left="709"/>
        <w:contextualSpacing/>
        <w:jc w:val="both"/>
        <w:rPr>
          <w:rFonts w:ascii="Times New Roman" w:hAnsi="Times New Roman" w:cs="Times New Roman"/>
          <w:noProof/>
          <w:sz w:val="24"/>
          <w:szCs w:val="24"/>
        </w:rPr>
      </w:pPr>
      <w:r>
        <w:rPr>
          <w:rFonts w:ascii="Times New Roman" w:hAnsi="Times New Roman"/>
          <w:noProof/>
          <w:sz w:val="24"/>
          <w:szCs w:val="24"/>
        </w:rPr>
        <w:t>facilitarea tranziției către protecție socială atunci când beneficiarul nu își reia activitatea profesională și se află într-o situație vulnerabilă.</w:t>
      </w:r>
    </w:p>
    <w:p>
      <w:pPr>
        <w:spacing w:before="240" w:after="120" w:line="240" w:lineRule="auto"/>
        <w:jc w:val="both"/>
        <w:rPr>
          <w:rFonts w:ascii="Times New Roman" w:hAnsi="Times New Roman" w:cs="Times New Roman"/>
          <w:noProof/>
          <w:sz w:val="24"/>
        </w:rPr>
      </w:pPr>
      <w:r>
        <w:rPr>
          <w:rFonts w:ascii="Times New Roman" w:hAnsi="Times New Roman"/>
          <w:noProof/>
          <w:sz w:val="24"/>
        </w:rPr>
        <w:t>Ca regulă generală, grupul-țintă al noului sistem este același cu cel din sistemul actual, și anume șomerii care nu sunt eligibili pentru prestații de șomaj contributive, fie pentru că au fost șomeri prea lungi și și-au epuizat drepturile, fie pentru că durata contribuțiilor lor este prea scurtă (mai puțin de 12 luni, dar mai mult de șase). Cuantumul lunar al prestației rămâne la 80 % din „IPREM” (indicator privind venitul public al efectelor multiple).</w:t>
      </w:r>
    </w:p>
    <w:p>
      <w:pPr>
        <w:spacing w:before="120" w:after="120" w:line="240" w:lineRule="auto"/>
        <w:jc w:val="both"/>
        <w:rPr>
          <w:rFonts w:ascii="Times New Roman" w:hAnsi="Times New Roman" w:cs="Times New Roman"/>
          <w:noProof/>
          <w:sz w:val="24"/>
        </w:rPr>
      </w:pPr>
      <w:r>
        <w:rPr>
          <w:rFonts w:ascii="Times New Roman" w:hAnsi="Times New Roman"/>
          <w:noProof/>
          <w:sz w:val="24"/>
        </w:rPr>
        <w:t>Punerea în aplicare a măsurii se finalizează până la 31 decembrie 2022.</w:t>
      </w:r>
    </w:p>
    <w:p>
      <w:pPr>
        <w:keepNext/>
        <w:spacing w:before="120" w:after="120" w:line="240" w:lineRule="auto"/>
        <w:jc w:val="both"/>
        <w:rPr>
          <w:rFonts w:ascii="Times New Roman" w:hAnsi="Times New Roman" w:cs="Times New Roman"/>
          <w:noProof/>
          <w:sz w:val="24"/>
        </w:rPr>
      </w:pPr>
      <w:r>
        <w:rPr>
          <w:rFonts w:ascii="Times New Roman" w:hAnsi="Times New Roman"/>
          <w:noProof/>
          <w:sz w:val="24"/>
          <w:u w:val="single"/>
        </w:rPr>
        <w:t xml:space="preserve">Reforma 11 (C23.R11) - Digitalizarea serviciilor publice de ocupare a forței de muncă (SPOFM) pentru modernizarea și eficiența acestora. </w:t>
      </w:r>
    </w:p>
    <w:p>
      <w:pPr>
        <w:keepNext/>
        <w:spacing w:before="120" w:after="120" w:line="240" w:lineRule="auto"/>
        <w:jc w:val="both"/>
        <w:rPr>
          <w:rFonts w:ascii="Times New Roman" w:hAnsi="Times New Roman" w:cs="Times New Roman"/>
          <w:noProof/>
          <w:sz w:val="24"/>
        </w:rPr>
      </w:pPr>
      <w:r>
        <w:rPr>
          <w:rFonts w:ascii="Times New Roman" w:hAnsi="Times New Roman"/>
          <w:noProof/>
          <w:sz w:val="24"/>
        </w:rPr>
        <w:t>Obiectivul acestei reforme este de a transforma furnizarea de servicii publice de ocupare a forței de muncă și de a îmbunătăți eficiența acestora pentru cetățeni și întreprinderi. Reforma cuprinde următoarele elemente:</w:t>
      </w:r>
    </w:p>
    <w:p>
      <w:pPr>
        <w:numPr>
          <w:ilvl w:val="0"/>
          <w:numId w:val="105"/>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Îmbunătățirea gestionării interne: modernizarea sistemelor de informații care sprijină sistemul de indemnizații de șomaj, precum și a celor care sprijină politicile active în domeniul pieței forței de muncă.</w:t>
      </w:r>
    </w:p>
    <w:p>
      <w:pPr>
        <w:numPr>
          <w:ilvl w:val="0"/>
          <w:numId w:val="105"/>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Digitalizarea tuturor serviciilor publice pentru cetățeni și întreprinderi și îmbunătățirea serviciilor pentru clienți, inclusiv oferirea de noi servicii (aplicații mobile și îmbunătățirea sistemului de preprogramare și servicii online).</w:t>
      </w:r>
    </w:p>
    <w:p>
      <w:pPr>
        <w:numPr>
          <w:ilvl w:val="0"/>
          <w:numId w:val="105"/>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Statistici și gestionarea datelor: Includerea unei gestionări adecvate a datelor, care să stimuleze procesul decizional, precum și publicarea de informații cu valoare ridicată pentru societate.</w:t>
      </w:r>
    </w:p>
    <w:p>
      <w:pPr>
        <w:numPr>
          <w:ilvl w:val="0"/>
          <w:numId w:val="105"/>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Îmbunătățirea sistemelor antifraudă prin intermediul sistemelor de inteligență artificială și al volumelor mari de date.</w:t>
      </w:r>
    </w:p>
    <w:p>
      <w:pPr>
        <w:numPr>
          <w:ilvl w:val="0"/>
          <w:numId w:val="105"/>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Modernizarea locurilor de muncă și a infrastructurilor pentru a facilita organizarea muncii la distanță pentru personalul SPOFM.</w:t>
      </w:r>
    </w:p>
    <w:p>
      <w:pPr>
        <w:spacing w:before="240" w:after="120" w:line="240" w:lineRule="auto"/>
        <w:jc w:val="both"/>
        <w:rPr>
          <w:rFonts w:ascii="Times New Roman" w:hAnsi="Times New Roman" w:cs="Times New Roman"/>
          <w:noProof/>
          <w:sz w:val="24"/>
        </w:rPr>
      </w:pPr>
      <w:r>
        <w:rPr>
          <w:rFonts w:ascii="Times New Roman" w:hAnsi="Times New Roman"/>
          <w:noProof/>
          <w:sz w:val="24"/>
        </w:rPr>
        <w:t xml:space="preserve">Reforma SPOFM este cuprinsă într-un efort mai general de modernizare și digitalizare a administrațiilor publice (componenta 11 din RRP). Reforma SPOFM este finanțată prin contractarea și executarea investițiilor 2 în C11. </w:t>
      </w:r>
    </w:p>
    <w:p>
      <w:pPr>
        <w:spacing w:before="120" w:after="120" w:line="240" w:lineRule="auto"/>
        <w:jc w:val="both"/>
        <w:rPr>
          <w:rFonts w:ascii="Times New Roman" w:hAnsi="Times New Roman" w:cs="Times New Roman"/>
          <w:noProof/>
          <w:sz w:val="24"/>
        </w:rPr>
      </w:pPr>
      <w:r>
        <w:rPr>
          <w:rFonts w:ascii="Times New Roman" w:hAnsi="Times New Roman"/>
          <w:noProof/>
          <w:sz w:val="24"/>
        </w:rPr>
        <w:t>Punerea în aplicare a reformei se finalizează până la 31 decembrie 2023.</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Investiția 1 (C23.I1) - Locuri de muncă pentru tineri</w:t>
      </w:r>
    </w:p>
    <w:p>
      <w:pPr>
        <w:spacing w:before="120" w:after="120" w:line="240" w:lineRule="auto"/>
        <w:jc w:val="both"/>
        <w:rPr>
          <w:rFonts w:ascii="Times New Roman" w:hAnsi="Times New Roman" w:cs="Times New Roman"/>
          <w:noProof/>
          <w:sz w:val="24"/>
        </w:rPr>
      </w:pPr>
      <w:r>
        <w:rPr>
          <w:rFonts w:ascii="Times New Roman" w:hAnsi="Times New Roman"/>
          <w:noProof/>
          <w:sz w:val="24"/>
        </w:rPr>
        <w:t>Această investiție cuprinde un set de programe de activare și formare pentru tinerii aflați în căutarea unui loc de muncă (16-29 ani), cu obiectivul de a sprijini integrarea acestora pe piața forței de muncă. Acesta cuprinde următoarele acțiuni:</w:t>
      </w:r>
    </w:p>
    <w:p>
      <w:pPr>
        <w:numPr>
          <w:ilvl w:val="0"/>
          <w:numId w:val="106"/>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Programul „tandem”. Acesta va oferi tinerilor cu vârste cuprinse între 16 și 29 de ani cursuri de formare la locul de muncă în cadrul atelierelor școlare publice, cu accent pe competențele necesare pentru dubla tranziție, asistența socială și coeziunea teritorială. Organismele publice din cadrul administrației centrale responsabile cu punerea în aplicare primesc subvențiile. </w:t>
      </w:r>
    </w:p>
    <w:p>
      <w:pPr>
        <w:numPr>
          <w:ilvl w:val="0"/>
          <w:numId w:val="106"/>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Programul „Prima experiență profesională” în administrațiile publice. Acesta oferă o primă experiență profesională în sectorul public (atât în administrația centrală, cât și în cea teritorială) tinerilor șomeri care și-au încheiat studiile formale. Aceștia dobândesc competențe non-tehnice lucrând în locuri de muncă legate de dubla tranziție, de asistența socială și de coeziunea teritorială. Granturile sunt acordate organismelor publice din cadrul administrațiilor centrale și teritoriale responsabile cu punerea în aplicare. </w:t>
      </w:r>
    </w:p>
    <w:p>
      <w:pPr>
        <w:numPr>
          <w:ilvl w:val="0"/>
          <w:numId w:val="106"/>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Programul </w:t>
      </w:r>
      <w:r>
        <w:rPr>
          <w:rFonts w:ascii="Times New Roman" w:hAnsi="Times New Roman"/>
          <w:i/>
          <w:noProof/>
          <w:sz w:val="24"/>
          <w:szCs w:val="24"/>
        </w:rPr>
        <w:t>Investigo</w:t>
      </w:r>
      <w:r>
        <w:rPr>
          <w:rFonts w:ascii="Times New Roman" w:hAnsi="Times New Roman"/>
          <w:noProof/>
          <w:sz w:val="24"/>
          <w:szCs w:val="24"/>
        </w:rPr>
        <w:t xml:space="preserve">. Creditul acoperă recrutarea tinerilor cercetători de către organisme publice de cercetare, universități publice, centre tehnologice și alte entități publice și private cu un proiect de cercetare. </w:t>
      </w:r>
    </w:p>
    <w:p>
      <w:pPr>
        <w:spacing w:before="240" w:after="120" w:line="240" w:lineRule="auto"/>
        <w:jc w:val="both"/>
        <w:rPr>
          <w:rFonts w:ascii="Times New Roman" w:hAnsi="Times New Roman" w:cs="Times New Roman"/>
          <w:noProof/>
          <w:sz w:val="24"/>
          <w:u w:val="single"/>
        </w:rPr>
      </w:pPr>
      <w:r>
        <w:rPr>
          <w:rFonts w:ascii="Times New Roman" w:hAnsi="Times New Roman"/>
          <w:noProof/>
          <w:sz w:val="24"/>
        </w:rPr>
        <w:t>Punerea în aplicare a investiției se finalizează până la 31 decembrie 2025.</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Investiția 2 (C23.I2) - Ocuparea forței de muncă feminine și integrarea perspectivei de gen în politicile active privind piața forței de muncă</w:t>
      </w:r>
    </w:p>
    <w:p>
      <w:pPr>
        <w:spacing w:before="120" w:after="120" w:line="240" w:lineRule="auto"/>
        <w:jc w:val="both"/>
        <w:rPr>
          <w:rFonts w:ascii="Times New Roman" w:hAnsi="Times New Roman" w:cs="Times New Roman"/>
          <w:noProof/>
          <w:sz w:val="24"/>
        </w:rPr>
      </w:pPr>
      <w:r>
        <w:rPr>
          <w:rFonts w:ascii="Times New Roman" w:hAnsi="Times New Roman"/>
          <w:noProof/>
          <w:sz w:val="24"/>
        </w:rPr>
        <w:t>Obiectivul acestei investiții este îmbunătățirea integrării femeilor pe piața forței de muncă, fiind în concordanță cu multe alte măsuri din cadrul planului de promovare a echilibrului de gen. Acesta cuprinde următoarele acțiuni:</w:t>
      </w:r>
    </w:p>
    <w:p>
      <w:pPr>
        <w:numPr>
          <w:ilvl w:val="0"/>
          <w:numId w:val="107"/>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Linie de sprijin pentru femeile din zonele rurale și urbane. Acesta acoperă acțiuni de formare în domeniul digital, al îngrijirii ecologice, al îngrijirii pe termen lung, al antreprenoriatului și al economiei sociale. Se organizează cereri de propuneri de granturi pentru entitățile publice și private responsabile cu furnizarea de formare. </w:t>
      </w:r>
    </w:p>
    <w:p>
      <w:pPr>
        <w:numPr>
          <w:ilvl w:val="0"/>
          <w:numId w:val="107"/>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Linie de sprijin pentru femeile victime ale violenței sau ale traficului de persoane. Aceasta acoperă căile de integrare pentru aceste femei, în două etape. În primele șase luni, participanții urmează parcursuri personalizate de incluziune socială, iar următoarele șase luni urmează o formare la locul de muncă cu angajamentul angajatorilor de a-i recruta ulterior. </w:t>
      </w:r>
    </w:p>
    <w:p>
      <w:pPr>
        <w:numPr>
          <w:ilvl w:val="0"/>
          <w:numId w:val="107"/>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Integrarea perspectivei de gen în politicile active privind piața forței de muncă. Acesta se referă la integrarea perspectivei de gen în toate elementele planurilor anuale de ocupare a forței de muncă ale SPOFM (atât la nivel central, cât și la nivel regional) pentru perioada 2021-2023. În acest scop, se angajează servicii de consultanță.</w:t>
      </w:r>
    </w:p>
    <w:p>
      <w:pPr>
        <w:spacing w:before="240" w:after="120" w:line="240" w:lineRule="auto"/>
        <w:jc w:val="both"/>
        <w:rPr>
          <w:rFonts w:ascii="Times New Roman" w:hAnsi="Times New Roman" w:cs="Times New Roman"/>
          <w:noProof/>
          <w:sz w:val="24"/>
          <w:szCs w:val="24"/>
        </w:rPr>
      </w:pPr>
      <w:r>
        <w:rPr>
          <w:rFonts w:ascii="Times New Roman" w:hAnsi="Times New Roman"/>
          <w:noProof/>
          <w:sz w:val="24"/>
          <w:szCs w:val="24"/>
        </w:rPr>
        <w:t>Punerea în aplicare a investiției se finalizează până la 31 decembrie 2025.</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Investiția 3 (C23.I3) - Noi competențe pentru tranziția verde, digitală și productivă</w:t>
      </w:r>
    </w:p>
    <w:p>
      <w:pPr>
        <w:spacing w:before="120" w:after="120" w:line="240" w:lineRule="auto"/>
        <w:jc w:val="both"/>
        <w:rPr>
          <w:rFonts w:ascii="Times New Roman" w:hAnsi="Times New Roman" w:cs="Times New Roman"/>
          <w:noProof/>
          <w:sz w:val="24"/>
        </w:rPr>
      </w:pPr>
      <w:r>
        <w:rPr>
          <w:rFonts w:ascii="Times New Roman" w:hAnsi="Times New Roman"/>
          <w:noProof/>
          <w:sz w:val="24"/>
        </w:rPr>
        <w:t>Această investiție cuprinde diferite inițiative de formare cu scopul de a recalifica lucrătorii expuși riscului de strămutare. Acesta este alcătuit din următoarele linii de acțiune:</w:t>
      </w:r>
    </w:p>
    <w:p>
      <w:pPr>
        <w:numPr>
          <w:ilvl w:val="0"/>
          <w:numId w:val="108"/>
        </w:numPr>
        <w:spacing w:before="120" w:after="160" w:line="240" w:lineRule="auto"/>
        <w:contextualSpacing/>
        <w:jc w:val="both"/>
        <w:rPr>
          <w:rFonts w:ascii="Times New Roman" w:hAnsi="Times New Roman" w:cs="Times New Roman"/>
          <w:noProof/>
        </w:rPr>
      </w:pPr>
      <w:r>
        <w:rPr>
          <w:rFonts w:ascii="Times New Roman" w:hAnsi="Times New Roman"/>
          <w:noProof/>
          <w:sz w:val="24"/>
          <w:szCs w:val="24"/>
        </w:rPr>
        <w:t>Cereri de propuneri de granturi pentru dobândirea de noi competențe pentru transformarea digitală, ecologică și productivă. Aceasta vizează lucrătorii din sectorul turismului, șomerii și persoanele care fac obiectul ERTE. Acțiunile de formare au o durată medie de 65 de ore.</w:t>
      </w:r>
    </w:p>
    <w:p>
      <w:pPr>
        <w:numPr>
          <w:ilvl w:val="0"/>
          <w:numId w:val="108"/>
        </w:numPr>
        <w:spacing w:before="120" w:after="160" w:line="240" w:lineRule="auto"/>
        <w:contextualSpacing/>
        <w:jc w:val="both"/>
        <w:rPr>
          <w:rFonts w:ascii="Times New Roman" w:hAnsi="Times New Roman" w:cs="Times New Roman"/>
          <w:noProof/>
        </w:rPr>
      </w:pPr>
      <w:r>
        <w:rPr>
          <w:rFonts w:ascii="Times New Roman" w:hAnsi="Times New Roman"/>
          <w:noProof/>
          <w:sz w:val="24"/>
          <w:szCs w:val="24"/>
        </w:rPr>
        <w:t>Vouchere de formare pentru dobândirea de noi competențe pentru transformarea digitală, ecologică și productivă. Aceasta vizează aceleași tipuri de lucrători ca și linia de acțiune anterioară, dar, în acest caz, beneficiarul primește o subvenție directă în scopul formării competențelor relevante pentru sectoarele ecologice, digitale și alte sectoare strategice.</w:t>
      </w:r>
    </w:p>
    <w:p>
      <w:pPr>
        <w:numPr>
          <w:ilvl w:val="0"/>
          <w:numId w:val="108"/>
        </w:numPr>
        <w:spacing w:before="120" w:after="160" w:line="240" w:lineRule="auto"/>
        <w:contextualSpacing/>
        <w:jc w:val="both"/>
        <w:rPr>
          <w:rFonts w:ascii="Times New Roman" w:hAnsi="Times New Roman" w:cs="Times New Roman"/>
          <w:noProof/>
        </w:rPr>
      </w:pPr>
      <w:r>
        <w:rPr>
          <w:rFonts w:ascii="Times New Roman" w:hAnsi="Times New Roman"/>
          <w:noProof/>
          <w:sz w:val="24"/>
          <w:szCs w:val="24"/>
        </w:rPr>
        <w:t>Detectarea nevoilor în materie de competențe. O cercetare bazată pe o anchetă efectuată în cel puțin 23 sectoare de producție oferă răspunsuri eficace la cererile de formare și recalificare pe piața muncii, inclusiv competențe în tranziția digitală și tranziția verde. De asemenea, aceasta va anticipa schimbările și va răspunde cererii potențiale de forță de muncă calificată.</w:t>
      </w:r>
    </w:p>
    <w:p>
      <w:pPr>
        <w:spacing w:before="24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Punerea în aplicare a investiției se finalizează până la 31 decembrie 2025. </w:t>
      </w:r>
    </w:p>
    <w:p>
      <w:pPr>
        <w:keepNext/>
        <w:spacing w:before="120" w:after="120" w:line="240" w:lineRule="auto"/>
        <w:jc w:val="both"/>
        <w:rPr>
          <w:rFonts w:ascii="Times New Roman" w:hAnsi="Times New Roman" w:cs="Times New Roman"/>
          <w:noProof/>
          <w:sz w:val="24"/>
        </w:rPr>
      </w:pPr>
      <w:r>
        <w:rPr>
          <w:rFonts w:ascii="Times New Roman" w:hAnsi="Times New Roman"/>
          <w:noProof/>
          <w:sz w:val="24"/>
          <w:u w:val="single"/>
        </w:rPr>
        <w:t>Investiția 4 (C23.I4) - Proiecte teritoriale noi pentru reechilibrare și capitaluri proprii</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Această investiție finanțează cel puțin 68 de noi proiecte teritoriale cu obiectivul de a aborda provocarea demografică și de a facilita transformarea productivă, în special către o economie verde și digitală. În fiecare regiune autonomă a țării se pun în aplicare cel puțin patru proiecte. </w:t>
      </w:r>
    </w:p>
    <w:p>
      <w:pPr>
        <w:spacing w:before="120" w:after="120" w:line="240" w:lineRule="auto"/>
        <w:jc w:val="both"/>
        <w:rPr>
          <w:rFonts w:ascii="Times New Roman" w:hAnsi="Times New Roman" w:cs="Times New Roman"/>
          <w:noProof/>
          <w:sz w:val="24"/>
        </w:rPr>
      </w:pPr>
      <w:r>
        <w:rPr>
          <w:rFonts w:ascii="Times New Roman" w:hAnsi="Times New Roman"/>
          <w:noProof/>
          <w:sz w:val="24"/>
        </w:rPr>
        <w:t>Acesta cuprinde două tipuri de proiecte:</w:t>
      </w:r>
    </w:p>
    <w:p>
      <w:pPr>
        <w:numPr>
          <w:ilvl w:val="0"/>
          <w:numId w:val="109"/>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Proiecte teritoriale pentru grupurile vulnerabile. Aceste proiecte vizează șomerii de lungă durată, care urmează itinerarii personalizate și individualizate în care sunt integrate diferite acțiuni, cum ar fi: orientare și însoțire, programe de orientare, asistență din partea echipelor de căutare a unui loc de muncă, burse de formare și de conciliere, ajutor pentru angajare și monitorizarea acțiunilor. </w:t>
      </w:r>
    </w:p>
    <w:p>
      <w:pPr>
        <w:numPr>
          <w:ilvl w:val="0"/>
          <w:numId w:val="109"/>
        </w:numPr>
        <w:spacing w:before="120" w:after="160" w:line="240" w:lineRule="auto"/>
        <w:contextualSpacing/>
        <w:jc w:val="both"/>
        <w:rPr>
          <w:rFonts w:ascii="Times New Roman" w:hAnsi="Times New Roman" w:cs="Times New Roman"/>
          <w:noProof/>
        </w:rPr>
      </w:pPr>
      <w:r>
        <w:rPr>
          <w:rFonts w:ascii="Times New Roman" w:hAnsi="Times New Roman"/>
          <w:noProof/>
          <w:sz w:val="24"/>
          <w:szCs w:val="24"/>
        </w:rPr>
        <w:t xml:space="preserve">Proiecte de antreprenoriat și de microîntreprindere. Aceste proiecte abordează provocarea demografică și facilitează transformarea productivă, în special către o economie verde și digitală. Printre inițiativele care urmează să fie finanțate se numără proiectele de formare agrară, dezvoltarea locală durabilă, inițiativele economiei sociale pentru acțiuni culturale și artistice, tranziția ecologică, inițiativele de dezvoltare locală, turismul rural și patrimoniul artistic, printre altele. Un proiect poate finanța acțiuni precum: antreprenoriatul social și liber-profesioniștii, studiile privind piața muncii, agenții locali de promovare și dezvoltare, sprijinul pentru înființarea de cooperative sau microîntreprinderi, crearea de rețele, participarea la conferințe și acțiuni de diseminare. </w:t>
      </w:r>
    </w:p>
    <w:p>
      <w:pPr>
        <w:spacing w:before="240" w:after="120" w:line="240" w:lineRule="auto"/>
        <w:jc w:val="both"/>
        <w:rPr>
          <w:rFonts w:ascii="Times New Roman" w:hAnsi="Times New Roman" w:cs="Times New Roman"/>
          <w:noProof/>
          <w:sz w:val="24"/>
        </w:rPr>
      </w:pPr>
      <w:r>
        <w:rPr>
          <w:rFonts w:ascii="Times New Roman" w:hAnsi="Times New Roman"/>
          <w:noProof/>
          <w:sz w:val="24"/>
        </w:rPr>
        <w:t xml:space="preserve">Punerea în aplicare a investiției se finalizează până la 31 decembrie 2023.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Investiții 5 (C23.I5) - Guvernanța și stimularea politicilor de sprijinire a activării</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Această măsură are ca obiectiv consolidarea serviciilor publice de ocupare a forței de muncă și îmbunătățirea eficienței politicilor active în domeniul pieței forței de muncă. În acest scop, programul prevede crearea unei rețele de 20 de centre de orientare, antreprenoriat și inovare pentru ocuparea forței de muncă. Acestea vor fi dispersate în întreaga țară (un centru la nivelul administrației centrale și un alt centru în fiecare teritoriu autonom, inclusiv Ceuta și Melilla), cu misiunea de a îmbunătăți coordonarea SPOFM între regiuni.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În plus, se are în vedere un set de acțiuni de formare continuă pentru angajații serviciilor publice de ocupare a forței de muncă, oferindu-le în medie 14 000 de acțiuni de formare pe an. Formarea urmează să fie organizată în module cu o durată medie de 30 ore și, în medie, fiecare angajat participă la un modul pe an în perioada 2021-2023.</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Punerea în aplicare a investiției se finalizează până la 31 decembrie 2023.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Investiția 6 (C23.I6) - Plan cuprinzător de stimulare a economiei sociale</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Această măsură sprijină proiectele inovatoare din domeniul economiei sociale cu obiectivul de a crea o structură economică mai favorabilă incluziunii și mai durabilă.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Acesta constă în dezvoltarea a cel puțin 30 de proiecte de economie socială în perioada 2021</w:t>
      </w:r>
      <w:r>
        <w:rPr>
          <w:rFonts w:ascii="Times New Roman" w:hAnsi="Times New Roman" w:cs="Times New Roman"/>
          <w:noProof/>
          <w:sz w:val="24"/>
        </w:rPr>
        <w:t>­</w:t>
      </w:r>
      <w:r>
        <w:rPr>
          <w:rFonts w:ascii="Times New Roman" w:hAnsi="Times New Roman"/>
          <w:noProof/>
          <w:sz w:val="24"/>
        </w:rPr>
        <w:t>2023 în următoarele domenii:</w:t>
      </w:r>
    </w:p>
    <w:p>
      <w:pPr>
        <w:numPr>
          <w:ilvl w:val="0"/>
          <w:numId w:val="110"/>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Crearea și menținerea locurilor de muncă pentru întreprinderi viabile aflate în dificultate sau fără reînnoire generațională, prin transformarea acestora în formule de întreprindere din economia socială (cooperative și întreprinderi de muncă), gestionate de lucrătorii lor.</w:t>
      </w:r>
    </w:p>
    <w:p>
      <w:pPr>
        <w:numPr>
          <w:ilvl w:val="0"/>
          <w:numId w:val="110"/>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Crearea și consolidarea unor entități inovatoare ale economiei sociale, cu impact asupra reînnoirii generațiilor și asupra antreprenoriatului în rândul tinerilor.</w:t>
      </w:r>
    </w:p>
    <w:p>
      <w:pPr>
        <w:numPr>
          <w:ilvl w:val="0"/>
          <w:numId w:val="110"/>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Digitalizarea întreprinderilor din economia socială prin crearea de platforme digitale menite să îmbunătățească bunăstarea cetățenilor din zonele rurale.</w:t>
      </w:r>
    </w:p>
    <w:p>
      <w:pPr>
        <w:numPr>
          <w:ilvl w:val="0"/>
          <w:numId w:val="110"/>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Crearea de rețele între cooperative, întreprinderi de muncă și alte forme de economie socială, însoțită de măsuri de consolidare a capacităților și de formare pentru a furniza societății noi servicii cuprinzătoare.</w:t>
      </w:r>
    </w:p>
    <w:p>
      <w:pPr>
        <w:numPr>
          <w:ilvl w:val="0"/>
          <w:numId w:val="110"/>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Promovarea tranzițiilor durabile și favorabile incluziunii ale întreprinderilor și grupurilor vulnerabile.</w:t>
      </w:r>
    </w:p>
    <w:p>
      <w:pPr>
        <w:spacing w:before="240" w:after="120" w:line="240" w:lineRule="auto"/>
        <w:jc w:val="both"/>
        <w:rPr>
          <w:rFonts w:ascii="Times New Roman" w:hAnsi="Times New Roman" w:cs="Times New Roman"/>
          <w:noProof/>
          <w:sz w:val="24"/>
        </w:rPr>
      </w:pPr>
      <w:r>
        <w:rPr>
          <w:rFonts w:ascii="Times New Roman" w:hAnsi="Times New Roman"/>
          <w:noProof/>
          <w:sz w:val="24"/>
        </w:rPr>
        <w:t xml:space="preserve">Punerea în aplicare a investiției se finalizează până la 31 decembrie 2023.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 xml:space="preserve">Investiția 7 (C23.I7) - Promovarea creșterii favorabile incluziunii prin corelarea politicilor de incluziune socială cu sistemul național de venit minim (IMV)  </w:t>
      </w:r>
    </w:p>
    <w:p>
      <w:pPr>
        <w:spacing w:before="120" w:after="120" w:line="240" w:lineRule="auto"/>
        <w:jc w:val="both"/>
        <w:rPr>
          <w:rFonts w:ascii="Times New Roman" w:hAnsi="Times New Roman" w:cs="Times New Roman"/>
          <w:noProof/>
          <w:sz w:val="24"/>
        </w:rPr>
      </w:pPr>
      <w:r>
        <w:rPr>
          <w:rFonts w:ascii="Times New Roman" w:hAnsi="Times New Roman"/>
          <w:noProof/>
          <w:sz w:val="24"/>
        </w:rPr>
        <w:t>Obiectivul acestei investiții este îmbunătățirea eficacității căilor de integrare pentru beneficiarii sistemului național de venit minim („IMV”) prin punerea în aplicare a cel puțin 18 proiecte-pilot. După finalizarea acestora, se efectuează o evaluare pentru a evalua gradul de acoperire, eficacitatea și succesul sistemelor de venit minim. Această evaluare include recomandări specifice de creștere a ratei de utilizare și de îmbunătățire a eficacității politicilor de incluziune socială. Această măsură este strâns legată de reforma 5 din cadrul componentei 22.</w:t>
      </w:r>
    </w:p>
    <w:p>
      <w:pPr>
        <w:spacing w:before="120" w:after="120" w:line="240" w:lineRule="auto"/>
        <w:jc w:val="both"/>
        <w:rPr>
          <w:rFonts w:ascii="Times New Roman" w:hAnsi="Times New Roman" w:cs="Times New Roman"/>
          <w:noProof/>
          <w:sz w:val="24"/>
        </w:rPr>
      </w:pPr>
      <w:r>
        <w:rPr>
          <w:rFonts w:ascii="Times New Roman" w:hAnsi="Times New Roman"/>
          <w:noProof/>
          <w:sz w:val="24"/>
        </w:rPr>
        <w:t>Pentru punerea în aplicare a proiectelor-pilot, Ministerul Incluziunii Sociale semnează acorduri de parteneriat cu administrațiile publice regionale și locale implicate, precum și cu legăturile dintre cel de-al treilea sector al acțiunii sociale și partenerii sociali. Aceste acorduri de parteneriat au ca obiective: i) îmbunătățirea ratei de utilizare a IMV; ii) creșterea eficacității IMV prin căi de integrare. Fiecare acord de parteneriat este însoțit de un plan de acțiune care definește cel puțin următoarele elemente:</w:t>
      </w:r>
    </w:p>
    <w:p>
      <w:pPr>
        <w:numPr>
          <w:ilvl w:val="0"/>
          <w:numId w:val="110"/>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Beneficiarii IMV care participă la proiectul-pilot.</w:t>
      </w:r>
    </w:p>
    <w:p>
      <w:pPr>
        <w:numPr>
          <w:ilvl w:val="0"/>
          <w:numId w:val="110"/>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Cele mai adecvate căi (care urmează să fie identificate pe baza lecțiilor învățate) și rezultatele/rezultatele conexe în materie de incluziune care urmează să fie obținute prin intervenție.</w:t>
      </w:r>
    </w:p>
    <w:p>
      <w:pPr>
        <w:numPr>
          <w:ilvl w:val="0"/>
          <w:numId w:val="110"/>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Cerința privind infrastructura de date: este nevoie nu numai de beneficiarii IMV, ci și de alți beneficiari ai programelor regionale pentru a conta pe grupuri de control bune.</w:t>
      </w:r>
    </w:p>
    <w:p>
      <w:pPr>
        <w:numPr>
          <w:ilvl w:val="0"/>
          <w:numId w:val="110"/>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Costurile unitare ale intervenției.</w:t>
      </w:r>
    </w:p>
    <w:p>
      <w:pPr>
        <w:numPr>
          <w:ilvl w:val="0"/>
          <w:numId w:val="110"/>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Planul de monitorizare pentru Ministerul Incluziunii în vederea evaluării îndeplinirii diferitelor obiective de etapă definite în plan.</w:t>
      </w:r>
    </w:p>
    <w:p>
      <w:pPr>
        <w:numPr>
          <w:ilvl w:val="0"/>
          <w:numId w:val="110"/>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Publicarea unei evaluări după finalizarea proiectului-pilot, cu constatări și lecții învățate.</w:t>
      </w:r>
    </w:p>
    <w:p>
      <w:pPr>
        <w:spacing w:before="240" w:after="120" w:line="240" w:lineRule="auto"/>
        <w:jc w:val="both"/>
        <w:rPr>
          <w:rFonts w:ascii="Times New Roman" w:hAnsi="Times New Roman" w:cs="Times New Roman"/>
          <w:noProof/>
          <w:sz w:val="24"/>
          <w:u w:val="single"/>
        </w:rPr>
      </w:pPr>
      <w:r>
        <w:rPr>
          <w:rFonts w:ascii="Times New Roman" w:hAnsi="Times New Roman"/>
          <w:noProof/>
          <w:sz w:val="24"/>
        </w:rPr>
        <w:t>Punerea în aplicare a investiției se finalizează până la 31 martie 2024.</w:t>
      </w:r>
    </w:p>
    <w:p>
      <w:pPr>
        <w:spacing w:before="120" w:after="120" w:line="240" w:lineRule="auto"/>
        <w:ind w:left="709"/>
        <w:jc w:val="both"/>
        <w:rPr>
          <w:rFonts w:ascii="Times New Roman" w:hAnsi="Times New Roman" w:cs="Times New Roman"/>
          <w:b/>
          <w:noProof/>
          <w:sz w:val="24"/>
          <w:u w:val="single"/>
        </w:rPr>
      </w:pPr>
      <w:r>
        <w:rPr>
          <w:rFonts w:ascii="Times New Roman" w:hAnsi="Times New Roman"/>
          <w:b/>
          <w:bCs/>
          <w:noProof/>
          <w:sz w:val="24"/>
          <w:u w:val="single"/>
        </w:rPr>
        <w:t xml:space="preserve">W.2. </w:t>
      </w:r>
      <w:r>
        <w:rPr>
          <w:rFonts w:ascii="Times New Roman" w:hAnsi="Times New Roman"/>
          <w:b/>
          <w:noProof/>
          <w:sz w:val="24"/>
          <w:u w:val="single"/>
        </w:rPr>
        <w:tab/>
      </w:r>
      <w:r>
        <w:rPr>
          <w:rFonts w:ascii="Times New Roman" w:hAnsi="Times New Roman"/>
          <w:b/>
          <w:bCs/>
          <w:noProof/>
          <w:sz w:val="24"/>
          <w:u w:val="single"/>
        </w:rPr>
        <w:t>Jaloane, ținte, indicatori și calendarul de monitorizare și implementare aplicabile sprijinului financiar nerambursabil</w:t>
      </w:r>
    </w:p>
    <w:p>
      <w:pPr>
        <w:spacing w:before="120" w:after="120" w:line="240" w:lineRule="auto"/>
        <w:jc w:val="both"/>
        <w:rPr>
          <w:rFonts w:ascii="Times New Roman" w:hAnsi="Times New Roman" w:cs="Times New Roman"/>
          <w:noProof/>
          <w:color w:val="1F497D"/>
        </w:rPr>
      </w:pPr>
      <w:r>
        <w:rPr>
          <w:rFonts w:ascii="Times New Roman" w:hAnsi="Times New Roman"/>
          <w:i/>
          <w:noProof/>
          <w:color w:val="000000"/>
          <w:sz w:val="24"/>
          <w:szCs w:val="24"/>
        </w:rPr>
        <w:t>Tabelul de mai jos.</w:t>
      </w:r>
      <w:r>
        <w:rPr>
          <w:rFonts w:ascii="Times New Roman" w:hAnsi="Times New Roman"/>
          <w:noProof/>
          <w:color w:val="1F497D"/>
          <w:sz w:val="24"/>
          <w:szCs w:val="24"/>
        </w:rPr>
        <w:t xml:space="preserve"> </w:t>
      </w:r>
      <w:r>
        <w:rPr>
          <w:rFonts w:ascii="Times New Roman" w:hAnsi="Times New Roman"/>
          <w:i/>
          <w:noProof/>
          <w:color w:val="000000"/>
          <w:sz w:val="24"/>
          <w:szCs w:val="24"/>
        </w:rPr>
        <w:t>Data de referință pentru toți indicatorii este 1 februarie 2020, cu excepția cazului în care se indică altfel în descrierea acțiunii. Sumele din tabel nu includ TVA.</w:t>
      </w:r>
    </w:p>
    <w:p>
      <w:pPr>
        <w:spacing w:before="120" w:after="120" w:line="240" w:lineRule="auto"/>
        <w:ind w:left="709"/>
        <w:jc w:val="both"/>
        <w:rPr>
          <w:rFonts w:ascii="Times New Roman" w:hAnsi="Times New Roman" w:cs="Times New Roman"/>
          <w:noProof/>
          <w:sz w:val="24"/>
          <w:lang w:val="en-IE"/>
        </w:rPr>
        <w:sectPr>
          <w:headerReference w:type="even" r:id="rId283"/>
          <w:headerReference w:type="default" r:id="rId284"/>
          <w:footerReference w:type="even" r:id="rId285"/>
          <w:footerReference w:type="default" r:id="rId286"/>
          <w:headerReference w:type="first" r:id="rId287"/>
          <w:footerReference w:type="first" r:id="rId288"/>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51"/>
        <w:gridCol w:w="851"/>
        <w:gridCol w:w="850"/>
        <w:gridCol w:w="2693"/>
        <w:gridCol w:w="1134"/>
        <w:gridCol w:w="851"/>
        <w:gridCol w:w="425"/>
        <w:gridCol w:w="709"/>
        <w:gridCol w:w="425"/>
        <w:gridCol w:w="567"/>
        <w:gridCol w:w="5954"/>
      </w:tblGrid>
      <w:tr>
        <w:trPr>
          <w:trHeight w:val="309"/>
          <w:tblHeader/>
        </w:trPr>
        <w:tc>
          <w:tcPr>
            <w:tcW w:w="851"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Număr</w:t>
            </w:r>
          </w:p>
        </w:tc>
        <w:tc>
          <w:tcPr>
            <w:tcW w:w="851"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Măsură</w:t>
            </w:r>
          </w:p>
        </w:tc>
        <w:tc>
          <w:tcPr>
            <w:tcW w:w="850"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Jalon</w:t>
            </w:r>
            <w:r>
              <w:rPr>
                <w:rFonts w:ascii="Times New Roman" w:hAnsi="Times New Roman"/>
                <w:b/>
                <w:noProof/>
                <w:color w:val="000000"/>
                <w:sz w:val="18"/>
                <w:szCs w:val="18"/>
              </w:rPr>
              <w:br/>
              <w:t xml:space="preserve"> /Țintă</w:t>
            </w:r>
          </w:p>
        </w:tc>
        <w:tc>
          <w:tcPr>
            <w:tcW w:w="2693"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Denumire</w:t>
            </w:r>
          </w:p>
        </w:tc>
        <w:tc>
          <w:tcPr>
            <w:tcW w:w="1134"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Indicator calitativ pentru obiectivele de etapă</w:t>
            </w:r>
          </w:p>
        </w:tc>
        <w:tc>
          <w:tcPr>
            <w:tcW w:w="1985" w:type="dxa"/>
            <w:gridSpan w:val="3"/>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Indicator cantitativ pentru obiectiv</w:t>
            </w:r>
          </w:p>
        </w:tc>
        <w:tc>
          <w:tcPr>
            <w:tcW w:w="992" w:type="dxa"/>
            <w:gridSpan w:val="2"/>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Timp</w:t>
            </w:r>
          </w:p>
        </w:tc>
        <w:tc>
          <w:tcPr>
            <w:tcW w:w="5954"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bCs/>
                <w:noProof/>
                <w:sz w:val="18"/>
                <w:szCs w:val="18"/>
              </w:rPr>
              <w:t>Descrierea fiecărui jalon și a fiecărei ținte</w:t>
            </w:r>
          </w:p>
        </w:tc>
      </w:tr>
      <w:tr>
        <w:trPr>
          <w:trHeight w:val="309"/>
          <w:tblHeader/>
        </w:trPr>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2693"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134"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Unitate</w:t>
            </w:r>
          </w:p>
        </w:tc>
        <w:tc>
          <w:tcPr>
            <w:tcW w:w="425"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Scenariu de bază</w:t>
            </w:r>
          </w:p>
        </w:tc>
        <w:tc>
          <w:tcPr>
            <w:tcW w:w="709"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Obiectiv</w:t>
            </w:r>
          </w:p>
        </w:tc>
        <w:tc>
          <w:tcPr>
            <w:tcW w:w="425"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Q</w:t>
            </w:r>
          </w:p>
        </w:tc>
        <w:tc>
          <w:tcPr>
            <w:tcW w:w="567"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An</w:t>
            </w:r>
          </w:p>
        </w:tc>
        <w:tc>
          <w:tcPr>
            <w:tcW w:w="5954"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lang w:val="en-IE"/>
              </w:rPr>
            </w:pP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329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C23.R1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două decrete-lege regale care reglementează munca la distanță în sectorul privat și în administrațiile publice</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Dispoziții din Decretul-lege regal privind intrarea în vigoare</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2020</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Cele două legi regale reglementează munca la distanță în sectorul privat și în administrațiile publice. Obiectivele legilor sunt: (i) să ofere un cadru de reglementare (RDL 28/2020) care să favorizeze introducerea muncii la distanță, menținând în același timp productivitatea întreprinderilor și oferind protecție și flexibilitate lucrătorilor; și (ii) reglementarea muncii la distanță în toate administrațiile publice (RDL 29/2020) ca o nouă modalitate de organizare și structurare a muncii, pentru a servi mai bine interesele generale și pentru a asigura funcționarea normală a administrațiilor publice.</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330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C23.R2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două regulamente privind egalitatea de remunerare între femei și bărbați și privind planurile de egalitate și înregistrarea acestora</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Dispoziții ale statutului la intrarea în vigoare</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Cele două regulamente se aplică egalității de remunerare între femei și bărbați, planurilor de egalitate și înregistrării acestora. Obiectivele regulamentelor sunt: (i) să asigure principiul transparenței salariale pentru a identifica discriminarea cauzată de evaluările incorecte ale locurilor de muncă; și (ii) să elaboreze planuri de egalitate și să asigure înregistrarea acestora într-un registru public.</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331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C23.R3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Decretului-lege regal privind protecția lucrătorilor care desfășoară activități de distribuție către terți prin mijloace tehnologice</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Dispoziții ale Decretului-lege regal privind intrarea în vigoare</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Q3</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Decretul-lege regal se referă la protecția lucrătorilor care desfășoară activități de distribuție către terți prin mijloace tehnologice. Obiectivele legii sunt de a garanta acestor persoane dreptul la un tratament echitabil și egal în ceea ce privește condițiile de muncă, dreptul de acces la protecție socială și formare și de a permite reprezentarea juridică a lucrătorilor să fie informată cu privire la normele conținute în algoritmii și sistemele de inteligență artificială care pot avea un impact asupra condițiilor de muncă care reglementează platformele, inclusiv asupra accesului și menținerii locurilor de muncă și a creării de profiluri.</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332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C23.R4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Modificarea Statutului lucrătorilor pentru a sprijini reducerea locurilor de muncă temporare prin raționalizarea numărului de tipuri de contracte</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Dispoziții ale modificării privind intrarea în vigoare</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Respectând dialogul social și ca parte a unei abordări cuprinzătoare care să asigure un echilibru între nevoia de flexibilitate și de securitate pe piața muncii, intrarea în vigoare a modificării dispozițiilor Decretului legislativ 2/2015 din 23 octombrie de aprobare a textului reformat al Statutului lucrătorilor pentru a sprijini reducerea locurilor de muncă temporare prin raționalizarea numărului de tipuri de contracte.</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333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C23.R5</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Intrarea în vigoare a Planului de acțiune pentru combaterea șomajului în rândul tinerilor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Dispoziții din planul de acțiune privind intrarea în vigoare</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Planul de acțiune va aborda problema șomajului în rândul tinerilor cu ocazia punerii în aplicare a Garanției UE pentru tineret Plus. Obiectivul Garanției pentru tineret este de a îmbunătăți și de a aprofunda coordonarea interinstituțională, de a consolida relația cu sectorul privat și cu autoritățile locale, de a îmbunătăți calitatea și caracterul adecvat al formării, de a căuta noi oportunități de angajare în sectoarele cu potențial de creștere, de a reduce părăsirea timpurie a școlii, de a menține și îmbunătăți sistemul de evaluare și monitorizare și de a consolida în continuare programele de orientare personalizate.</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334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C23.R5</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Decretul regal pentru o nouă strategie spaniolă de ocupare a forței de muncă 2021-2024</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Dispozițiile decretului regal privind intrarea în vigoare</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Respectarea dialogului social și ca parte a unei abordări cuprinzătoare care să echilibreze nevoia de flexibilitate și securitate pe piața forței de muncă, aprobarea de către Consiliul de Miniștri și intrarea în vigoare a unui decret regal pentru o nouă strategie spaniolă de ocupare a forței de muncă 2021-2024. Principalele obiective ale noii strategii sunt: </w:t>
            </w:r>
            <w:r>
              <w:rPr>
                <w:rFonts w:ascii="Times New Roman" w:hAnsi="Times New Roman"/>
                <w:noProof/>
                <w:color w:val="000000"/>
                <w:sz w:val="18"/>
                <w:szCs w:val="18"/>
              </w:rPr>
              <w:br/>
              <w:t>i) Abordarea centrată pe oameni și centrată pe întreprinderi: Politicile active de ocupare a forței de muncă sunt concepute în funcție de circumstanțele specifice fiecărei persoane și fiecărei întreprinderi.</w:t>
            </w:r>
            <w:r>
              <w:rPr>
                <w:rFonts w:ascii="Times New Roman" w:hAnsi="Times New Roman"/>
                <w:noProof/>
                <w:color w:val="000000"/>
                <w:sz w:val="18"/>
                <w:szCs w:val="18"/>
              </w:rPr>
              <w:br/>
              <w:t>ii) Coerența cu transformarea productivă: Politicile active de ocupare a forței de muncă permit tranzițiile profesionale care însoțesc trecerea modelului de producție la o economie verde și digitală.</w:t>
            </w:r>
            <w:r>
              <w:rPr>
                <w:rFonts w:ascii="Times New Roman" w:hAnsi="Times New Roman"/>
                <w:noProof/>
                <w:color w:val="000000"/>
                <w:sz w:val="18"/>
                <w:szCs w:val="18"/>
              </w:rPr>
              <w:br/>
              <w:t>iii) Orientare către rezultate: Politicile active de ocupare a forței de muncă sunt evaluate, monitorizate și încurajează eludarea rezultatelor.</w:t>
            </w:r>
            <w:r>
              <w:rPr>
                <w:rFonts w:ascii="Times New Roman" w:hAnsi="Times New Roman"/>
                <w:noProof/>
                <w:color w:val="000000"/>
                <w:sz w:val="18"/>
                <w:szCs w:val="18"/>
              </w:rPr>
              <w:br/>
              <w:t xml:space="preserve">iv) Îmbunătățirea capacităților serviciilor publice de ocupare a forței de muncă: Prin digitalizarea și modernizarea lor.  </w:t>
            </w:r>
            <w:r>
              <w:rPr>
                <w:rFonts w:ascii="Times New Roman" w:hAnsi="Times New Roman"/>
                <w:noProof/>
                <w:color w:val="000000"/>
                <w:sz w:val="18"/>
                <w:szCs w:val="18"/>
              </w:rPr>
              <w:br/>
              <w:t xml:space="preserve">guvernanța și coeziunea sistemului național de ocupare a forței de muncă în vederea îmbunătățirii coordonării la nivel național și regional și a părților interesate implicate în politicile active în domeniul muncii. </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335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C23.R5</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modificării Legii muncii (Decretul legislativ regal 3/2015)</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Dispoziție din amendamentul privind intrarea în vigoare</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Modificarea Legii muncii (Decretul regal legislativ 3/2015): (i) consolidarea politicilor și a instrumentelor de coordonare ale sistemului național de ocupare a forței de muncă; (ii) reformarea politicilor active în domeniul pieței forței de muncă; (iii) revizuirea guvernanței sistemului; (iv) consolidarea dimensiunii locale a politicii de ocupare a forței de muncă; și (v) să îndeplinească cerințele pentru punerea în aplicare a diferitelor măsuri prevăzute în cadrul Planului național pentru politici active de ocupare a forței de muncă.</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336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C23.R6</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Modificarea Statutului lucrătorilor pentru a institui un sistem de adaptare la șocurile ciclice și structurale, inclusiv un sistem care oferă flexibilitate internă întreprinderilor și stabilitate pentru lucrători</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Dispoziții ale modificării privind intrarea în vigoare</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Respectarea dialogului social și ca parte a unei abordări cuprinzătoare care să echilibreze nevoia de flexibilitate și securitate pe piața muncii și să asigure sustenabilitatea fiscală pe termen mediu și lung, intrarea în vigoare a dispozițiilor de modificare a Decretului legislativ regal 2/2015 din 23 octombrie de aprobare a textului reformat al Statutului lucrătorilor pentru a institui un sistem de adaptare la șocurile ciclice și structurale, inclusiv un sistem care să ofere flexibilitate internă întreprinderilor și stabilitate pentru lucrători, să sprijine perfecționarea și recalificarea angajaților din întreprinderile și sectoarele aflate în tranziție și să faciliteze mobilitatea voluntară a lucrătorilor (în cadrul și între întreprinderi). </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337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C23.R7</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reformei Legii nr. 43/2006 pentru a simplifica și a spori eficacitatea sistemului de stimulente pentru recrutare, ținând seama de recomandările emise de AIReF</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Dispoziție în cadrul reformei la intrarea în vigoare</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Reforma Legii nr. 43/2006 va simplifica și va spori eficacitatea sistemului de stimulente pentru recrutare, ținând seama de recomandările emise de Autoritatea Independentă pentru Responsabilitate Fiscală (AIReF) din Spania în raportul său din 2019 de revizuire a cheltuielilor: „Stimulente pentru recrutare”</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338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C23.R8</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Modificarea Statutului lucrătorilor pentru a îmbunătăți normele juridice care reglementează negocierile colective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Dispoziții ale modificării privind intrarea în vigoare</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Respectarea dialogului social și ca parte a unei abordări cuprinzătoare care să echilibreze nevoia de flexibilitate și de securitate pe piața muncii, intrarea în vigoare a modificării anumitor dispoziții ale Decretului regal legislativ 2/2015 din 23 octombrie de aprobare a textului reformat al Statutului lucrătorilor, în vederea îmbunătățirii normelor juridice care reglementează negocierile colective.</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339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C23.R9</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Modificarea statutului lucrătorilor pentru a îmbunătăți drepturile persoanelor care lucrează în societățile subcontractate</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Dispoziții ale modificării privind intrarea în vigoare</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Respectând dialogul social și ca parte a unei abordări cuprinzătoare care să asigure un echilibru între nevoia de flexibilitate și de securitate pe piața muncii, intrarea în vigoare a modificării dispozițiilor Decretului legislativ 2/2015 din 23 octombrie de aprobare a textului reformat al Statutului lucrătorilor pentru a îmbunătăți drepturile persoanelor care lucrează în întreprinderile subcontractate.</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340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C23.R10</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modificării Decretului-lege regal nr. 8/2015 de reformare a reglementării ajutorului pentru șomaj necontributiv</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Dispoziție din amendamentul privind intrarea în vigoare</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Reforma Decretului-lege regal nr. 8/2015 vizează reglementarea ajutorului de șomaj necontributiv, inclusiv următoarele obiective: (i) să extindă protecția împotriva șomajului; (ii) simplificarea sistemului; (iii) să coreleze prestația cu un itinerar de activare personalizat; (iv) să faciliteze tranziția către protecția socială atunci când beneficiarul nu se întoarce la locul de muncă și se află într-o situație vulnerabilă.</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341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C23.R11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Certificate de finalizare a serviciilor în cadrul contractelor de modernizare a serviciului public de ocupare a forței de muncă de stat</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Certificate de finalizare a serviciilor în temeiul contractelor (acte administrative)</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Certificate de finalizare a serviciilor în temeiul contractelor (acte administrative) pentru modernizarea Serviciului public de ocupare a forței de muncă de stat, prin îmbunătățirea sistemelor interne de gestionare, modernizarea locurilor de muncă și digitalizarea Serviciului de sprijin pentru cetățeni. Acesta va include:</w:t>
            </w:r>
            <w:r>
              <w:rPr>
                <w:rFonts w:ascii="Times New Roman" w:hAnsi="Times New Roman"/>
                <w:noProof/>
                <w:color w:val="000000"/>
                <w:sz w:val="18"/>
                <w:szCs w:val="18"/>
              </w:rPr>
              <w:br/>
              <w:t>Îmbunătățirea gestionării interne: Îmbunătățirea sistemelor de informații care sprijină sistemul de indemnizații de șomaj, precum și a celor care sprijină politicile de ocupare a forței de muncă.</w:t>
            </w:r>
            <w:r>
              <w:rPr>
                <w:rFonts w:ascii="Times New Roman" w:hAnsi="Times New Roman"/>
                <w:noProof/>
                <w:color w:val="000000"/>
                <w:sz w:val="18"/>
                <w:szCs w:val="18"/>
              </w:rPr>
              <w:br/>
              <w:t>Servicii digitale de ocupare a forței de muncă: Digitalizarea serviciilor publice furnizate cetățenilor și întreprinderilor și îmbunătățirea serviciilor pentru clienți.</w:t>
            </w:r>
            <w:r>
              <w:rPr>
                <w:rFonts w:ascii="Times New Roman" w:hAnsi="Times New Roman"/>
                <w:noProof/>
                <w:color w:val="000000"/>
                <w:sz w:val="18"/>
                <w:szCs w:val="18"/>
              </w:rPr>
              <w:br/>
              <w:t>Statistici și gestionarea datelor: Includerea unei gestionări adecvate a datelor, care să permită luarea de decizii, precum și publicarea de informații cu valoare ridicată pentru societate.</w:t>
            </w:r>
            <w:r>
              <w:rPr>
                <w:rFonts w:ascii="Times New Roman" w:hAnsi="Times New Roman"/>
                <w:noProof/>
                <w:color w:val="000000"/>
                <w:sz w:val="18"/>
                <w:szCs w:val="18"/>
              </w:rPr>
              <w:br/>
              <w:t>Modernizarea locurilor de muncă și a infrastructurilor.</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342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C23.I1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Persoane care au finalizat programele pentru tineret.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18 300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2025</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Cel puțin 18 300 de persoane au finalizat programele pentru tineret, având în vedere că 21 900 de persoane s-au înscris. </w:t>
            </w:r>
            <w:r>
              <w:rPr>
                <w:rFonts w:ascii="Times New Roman" w:hAnsi="Times New Roman"/>
                <w:noProof/>
                <w:color w:val="000000"/>
                <w:sz w:val="18"/>
                <w:szCs w:val="18"/>
              </w:rPr>
              <w:br/>
              <w:t>Acest obiectiv se bazează pe trei programe:</w:t>
            </w:r>
            <w:r>
              <w:rPr>
                <w:rFonts w:ascii="Times New Roman" w:hAnsi="Times New Roman"/>
                <w:noProof/>
                <w:color w:val="000000"/>
                <w:sz w:val="18"/>
                <w:szCs w:val="18"/>
              </w:rPr>
              <w:br/>
              <w:t>• Program în tandem. Obiectiv: dobândirea competenței profesionale prin formare în alternanță cu locul de muncă. Având în vedere că cel puțin 25 % din program s-a axat pe competențele legate de climă, iar 25 % din program s-a axat pe competențele digitale.</w:t>
            </w:r>
            <w:r>
              <w:rPr>
                <w:rFonts w:ascii="Times New Roman" w:hAnsi="Times New Roman"/>
                <w:noProof/>
                <w:color w:val="000000"/>
                <w:sz w:val="18"/>
                <w:szCs w:val="18"/>
              </w:rPr>
              <w:br/>
              <w:t>• Primul program de experiență. Obiectiv: facilitarea unei prime experiențe profesionale legate de o calificare. Având în vedere că cel puțin 20 % din program s-a axat pe competențele legate de climă, iar 20 % din program s-a axat pe competențele digitale.</w:t>
            </w:r>
            <w:r>
              <w:rPr>
                <w:rFonts w:ascii="Times New Roman" w:hAnsi="Times New Roman"/>
                <w:noProof/>
                <w:color w:val="000000"/>
                <w:sz w:val="18"/>
                <w:szCs w:val="18"/>
              </w:rPr>
              <w:br/>
              <w:t xml:space="preserve">• Programul „Investigo”. Obiectiv: furnizarea de lucrări legate de dezvoltarea unui proiect de cercetare. </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343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C23.I2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Persoane care au finalizat programul „</w:t>
            </w:r>
            <w:r>
              <w:rPr>
                <w:rFonts w:ascii="Times New Roman" w:hAnsi="Times New Roman"/>
                <w:i/>
                <w:noProof/>
                <w:color w:val="000000"/>
                <w:sz w:val="18"/>
                <w:szCs w:val="18"/>
              </w:rPr>
              <w:t>Plan Emilio Mujer, rural and Urban areas</w:t>
            </w:r>
            <w:r>
              <w:rPr>
                <w:rFonts w:ascii="Times New Roman" w:hAnsi="Times New Roman"/>
                <w:noProof/>
                <w:color w:val="000000"/>
                <w:sz w:val="18"/>
                <w:szCs w:val="18"/>
              </w:rPr>
              <w:t>” și „Victimele violenței de gen și ale traficului uman”</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23 200</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2025</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Cel puțin 23 200 de persoane au finalizat programul „</w:t>
            </w:r>
            <w:r>
              <w:rPr>
                <w:rFonts w:ascii="Times New Roman" w:hAnsi="Times New Roman"/>
                <w:i/>
                <w:noProof/>
                <w:color w:val="000000"/>
                <w:sz w:val="18"/>
                <w:szCs w:val="18"/>
              </w:rPr>
              <w:t>Plan Emilio Mujer, Rural and Urban areas</w:t>
            </w:r>
            <w:r>
              <w:rPr>
                <w:rFonts w:ascii="Times New Roman" w:hAnsi="Times New Roman"/>
                <w:noProof/>
                <w:color w:val="000000"/>
                <w:sz w:val="18"/>
                <w:szCs w:val="18"/>
              </w:rPr>
              <w:t>” și „Victimele violenței de gen și traficul uman”, având în vedere 29 000 de persoane înscrise. Acest program implică un itinerar personal și integrat de orientare, consiliere și acțiuni de formare adaptate la profilul de ocupare a forței de muncă al femeilor participante. Formarea oferită este legată de locuri de muncă cu perspective teritoriale bune, derivate din nevoile pieței forței de muncă rurale și urbane în care este dezvoltat programul și vizează dobândirea unei calificări care să sporească capacitatea de inserție profesională a participanților și posibilitățile acestora de a avea acces la locuri de muncă decente, consolidând, în același timp, dezvoltarea productivă a zonelor rurale, combătând disparitatea de gen și sporind permanența femeilor în teritoriu. Având în vedere că cel puțin 35 % din program s-a axat pe competențele legate de climă, iar 35 % din program s-a axat pe competențele digitale.</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344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C23.I3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Persoane care au absolvit programe de formare în vederea dobândirii de competențe pentru transformarea digitală, ecologică și productivă</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825 000</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2025</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Cel puțin 825 000 de persoane au absolvit programe de formare în vederea dobândirii de competențe pentru transformarea digitală, ecologică și productivă, având în vedere 975 000 de persoane înscrise. Formarea se axează pe sectorul turismului, pe alte sectoare strategice de interes național, pe lucrătorii care fac obiectul ERTE și pe lucrătorii care beneficiază de formare în materie de microcredite. Având în vedere că cel puțin 30 % din program s-a axat pe competențele legate de climă, iar 30 % din program s-a axat pe competențele digitale. </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345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C23.I4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Aprobarea alocării regionale de fonduri pentru proiecte teritoriale destinate grupurilor vulnerabile, antreprenoriatului și microîntreprinderilor.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Proces-verbal de referință al Conferinței sectoriale privind ocuparea forței de muncă </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Q3</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Aprobarea, în cadrul Conferinței sectoriale privind ocuparea forței de muncă, a alocării regionale de fonduri pentru proiecte teritoriale destinate grupurilor vulnerabile și proiectelor teritoriale pentru antreprenoriat și microîntreprinderi, cum ar fi dezvoltarea de proiecte de promovare a antreprenoriatului, inițiative de dezvoltare locală, inițiative de economie socială și noi proiecte teritoriale care facilitează transformarea producției, în special către o economie verde și digitală. </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346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C23.I4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Au fost finalizate proiecte teritoriale pentru grupurile vulnerabile, antreprenoriat și microîntreprinderi, care implică cel puțin 39 000 de lucrători și 64 000 de întreprinderi.</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68</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Au fost finalizate cel puțin 68 de proiecte teritoriale pentru grupuri vulnerabile și proiecte teritoriale pentru antreprenoriat și microîntreprinderi, implicând aproximativ 39 000 de lucrători și 64 000 de întreprinderi vizate.</w:t>
            </w:r>
            <w:r>
              <w:rPr>
                <w:rFonts w:ascii="Times New Roman" w:hAnsi="Times New Roman"/>
                <w:noProof/>
                <w:color w:val="000000"/>
                <w:sz w:val="18"/>
                <w:szCs w:val="18"/>
              </w:rPr>
              <w:br/>
              <w:t>Proiectele teritoriale pentru grupurile vulnerabile sunt dezvoltate prin itinerarii personalizate și individualizate în care sunt integrate diferite acțiuni, cum ar fi: orientare și însoțire, programe de orientare, asistență din partea echipelor de căutare a unui loc de muncă, burse de formare și de conciliere, ajutor pentru angajare și monitorizarea acțiunilor.</w:t>
            </w:r>
            <w:r>
              <w:rPr>
                <w:rFonts w:ascii="Times New Roman" w:hAnsi="Times New Roman"/>
                <w:noProof/>
                <w:color w:val="000000"/>
                <w:sz w:val="18"/>
                <w:szCs w:val="18"/>
              </w:rPr>
              <w:br/>
              <w:t>Proiectele de antreprenoriat și de microîntreprindere abordează provocarea demografică și facilitează transformarea productivă, în special către o economie verde și digitală, prin intermediul proiectelor de formare agrară, al dezvoltării locale durabile, al inițiativelor economiei sociale pentru acțiuni culturale și artistice, al tranziției ecologice, al inițiativelor de dezvoltare locală, al turismului rural și al patrimoniului artistic, printre altele. Aceste proiecte includ, printre alte acțiuni: antreprenoriatul social și liber-profesioniștii, studiul pieței muncii, agenții locali de promovare și dezvoltare, ajutor pentru înființarea de cooperative sau microîntreprinderi, crearea de rețele, participarea la conferințe, acțiuni de diseminare.</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347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C23.I5</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Centrele publice de orientare, antreprenoriat, sprijin și inovare pentru noi locuri de muncă sunt pe deplin operaționale.</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Cel puțin 20 centre publice de orientare, antreprenoriat, sprijin și inovare pentru noi locuri de muncă sunt pe deplin operaționale.</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348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C23.I5</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Acțiuni de formare pentru personalul SPOFM</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42 000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Cel puțin 42 000 de acțiuni de formare pentru personalul SPOFM au fost finalizate cu scopul de a-și îmbunătăți competențele și de a oferi un sprijin mai eficace persoanelor aflate în căutarea unui loc de muncă.</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349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C23.I6</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Proiecte de economie socială finalizate</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Au fost finalizate cel puțin 30 de proiecte de economie socială care sprijină: (a) crearea și menținerea locurilor de muncă pentru întreprinderile viabile aflate în dificultate sau fără reînnoire generațională, prin transformarea acestora în formule de afaceri ale economiei sociale (cooperative și societăți de muncă), gestionate de lucrătorii lor bărbați și femei; (b) crearea și consolidarea unor entități inovatoare ale economiei sociale, cu impact asupra reînnoirii generațiilor și asupra antreprenoriatului în rândul tinerilor; (c) digitalizarea întreprinderilor din economia socială prin crearea de platforme digitale menite să îmbunătățească bunăstarea cetățenilor din zonele rurale; (d) crearea de rețele între cooperative, întreprinderi de muncă și alte forme de economie socială, însoțită de măsuri de consolidare a capacităților și de formare pentru a furniza societății noi servicii cuprinzătoare; și (e) promovarea tranzițiilor durabile și favorabile incluziunii ale întreprinderilor și grupurilor vulnerabile.</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350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C23.I7</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Îmbunătățirea ratei de utilizare a venitului social minim („IMV”) și creșterea eficacității acestuia prin politici de incluziune</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Publicarea acordului de asociere (denumită în continuare „</w:t>
            </w:r>
            <w:r>
              <w:rPr>
                <w:rFonts w:ascii="Times New Roman" w:hAnsi="Times New Roman"/>
                <w:i/>
                <w:noProof/>
                <w:color w:val="000000"/>
                <w:sz w:val="18"/>
                <w:szCs w:val="18"/>
              </w:rPr>
              <w:t>Convenio</w:t>
            </w:r>
            <w:r>
              <w:rPr>
                <w:rFonts w:ascii="Times New Roman" w:hAnsi="Times New Roman"/>
                <w:noProof/>
                <w:color w:val="000000"/>
                <w:sz w:val="18"/>
                <w:szCs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Sprijinirea incluziunii socioeconomice a beneficiarilor IMV prin intermediul unor căi: opt acorduri de parteneriat semnate cu administrațiile publice de la nivel subnațional, cu agenții sociali și cu entitățile de acțiune socială din sectorul terțiar pentru realizarea parcursurilor. Aceste acorduri de parteneriat au ca obiective: i) îmbunătățirea ratei de utilizare a IMV; ii) creșterea eficacității IMV prin politici de incluziune.</w:t>
            </w:r>
          </w:p>
        </w:tc>
      </w:tr>
      <w:tr>
        <w:trPr>
          <w:trHeight w:val="309"/>
        </w:trPr>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351</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C23.I7</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693"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Evaluare pentru a evalua gradul de acoperire, eficacitatea și succesul sistemelor de venit minim</w:t>
            </w:r>
          </w:p>
        </w:tc>
        <w:tc>
          <w:tcPr>
            <w:tcW w:w="113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Publicarea evaluării</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Q1</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2024</w:t>
            </w:r>
          </w:p>
        </w:tc>
        <w:tc>
          <w:tcPr>
            <w:tcW w:w="5954"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După finalizarea a cel puțin 18 proiecte-pilot, lansarea unei evaluări pentru a evalua gradul de acoperire, eficacitatea și succesul sistemelor de venit minim, inclusiv recomandări specifice de creștere a ratei de utilizare și de îmbunătățire a eficacității politicilor de incluziune socială.</w:t>
            </w:r>
          </w:p>
        </w:tc>
      </w:tr>
    </w:tbl>
    <w:p>
      <w:pPr>
        <w:spacing w:before="120" w:after="120" w:line="240" w:lineRule="auto"/>
        <w:ind w:left="709"/>
        <w:jc w:val="both"/>
        <w:rPr>
          <w:rFonts w:ascii="Times New Roman" w:hAnsi="Times New Roman" w:cs="Times New Roman"/>
          <w:noProof/>
          <w:sz w:val="24"/>
          <w:szCs w:val="24"/>
        </w:rPr>
        <w:sectPr>
          <w:headerReference w:type="even" r:id="rId289"/>
          <w:headerReference w:type="default" r:id="rId290"/>
          <w:footerReference w:type="even" r:id="rId291"/>
          <w:footerReference w:type="default" r:id="rId292"/>
          <w:headerReference w:type="first" r:id="rId293"/>
          <w:footerReference w:type="first" r:id="rId294"/>
          <w:pgSz w:w="16839" w:h="11907" w:orient="landscape"/>
          <w:pgMar w:top="1417" w:right="1134" w:bottom="1417" w:left="1134" w:header="709" w:footer="709" w:gutter="0"/>
          <w:cols w:space="720"/>
          <w:docGrid w:linePitch="360"/>
        </w:sectPr>
      </w:pPr>
    </w:p>
    <w:p>
      <w:pPr>
        <w:pStyle w:val="Heading1"/>
        <w:rPr>
          <w:noProof/>
        </w:rPr>
      </w:pPr>
      <w:r>
        <w:rPr>
          <w:noProof/>
        </w:rPr>
        <w:t>X. COMPONENTA 24: Industria culturală</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Industria culturală joacă un rol important în economia spaniolă, reprezentând 3,2 % din PIB-ul țării, precum și 3,6 % din totalul locurilor de muncă din această țară înainte de pandemia de COVID-19. În plus, aceasta are o valoare indispensabilă pentru societate, după cum o demonstrează nivelul ridicat de participare culturală a populației spaniole înainte de pandemie. Cu toate acestea, industria suferă de o serie de caracteristici structurale care i-au împiedicat să își valorifice întregul potențial și l-au făcut deosebit de vulnerabil în perioade de criză.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În acest context, componenta 24 a planului spaniol de redresare și reziliență include reforme și investiții menite să reformeze cadrul de lucru al artiștilor și să consolideze și să modernizeze mediul de afaceri cultural.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Componenta abordează recomandările specifice fiecărei țări privind promovarea investițiilor pentru susținerea economiei și sprijinirea redresării în urma pandemiei de COVID-19 (recomandarea specifică țării 1 din 2020) și privind sprijinirea ocupării forței de muncă, consolidarea protecției împotriva șomajului și îmbunătățirea accesului la învățarea digitală (recomandarea specifică țării 2 din 2020). </w:t>
      </w:r>
    </w:p>
    <w:p>
      <w:pPr>
        <w:spacing w:before="120" w:after="120" w:line="240" w:lineRule="auto"/>
        <w:jc w:val="both"/>
        <w:rPr>
          <w:rFonts w:ascii="Times New Roman" w:hAnsi="Times New Roman" w:cs="Times New Roman"/>
          <w:noProof/>
          <w:sz w:val="24"/>
        </w:rPr>
      </w:pPr>
      <w:r>
        <w:rPr>
          <w:rFonts w:ascii="Times New Roman" w:hAnsi="Times New Roman"/>
          <w:noProof/>
          <w:color w:val="000000" w:themeColor="text1"/>
          <w:sz w:val="24"/>
          <w:szCs w:val="24"/>
        </w:rPr>
        <w:t>Se preconizează că nicio măsură din cadrul acestei componente nu aduce prejudicii semnificative obiectivelor de mediu în sensul articolului 17 din Regulamentul (UE) 2020/852, ținând seama de descrierea măsurilor și a măsurilor de atenuare stabilite în planul de redresare și reziliență în conformitate cu Orientările tehnice DNSH (2021/C58/01).</w:t>
      </w:r>
    </w:p>
    <w:p>
      <w:pPr>
        <w:spacing w:before="120" w:after="120" w:line="240" w:lineRule="auto"/>
        <w:jc w:val="both"/>
        <w:rPr>
          <w:rFonts w:ascii="Times New Roman" w:hAnsi="Times New Roman" w:cs="Times New Roman"/>
          <w:b/>
          <w:i/>
          <w:noProof/>
          <w:color w:val="4F81BD" w:themeColor="accent1"/>
          <w:sz w:val="24"/>
        </w:rPr>
      </w:pPr>
      <w:r>
        <w:rPr>
          <w:rFonts w:ascii="Times New Roman" w:hAnsi="Times New Roman"/>
          <w:b/>
          <w:bCs/>
          <w:noProof/>
          <w:sz w:val="24"/>
          <w:u w:val="single"/>
        </w:rPr>
        <w:t xml:space="preserve">X.1. </w:t>
      </w:r>
      <w:r>
        <w:rPr>
          <w:rFonts w:ascii="Times New Roman" w:hAnsi="Times New Roman"/>
          <w:b/>
          <w:noProof/>
          <w:sz w:val="24"/>
          <w:u w:val="single"/>
        </w:rPr>
        <w:tab/>
      </w:r>
      <w:r>
        <w:rPr>
          <w:rFonts w:ascii="Times New Roman" w:hAnsi="Times New Roman"/>
          <w:b/>
          <w:bCs/>
          <w:noProof/>
          <w:sz w:val="24"/>
          <w:u w:val="single"/>
        </w:rPr>
        <w:t>Descrierea reformelor și a investițiilor pentru care se prevede acordarea sprijinului financiar nerambursabil</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Reforma 1 (C24.R1) - Dezvoltarea statutului artistului și promovarea investițiilor, a sponsorizării culturale și a participării</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Această reformă urmărește să abordeze provocarea care decurge din faptul că reglementările existente în domeniul muncii și al fiscalității nu țin seama de particularitățile sectorului cultural (cum ar fi modelele de venit și de muncă neregulate) și de necesitatea de a atrage finanțare privată dincolo de sprijinul public.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Reforma trebuie să dezvolte un cadru juridic, fiscal și de muncă adecvat pentru sectorul cultural, pentru a îmbunătăți protecția socială a diferiților actori din sector, precum și pentru a spori atractivitatea investițiilor private.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Această reformă aprobă modificările de reglementare pentru punerea în aplicare a statutului artistului, inclusiv modificările de reglementare privind următoarele aspecte:  </w:t>
      </w:r>
    </w:p>
    <w:p>
      <w:pPr>
        <w:numPr>
          <w:ilvl w:val="0"/>
          <w:numId w:val="111"/>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caracterul adecvat al TVA-ului și al impozitului pe venitul persoanelor fizice;</w:t>
      </w:r>
    </w:p>
    <w:p>
      <w:pPr>
        <w:numPr>
          <w:ilvl w:val="0"/>
          <w:numId w:val="111"/>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 xml:space="preserve">reprezentativitatea sindicală; </w:t>
      </w:r>
    </w:p>
    <w:p>
      <w:pPr>
        <w:numPr>
          <w:ilvl w:val="0"/>
          <w:numId w:val="111"/>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 xml:space="preserve">sănătatea și relațiile speciale de muncă ale artiștilor în cariera publică; </w:t>
      </w:r>
    </w:p>
    <w:p>
      <w:pPr>
        <w:numPr>
          <w:ilvl w:val="0"/>
          <w:numId w:val="111"/>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 xml:space="preserve">reglementarea sponsorizărilor; </w:t>
      </w:r>
    </w:p>
    <w:p>
      <w:pPr>
        <w:numPr>
          <w:ilvl w:val="0"/>
          <w:numId w:val="111"/>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 xml:space="preserve">regimul stimulentelor fiscale. </w:t>
      </w:r>
    </w:p>
    <w:p>
      <w:pPr>
        <w:spacing w:before="60" w:after="60" w:line="240" w:lineRule="auto"/>
        <w:jc w:val="both"/>
        <w:rPr>
          <w:rFonts w:ascii="Times New Roman" w:hAnsi="Times New Roman" w:cs="Times New Roman"/>
          <w:noProof/>
          <w:sz w:val="24"/>
        </w:rPr>
      </w:pPr>
      <w:r>
        <w:rPr>
          <w:rFonts w:ascii="Times New Roman" w:hAnsi="Times New Roman"/>
          <w:noProof/>
          <w:sz w:val="24"/>
        </w:rPr>
        <w:t>Aceste modificări sunt puse în aplicare prin crearea Comitetului interministerial privind statutul artistului și elaborarea de propuneri legislative în 2021, odată cu intrarea în vigoare a instrumentului juridic până la 31 decembrie 2022. Măsurile de încurajare a investițiilor private în sectorul cultural sunt, de asemenea, puse în aplicare în perioada 2021-2023.</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Punerea în aplicare a măsurii se finalizează până la 31 decembrie 2022. </w:t>
      </w:r>
    </w:p>
    <w:p>
      <w:pPr>
        <w:spacing w:before="60" w:after="60" w:line="240" w:lineRule="auto"/>
        <w:jc w:val="both"/>
        <w:rPr>
          <w:rFonts w:ascii="Times New Roman" w:hAnsi="Times New Roman" w:cs="Times New Roman"/>
          <w:noProof/>
          <w:sz w:val="24"/>
        </w:rPr>
      </w:pPr>
    </w:p>
    <w:p>
      <w:pPr>
        <w:keepNext/>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Reforma 2 (C24.R2) - Plan de consolidare a drepturilor de autor și a drepturilor conexe</w:t>
      </w:r>
    </w:p>
    <w:p>
      <w:pPr>
        <w:keepNext/>
        <w:spacing w:before="120" w:after="120" w:line="240" w:lineRule="auto"/>
        <w:jc w:val="both"/>
        <w:rPr>
          <w:rFonts w:ascii="Times New Roman" w:hAnsi="Times New Roman" w:cs="Times New Roman"/>
          <w:noProof/>
          <w:sz w:val="24"/>
        </w:rPr>
      </w:pPr>
      <w:r>
        <w:rPr>
          <w:rFonts w:ascii="Times New Roman" w:hAnsi="Times New Roman"/>
          <w:noProof/>
          <w:sz w:val="24"/>
        </w:rPr>
        <w:t>Obiectivul acestei reforme este de a consolida drepturile de autor și alte drepturi de proprietate intelectuală prin următoarele acțiuni:</w:t>
      </w:r>
    </w:p>
    <w:p>
      <w:pPr>
        <w:numPr>
          <w:ilvl w:val="0"/>
          <w:numId w:val="112"/>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Adoptarea unei legi privind drepturile de proprietate intelectuală pe piața unică digitală europeană, care transpune Directivele 2019/789 SatCab și 2019/790 privind drepturile de autor pe piața unică digitală;</w:t>
      </w:r>
    </w:p>
    <w:p>
      <w:pPr>
        <w:numPr>
          <w:ilvl w:val="0"/>
          <w:numId w:val="112"/>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Adoptarea unui decret regal de aprobare a noului Regulament privind registrul proprietății intelectuale pentru a adapta acest organism la noua realitate digitală;</w:t>
      </w:r>
    </w:p>
    <w:p>
      <w:pPr>
        <w:numPr>
          <w:ilvl w:val="0"/>
          <w:numId w:val="112"/>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Adoptarea unui decret regal de modificare a Decretului regal 1889/2011 din 30 decembrie 2006 de reglementare a funcționării secțiunii II a Comisiei pentru Proprietate Intelectuală pentru a facilita lupta împotriva noilor forme de încălcare a drepturilor de proprietate intelectuală pe internet; și</w:t>
      </w:r>
    </w:p>
    <w:p>
      <w:pPr>
        <w:numPr>
          <w:ilvl w:val="0"/>
          <w:numId w:val="112"/>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Aprobarea instrumentului normativ adecvat și a statutului Oficiului spaniol pentru drepturile de autor.</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Punerea în aplicare a măsurii se finalizează până la 31 decembrie 2023.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 xml:space="preserve">Investiția 1 (C24.I1) - Consolidarea competitivității industriilor culturale </w:t>
      </w:r>
    </w:p>
    <w:p>
      <w:pPr>
        <w:spacing w:before="120" w:after="120" w:line="240" w:lineRule="auto"/>
        <w:jc w:val="both"/>
        <w:rPr>
          <w:rFonts w:ascii="Times New Roman" w:hAnsi="Times New Roman" w:cs="Times New Roman"/>
          <w:noProof/>
          <w:sz w:val="24"/>
        </w:rPr>
      </w:pPr>
      <w:r>
        <w:rPr>
          <w:rFonts w:ascii="Times New Roman" w:hAnsi="Times New Roman"/>
          <w:noProof/>
          <w:sz w:val="24"/>
        </w:rPr>
        <w:t>Scopul acestei investiții este de a aborda provocările legate de competitivitatea sectorului cultural prin îmbunătățirea rezilienței mediului de afaceri al industriilor culturale și creative, precum și de a contribui la tranziția digitală a acestora.</w:t>
      </w:r>
    </w:p>
    <w:p>
      <w:pPr>
        <w:spacing w:before="120" w:after="120" w:line="240" w:lineRule="auto"/>
        <w:jc w:val="both"/>
        <w:rPr>
          <w:rFonts w:ascii="Times New Roman" w:hAnsi="Times New Roman" w:cs="Times New Roman"/>
          <w:noProof/>
          <w:sz w:val="24"/>
        </w:rPr>
      </w:pPr>
      <w:r>
        <w:rPr>
          <w:rFonts w:ascii="Times New Roman" w:hAnsi="Times New Roman"/>
          <w:noProof/>
          <w:sz w:val="24"/>
        </w:rPr>
        <w:t>În acest scop, acțiunile din cadrul acestei investiții sunt grupate în următoarele trei categorii de proiecte:</w:t>
      </w:r>
    </w:p>
    <w:p>
      <w:pPr>
        <w:numPr>
          <w:ilvl w:val="0"/>
          <w:numId w:val="113"/>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Competitivitatea și profesionalizarea industriilor culturale și creative (ICC), prin: (i) consolidarea competențelor antreprenoriale și financiare ale profesioniștilor din domeniul cultural prin intermediul unui program de burse; (ii) formare specializată în management pentru profesioniștii din domeniul artelor spectacolului și al artelor muzicale; și (iii) sprijinirea acceleratorilor culturali pentru dezvoltarea proiectelor culturale cu un potențial ridicat de creștere;</w:t>
      </w:r>
    </w:p>
    <w:p>
      <w:pPr>
        <w:numPr>
          <w:ilvl w:val="0"/>
          <w:numId w:val="113"/>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Digitalizarea sistemelor de gestionare a proprietății intelectuale, prin: (i) sprijinirea proiectelor de digitalizare a operatorilor de gestionare a drepturilor de proprietate intelectuală; și (ii) sprijinirea transformării digitale a entităților administrative care gestionează drepturile de proprietate intelectuală;</w:t>
      </w:r>
    </w:p>
    <w:p>
      <w:pPr>
        <w:numPr>
          <w:ilvl w:val="0"/>
          <w:numId w:val="113"/>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Internaționalizarea sectorului ICC, prin: (i) promovarea și digitalizarea sectorului cărții, (ii) sprijinirea modernizării și modernizării gestionării artei spectacolului și a sectorului muzical; și (iii) măsuri de sprijinire a întreprinderilor și a profesioniștilor din ICC în vederea creșterii prezenței acestora pe piețele naționale și internaționale.</w:t>
      </w:r>
    </w:p>
    <w:p>
      <w:pPr>
        <w:pStyle w:val="Text1"/>
        <w:ind w:left="0"/>
        <w:rPr>
          <w:iCs/>
          <w:noProof/>
          <w:highlight w:val="green"/>
        </w:rPr>
      </w:pPr>
      <w:r>
        <w:rPr>
          <w:noProof/>
        </w:rPr>
        <w:t>Pentru a se asigura că măsura respectă Orientările tehnice „Fără prejudicii semnificative” (2021/C58/01), criteriile de eligibilitate cuprinse în termeni de referință pentru viitoarele cereri de propuneri de proiecte exclud următoarea listă de activități:</w:t>
      </w:r>
      <w:r>
        <w:rPr>
          <w:noProof/>
          <w:color w:val="FF0000"/>
        </w:rPr>
        <w:t xml:space="preserve"> </w:t>
      </w:r>
      <w:r>
        <w:rPr>
          <w:noProof/>
        </w:rPr>
        <w:t>(i) activități legate de combustibilii fosili, inclusiv utilizarea în aval</w:t>
      </w:r>
      <w:r>
        <w:rPr>
          <w:rStyle w:val="FootnoteReference"/>
          <w:noProof/>
          <w:lang w:val="en-IE"/>
        </w:rPr>
        <w:footnoteReference w:id="91"/>
      </w:r>
      <w:r>
        <w:rPr>
          <w:noProof/>
        </w:rPr>
        <w:t>; (ii) activitățile din cadrul schemei UE de comercializare a certificatelor de emisii (ETS) care ating previziuni privind emisiile de gaze cu efect de seră care nu sunt mai mici decât valorile de referință relevante</w:t>
      </w:r>
      <w:r>
        <w:rPr>
          <w:rStyle w:val="FootnoteReference"/>
          <w:noProof/>
          <w:lang w:val="en-IE"/>
        </w:rPr>
        <w:footnoteReference w:id="92"/>
      </w:r>
      <w:r>
        <w:rPr>
          <w:noProof/>
        </w:rPr>
        <w:t>; (iii) activități legate de depozitele de deșeuri, incineratoare</w:t>
      </w:r>
      <w:r>
        <w:rPr>
          <w:rStyle w:val="FootnoteReference"/>
          <w:noProof/>
          <w:lang w:val="en-IE"/>
        </w:rPr>
        <w:footnoteReference w:id="93"/>
      </w:r>
      <w:r>
        <w:rPr>
          <w:noProof/>
        </w:rPr>
        <w:t xml:space="preserve"> și instalații de tratare mecano-biologică</w:t>
      </w:r>
      <w:r>
        <w:rPr>
          <w:rStyle w:val="FootnoteReference"/>
          <w:noProof/>
          <w:lang w:val="en-IE"/>
        </w:rPr>
        <w:footnoteReference w:id="94"/>
      </w:r>
      <w:r>
        <w:rPr>
          <w:noProof/>
        </w:rPr>
        <w:t>; și (iv) activități în cadrul cărora eliminarea pe termen lung a deșeurilor poate dăuna mediului. În plus, mandatul impune ca numai activitățile care respectă legislația UE și națională relevantă în materie de mediu să poată fi selectate.</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Punerea în aplicare a investiției se finalizează până la 31 decembrie 2023.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 xml:space="preserve">Investiția 2 (C24.I2) - Stimularea culturii pe întreg teritoriul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Scopul acestei investiții este de a îmbunătăți coeziunea teritorială și socială prin facilitarea accesului la cultură, precum și de a sprijini sustenabilitatea și consolidarea sectorului cultural pe întreg teritoriul. Acțiunile specifice din cadrul acestei investiții sunt grupate în următoarele patru categorii de proiecte: </w:t>
      </w:r>
    </w:p>
    <w:p>
      <w:pPr>
        <w:numPr>
          <w:ilvl w:val="0"/>
          <w:numId w:val="114"/>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Sprijin pentru modernizarea și gestionarea durabilă a infrastructurii artelor spectacolului și a celei muzicale, precum și pentru promovarea canalelor de diseminare interteritorială, prin: (i) transferul de resurse către comunitățile autonome pentru a sprijini modernizarea și gestionarea durabilă a infrastructurilor spectacolului și muzicale și (ii) a facilita coordonarea interpretărilor culturale între comunitățile autonome;</w:t>
      </w:r>
    </w:p>
    <w:p>
      <w:pPr>
        <w:numPr>
          <w:ilvl w:val="0"/>
          <w:numId w:val="114"/>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 xml:space="preserve">Acțiuni de conservare, restaurare și consolidare a patrimoniului cultural spaniol, prin intermediul unor acțiuni privind: (i) identificarea patrimoniului declarat a fi de interes cultural și (ii) valorificarea patrimoniului aflat în responsabilitatea Ministerului Culturii și Sportului, în special prin restaurarea completă a clădirii </w:t>
      </w:r>
      <w:r>
        <w:rPr>
          <w:rFonts w:ascii="Times New Roman" w:hAnsi="Times New Roman"/>
          <w:i/>
          <w:noProof/>
          <w:sz w:val="24"/>
        </w:rPr>
        <w:t>Tabacalera</w:t>
      </w:r>
      <w:r>
        <w:rPr>
          <w:rFonts w:ascii="Times New Roman" w:hAnsi="Times New Roman"/>
          <w:noProof/>
          <w:sz w:val="24"/>
        </w:rPr>
        <w:t xml:space="preserve"> din Madrid;</w:t>
      </w:r>
    </w:p>
    <w:p>
      <w:pPr>
        <w:numPr>
          <w:ilvl w:val="0"/>
          <w:numId w:val="114"/>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Dotarea bibliotecilor prin: (i) achiziționarea de licențe pentru cărți digitale și (ii) achiziționarea de cărți pe suport de hârtie; și</w:t>
      </w:r>
    </w:p>
    <w:p>
      <w:pPr>
        <w:numPr>
          <w:ilvl w:val="0"/>
          <w:numId w:val="114"/>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Ajutoare pentru extinderea și diversificarea ofertei culturale în zonele neurbane, prin: (i) promovarea inovării culturale și a spiritului antreprenorial în zonele neurbane; (ii) asigurarea accesului egal la cultură; și (iii) promovarea, prin cultură, a utilizării responsabile și durabile a resurselor naturale.</w:t>
      </w:r>
    </w:p>
    <w:p>
      <w:pPr>
        <w:pStyle w:val="Text1"/>
        <w:ind w:left="0"/>
        <w:rPr>
          <w:iCs/>
          <w:noProof/>
          <w:highlight w:val="green"/>
        </w:rPr>
      </w:pPr>
      <w:r>
        <w:rPr>
          <w:noProof/>
        </w:rPr>
        <w:t>Pentru a se asigura că măsura respectă Orientările tehnice „Fără prejudicii semnificative” (2021/C58/01), criteriile de eligibilitate cuprinse în termeni de referință pentru viitoarele cereri de propuneri de proiecte exclud următoarea listă de activități:</w:t>
      </w:r>
      <w:r>
        <w:rPr>
          <w:noProof/>
          <w:color w:val="FF0000"/>
        </w:rPr>
        <w:t xml:space="preserve"> </w:t>
      </w:r>
      <w:r>
        <w:rPr>
          <w:noProof/>
        </w:rPr>
        <w:t>(i) activități legate de combustibilii fosili, inclusiv utilizarea în aval</w:t>
      </w:r>
      <w:r>
        <w:rPr>
          <w:rStyle w:val="FootnoteReference"/>
          <w:noProof/>
          <w:lang w:val="en-IE"/>
        </w:rPr>
        <w:footnoteReference w:id="95"/>
      </w:r>
      <w:r>
        <w:rPr>
          <w:noProof/>
        </w:rPr>
        <w:t>; (ii) activitățile din cadrul schemei UE de comercializare a certificatelor de emisii (ETS) care ating previziuni privind emisiile de gaze cu efect de seră care nu sunt mai mici decât valorile de referință relevante</w:t>
      </w:r>
      <w:r>
        <w:rPr>
          <w:rStyle w:val="FootnoteReference"/>
          <w:noProof/>
          <w:lang w:val="en-IE"/>
        </w:rPr>
        <w:footnoteReference w:id="96"/>
      </w:r>
      <w:r>
        <w:rPr>
          <w:noProof/>
        </w:rPr>
        <w:t>; (iii) activități legate de depozitele de deșeuri, incineratoare</w:t>
      </w:r>
      <w:r>
        <w:rPr>
          <w:rStyle w:val="FootnoteReference"/>
          <w:noProof/>
          <w:lang w:val="en-IE"/>
        </w:rPr>
        <w:footnoteReference w:id="97"/>
      </w:r>
      <w:r>
        <w:rPr>
          <w:noProof/>
        </w:rPr>
        <w:t xml:space="preserve"> și instalații de tratare mecano-biologică</w:t>
      </w:r>
      <w:r>
        <w:rPr>
          <w:rStyle w:val="FootnoteReference"/>
          <w:noProof/>
          <w:lang w:val="en-IE"/>
        </w:rPr>
        <w:footnoteReference w:id="98"/>
      </w:r>
      <w:r>
        <w:rPr>
          <w:noProof/>
        </w:rPr>
        <w:t>; și (iv) activități în cadrul cărora eliminarea pe termen lung a deșeurilor poate dăuna mediului. În plus, mandatul impune ca numai activitățile care respectă legislația UE și națională relevantă în materie de mediu să poată fi selectate.</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Punerea în aplicare a investiției se finalizează până la 31 decembrie 2023.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 xml:space="preserve">Investiția 3 (C24.I3) - Digitalizarea și promovarea serviciilor culturale majore </w:t>
      </w:r>
    </w:p>
    <w:p>
      <w:pPr>
        <w:spacing w:before="120" w:after="120" w:line="240" w:lineRule="auto"/>
        <w:jc w:val="both"/>
        <w:rPr>
          <w:rFonts w:ascii="Times New Roman" w:hAnsi="Times New Roman" w:cs="Times New Roman"/>
          <w:noProof/>
          <w:sz w:val="24"/>
        </w:rPr>
      </w:pPr>
      <w:r>
        <w:rPr>
          <w:rFonts w:ascii="Times New Roman" w:hAnsi="Times New Roman"/>
          <w:noProof/>
          <w:sz w:val="24"/>
        </w:rPr>
        <w:t>Această măsură are ca obiectiv digitalizarea și promovarea instituțiilor culturale majore. Investițiile specifice din cadrul acestei măsuri au scopul de a sprijini:</w:t>
      </w:r>
    </w:p>
    <w:p>
      <w:pPr>
        <w:numPr>
          <w:ilvl w:val="0"/>
          <w:numId w:val="115"/>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 xml:space="preserve">Muzeul Național Prado, prin: (i) îmbunătățirea accesibilității și integrării sale în structura urbană, (ii) integrarea tuturor senzorilor într-un sistem unic monitorizat, (iii) dezvoltarea unei experiențe incluzive pentru a face muzeul accesibil unui număr mai mare de vizitatori, (iv) dezvoltarea unei platforme digitale interoperabile între muzee, (v) îmbunătățirea instrumentelor digitale pentru administrație și (vi) crearea de conținut multimedia;  </w:t>
      </w:r>
    </w:p>
    <w:p>
      <w:pPr>
        <w:numPr>
          <w:ilvl w:val="0"/>
          <w:numId w:val="115"/>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Muzeul Național Centro de Arte Reina Sofia, oferind burse și reședințe de cercetare pentru tinerii artiști și gânditori, cu accent pe dezvoltarea acțiunilor de digitalizare pentru patrimoniul cultural;</w:t>
      </w:r>
    </w:p>
    <w:p>
      <w:pPr>
        <w:numPr>
          <w:ilvl w:val="0"/>
          <w:numId w:val="115"/>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Biblioteca Națională a Spaniei, prin promovarea utilizării și a reutilizării datelor și colecțiilor sale digitale în sprijinul predării, cercetării, industriilor culturale și evoluțiilor tehnologice;</w:t>
      </w:r>
    </w:p>
    <w:p>
      <w:pPr>
        <w:numPr>
          <w:ilvl w:val="0"/>
          <w:numId w:val="115"/>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Un plan pentru digitalizarea și accesul la patrimoniul bibliografic al altor active ale bibliotecii din partea administrațiilor de stat sau a entităților private, cu scopul de a le pune la dispoziția cetățenilor prin intermediul arhivelor digitale;</w:t>
      </w:r>
    </w:p>
    <w:p>
      <w:pPr>
        <w:numPr>
          <w:ilvl w:val="0"/>
          <w:numId w:val="115"/>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Digitalizarea, extinderea capacității și interoperabilitatea tuturor tipurilor de sisteme de arhivare, inventare și înregistrări ale patrimoniului istoric, inclusiv patrimoniul audiovizual; și</w:t>
      </w:r>
    </w:p>
    <w:p>
      <w:pPr>
        <w:numPr>
          <w:ilvl w:val="0"/>
          <w:numId w:val="115"/>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Măsuri de modernizare a instrumentelor de gestionare publică și de punere în aplicare a unui sistem integrat de digitalizare și catalogare a resurselor, activelor, structurilor și infrastructurii INAEM (</w:t>
      </w:r>
      <w:r>
        <w:rPr>
          <w:rFonts w:ascii="Times New Roman" w:hAnsi="Times New Roman"/>
          <w:i/>
          <w:noProof/>
          <w:sz w:val="24"/>
        </w:rPr>
        <w:t>Instituto Nacional de las Artes Escénicas y de la Música</w:t>
      </w:r>
      <w:r>
        <w:rPr>
          <w:rFonts w:ascii="Times New Roman" w:hAnsi="Times New Roman"/>
          <w:noProof/>
          <w:sz w:val="24"/>
        </w:rPr>
        <w:t>), inclusiv măsuri cum ar fi punerea în aplicare a diferitelor instrumente avansate pentru planificarea, gestionarea și evaluarea impactului schemelor de sprijin public pentru sectoarele performante și muzicale, precum și punerea în aplicare a unui sistem integrat digital (INAEM DIGITAL) pentru digitalizarea și catalogarea structurilor de documentare și de arhivare a structurilor și serviciilor muzicale.</w:t>
      </w:r>
    </w:p>
    <w:p>
      <w:pPr>
        <w:pStyle w:val="Text1"/>
        <w:ind w:left="0"/>
        <w:rPr>
          <w:iCs/>
          <w:noProof/>
          <w:highlight w:val="green"/>
        </w:rPr>
      </w:pPr>
      <w:r>
        <w:rPr>
          <w:noProof/>
        </w:rPr>
        <w:t>Pentru a se asigura că măsura respectă Orientările tehnice „Fără prejudicii semnificative” (2021/C58/01), criteriile de eligibilitate cuprinse în termeni de referință pentru viitoarele cereri de propuneri de proiecte exclud următoarea listă de activități:</w:t>
      </w:r>
      <w:r>
        <w:rPr>
          <w:noProof/>
          <w:color w:val="FF0000"/>
        </w:rPr>
        <w:t xml:space="preserve"> </w:t>
      </w:r>
      <w:r>
        <w:rPr>
          <w:noProof/>
        </w:rPr>
        <w:t>(i) activități legate de combustibilii fosili, inclusiv utilizarea în aval</w:t>
      </w:r>
      <w:r>
        <w:rPr>
          <w:rStyle w:val="FootnoteReference"/>
          <w:noProof/>
          <w:lang w:val="en-IE"/>
        </w:rPr>
        <w:footnoteReference w:id="99"/>
      </w:r>
      <w:r>
        <w:rPr>
          <w:noProof/>
        </w:rPr>
        <w:t>; (ii) activitățile din cadrul schemei UE de comercializare a certificatelor de emisii (ETS) care ating previziuni privind emisiile de gaze cu efect de seră care nu sunt mai mici decât valorile de referință relevante</w:t>
      </w:r>
      <w:r>
        <w:rPr>
          <w:rStyle w:val="FootnoteReference"/>
          <w:noProof/>
          <w:lang w:val="en-IE"/>
        </w:rPr>
        <w:footnoteReference w:id="100"/>
      </w:r>
      <w:r>
        <w:rPr>
          <w:noProof/>
        </w:rPr>
        <w:t>; (iii) activități legate de depozitele de deșeuri, incineratoare</w:t>
      </w:r>
      <w:r>
        <w:rPr>
          <w:rStyle w:val="FootnoteReference"/>
          <w:noProof/>
          <w:lang w:val="en-IE"/>
        </w:rPr>
        <w:footnoteReference w:id="101"/>
      </w:r>
      <w:r>
        <w:rPr>
          <w:noProof/>
        </w:rPr>
        <w:t xml:space="preserve"> și instalații de tratare mecano-biologică</w:t>
      </w:r>
      <w:r>
        <w:rPr>
          <w:rStyle w:val="FootnoteReference"/>
          <w:noProof/>
          <w:lang w:val="en-IE"/>
        </w:rPr>
        <w:footnoteReference w:id="102"/>
      </w:r>
      <w:r>
        <w:rPr>
          <w:noProof/>
        </w:rPr>
        <w:t>; și (iv) activități în cadrul cărora eliminarea pe termen lung a deșeurilor poate dăuna mediului. În plus, mandatul impune ca numai activitățile care respectă legislația UE și națională relevantă în materie de mediu să poată fi selectate.</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Punerea în aplicare a investiției se finalizează până la 31 decembrie 2023. </w:t>
      </w:r>
    </w:p>
    <w:p>
      <w:pPr>
        <w:spacing w:before="120" w:after="120" w:line="240" w:lineRule="auto"/>
        <w:jc w:val="both"/>
        <w:rPr>
          <w:rFonts w:ascii="Times New Roman" w:hAnsi="Times New Roman" w:cs="Times New Roman"/>
          <w:b/>
          <w:noProof/>
          <w:sz w:val="24"/>
          <w:u w:val="single"/>
        </w:rPr>
      </w:pPr>
      <w:r>
        <w:rPr>
          <w:rFonts w:ascii="Times New Roman" w:hAnsi="Times New Roman"/>
          <w:b/>
          <w:bCs/>
          <w:noProof/>
          <w:sz w:val="24"/>
          <w:u w:val="single"/>
        </w:rPr>
        <w:t xml:space="preserve">X.2. </w:t>
      </w:r>
      <w:r>
        <w:rPr>
          <w:rFonts w:ascii="Times New Roman" w:hAnsi="Times New Roman"/>
          <w:b/>
          <w:noProof/>
          <w:sz w:val="24"/>
          <w:u w:val="single"/>
        </w:rPr>
        <w:tab/>
      </w:r>
      <w:r>
        <w:rPr>
          <w:rFonts w:ascii="Times New Roman" w:hAnsi="Times New Roman"/>
          <w:b/>
          <w:bCs/>
          <w:noProof/>
          <w:sz w:val="24"/>
          <w:u w:val="single"/>
        </w:rPr>
        <w:t>Jaloane, ținte, indicatori și calendarul de monitorizare și implementare aplicabile sprijinului financiar nerambursabil</w:t>
      </w:r>
    </w:p>
    <w:p>
      <w:pPr>
        <w:spacing w:before="120" w:after="120" w:line="240" w:lineRule="auto"/>
        <w:jc w:val="both"/>
        <w:rPr>
          <w:rFonts w:ascii="Times New Roman" w:hAnsi="Times New Roman" w:cs="Times New Roman"/>
          <w:noProof/>
          <w:color w:val="1F497D"/>
        </w:rPr>
      </w:pPr>
      <w:r>
        <w:rPr>
          <w:rFonts w:ascii="Times New Roman" w:hAnsi="Times New Roman"/>
          <w:i/>
          <w:iCs/>
          <w:noProof/>
          <w:color w:val="000000"/>
          <w:sz w:val="24"/>
        </w:rPr>
        <w:t>Tabelul de mai jos.</w:t>
      </w:r>
      <w:r>
        <w:rPr>
          <w:rFonts w:ascii="Times New Roman" w:hAnsi="Times New Roman"/>
          <w:noProof/>
          <w:color w:val="1F497D"/>
          <w:sz w:val="24"/>
        </w:rPr>
        <w:t xml:space="preserve"> </w:t>
      </w:r>
      <w:r>
        <w:rPr>
          <w:rFonts w:ascii="Times New Roman" w:hAnsi="Times New Roman"/>
          <w:i/>
          <w:iCs/>
          <w:noProof/>
          <w:color w:val="000000"/>
          <w:sz w:val="24"/>
        </w:rPr>
        <w:t>Data de referință pentru toți indicatorii este 1 februarie 2020, cu excepția cazului în care se indică altfel în descrierea acțiunii. Sumele din tabel nu includ TVA.</w:t>
      </w:r>
    </w:p>
    <w:p>
      <w:pPr>
        <w:spacing w:before="120" w:after="120" w:line="240" w:lineRule="auto"/>
        <w:jc w:val="both"/>
        <w:rPr>
          <w:rFonts w:ascii="Times New Roman" w:hAnsi="Times New Roman" w:cs="Times New Roman"/>
          <w:noProof/>
          <w:sz w:val="24"/>
          <w:lang w:val="en-IE"/>
        </w:rPr>
        <w:sectPr>
          <w:headerReference w:type="even" r:id="rId295"/>
          <w:headerReference w:type="default" r:id="rId296"/>
          <w:footerReference w:type="even" r:id="rId297"/>
          <w:footerReference w:type="default" r:id="rId298"/>
          <w:headerReference w:type="first" r:id="rId299"/>
          <w:footerReference w:type="first" r:id="rId300"/>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1701"/>
        <w:gridCol w:w="1134"/>
        <w:gridCol w:w="851"/>
        <w:gridCol w:w="567"/>
        <w:gridCol w:w="709"/>
        <w:gridCol w:w="425"/>
        <w:gridCol w:w="567"/>
        <w:gridCol w:w="6946"/>
      </w:tblGrid>
      <w:tr>
        <w:trPr>
          <w:trHeight w:val="309"/>
          <w:tblHeader/>
        </w:trPr>
        <w:tc>
          <w:tcPr>
            <w:tcW w:w="70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Număr</w:t>
            </w:r>
          </w:p>
        </w:tc>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Măsură</w:t>
            </w:r>
          </w:p>
        </w:tc>
        <w:tc>
          <w:tcPr>
            <w:tcW w:w="85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Jalon</w:t>
            </w:r>
            <w:r>
              <w:rPr>
                <w:rFonts w:ascii="Times New Roman" w:hAnsi="Times New Roman"/>
                <w:b/>
                <w:noProof/>
                <w:color w:val="000000"/>
                <w:sz w:val="18"/>
                <w:szCs w:val="18"/>
              </w:rPr>
              <w:br/>
              <w:t xml:space="preserve"> /Țintă</w:t>
            </w:r>
          </w:p>
        </w:tc>
        <w:tc>
          <w:tcPr>
            <w:tcW w:w="170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Denumire</w:t>
            </w:r>
          </w:p>
        </w:tc>
        <w:tc>
          <w:tcPr>
            <w:tcW w:w="1134"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Indicator calitativ pentru obiectivele de etapă</w:t>
            </w:r>
          </w:p>
        </w:tc>
        <w:tc>
          <w:tcPr>
            <w:tcW w:w="2127" w:type="dxa"/>
            <w:gridSpan w:val="3"/>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Indicator cantitativ pentru obiectiv</w:t>
            </w:r>
          </w:p>
        </w:tc>
        <w:tc>
          <w:tcPr>
            <w:tcW w:w="992" w:type="dxa"/>
            <w:gridSpan w:val="2"/>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Timp</w:t>
            </w:r>
          </w:p>
        </w:tc>
        <w:tc>
          <w:tcPr>
            <w:tcW w:w="6946"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bCs/>
                <w:noProof/>
                <w:sz w:val="18"/>
                <w:szCs w:val="18"/>
              </w:rPr>
              <w:t>Descrierea fiecărui jalon și a fiecărei ținte</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1701"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134"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Unitate</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Scenariu de bază</w:t>
            </w:r>
          </w:p>
        </w:tc>
        <w:tc>
          <w:tcPr>
            <w:tcW w:w="709"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Obiectiv</w:t>
            </w:r>
          </w:p>
        </w:tc>
        <w:tc>
          <w:tcPr>
            <w:tcW w:w="425"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Q</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An</w:t>
            </w:r>
          </w:p>
        </w:tc>
        <w:tc>
          <w:tcPr>
            <w:tcW w:w="6946"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lang w:val="en-IE"/>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352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C24.R1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70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statutului artistului, sponsorizarea și regimul stimulentelor fiscale.</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Dispozițiile regulamentului privind intrarea în vigoare</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94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modificărilor de reglementare pentru punerea în aplicare a statutului artistului și reglementarea următoarelor aspecte, cu scopul de a îmbunătăți condițiile de muncă ale artiștilor: caracterul adecvat al TVA; impozitul pe venitul persoanelor fizice; reprezentativitatea sindicală, sănătatea și relațiile speciale de muncă ale artiștilor în cariera publică; o mai bună reglementare a sponsorizării și regimul stimulentelor fiscale.</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353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C24.R2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70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măsurilor legislative și de reglementare pentru consolidarea drepturilor de autor și a drepturilor conexe</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Dispoziții ale actelor juridice la intrarea în vigoare</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94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1) adoptarea legii privind drepturile de proprietate intelectuală pe piața unică digitală europeană, cu transpunerea completă a Directivelor 2019/789 SatCab și 2019/790; 2) decret regal de aprobare a Regulamentului privind registrul de proprietate intelectuală; 3) Decretul regal de modificare a Decretului regal 1889/2011 din 30 decembrie 2006 de reglementare a funcționării Comisiei pentru Proprietate Intelectuală; și 4) Aprobarea instrumentului normativ adecvat și a statutului Oficiului spaniol pentru drepturile de autor</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354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C24.I1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1701"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Consolidarea competitivității industriilor culturale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1 216</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94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Numărul de entități și proiecte care beneficiază de finanțare în cadrul schemei de sprijin, pentru: </w:t>
            </w:r>
            <w:r>
              <w:rPr>
                <w:rFonts w:ascii="Times New Roman" w:hAnsi="Times New Roman"/>
                <w:noProof/>
                <w:color w:val="000000"/>
                <w:sz w:val="18"/>
                <w:szCs w:val="18"/>
              </w:rPr>
              <w:br/>
              <w:t>- competențele antreprenoriale și financiare ale profesioniștilor din industriile culturale și creative (900 de entități);</w:t>
            </w:r>
            <w:r>
              <w:rPr>
                <w:rFonts w:ascii="Times New Roman" w:hAnsi="Times New Roman"/>
                <w:noProof/>
                <w:color w:val="000000"/>
                <w:sz w:val="18"/>
                <w:szCs w:val="18"/>
              </w:rPr>
              <w:br/>
              <w:t>- punerea în aplicare a planificării digitalizării și crearea de instrumente pentru a discuta transformarea digitală (16 proiecte);</w:t>
            </w:r>
            <w:r>
              <w:rPr>
                <w:rFonts w:ascii="Times New Roman" w:hAnsi="Times New Roman"/>
                <w:noProof/>
                <w:color w:val="000000"/>
                <w:sz w:val="18"/>
                <w:szCs w:val="18"/>
              </w:rPr>
              <w:br/>
              <w:t>internaționalizarea industriilor culturale și creative (300 de entități).</w:t>
            </w:r>
            <w:r>
              <w:rPr>
                <w:rFonts w:ascii="Times New Roman" w:hAnsi="Times New Roman"/>
                <w:noProof/>
                <w:color w:val="000000"/>
                <w:sz w:val="18"/>
                <w:szCs w:val="18"/>
              </w:rPr>
              <w:br/>
              <w:t>Proiectele trebuie să respecte Orientările tehnice „nu cauzează prejudicii semnificative” (2021/C58/01) prin utilizarea unei liste de excludere și a cerinței de conformitate cu legislația UE și națională relevantă în materie de mediu.</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355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C24.I2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170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Modernizarea și gestionarea durabilă a infrastructurii artelor spectacolului și muzicale</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94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Modernizarea și gestionarea durabilă a infrastructurii artelor spectacolului și muzicale în curs de îmbătrânire: 200 de acțiuni puse în aplicare în cel puțin 17 regiuni, în conformitate cu Orientările tehnice privind principiul „de a nu prejudicia în mod semnificativ”(2021/C58/01) prin utilizarea unei liste de excludere și a cerinței de conformitate cu legislația UE și națională relevantă în materie de mediu.</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356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C24.I2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170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Conservarea, restaurarea și consolidarea patrimoniului cultural spaniol</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94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Siturile culturale sprijinite prin măsuri de conservare, restaurare și consolidare a patrimoniului cultural spaniol: 20 de situri din cel puțin 15 regiuni, în conformitate cu Orientările tehnice privind principiul „de a nu prejudicia în mod semnificativ”(2021/C58/01), prin utilizarea unei liste de excludere și a cerinței de conformitate cu legislația UE și națională relevantă în materie de mediu.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357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C24.I2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170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Licențe pentru cărți electronice pentru biblioteci</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300 000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94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Licențe de cărți electronice achiziționate și furnizate bibliotecilor publice (300 000)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358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C24.I2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170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Cumpărături de cărți pentru biblioteci</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450 000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94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Cărți pe suport de hârtie cumpărate și transferate la bibliotecile publice (450 000)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359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C24.I2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170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Stimularea inițiativelor culturale și creative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400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94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Stimularea activității culturale a organizațiilor cu scop lucrativ și non-profit în zonele neurbane (400 inițiative).</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360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C24.I3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170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Digitalizarea și promovarea serviciilor culturale majore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EUR (milioane)</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40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94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Un buget cumulat angajat de cel puțin 40 000 000 EUR pentru a contribui la: (a) -Stimularea și digitalizarea Muzeului Național Prado și a Muzeului Reina Sofia; </w:t>
            </w:r>
            <w:r>
              <w:rPr>
                <w:rFonts w:ascii="Times New Roman" w:hAnsi="Times New Roman"/>
                <w:noProof/>
                <w:color w:val="000000"/>
                <w:sz w:val="18"/>
                <w:szCs w:val="18"/>
              </w:rPr>
              <w:br/>
              <w:t>- Acțiuni de creștere a numărului anual de utilizatori ai colecției digitale a Bibliotecii Naționale spaniole</w:t>
            </w:r>
            <w:r>
              <w:rPr>
                <w:rFonts w:ascii="Times New Roman" w:hAnsi="Times New Roman"/>
                <w:noProof/>
                <w:color w:val="000000"/>
                <w:sz w:val="18"/>
                <w:szCs w:val="18"/>
              </w:rPr>
              <w:br/>
              <w:t>- Digitalizarea altor moșteniri bibliografice [colecții de patrimoniu bibliografic digitalizate];</w:t>
            </w:r>
            <w:r>
              <w:rPr>
                <w:rFonts w:ascii="Times New Roman" w:hAnsi="Times New Roman"/>
                <w:noProof/>
                <w:color w:val="000000"/>
                <w:sz w:val="18"/>
                <w:szCs w:val="18"/>
              </w:rPr>
              <w:br/>
              <w:t>- Accesul digital la patrimoniul bibliografic și interoperabilitatea tuturor tipurilor de sisteme de arhivare publică și extinderea capacității de stocare a datelor a sistemelor de inventariere și arhivare a patrimoniului istoric spaniol;</w:t>
            </w:r>
            <w:r>
              <w:rPr>
                <w:rFonts w:ascii="Times New Roman" w:hAnsi="Times New Roman"/>
                <w:noProof/>
                <w:color w:val="000000"/>
                <w:sz w:val="18"/>
                <w:szCs w:val="18"/>
              </w:rPr>
              <w:br/>
              <w:t>Finalizarea unui sistem integrat pentru digitalizarea și catalogarea resurselor, activelor, structurilor și infrastructurii INAEM</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361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C24.I3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170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Finalizarea digitalizării și promovarea serviciilor culturale majore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94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Finalizarea a 200 proiecte, în conformitate cu Orientările tehnice privind principiul „de a nu prejudicia în mod semnificativ”(2021/C58/01) prin utilizarea unei liste de excludere și a cerinței de conformitate cu legislația UE și națională relevantă în materie de mediu, pentru:</w:t>
            </w:r>
            <w:r>
              <w:rPr>
                <w:rFonts w:ascii="Times New Roman" w:hAnsi="Times New Roman"/>
                <w:noProof/>
                <w:color w:val="000000"/>
                <w:sz w:val="18"/>
                <w:szCs w:val="18"/>
              </w:rPr>
              <w:br/>
              <w:t xml:space="preserve">- Stimularea și digitalizarea Muzeului Național Prado și a Muzeului Reina Sofia; </w:t>
            </w:r>
            <w:r>
              <w:rPr>
                <w:rFonts w:ascii="Times New Roman" w:hAnsi="Times New Roman"/>
                <w:noProof/>
                <w:color w:val="000000"/>
                <w:sz w:val="18"/>
                <w:szCs w:val="18"/>
              </w:rPr>
              <w:br/>
              <w:t>- Acțiuni de creștere a numărului anual de utilizatori ai colecției digitale a Bibliotecii Naționale spaniole;</w:t>
            </w:r>
            <w:r>
              <w:rPr>
                <w:rFonts w:ascii="Times New Roman" w:hAnsi="Times New Roman"/>
                <w:noProof/>
                <w:color w:val="000000"/>
                <w:sz w:val="18"/>
                <w:szCs w:val="18"/>
              </w:rPr>
              <w:br/>
              <w:t>- Accesul digital la patrimoniul bibliografic și interoperabilitatea tuturor tipurilor de sisteme de arhivare publică și extinderea capacității de stocare a datelor a sistemelor de inventariere și arhivare a patrimoniului istoric spaniol;</w:t>
            </w:r>
            <w:r>
              <w:rPr>
                <w:rFonts w:ascii="Times New Roman" w:hAnsi="Times New Roman"/>
                <w:noProof/>
                <w:color w:val="000000"/>
                <w:sz w:val="18"/>
                <w:szCs w:val="18"/>
              </w:rPr>
              <w:br/>
              <w:t>Finalizarea unui sistem integrat pentru digitalizarea și catalogarea resurselor, activelor, structurilor și infrastructurii INAEM.</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362</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C24.I3</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1701"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Finalizarea digitizării patrimoniului bibliografic </w:t>
            </w:r>
          </w:p>
        </w:tc>
        <w:tc>
          <w:tcPr>
            <w:tcW w:w="113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Numărul (în milioane)</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10</w:t>
            </w:r>
          </w:p>
        </w:tc>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12</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694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Digitalizarea patrimoniului Bibliografic (colecții publice și private) (un total de 12 milioane de utilizatori/colecții de patrimoniu digitizate)</w:t>
            </w:r>
          </w:p>
        </w:tc>
      </w:tr>
    </w:tbl>
    <w:p>
      <w:pPr>
        <w:keepNext/>
        <w:spacing w:before="120" w:after="360" w:line="240" w:lineRule="auto"/>
        <w:jc w:val="center"/>
        <w:rPr>
          <w:rFonts w:ascii="Times New Roman" w:hAnsi="Times New Roman" w:cs="Times New Roman"/>
          <w:b/>
          <w:smallCaps/>
          <w:noProof/>
          <w:sz w:val="28"/>
          <w:lang w:val="fr-BE"/>
        </w:rPr>
        <w:sectPr>
          <w:headerReference w:type="even" r:id="rId301"/>
          <w:headerReference w:type="default" r:id="rId302"/>
          <w:footerReference w:type="even" r:id="rId303"/>
          <w:footerReference w:type="default" r:id="rId304"/>
          <w:headerReference w:type="first" r:id="rId305"/>
          <w:footerReference w:type="first" r:id="rId306"/>
          <w:pgSz w:w="16839" w:h="11907" w:orient="landscape"/>
          <w:pgMar w:top="1417" w:right="1134" w:bottom="1417" w:left="1134" w:header="709" w:footer="709" w:gutter="0"/>
          <w:cols w:space="720"/>
          <w:docGrid w:linePitch="360"/>
        </w:sectPr>
      </w:pPr>
    </w:p>
    <w:p>
      <w:pPr>
        <w:pStyle w:val="Heading1"/>
        <w:rPr>
          <w:noProof/>
        </w:rPr>
      </w:pPr>
      <w:r>
        <w:rPr>
          <w:noProof/>
        </w:rPr>
        <w:t>Y. COMPONENTA 25: Centrul audiovizual al Spaniei</w:t>
      </w:r>
    </w:p>
    <w:p>
      <w:pPr>
        <w:tabs>
          <w:tab w:val="left" w:pos="1134"/>
        </w:tabs>
        <w:spacing w:before="120" w:after="120" w:line="240" w:lineRule="auto"/>
        <w:jc w:val="both"/>
        <w:rPr>
          <w:rFonts w:ascii="Times New Roman" w:hAnsi="Times New Roman" w:cs="Times New Roman"/>
          <w:bCs/>
          <w:iCs/>
          <w:noProof/>
          <w:sz w:val="24"/>
        </w:rPr>
      </w:pPr>
      <w:r>
        <w:rPr>
          <w:rFonts w:ascii="Times New Roman" w:hAnsi="Times New Roman"/>
          <w:bCs/>
          <w:iCs/>
          <w:noProof/>
          <w:sz w:val="24"/>
        </w:rPr>
        <w:t xml:space="preserve">Această componentă a planului spaniol de redresare și reziliență reunește o serie de investiții și reforme menite să revitalizeze și să consolideze sectorul audiovizual. Scopul său este de a îmbunătăți mediul de investiții, de a consolida Spania ca platformă internațională pentru investițiile în domeniul audiovizualului și de a face din Spania o referință în exportul de produse audiovizuale, inclusiv jocuri video și creație digitală. Această componentă include, de asemenea, acțiuni de promovare a internaționalizării întreprinderilor, de consolidare a inovării în acest sector și de punere în aplicare a unei mai bune reglementări. </w:t>
      </w:r>
    </w:p>
    <w:p>
      <w:pPr>
        <w:tabs>
          <w:tab w:val="left" w:pos="1134"/>
        </w:tabs>
        <w:spacing w:before="120" w:after="120" w:line="240" w:lineRule="auto"/>
        <w:jc w:val="both"/>
        <w:rPr>
          <w:rFonts w:ascii="Times New Roman" w:hAnsi="Times New Roman" w:cs="Times New Roman"/>
          <w:bCs/>
          <w:iCs/>
          <w:noProof/>
          <w:sz w:val="24"/>
        </w:rPr>
      </w:pPr>
      <w:r>
        <w:rPr>
          <w:rFonts w:ascii="Times New Roman" w:hAnsi="Times New Roman"/>
          <w:bCs/>
          <w:iCs/>
          <w:noProof/>
          <w:sz w:val="24"/>
        </w:rPr>
        <w:t xml:space="preserve">În conformitate cu planul „Spania digitală 2025” și cu „Planul - Spania, Centrul audiovizual al Europei”, recent aprobat, componenta ar trebui să sprijine crearea de locuri de muncă, în special în rândul tinerilor și al industriei turismului și să includă acțiuni de reducere a disparității de gen. </w:t>
      </w:r>
    </w:p>
    <w:p>
      <w:pPr>
        <w:tabs>
          <w:tab w:val="left" w:pos="1134"/>
        </w:tabs>
        <w:spacing w:before="120" w:after="120" w:line="240" w:lineRule="auto"/>
        <w:jc w:val="both"/>
        <w:rPr>
          <w:rFonts w:ascii="Times New Roman" w:hAnsi="Times New Roman" w:cs="Times New Roman"/>
          <w:bCs/>
          <w:iCs/>
          <w:noProof/>
          <w:sz w:val="24"/>
          <w:szCs w:val="24"/>
        </w:rPr>
      </w:pPr>
      <w:r>
        <w:rPr>
          <w:rFonts w:ascii="Times New Roman" w:hAnsi="Times New Roman"/>
          <w:noProof/>
          <w:sz w:val="24"/>
          <w:szCs w:val="24"/>
        </w:rPr>
        <w:t>Componenta abordează recomandările specifice fiecărei țări privind stimularea investițiilor în inovare (recomandarea specifică țării 3 din 2019) și concentrarea investițiilor asupra tranziției verzi și digitale (recomandarea specifică țării 3 din 2020).</w:t>
      </w:r>
    </w:p>
    <w:p>
      <w:pPr>
        <w:tabs>
          <w:tab w:val="left" w:pos="1134"/>
        </w:tabs>
        <w:spacing w:before="120" w:after="120" w:line="240" w:lineRule="auto"/>
        <w:jc w:val="both"/>
        <w:rPr>
          <w:rFonts w:ascii="Times New Roman" w:hAnsi="Times New Roman" w:cs="Times New Roman"/>
          <w:bCs/>
          <w:iCs/>
          <w:noProof/>
          <w:sz w:val="24"/>
          <w:szCs w:val="24"/>
        </w:rPr>
      </w:pPr>
      <w:r>
        <w:rPr>
          <w:rFonts w:ascii="Times New Roman" w:hAnsi="Times New Roman"/>
          <w:noProof/>
          <w:color w:val="000000" w:themeColor="text1"/>
          <w:sz w:val="24"/>
          <w:szCs w:val="24"/>
        </w:rPr>
        <w:t>Se preconizează că nicio măsură din cadrul acestei componente nu aduce prejudicii semnificative obiectivelor de mediu în sensul articolului 17 din Regulamentul (UE) 2020/852, ținând seama de descrierea măsurilor și a măsurilor de atenuare stabilite în planul de redresare și reziliență în conformitate cu Orientările tehnice DNSH (2021/C58/01).</w:t>
      </w:r>
      <w:r>
        <w:rPr>
          <w:rFonts w:ascii="Times New Roman" w:hAnsi="Times New Roman"/>
          <w:bCs/>
          <w:iCs/>
          <w:noProof/>
          <w:sz w:val="24"/>
          <w:szCs w:val="24"/>
        </w:rPr>
        <w:t xml:space="preserve"> </w:t>
      </w:r>
    </w:p>
    <w:p>
      <w:pPr>
        <w:spacing w:before="120" w:after="120" w:line="240" w:lineRule="auto"/>
        <w:jc w:val="both"/>
        <w:rPr>
          <w:rFonts w:ascii="Times New Roman" w:hAnsi="Times New Roman" w:cs="Times New Roman"/>
          <w:b/>
          <w:i/>
          <w:noProof/>
          <w:color w:val="4F81BD" w:themeColor="accent1"/>
          <w:sz w:val="24"/>
        </w:rPr>
      </w:pPr>
      <w:r>
        <w:rPr>
          <w:rFonts w:ascii="Times New Roman" w:hAnsi="Times New Roman"/>
          <w:b/>
          <w:bCs/>
          <w:noProof/>
          <w:sz w:val="24"/>
          <w:u w:val="single"/>
        </w:rPr>
        <w:t xml:space="preserve">Y.1. </w:t>
      </w:r>
      <w:r>
        <w:rPr>
          <w:rFonts w:ascii="Times New Roman" w:hAnsi="Times New Roman"/>
          <w:b/>
          <w:noProof/>
          <w:sz w:val="24"/>
          <w:u w:val="single"/>
        </w:rPr>
        <w:tab/>
      </w:r>
      <w:r>
        <w:rPr>
          <w:rFonts w:ascii="Times New Roman" w:hAnsi="Times New Roman"/>
          <w:b/>
          <w:bCs/>
          <w:noProof/>
          <w:sz w:val="24"/>
          <w:u w:val="single"/>
        </w:rPr>
        <w:t>Descrierea reformelor și a investițiilor pentru care se prevede acordarea sprijinului financiar nerambursabil</w:t>
      </w:r>
    </w:p>
    <w:p>
      <w:pPr>
        <w:spacing w:before="120" w:after="120" w:line="240" w:lineRule="auto"/>
        <w:jc w:val="both"/>
        <w:rPr>
          <w:rFonts w:ascii="Times New Roman" w:hAnsi="Times New Roman" w:cs="Times New Roman"/>
          <w:bCs/>
          <w:noProof/>
          <w:sz w:val="24"/>
          <w:u w:val="single"/>
        </w:rPr>
      </w:pPr>
      <w:r>
        <w:rPr>
          <w:rFonts w:ascii="Times New Roman" w:hAnsi="Times New Roman"/>
          <w:bCs/>
          <w:noProof/>
          <w:sz w:val="24"/>
          <w:u w:val="single"/>
        </w:rPr>
        <w:t xml:space="preserve">Reforma 1 (C25.R1): Reforma cadrului de reglementare în domeniul audiovizualului </w:t>
      </w:r>
    </w:p>
    <w:p>
      <w:pPr>
        <w:spacing w:before="120" w:after="120" w:line="240" w:lineRule="auto"/>
        <w:jc w:val="both"/>
        <w:rPr>
          <w:rFonts w:ascii="Times New Roman" w:hAnsi="Times New Roman" w:cs="Times New Roman"/>
          <w:bCs/>
          <w:noProof/>
          <w:sz w:val="24"/>
        </w:rPr>
      </w:pPr>
      <w:r>
        <w:rPr>
          <w:rFonts w:ascii="Times New Roman" w:hAnsi="Times New Roman"/>
          <w:bCs/>
          <w:noProof/>
          <w:sz w:val="24"/>
        </w:rPr>
        <w:t>Reforma cadrului de reglementare în domeniul audiovizualului include adoptarea a două legi și aprobarea unui plan sectorial:</w:t>
      </w:r>
    </w:p>
    <w:p>
      <w:pPr>
        <w:numPr>
          <w:ilvl w:val="0"/>
          <w:numId w:val="117"/>
        </w:numPr>
        <w:spacing w:before="120" w:after="120" w:line="240" w:lineRule="auto"/>
        <w:jc w:val="both"/>
        <w:rPr>
          <w:rFonts w:ascii="Times New Roman" w:hAnsi="Times New Roman" w:cs="Times New Roman"/>
          <w:bCs/>
          <w:noProof/>
          <w:sz w:val="24"/>
        </w:rPr>
      </w:pPr>
      <w:r>
        <w:rPr>
          <w:rFonts w:ascii="Times New Roman" w:hAnsi="Times New Roman"/>
          <w:bCs/>
          <w:noProof/>
          <w:sz w:val="24"/>
        </w:rPr>
        <w:t xml:space="preserve">Intrarea în vigoare a Legii generale privind comunicațiile audiovizuale, care are obiective diferite. În primul rând, să adapteze și să modernizeze cadrul juridic pentru serviciile mass-media audiovizuale și pentru platformele de schimb video din Spania. În al doilea rând, stabilirea unor mecanisme de garantare a drepturilor utilizatorilor, cum ar fi protecția minorilor și a publicului împotriva anumitor tipuri de conținut. În al treilea rând, promovarea activității audiovizuale europene prin dublarea sprijinului pentru producția audiovizuală independentă. În al patrulea rând, îmbunătățirea integrării persoanelor cu handicap. Legea a intrat în vigoare până la sfârșitul primului trimestru al anului 2022. </w:t>
      </w:r>
    </w:p>
    <w:p>
      <w:pPr>
        <w:numPr>
          <w:ilvl w:val="0"/>
          <w:numId w:val="117"/>
        </w:numPr>
        <w:spacing w:before="120" w:after="120" w:line="240" w:lineRule="auto"/>
        <w:jc w:val="both"/>
        <w:rPr>
          <w:rFonts w:ascii="Times New Roman" w:hAnsi="Times New Roman" w:cs="Times New Roman"/>
          <w:bCs/>
          <w:noProof/>
          <w:sz w:val="24"/>
        </w:rPr>
      </w:pPr>
      <w:r>
        <w:rPr>
          <w:rFonts w:ascii="Times New Roman" w:hAnsi="Times New Roman"/>
          <w:bCs/>
          <w:noProof/>
          <w:sz w:val="24"/>
        </w:rPr>
        <w:t xml:space="preserve">Reforma Legii nr. 55/2007 privind cinematografia, care vizează (i) actualizarea dispozițiilor legii la noua realitate a sectorului; (ii) alinierea cadrului de reglementare la cadrul juridic european, inclusiv la normele privind ajutoarele de stat; și (iii) actualizarea și modificarea mecanismului pentru a oferi sprijin financiar sectorului audiovizual. Aceasta se introduce până la 31 decembrie 2023.   </w:t>
      </w:r>
    </w:p>
    <w:p>
      <w:pPr>
        <w:numPr>
          <w:ilvl w:val="0"/>
          <w:numId w:val="117"/>
        </w:numPr>
        <w:spacing w:before="120" w:after="120" w:line="240" w:lineRule="auto"/>
        <w:jc w:val="both"/>
        <w:rPr>
          <w:rFonts w:ascii="Times New Roman" w:hAnsi="Times New Roman" w:cs="Times New Roman"/>
          <w:bCs/>
          <w:noProof/>
          <w:sz w:val="24"/>
        </w:rPr>
      </w:pPr>
      <w:r>
        <w:rPr>
          <w:rFonts w:ascii="Times New Roman" w:hAnsi="Times New Roman"/>
          <w:bCs/>
          <w:noProof/>
          <w:sz w:val="24"/>
        </w:rPr>
        <w:t>Adoptarea și punerea în aplicare a Planului „Platforma audiovizuală spaniolă pentru Europa”, care vizează transformarea Spaniei într-o platformă globală de investiții, atragerea de investiții străine și exportul de produse audiovizuale. Acest plan a fost aprobat de Consiliul de Miniștri în martie 2021. Aceasta include investiții menite să consolideze întregul lanț valoric al industriei audiovizuale, pe baza avantajelor comparative ale Spaniei în acest sector, inclusiv o industrie audiovizuală bine stabilită, un capital uman bine pregătit și o capacitate creativă recunoscută la nivel mondial. Planul include toate formatele sectorului audiovizual (cum ar fi cinematografia, serialele, publicitatea, jocurile video și animația). „Centrul audiovizual pentru Europa din Spania” urmărește să stabilească sinergii cu alte sectoare, cum ar fi cultura și turismul. Măsurile incluse se bazează pe patru priorități: i) să transforme Spania într-un pol de atracție pentru producția audiovizuală, ii) să reducă costurile administrative și de reglementare asociate sectorului, iii) să îmbunătățească competitivitatea întreprinderilor din sector prin investiții în digitalizarea acestora și iv) să genereze talente și să reducă disparitatea de gen.</w:t>
      </w:r>
    </w:p>
    <w:p>
      <w:pPr>
        <w:spacing w:before="120" w:after="120" w:line="240" w:lineRule="auto"/>
        <w:jc w:val="both"/>
        <w:rPr>
          <w:rFonts w:ascii="Times New Roman" w:hAnsi="Times New Roman" w:cs="Times New Roman"/>
          <w:bCs/>
          <w:noProof/>
          <w:sz w:val="24"/>
        </w:rPr>
      </w:pPr>
      <w:r>
        <w:rPr>
          <w:rFonts w:ascii="Times New Roman" w:hAnsi="Times New Roman"/>
          <w:bCs/>
          <w:noProof/>
          <w:sz w:val="24"/>
        </w:rPr>
        <w:t xml:space="preserve">Punerea în aplicare a măsurii se finalizează până la 31 decembrie 2023. </w:t>
      </w:r>
    </w:p>
    <w:p>
      <w:pPr>
        <w:spacing w:before="120" w:after="120" w:line="240" w:lineRule="auto"/>
        <w:jc w:val="both"/>
        <w:rPr>
          <w:rFonts w:ascii="Times New Roman" w:hAnsi="Times New Roman" w:cs="Times New Roman"/>
          <w:bCs/>
          <w:noProof/>
          <w:sz w:val="24"/>
          <w:u w:val="single"/>
        </w:rPr>
      </w:pPr>
      <w:r>
        <w:rPr>
          <w:rFonts w:ascii="Times New Roman" w:hAnsi="Times New Roman"/>
          <w:bCs/>
          <w:noProof/>
          <w:sz w:val="24"/>
          <w:u w:val="single"/>
        </w:rPr>
        <w:t xml:space="preserve">Investiția 1 (C25.I1): Program pentru promovarea, modernizarea și digitalizarea sectorului audiovizual </w:t>
      </w:r>
    </w:p>
    <w:p>
      <w:pPr>
        <w:spacing w:before="120" w:after="120" w:line="240" w:lineRule="auto"/>
        <w:jc w:val="both"/>
        <w:rPr>
          <w:rFonts w:ascii="Times New Roman" w:hAnsi="Times New Roman" w:cs="Times New Roman"/>
          <w:bCs/>
          <w:noProof/>
          <w:sz w:val="24"/>
        </w:rPr>
      </w:pPr>
      <w:r>
        <w:rPr>
          <w:rFonts w:ascii="Times New Roman" w:hAnsi="Times New Roman"/>
          <w:bCs/>
          <w:noProof/>
          <w:sz w:val="24"/>
        </w:rPr>
        <w:t xml:space="preserve">Scopul acestei investiții este de a îmbunătăți competitivitatea și reziliența mediului de afaceri și a creației din sectorul audiovizual, precum și de a promova internaționalizarea acestuia și de a atrage investiții străine. În acest scop, există trei programe distincte în cadrul investiției. </w:t>
      </w:r>
    </w:p>
    <w:p>
      <w:pPr>
        <w:numPr>
          <w:ilvl w:val="0"/>
          <w:numId w:val="116"/>
        </w:numPr>
        <w:spacing w:before="120" w:after="120" w:line="240" w:lineRule="auto"/>
        <w:jc w:val="both"/>
        <w:rPr>
          <w:rFonts w:ascii="Times New Roman" w:hAnsi="Times New Roman" w:cs="Times New Roman"/>
          <w:bCs/>
          <w:noProof/>
          <w:sz w:val="24"/>
        </w:rPr>
      </w:pPr>
      <w:r>
        <w:rPr>
          <w:rFonts w:ascii="Times New Roman" w:hAnsi="Times New Roman"/>
          <w:bCs/>
          <w:noProof/>
          <w:sz w:val="24"/>
        </w:rPr>
        <w:t xml:space="preserve">Un program de promovare, modernizare și digitalizare a sectorului audiovizual, pentru a îmbunătăți competitivitatea și reziliența mediului de afaceri și a creației din sectorul audiovizual. Programul sprijină, de asemenea, punerea în aplicare și integrarea tehnologiilor digitale în producția și promovarea conținutului audiovizual, precum și digitalizarea instrumentului de remunerare a creatorilor. </w:t>
      </w:r>
    </w:p>
    <w:p>
      <w:pPr>
        <w:numPr>
          <w:ilvl w:val="0"/>
          <w:numId w:val="116"/>
        </w:numPr>
        <w:spacing w:before="120" w:after="120" w:line="240" w:lineRule="auto"/>
        <w:jc w:val="both"/>
        <w:rPr>
          <w:rFonts w:ascii="Times New Roman" w:hAnsi="Times New Roman" w:cs="Times New Roman"/>
          <w:bCs/>
          <w:noProof/>
          <w:sz w:val="24"/>
        </w:rPr>
      </w:pPr>
      <w:r>
        <w:rPr>
          <w:rFonts w:ascii="Times New Roman" w:hAnsi="Times New Roman"/>
          <w:bCs/>
          <w:noProof/>
          <w:sz w:val="24"/>
        </w:rPr>
        <w:t xml:space="preserve">Un program de promovare a internalizării sectorului audiovizual prin participarea la conferințe de afaceri audiovizuale, platforme și laboratoare și târguri de dezvoltare de proiecte. Scopul este de a institui diverse mecanisme pentru a exploata întregul potențial al industriei audiovizuale spaniole și pentru a promova talentul local într-un mediu global. </w:t>
      </w:r>
    </w:p>
    <w:p>
      <w:pPr>
        <w:numPr>
          <w:ilvl w:val="0"/>
          <w:numId w:val="116"/>
        </w:numPr>
        <w:spacing w:before="120" w:after="120" w:line="240" w:lineRule="auto"/>
        <w:jc w:val="both"/>
        <w:rPr>
          <w:rFonts w:ascii="Times New Roman" w:hAnsi="Times New Roman" w:cs="Times New Roman"/>
          <w:bCs/>
          <w:noProof/>
          <w:sz w:val="24"/>
        </w:rPr>
      </w:pPr>
      <w:r>
        <w:rPr>
          <w:rFonts w:ascii="Times New Roman" w:hAnsi="Times New Roman"/>
          <w:bCs/>
          <w:noProof/>
          <w:sz w:val="24"/>
        </w:rPr>
        <w:t xml:space="preserve">Un program de atragere a investițiilor străine directe în sectorul audiovizual prin crearea unui mediu de investiții atractiv, reducerea sarcinii administrative și facilitarea diferitelor proceduri administrative (implicând legături cu administrația publică la nivel general, regional și local).  </w:t>
      </w:r>
    </w:p>
    <w:p>
      <w:pPr>
        <w:spacing w:before="120" w:after="120" w:line="240" w:lineRule="auto"/>
        <w:jc w:val="both"/>
        <w:rPr>
          <w:rFonts w:ascii="Times New Roman" w:hAnsi="Times New Roman" w:cs="Times New Roman"/>
          <w:bCs/>
          <w:noProof/>
          <w:sz w:val="24"/>
        </w:rPr>
      </w:pPr>
      <w:r>
        <w:rPr>
          <w:rFonts w:ascii="Times New Roman" w:hAnsi="Times New Roman"/>
          <w:bCs/>
          <w:noProof/>
          <w:sz w:val="24"/>
        </w:rPr>
        <w:t xml:space="preserve">Această investiție este pusă în aplicare prin acorduri cu entități publice și private, cereri de candidaturi pentru a sprijini încorporarea tehnologiilor digitale în produsele și serviciile audiovizuale, solicită ajutor pentru inovare în ceea ce privește crearea și dezvoltarea unui conținut audiovizual și digital în diferitele sale formate, digitalizarea și analiza datelor din sectorul audiovizual, noi instrumente pentru promovarea internațională și comercializarea digitală a conținutului audiovizual, cum ar fi instrumentele online B2B și B2C. </w:t>
      </w:r>
    </w:p>
    <w:p>
      <w:pPr>
        <w:spacing w:before="120" w:after="120" w:line="240" w:lineRule="auto"/>
        <w:jc w:val="both"/>
        <w:rPr>
          <w:rFonts w:ascii="Times New Roman" w:hAnsi="Times New Roman" w:cs="Times New Roman"/>
          <w:bCs/>
          <w:noProof/>
          <w:sz w:val="24"/>
        </w:rPr>
      </w:pPr>
      <w:r>
        <w:rPr>
          <w:rFonts w:ascii="Times New Roman" w:hAnsi="Times New Roman"/>
          <w:bCs/>
          <w:noProof/>
          <w:sz w:val="24"/>
        </w:rPr>
        <w:t xml:space="preserve">Această investiție vizează întreprinderile, profesioniștii și actorii din întregul lanț valoric audiovizual și pune un accent deosebit pe IMM-urile care produc conținut audiovizual, pe IMM-urile specializate în gestionarea remunerării creatorilor și pe societățile de consultanță tehnologică care pot dezvolta platforme deschise pentru toate părțile interesate. </w:t>
      </w:r>
    </w:p>
    <w:p>
      <w:pPr>
        <w:spacing w:before="120" w:after="120" w:line="240" w:lineRule="auto"/>
        <w:jc w:val="both"/>
        <w:rPr>
          <w:rFonts w:ascii="Times New Roman" w:hAnsi="Times New Roman" w:cs="Times New Roman"/>
          <w:bCs/>
          <w:noProof/>
          <w:sz w:val="24"/>
        </w:rPr>
      </w:pPr>
      <w:r>
        <w:rPr>
          <w:rFonts w:ascii="Times New Roman" w:hAnsi="Times New Roman"/>
          <w:bCs/>
          <w:noProof/>
          <w:sz w:val="24"/>
        </w:rPr>
        <w:t>Punerea în aplicare a măsurii se finalizează până la 31 decembrie 2023.</w:t>
      </w:r>
    </w:p>
    <w:p>
      <w:pPr>
        <w:spacing w:before="120" w:after="120" w:line="240" w:lineRule="auto"/>
        <w:jc w:val="both"/>
        <w:rPr>
          <w:rFonts w:ascii="Times New Roman" w:hAnsi="Times New Roman" w:cs="Times New Roman"/>
          <w:b/>
          <w:bCs/>
          <w:noProof/>
          <w:sz w:val="24"/>
          <w:u w:val="single"/>
        </w:rPr>
      </w:pPr>
      <w:r>
        <w:rPr>
          <w:rFonts w:ascii="Times New Roman" w:hAnsi="Times New Roman"/>
          <w:b/>
          <w:bCs/>
          <w:noProof/>
          <w:sz w:val="24"/>
          <w:u w:val="single"/>
        </w:rPr>
        <w:t xml:space="preserve">Y.2. </w:t>
      </w:r>
      <w:r>
        <w:rPr>
          <w:rFonts w:ascii="Times New Roman" w:hAnsi="Times New Roman"/>
          <w:b/>
          <w:noProof/>
          <w:sz w:val="24"/>
          <w:u w:val="single"/>
        </w:rPr>
        <w:tab/>
      </w:r>
      <w:r>
        <w:rPr>
          <w:rFonts w:ascii="Times New Roman" w:hAnsi="Times New Roman"/>
          <w:b/>
          <w:bCs/>
          <w:noProof/>
          <w:sz w:val="24"/>
          <w:u w:val="single"/>
        </w:rPr>
        <w:t>Jaloane, ținte, indicatori și calendarul de monitorizare și implementare aplicabile sprijinului financiar nerambursabil</w:t>
      </w:r>
    </w:p>
    <w:p>
      <w:pPr>
        <w:spacing w:before="120" w:after="120" w:line="240" w:lineRule="auto"/>
        <w:rPr>
          <w:rFonts w:ascii="Times New Roman" w:hAnsi="Times New Roman" w:cs="Times New Roman"/>
          <w:b/>
          <w:noProof/>
          <w:sz w:val="24"/>
          <w:szCs w:val="24"/>
          <w:u w:val="single"/>
        </w:rPr>
      </w:pPr>
      <w:r>
        <w:rPr>
          <w:rFonts w:ascii="Times New Roman" w:hAnsi="Times New Roman"/>
          <w:i/>
          <w:noProof/>
          <w:color w:val="000000"/>
          <w:sz w:val="24"/>
          <w:szCs w:val="24"/>
        </w:rPr>
        <w:t>Tabelul de mai jos.</w:t>
      </w:r>
      <w:r>
        <w:rPr>
          <w:rFonts w:ascii="Times New Roman" w:hAnsi="Times New Roman"/>
          <w:noProof/>
          <w:color w:val="1F497D"/>
          <w:sz w:val="24"/>
          <w:szCs w:val="24"/>
        </w:rPr>
        <w:t xml:space="preserve"> </w:t>
      </w:r>
      <w:r>
        <w:rPr>
          <w:rFonts w:ascii="Times New Roman" w:hAnsi="Times New Roman"/>
          <w:i/>
          <w:noProof/>
          <w:color w:val="000000"/>
          <w:sz w:val="24"/>
          <w:szCs w:val="24"/>
        </w:rPr>
        <w:t>Data de referință pentru toți indicatorii este începutul acțiunii, cu excepția cazului în care se indică altfel în descrierea acțiunii. Sumele din tabel nu includ TVA.</w:t>
      </w:r>
    </w:p>
    <w:p>
      <w:pPr>
        <w:rPr>
          <w:rFonts w:ascii="Times New Roman" w:hAnsi="Times New Roman" w:cs="Times New Roman"/>
          <w:b/>
          <w:noProof/>
          <w:sz w:val="24"/>
          <w:u w:val="single"/>
          <w:lang w:val="en-IE"/>
        </w:rPr>
        <w:sectPr>
          <w:headerReference w:type="even" r:id="rId307"/>
          <w:headerReference w:type="default" r:id="rId308"/>
          <w:footerReference w:type="even" r:id="rId309"/>
          <w:footerReference w:type="default" r:id="rId310"/>
          <w:headerReference w:type="first" r:id="rId311"/>
          <w:footerReference w:type="first" r:id="rId312"/>
          <w:pgSz w:w="11907" w:h="16839"/>
          <w:pgMar w:top="1134" w:right="1417" w:bottom="1134" w:left="1417" w:header="709" w:footer="709" w:gutter="0"/>
          <w:cols w:space="720"/>
          <w:docGrid w:linePitch="360"/>
        </w:sectPr>
      </w:pPr>
    </w:p>
    <w:p>
      <w:pPr>
        <w:spacing w:before="120" w:after="120" w:line="240" w:lineRule="auto"/>
        <w:jc w:val="both"/>
        <w:rPr>
          <w:rFonts w:ascii="Times New Roman" w:hAnsi="Times New Roman" w:cs="Times New Roman"/>
          <w:b/>
          <w:noProof/>
          <w:sz w:val="24"/>
          <w:u w:val="single"/>
          <w:lang w:val="en-IE"/>
        </w:r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2410"/>
        <w:gridCol w:w="992"/>
        <w:gridCol w:w="851"/>
        <w:gridCol w:w="567"/>
        <w:gridCol w:w="567"/>
        <w:gridCol w:w="425"/>
        <w:gridCol w:w="567"/>
        <w:gridCol w:w="6521"/>
      </w:tblGrid>
      <w:tr>
        <w:trPr>
          <w:trHeight w:val="309"/>
          <w:tblHeader/>
        </w:trPr>
        <w:tc>
          <w:tcPr>
            <w:tcW w:w="709"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Cs/>
                <w:i/>
                <w:noProof/>
                <w:sz w:val="18"/>
                <w:szCs w:val="18"/>
              </w:rPr>
              <w:t xml:space="preserve">  </w:t>
            </w:r>
            <w:r>
              <w:rPr>
                <w:rFonts w:ascii="Times New Roman" w:hAnsi="Times New Roman"/>
                <w:b/>
                <w:noProof/>
                <w:color w:val="000000"/>
                <w:sz w:val="18"/>
                <w:szCs w:val="18"/>
              </w:rPr>
              <w:t>Număr</w:t>
            </w:r>
          </w:p>
        </w:tc>
        <w:tc>
          <w:tcPr>
            <w:tcW w:w="851"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Măsură</w:t>
            </w:r>
          </w:p>
        </w:tc>
        <w:tc>
          <w:tcPr>
            <w:tcW w:w="850"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Jalon</w:t>
            </w:r>
            <w:r>
              <w:rPr>
                <w:rFonts w:ascii="Times New Roman" w:hAnsi="Times New Roman"/>
                <w:b/>
                <w:noProof/>
                <w:color w:val="000000"/>
                <w:sz w:val="18"/>
                <w:szCs w:val="18"/>
              </w:rPr>
              <w:br/>
              <w:t xml:space="preserve"> /Țintă</w:t>
            </w:r>
          </w:p>
        </w:tc>
        <w:tc>
          <w:tcPr>
            <w:tcW w:w="2410"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Denumire</w:t>
            </w:r>
          </w:p>
        </w:tc>
        <w:tc>
          <w:tcPr>
            <w:tcW w:w="992"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Indicator calitativ pentru obiectivele de etapă</w:t>
            </w:r>
          </w:p>
        </w:tc>
        <w:tc>
          <w:tcPr>
            <w:tcW w:w="1985" w:type="dxa"/>
            <w:gridSpan w:val="3"/>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Indicator cantitativ pentru obiectiv</w:t>
            </w:r>
          </w:p>
        </w:tc>
        <w:tc>
          <w:tcPr>
            <w:tcW w:w="992" w:type="dxa"/>
            <w:gridSpan w:val="2"/>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Timp</w:t>
            </w:r>
          </w:p>
        </w:tc>
        <w:tc>
          <w:tcPr>
            <w:tcW w:w="6521"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bCs/>
                <w:noProof/>
                <w:sz w:val="18"/>
                <w:szCs w:val="18"/>
              </w:rPr>
              <w:t>Descrierea fiecărui jalon și a fiecărei ținte</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2410"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992"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Unitate</w:t>
            </w:r>
          </w:p>
        </w:tc>
        <w:tc>
          <w:tcPr>
            <w:tcW w:w="567"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Scenariu de bază</w:t>
            </w:r>
          </w:p>
        </w:tc>
        <w:tc>
          <w:tcPr>
            <w:tcW w:w="567"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Obiectiv</w:t>
            </w:r>
          </w:p>
        </w:tc>
        <w:tc>
          <w:tcPr>
            <w:tcW w:w="425"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Q</w:t>
            </w:r>
          </w:p>
        </w:tc>
        <w:tc>
          <w:tcPr>
            <w:tcW w:w="567"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An</w:t>
            </w:r>
          </w:p>
        </w:tc>
        <w:tc>
          <w:tcPr>
            <w:tcW w:w="6521"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lang w:val="en-IE"/>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363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C25.R1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41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Planul „Spania, platforma audiovizuală a Europei”.</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Aprobarea de către Consiliul de Miniștri</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652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Aprobarea de către Consiliul de Miniștri a planului „Spania, platforma audiovizuală a Europei”. Planul combină investițiile publice și reformele care vizează (i) internaționalizarea sectorului și creșterea atractivității Spaniei ca destinație a investițiilor străine; (ii) reducerea costurilor administrative și de reglementare; (iii) să îmbunătățească competitivitatea tuturor întreprinderilor prin implementarea de noi tehnologii pentru a permite întreprinderii să concureze pe o piață digitalizată; și (iv) promovarea capitalului uman prin reducerea disparității de gen.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364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C25.R1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41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Legii generale privind comunicațiile audiovizuale.</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Dispoziții ale statutului la intrarea în vigoare</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52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Intrarea în vigoare a Legii generale privind comunicațiile audiovizuale. Prezenta lege reglementează cadrul juridic pentru furnizarea de servicii de comunicații audiovizuale în Spania și transpune efectiv în sistemul juridic național Directiva 2018/1808 privind serviciile de comunicații audiovizuale. Scopul său este de a adapta și actualiza cadrul juridic aplicabil serviciilor de comunicații audiovizuale și serviciilor de platformă de partajare a materialelor video din Spania. Legea urmărește, de asemenea, să garanteze condiții de concurență echitabile pentru toți actorii prezenți pe piață. În cele din urmă, legea include un mecanism de garantare a drepturilor utilizatorilor (cum ar fi protecția minorilor și a publicului împotriva anumitor tipuri de conținut).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365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C25.R1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41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Intrarea în vigoare a legii privind cinematografia. </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Dispoziții ale statutului la intrarea în vigoare</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52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Aprobarea Legii cinematografiei de către Parlament și intrarea în vigoare. Prezenta lege actualizează cadrul juridic la noua realitate și la noile nevoi ale sectorului audiovizual, aliniind reglementarea națională la cadrul juridic european.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366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C25.I1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41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Sprijinirea IMM-urilor în sectorul audiovizual.</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52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Sprijinirea IMM-urilor din sectorul audiovizual în digitalizarea acestora, promovarea egalității de gen, internaționalizare și atragerea de investiții străine directe în cadrul programului global, cu o alocare bugetară totală de 200 de milioane EUR (cel puțin 100 de IMM-uri sprijinite).</w:t>
            </w:r>
          </w:p>
        </w:tc>
      </w:tr>
    </w:tbl>
    <w:p>
      <w:pPr>
        <w:rPr>
          <w:rFonts w:ascii="Times New Roman" w:hAnsi="Times New Roman" w:cs="Times New Roman"/>
          <w:noProof/>
          <w:sz w:val="24"/>
          <w:szCs w:val="24"/>
        </w:rPr>
      </w:pPr>
    </w:p>
    <w:p>
      <w:pPr>
        <w:pStyle w:val="SectionTitle"/>
        <w:rPr>
          <w:noProof/>
        </w:rPr>
        <w:sectPr>
          <w:headerReference w:type="even" r:id="rId313"/>
          <w:headerReference w:type="default" r:id="rId314"/>
          <w:footerReference w:type="even" r:id="rId315"/>
          <w:footerReference w:type="default" r:id="rId316"/>
          <w:headerReference w:type="first" r:id="rId317"/>
          <w:footerReference w:type="first" r:id="rId318"/>
          <w:pgSz w:w="16839" w:h="11907" w:orient="landscape"/>
          <w:pgMar w:top="1417" w:right="1134" w:bottom="1417" w:left="1134" w:header="709" w:footer="709" w:gutter="0"/>
          <w:cols w:space="720"/>
          <w:docGrid w:linePitch="360"/>
        </w:sectPr>
      </w:pPr>
    </w:p>
    <w:p>
      <w:pPr>
        <w:pStyle w:val="Heading1"/>
        <w:rPr>
          <w:noProof/>
        </w:rPr>
      </w:pPr>
      <w:r>
        <w:rPr>
          <w:noProof/>
        </w:rPr>
        <w:t xml:space="preserve">Z. COMPONENTA 26: Promovarea sportului </w:t>
      </w:r>
    </w:p>
    <w:p>
      <w:pPr>
        <w:pStyle w:val="Text1"/>
        <w:ind w:left="0"/>
        <w:rPr>
          <w:iCs/>
          <w:noProof/>
        </w:rPr>
      </w:pPr>
      <w:r>
        <w:rPr>
          <w:noProof/>
        </w:rPr>
        <w:t xml:space="preserve">Conform planului spaniol de redresare și reziliență, sectorul sportului reprezintă 3,1 % din PIB în Spania și asigură direct sau indirect 2,1 % din totalul locurilor de muncă din țară. </w:t>
      </w:r>
    </w:p>
    <w:p>
      <w:pPr>
        <w:pStyle w:val="Text1"/>
        <w:ind w:left="0"/>
        <w:rPr>
          <w:iCs/>
          <w:noProof/>
        </w:rPr>
      </w:pPr>
      <w:r>
        <w:rPr>
          <w:noProof/>
        </w:rPr>
        <w:t>Principalul obiectiv al acestei componente a planului spaniol de redresare și reziliență este de a consolida transformarea sectorului sportului prin digitalizarea organizațiilor sportive și modernizarea facilităților sportive pentru a asigura sustenabilitatea și accesibilitatea ecologică a acestora. Acesta sprijină, de asemenea, promovarea sportului în scopuri medicale, în special printr-un acces mai bun la activitatea fizică în zonele expuse riscului de depopulare, precum și prin cercetarea în domeniu. În cele din urmă, componenta include investiții specifice pentru a încuraja participarea femeilor la sportul profesionist și amator.</w:t>
      </w:r>
    </w:p>
    <w:p>
      <w:pPr>
        <w:tabs>
          <w:tab w:val="left" w:pos="1134"/>
        </w:tabs>
        <w:spacing w:before="120" w:after="120" w:line="240" w:lineRule="auto"/>
        <w:jc w:val="both"/>
        <w:rPr>
          <w:rFonts w:ascii="Times New Roman" w:hAnsi="Times New Roman" w:cs="Times New Roman"/>
          <w:noProof/>
          <w:sz w:val="24"/>
        </w:rPr>
      </w:pPr>
      <w:r>
        <w:rPr>
          <w:rFonts w:ascii="Times New Roman" w:hAnsi="Times New Roman"/>
          <w:noProof/>
          <w:sz w:val="24"/>
        </w:rPr>
        <w:t>Componenta abordează recomandările specifice fiecărei țări privind promovarea investițiilor în inovare și în eficiența energetică (recomandarea specifică țării 3 din 2019), promovarea investițiilor publice și private și promovarea tranziției verzi (recomandarea specifică țării 3 din  2020) și consolidarea rezilienței sistemului de sănătate (recomandarea specifică țării 1 din 2020).</w:t>
      </w:r>
    </w:p>
    <w:p>
      <w:pPr>
        <w:pStyle w:val="Text1"/>
        <w:ind w:left="0"/>
        <w:rPr>
          <w:iCs/>
          <w:noProof/>
        </w:rPr>
      </w:pPr>
      <w:r>
        <w:rPr>
          <w:noProof/>
        </w:rPr>
        <w:t>Această componentă sprijină și completează acțiunile prevăzute în alte părți ale planului, cum ar fi cele de promovare a unui stil de viață sănătos în cadrul componentei 18 (Reforma sistemului de sănătate). Prin optimizarea și modernizarea infrastructurilor sportive existente, acesta completează, de asemenea, măsurile întreprinse în cadrul componentei 2 (renovare) și sprijină transformarea sectorului turismului din Spania în conformitate cu componenta 14 (Turism).</w:t>
      </w:r>
    </w:p>
    <w:p>
      <w:pPr>
        <w:pStyle w:val="Text1"/>
        <w:ind w:left="0"/>
        <w:rPr>
          <w:noProof/>
        </w:rPr>
      </w:pPr>
      <w:r>
        <w:rPr>
          <w:noProof/>
          <w:color w:val="000000" w:themeColor="text1"/>
        </w:rPr>
        <w:t>Se preconizează că nicio măsură din cadrul acestei componente nu aduce prejudicii semnificative obiectivelor de mediu în sensul articolului 17 din Regulamentul (UE) 2020/852, ținând seama de descrierea măsurilor și a măsurilor de atenuare stabilite în planul de redresare și reziliență în conformitate cu Orientările tehnice DNSH (2021/C58/01).</w:t>
      </w:r>
    </w:p>
    <w:p>
      <w:pPr>
        <w:pStyle w:val="Text1"/>
        <w:ind w:left="709"/>
        <w:rPr>
          <w:b/>
          <w:i/>
          <w:noProof/>
          <w:color w:val="4F81BD" w:themeColor="accent1"/>
        </w:rPr>
      </w:pPr>
      <w:r>
        <w:rPr>
          <w:b/>
          <w:bCs/>
          <w:noProof/>
          <w:u w:val="single"/>
        </w:rPr>
        <w:t xml:space="preserve">Z.1. </w:t>
      </w:r>
      <w:r>
        <w:rPr>
          <w:b/>
          <w:noProof/>
          <w:u w:val="single"/>
        </w:rPr>
        <w:tab/>
      </w:r>
      <w:r>
        <w:rPr>
          <w:b/>
          <w:bCs/>
          <w:noProof/>
          <w:u w:val="single"/>
        </w:rPr>
        <w:t>Descrierea reformelor și a investițiilor pentru care se prevede acordarea sprijinului financiar nerambursabil</w:t>
      </w:r>
    </w:p>
    <w:p>
      <w:pPr>
        <w:spacing w:line="240" w:lineRule="auto"/>
        <w:rPr>
          <w:rFonts w:ascii="Times New Roman" w:hAnsi="Times New Roman" w:cs="Times New Roman"/>
          <w:noProof/>
          <w:sz w:val="24"/>
          <w:szCs w:val="24"/>
          <w:u w:val="single"/>
        </w:rPr>
      </w:pPr>
      <w:r>
        <w:rPr>
          <w:rFonts w:ascii="Times New Roman" w:hAnsi="Times New Roman"/>
          <w:noProof/>
          <w:sz w:val="24"/>
          <w:szCs w:val="24"/>
          <w:u w:val="single"/>
        </w:rPr>
        <w:t>Reforma 1 (C26.R1) - Legea sportului</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Obiectivul acestei măsuri legislative este de a asigura sănătatea și siguranța în practicarea sportului la toate nivelurile, de a include aspectele legate de egalitatea de gen, accesibilitate și coeziune socială în reglementarea sportului, de a moderniza organizațiile și infrastructurile sportive prin digitalizare și prin transformarea ecologică a acestora și de a promova internaționalizarea sectorului. Legislația adaptează structurile organizaționale ale sportului la provocările actuale cu care se confruntă, ținând seama de lecțiile învățate din pandemie. </w:t>
      </w:r>
    </w:p>
    <w:p>
      <w:pPr>
        <w:spacing w:line="240" w:lineRule="auto"/>
        <w:rPr>
          <w:rFonts w:ascii="Times New Roman" w:hAnsi="Times New Roman" w:cs="Times New Roman"/>
          <w:noProof/>
          <w:sz w:val="24"/>
          <w:szCs w:val="24"/>
        </w:rPr>
      </w:pPr>
      <w:r>
        <w:rPr>
          <w:rFonts w:ascii="Times New Roman" w:hAnsi="Times New Roman"/>
          <w:noProof/>
          <w:sz w:val="24"/>
          <w:szCs w:val="24"/>
        </w:rPr>
        <w:t>Punerea în aplicare a măsurii se finalizează până la 31 decembrie 2022.</w:t>
      </w:r>
    </w:p>
    <w:p>
      <w:pPr>
        <w:spacing w:line="240" w:lineRule="auto"/>
        <w:rPr>
          <w:rFonts w:ascii="Times New Roman" w:hAnsi="Times New Roman" w:cs="Times New Roman"/>
          <w:noProof/>
          <w:sz w:val="24"/>
          <w:szCs w:val="24"/>
          <w:u w:val="single"/>
        </w:rPr>
      </w:pPr>
      <w:r>
        <w:rPr>
          <w:rFonts w:ascii="Times New Roman" w:hAnsi="Times New Roman"/>
          <w:noProof/>
          <w:sz w:val="24"/>
          <w:szCs w:val="24"/>
          <w:u w:val="single"/>
        </w:rPr>
        <w:t>Reforma 2 (C26.R2) - Legea privind profesioniștii din domeniul sportului</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Obiectivul acestei măsuri legislative este de a garanta că reglementarea noilor profesii sportive nu creează obstacole în calea stabilirii și prestării de servicii pe teritoriul spaniol. Măsura abordează provocările care decurg din eterogenitatea în materie de reglementare la nivel regional (inclusiv cerințele de acces diferite de la o regiune la alta). Măsura asigură conformitatea cu legislația UE, în special cu principiile necesității și proporționalității.</w:t>
      </w:r>
    </w:p>
    <w:p>
      <w:pPr>
        <w:spacing w:line="240" w:lineRule="auto"/>
        <w:rPr>
          <w:rFonts w:ascii="Times New Roman" w:hAnsi="Times New Roman" w:cs="Times New Roman"/>
          <w:noProof/>
          <w:sz w:val="24"/>
          <w:szCs w:val="24"/>
        </w:rPr>
      </w:pPr>
      <w:r>
        <w:rPr>
          <w:rFonts w:ascii="Times New Roman" w:hAnsi="Times New Roman"/>
          <w:noProof/>
          <w:sz w:val="24"/>
          <w:szCs w:val="24"/>
        </w:rPr>
        <w:t>Punerea în aplicare a reformei se finalizează până la 31 decembrie, până în 2023.</w:t>
      </w:r>
    </w:p>
    <w:p>
      <w:pPr>
        <w:keepNext/>
        <w:spacing w:line="240" w:lineRule="auto"/>
        <w:rPr>
          <w:rFonts w:ascii="Times New Roman" w:hAnsi="Times New Roman" w:cs="Times New Roman"/>
          <w:noProof/>
          <w:sz w:val="24"/>
          <w:szCs w:val="24"/>
          <w:u w:val="single"/>
        </w:rPr>
      </w:pPr>
      <w:r>
        <w:rPr>
          <w:rFonts w:ascii="Times New Roman" w:hAnsi="Times New Roman"/>
          <w:noProof/>
          <w:sz w:val="24"/>
          <w:szCs w:val="24"/>
          <w:u w:val="single"/>
        </w:rPr>
        <w:t>Reforma 3 (C26.R3) - Strategia națională pentru promovarea sportului</w:t>
      </w:r>
    </w:p>
    <w:p>
      <w:pPr>
        <w:keepNext/>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Obiectivul acestei strategii este de a promova practicarea sportului pentru a evita consecințele negative pe care le pot avea un stil de viață sedentar și lipsa de activitate fizică asupra sănătății și bunăstării. Măsura include, printre altele: (a) acțiuni de introducere a bunelor practici și a obiceiurilor sănătoase; (b) un instrument analitic pentru măsurarea și îmbunătățirea impactului strategiei. </w:t>
      </w:r>
    </w:p>
    <w:p>
      <w:pPr>
        <w:spacing w:line="240" w:lineRule="auto"/>
        <w:rPr>
          <w:rFonts w:ascii="Times New Roman" w:hAnsi="Times New Roman" w:cs="Times New Roman"/>
          <w:noProof/>
          <w:sz w:val="24"/>
          <w:szCs w:val="24"/>
        </w:rPr>
      </w:pPr>
      <w:r>
        <w:rPr>
          <w:rFonts w:ascii="Times New Roman" w:hAnsi="Times New Roman"/>
          <w:noProof/>
          <w:sz w:val="24"/>
          <w:szCs w:val="24"/>
        </w:rPr>
        <w:t xml:space="preserve">Punerea în aplicare a măsurii se finalizează până la 31 decembrie 2023; </w:t>
      </w:r>
    </w:p>
    <w:p>
      <w:pPr>
        <w:spacing w:line="240" w:lineRule="auto"/>
        <w:rPr>
          <w:rFonts w:ascii="Times New Roman" w:hAnsi="Times New Roman" w:cs="Times New Roman"/>
          <w:noProof/>
          <w:sz w:val="24"/>
          <w:szCs w:val="24"/>
          <w:u w:val="single"/>
        </w:rPr>
      </w:pPr>
      <w:r>
        <w:rPr>
          <w:rFonts w:ascii="Times New Roman" w:hAnsi="Times New Roman"/>
          <w:noProof/>
          <w:sz w:val="24"/>
          <w:szCs w:val="24"/>
          <w:u w:val="single"/>
        </w:rPr>
        <w:t xml:space="preserve">Investiția 1 (C26.I1) - Plan digital pentru sport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Obiectivul acestei măsuri este digitalizarea federațiilor sportive, inclusiv gestionarea bugetului acestora și procedurile de acordare a licențelor sportive. Aceasta îmbunătățește, de asemenea, analiza datelor rezultate din practica sportivă, inclusiv pentru promovarea unui stil de viață sănătos și în scopuri de cercetare. În fine, promovează digitalizarea centrelor publice de medicină a sportului și lupta împotriva dopajului.</w:t>
      </w:r>
    </w:p>
    <w:p>
      <w:pPr>
        <w:spacing w:line="240" w:lineRule="auto"/>
        <w:rPr>
          <w:rFonts w:ascii="Times New Roman" w:hAnsi="Times New Roman" w:cs="Times New Roman"/>
          <w:noProof/>
          <w:sz w:val="24"/>
          <w:szCs w:val="24"/>
        </w:rPr>
      </w:pPr>
      <w:r>
        <w:rPr>
          <w:rFonts w:ascii="Times New Roman" w:hAnsi="Times New Roman"/>
          <w:noProof/>
          <w:sz w:val="24"/>
          <w:szCs w:val="24"/>
        </w:rPr>
        <w:t xml:space="preserve">Punerea în aplicare a reformei se finalizează până la 31 decembrie 2023. </w:t>
      </w:r>
    </w:p>
    <w:p>
      <w:pPr>
        <w:spacing w:line="240" w:lineRule="auto"/>
        <w:rPr>
          <w:rFonts w:ascii="Times New Roman" w:hAnsi="Times New Roman" w:cs="Times New Roman"/>
          <w:noProof/>
          <w:sz w:val="24"/>
          <w:szCs w:val="24"/>
          <w:u w:val="single"/>
        </w:rPr>
      </w:pPr>
      <w:r>
        <w:rPr>
          <w:rFonts w:ascii="Times New Roman" w:hAnsi="Times New Roman"/>
          <w:noProof/>
          <w:sz w:val="24"/>
          <w:szCs w:val="24"/>
          <w:u w:val="single"/>
        </w:rPr>
        <w:t xml:space="preserve"> Investiția 2 (C26.I2) - Plan pentru tranziția ecologică a instalațiilor sportive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Obiectivul acestei măsuri este modernizarea facilităților sportive existente, inclusiv a facilităților sportive care pot atrage turismul și a centrelor sportive de înaltă performanță. Acest lucru se realizează prin digitalizarea lor pentru o utilizare optimă și o îmbunătățire a eficienței energetice a acestora, care se preconizează că va genera economii de cel puțin 30 % din cererea de energie primară. Măsura promovează, de asemenea, sportul în zonele rurale prin crearea unei rețele de monitori pentru stimularea activității fizice.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Criteriile de selecție pentru investițiile realizate în cadrul acestei componente asigură respectarea marcajului climatic de 100 % pentru cel puțin 106 000 000 EUR. Indicatorii de îmbunătățire a performanței energetice utilizați sunt acreditați prin certificatul relevant de performanță energetică în cadrul Directiva 2010/31/UE a Parlamentului European și a Consiliului din 19 mai 2010 privind performanța energetică a clădirilor</w:t>
      </w:r>
      <w:r>
        <w:rPr>
          <w:rStyle w:val="FootnoteReference"/>
          <w:rFonts w:ascii="Times New Roman" w:hAnsi="Times New Roman" w:cs="Times New Roman"/>
          <w:noProof/>
          <w:sz w:val="24"/>
          <w:szCs w:val="24"/>
          <w:lang w:val="en-IE"/>
        </w:rPr>
        <w:footnoteReference w:id="103"/>
      </w:r>
      <w:r>
        <w:rPr>
          <w:rFonts w:ascii="Times New Roman" w:hAnsi="Times New Roman"/>
          <w:noProof/>
          <w:sz w:val="24"/>
          <w:szCs w:val="24"/>
        </w:rPr>
        <w:t>.</w:t>
      </w:r>
    </w:p>
    <w:p>
      <w:pPr>
        <w:spacing w:line="240" w:lineRule="auto"/>
        <w:rPr>
          <w:rFonts w:ascii="Times New Roman" w:hAnsi="Times New Roman" w:cs="Times New Roman"/>
          <w:noProof/>
          <w:sz w:val="24"/>
          <w:szCs w:val="24"/>
        </w:rPr>
      </w:pPr>
      <w:r>
        <w:rPr>
          <w:rFonts w:ascii="Times New Roman" w:hAnsi="Times New Roman"/>
          <w:noProof/>
          <w:sz w:val="24"/>
          <w:szCs w:val="24"/>
        </w:rPr>
        <w:t xml:space="preserve">Punerea în aplicare a investiției se finalizează până la 31 decembrie 2025. </w:t>
      </w:r>
    </w:p>
    <w:p>
      <w:pPr>
        <w:spacing w:line="240" w:lineRule="auto"/>
        <w:rPr>
          <w:rFonts w:ascii="Times New Roman" w:hAnsi="Times New Roman" w:cs="Times New Roman"/>
          <w:noProof/>
          <w:sz w:val="24"/>
          <w:szCs w:val="24"/>
          <w:u w:val="single"/>
        </w:rPr>
      </w:pPr>
      <w:r>
        <w:rPr>
          <w:rFonts w:ascii="Times New Roman" w:hAnsi="Times New Roman"/>
          <w:noProof/>
          <w:sz w:val="24"/>
          <w:szCs w:val="24"/>
          <w:u w:val="single"/>
        </w:rPr>
        <w:t>Investiția 3 (C26.I3) - Plan social pentru sport</w:t>
      </w:r>
    </w:p>
    <w:p>
      <w:pPr>
        <w:spacing w:line="240" w:lineRule="auto"/>
        <w:jc w:val="both"/>
        <w:rPr>
          <w:rFonts w:ascii="Times New Roman" w:hAnsi="Times New Roman" w:cs="Times New Roman"/>
          <w:noProof/>
          <w:sz w:val="24"/>
          <w:szCs w:val="24"/>
          <w:u w:val="single"/>
        </w:rPr>
      </w:pPr>
      <w:r>
        <w:rPr>
          <w:rFonts w:ascii="Times New Roman" w:hAnsi="Times New Roman"/>
          <w:noProof/>
          <w:sz w:val="24"/>
          <w:szCs w:val="24"/>
        </w:rPr>
        <w:t>Obiectivul acestei măsuri este dublu. Pe de o parte, aceasta vizează modernizarea facilităților sportive existente prin îmbunătățirea digitalizării, a eficienței energetice și a accesibilității acestora, pentru a permite Spaniei să depună oferte pentru găzduirea de competiții sportive internaționale. Pe de altă parte, scopul său este de a promova participarea femeilor la sportul profesionist prin acțiuni de creștere a prezenței lor și a vizibilității și formării acestora, precum și de a permite profesionalizarea sporturilor feminine, în special a fotbalului.</w:t>
      </w:r>
      <w:r>
        <w:rPr>
          <w:rFonts w:ascii="Times New Roman" w:hAnsi="Times New Roman"/>
          <w:noProof/>
          <w:sz w:val="24"/>
          <w:szCs w:val="24"/>
          <w:u w:val="single"/>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Criteriile de selecție pentru investițiile realizate în cadrul acestei componente asigură respectarea marcajului climatic de 100 % pentru cel puțin 27 500 000 de milioane EUR din investiția totală. Indicatorii de îmbunătățire a performanței energetice utilizați sunt acreditați prin certificatul relevant de performanță energetică în cadrul Directiva 2010/31/UE a Parlamentului European și a Consiliului din 19 mai 2010 privind performanța energetică a clădirilor.</w:t>
      </w:r>
    </w:p>
    <w:p>
      <w:pPr>
        <w:spacing w:line="240" w:lineRule="auto"/>
        <w:rPr>
          <w:rFonts w:ascii="Times New Roman" w:hAnsi="Times New Roman" w:cs="Times New Roman"/>
          <w:noProof/>
          <w:sz w:val="24"/>
          <w:szCs w:val="24"/>
        </w:rPr>
      </w:pPr>
      <w:r>
        <w:rPr>
          <w:rFonts w:ascii="Times New Roman" w:hAnsi="Times New Roman"/>
          <w:noProof/>
          <w:sz w:val="24"/>
          <w:szCs w:val="24"/>
        </w:rPr>
        <w:t xml:space="preserve">Punerea în aplicare a investiției se finalizează până la 31 decembrie 2023. </w:t>
      </w:r>
    </w:p>
    <w:p>
      <w:pPr>
        <w:pStyle w:val="Text1"/>
        <w:ind w:left="709"/>
        <w:rPr>
          <w:b/>
          <w:bCs/>
          <w:noProof/>
          <w:u w:val="single"/>
        </w:rPr>
      </w:pPr>
      <w:r>
        <w:rPr>
          <w:b/>
          <w:bCs/>
          <w:noProof/>
          <w:u w:val="single"/>
        </w:rPr>
        <w:t xml:space="preserve">Z.2. </w:t>
      </w:r>
      <w:r>
        <w:rPr>
          <w:b/>
          <w:noProof/>
          <w:u w:val="single"/>
        </w:rPr>
        <w:tab/>
      </w:r>
      <w:r>
        <w:rPr>
          <w:b/>
          <w:bCs/>
          <w:noProof/>
          <w:u w:val="single"/>
        </w:rPr>
        <w:t>Jaloane, ținte, indicatori și calendarul de monitorizare și implementare aplicabile sprijinului financiar nerambursabil</w:t>
      </w:r>
    </w:p>
    <w:p>
      <w:pPr>
        <w:pStyle w:val="Text1"/>
        <w:ind w:left="709"/>
        <w:rPr>
          <w:b/>
          <w:bCs/>
          <w:noProof/>
          <w:u w:val="single"/>
        </w:rPr>
      </w:pPr>
      <w:r>
        <w:rPr>
          <w:i/>
          <w:iCs/>
          <w:noProof/>
          <w:color w:val="000000"/>
          <w:szCs w:val="24"/>
        </w:rPr>
        <w:t>Tabelul de mai jos. Data de referință pentru toți indicatorii este 1 februarie 2020, cu excepția cazului în care se indică altfel în descrierea acțiunii. Sumele din tabel includ TVA.</w:t>
      </w:r>
    </w:p>
    <w:p>
      <w:pPr>
        <w:pStyle w:val="Text1"/>
        <w:ind w:left="0"/>
        <w:rPr>
          <w:noProof/>
          <w:lang w:val="en-IE"/>
        </w:rPr>
        <w:sectPr>
          <w:headerReference w:type="even" r:id="rId319"/>
          <w:headerReference w:type="default" r:id="rId320"/>
          <w:footerReference w:type="even" r:id="rId321"/>
          <w:footerReference w:type="default" r:id="rId322"/>
          <w:headerReference w:type="first" r:id="rId323"/>
          <w:footerReference w:type="first" r:id="rId324"/>
          <w:pgSz w:w="11907" w:h="16839"/>
          <w:pgMar w:top="1134" w:right="1417" w:bottom="1134" w:left="1417" w:header="709" w:footer="709" w:gutter="0"/>
          <w:cols w:space="720"/>
          <w:docGrid w:linePitch="360"/>
        </w:sectPr>
      </w:pPr>
    </w:p>
    <w:p>
      <w:pPr>
        <w:pStyle w:val="Text1"/>
        <w:ind w:left="0"/>
        <w:rPr>
          <w:noProof/>
          <w:sz w:val="20"/>
          <w:szCs w:val="20"/>
          <w:lang w:val="en-IE"/>
        </w:rPr>
      </w:pPr>
    </w:p>
    <w:tbl>
      <w:tblPr>
        <w:tblpPr w:leftFromText="180" w:rightFromText="180" w:vertAnchor="text" w:tblpXSpec="right" w:tblpY="1"/>
        <w:tblOverlap w:val="never"/>
        <w:tblW w:w="15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3"/>
        <w:gridCol w:w="845"/>
        <w:gridCol w:w="844"/>
        <w:gridCol w:w="2533"/>
        <w:gridCol w:w="1407"/>
        <w:gridCol w:w="986"/>
        <w:gridCol w:w="1266"/>
        <w:gridCol w:w="845"/>
        <w:gridCol w:w="422"/>
        <w:gridCol w:w="563"/>
        <w:gridCol w:w="4754"/>
        <w:gridCol w:w="29"/>
      </w:tblGrid>
      <w:tr>
        <w:trPr>
          <w:gridAfter w:val="1"/>
          <w:wAfter w:w="29" w:type="dxa"/>
          <w:trHeight w:val="309"/>
          <w:tblHeader/>
        </w:trPr>
        <w:tc>
          <w:tcPr>
            <w:tcW w:w="703" w:type="dxa"/>
            <w:tcBorders>
              <w:bottom w:val="nil"/>
            </w:tcBorders>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Număr</w:t>
            </w:r>
          </w:p>
        </w:tc>
        <w:tc>
          <w:tcPr>
            <w:tcW w:w="845" w:type="dxa"/>
            <w:tcBorders>
              <w:bottom w:val="nil"/>
            </w:tcBorders>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Măsură</w:t>
            </w:r>
          </w:p>
        </w:tc>
        <w:tc>
          <w:tcPr>
            <w:tcW w:w="844" w:type="dxa"/>
            <w:tcBorders>
              <w:bottom w:val="nil"/>
            </w:tcBorders>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Jalon</w:t>
            </w:r>
            <w:r>
              <w:rPr>
                <w:rFonts w:ascii="Times New Roman" w:hAnsi="Times New Roman"/>
                <w:b/>
                <w:noProof/>
                <w:color w:val="000000"/>
                <w:sz w:val="18"/>
                <w:szCs w:val="18"/>
              </w:rPr>
              <w:br/>
              <w:t xml:space="preserve"> /Țintă</w:t>
            </w:r>
          </w:p>
        </w:tc>
        <w:tc>
          <w:tcPr>
            <w:tcW w:w="2533" w:type="dxa"/>
            <w:tcBorders>
              <w:bottom w:val="nil"/>
            </w:tcBorders>
            <w:shd w:val="clear" w:color="auto" w:fill="C6D9F1" w:themeFill="text2" w:themeFillTint="33"/>
            <w:noWrap/>
            <w:vAlign w:val="center"/>
          </w:tcPr>
          <w:p>
            <w:pPr>
              <w:spacing w:after="0"/>
              <w:jc w:val="center"/>
              <w:rPr>
                <w:rFonts w:ascii="Times New Roman" w:hAnsi="Times New Roman" w:cs="Times New Roman"/>
                <w:b/>
                <w:noProof/>
                <w:color w:val="000000"/>
                <w:sz w:val="18"/>
                <w:szCs w:val="18"/>
                <w:lang w:val="en-IE"/>
              </w:rPr>
            </w:pPr>
          </w:p>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Denumire</w:t>
            </w:r>
          </w:p>
        </w:tc>
        <w:tc>
          <w:tcPr>
            <w:tcW w:w="1407" w:type="dxa"/>
            <w:tcBorders>
              <w:bottom w:val="nil"/>
            </w:tcBorders>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Indicator calitativ pentru obiectivele de etapă</w:t>
            </w:r>
          </w:p>
        </w:tc>
        <w:tc>
          <w:tcPr>
            <w:tcW w:w="3097" w:type="dxa"/>
            <w:gridSpan w:val="3"/>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Indicator cantitativ pentru obiectiv</w:t>
            </w:r>
          </w:p>
        </w:tc>
        <w:tc>
          <w:tcPr>
            <w:tcW w:w="985" w:type="dxa"/>
            <w:gridSpan w:val="2"/>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Timp</w:t>
            </w:r>
          </w:p>
        </w:tc>
        <w:tc>
          <w:tcPr>
            <w:tcW w:w="4754" w:type="dxa"/>
            <w:tcBorders>
              <w:bottom w:val="nil"/>
            </w:tcBorders>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sz w:val="18"/>
                <w:szCs w:val="18"/>
              </w:rPr>
              <w:t>Descrierea fiecărui jalon și a fiecărei ținte</w:t>
            </w:r>
          </w:p>
        </w:tc>
      </w:tr>
      <w:tr>
        <w:trPr>
          <w:gridAfter w:val="1"/>
          <w:wAfter w:w="29" w:type="dxa"/>
          <w:trHeight w:val="309"/>
          <w:tblHeader/>
        </w:trPr>
        <w:tc>
          <w:tcPr>
            <w:tcW w:w="703"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845"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844"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2533" w:type="dxa"/>
            <w:tcBorders>
              <w:top w:val="nil"/>
            </w:tcBorders>
            <w:shd w:val="clear" w:color="auto" w:fill="C6D9F1" w:themeFill="text2" w:themeFillTint="33"/>
            <w:noWrap/>
          </w:tcPr>
          <w:p>
            <w:pPr>
              <w:spacing w:after="0"/>
              <w:rPr>
                <w:rFonts w:ascii="Times New Roman" w:hAnsi="Times New Roman" w:cs="Times New Roman"/>
                <w:b/>
                <w:noProof/>
                <w:color w:val="000000"/>
                <w:sz w:val="18"/>
                <w:szCs w:val="18"/>
              </w:rPr>
            </w:pPr>
          </w:p>
        </w:tc>
        <w:tc>
          <w:tcPr>
            <w:tcW w:w="1407"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986"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Unitate</w:t>
            </w:r>
          </w:p>
        </w:tc>
        <w:tc>
          <w:tcPr>
            <w:tcW w:w="1266"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Valoare de referință</w:t>
            </w:r>
          </w:p>
        </w:tc>
        <w:tc>
          <w:tcPr>
            <w:tcW w:w="845"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Obiectiv</w:t>
            </w:r>
          </w:p>
        </w:tc>
        <w:tc>
          <w:tcPr>
            <w:tcW w:w="422"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Q</w:t>
            </w:r>
          </w:p>
        </w:tc>
        <w:tc>
          <w:tcPr>
            <w:tcW w:w="563"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An</w:t>
            </w:r>
          </w:p>
        </w:tc>
        <w:tc>
          <w:tcPr>
            <w:tcW w:w="4754" w:type="dxa"/>
            <w:tcBorders>
              <w:top w:val="nil"/>
            </w:tcBorders>
            <w:shd w:val="clear" w:color="auto" w:fill="C6D9F1" w:themeFill="text2" w:themeFillTint="33"/>
            <w:noWrap/>
          </w:tcPr>
          <w:p>
            <w:pPr>
              <w:spacing w:after="0"/>
              <w:rPr>
                <w:rFonts w:ascii="Times New Roman" w:hAnsi="Times New Roman" w:cs="Times New Roman"/>
                <w:b/>
                <w:noProof/>
                <w:color w:val="000000"/>
                <w:sz w:val="18"/>
                <w:szCs w:val="18"/>
                <w:lang w:val="en-IE"/>
              </w:rPr>
            </w:pPr>
          </w:p>
        </w:tc>
      </w:tr>
      <w:tr>
        <w:trPr>
          <w:trHeight w:val="309"/>
        </w:trPr>
        <w:tc>
          <w:tcPr>
            <w:tcW w:w="70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367</w:t>
            </w:r>
          </w:p>
        </w:tc>
        <w:tc>
          <w:tcPr>
            <w:tcW w:w="845"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C26.R1</w:t>
            </w:r>
          </w:p>
        </w:tc>
        <w:tc>
          <w:tcPr>
            <w:tcW w:w="844"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533"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Intrarea în vigoare a legii sportului </w:t>
            </w:r>
          </w:p>
        </w:tc>
        <w:tc>
          <w:tcPr>
            <w:tcW w:w="140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Dispoziție din lege care indică intrarea sa în vigoare </w:t>
            </w:r>
          </w:p>
        </w:tc>
        <w:tc>
          <w:tcPr>
            <w:tcW w:w="98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1266" w:type="dxa"/>
            <w:shd w:val="clear" w:color="auto" w:fill="C6EFCE"/>
            <w:noWrap/>
          </w:tcPr>
          <w:p>
            <w:pPr>
              <w:spacing w:after="0"/>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 xml:space="preserve"> </w:t>
            </w:r>
          </w:p>
        </w:tc>
        <w:tc>
          <w:tcPr>
            <w:tcW w:w="84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4783"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Legea promovează sănătatea și siguranța în practicarea sportului la toate nivelurile, egalitatea de gen, incluziunea socială și accesibilitatea, promovarea dimensiunii internaționale a modelului și modernizarea organizațiilor și a infrastructurilor prin respectarea mediului și a digitalizării. </w:t>
            </w:r>
          </w:p>
        </w:tc>
      </w:tr>
      <w:tr>
        <w:trPr>
          <w:trHeight w:val="309"/>
        </w:trPr>
        <w:tc>
          <w:tcPr>
            <w:tcW w:w="70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368</w:t>
            </w:r>
          </w:p>
        </w:tc>
        <w:tc>
          <w:tcPr>
            <w:tcW w:w="845"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C26.R2</w:t>
            </w:r>
          </w:p>
        </w:tc>
        <w:tc>
          <w:tcPr>
            <w:tcW w:w="844"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533"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Intrarea în vigoare a Legii privind reglementarea anumitor profesii sportive </w:t>
            </w:r>
          </w:p>
        </w:tc>
        <w:tc>
          <w:tcPr>
            <w:tcW w:w="140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Dispoziție legală care indică intrarea sa în vigoare</w:t>
            </w:r>
          </w:p>
        </w:tc>
        <w:tc>
          <w:tcPr>
            <w:tcW w:w="98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1266"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4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4783"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Adoptarea Legii privind reglementarea anumitor profesii din domeniul sportului, pentru a aborda provocările generate de eterogenitatea în materie de reglementare și ținând seama în mod corespunzător de principiile necesității și proporționalității.</w:t>
            </w:r>
          </w:p>
        </w:tc>
      </w:tr>
      <w:tr>
        <w:trPr>
          <w:trHeight w:val="309"/>
        </w:trPr>
        <w:tc>
          <w:tcPr>
            <w:tcW w:w="70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369</w:t>
            </w:r>
          </w:p>
        </w:tc>
        <w:tc>
          <w:tcPr>
            <w:tcW w:w="845"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C26.R3</w:t>
            </w:r>
          </w:p>
        </w:tc>
        <w:tc>
          <w:tcPr>
            <w:tcW w:w="844"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533"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Strategia națională pentru promovarea sportului împotriva stilului de viață sedentar și a inactivității fizice</w:t>
            </w:r>
          </w:p>
        </w:tc>
        <w:tc>
          <w:tcPr>
            <w:tcW w:w="140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Publicarea pe pagina web</w:t>
            </w:r>
          </w:p>
        </w:tc>
        <w:tc>
          <w:tcPr>
            <w:tcW w:w="98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126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4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4783"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Aprobarea de către Guvernul Spaniei a punerii în aplicare a Strategiei naționale pentru promovarea sportului împotriva stilului de viață sedentar și a inactivității fizice. Strategia are ca obiective: (a) punerea în aplicare a unui instrument permanent de analiză pentru analizarea, măsurarea și îmbunătățirea impactului strategiei; (b) punerea în aplicare a acțiunilor care au ca obiectiv stabilirea de bune practici și de obiceiuri sănătoase după efectuarea analizei. Strategia este obligatorie pentru autoritățile regionale și locale.</w:t>
            </w:r>
          </w:p>
        </w:tc>
      </w:tr>
      <w:tr>
        <w:trPr>
          <w:trHeight w:val="309"/>
        </w:trPr>
        <w:tc>
          <w:tcPr>
            <w:tcW w:w="70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370</w:t>
            </w:r>
          </w:p>
        </w:tc>
        <w:tc>
          <w:tcPr>
            <w:tcW w:w="845"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C26.I1</w:t>
            </w:r>
          </w:p>
        </w:tc>
        <w:tc>
          <w:tcPr>
            <w:tcW w:w="844"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533"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Digitalizarea sectorului sportiv</w:t>
            </w:r>
          </w:p>
        </w:tc>
        <w:tc>
          <w:tcPr>
            <w:tcW w:w="140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Publicarea în JO </w:t>
            </w:r>
          </w:p>
        </w:tc>
        <w:tc>
          <w:tcPr>
            <w:tcW w:w="98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1266" w:type="dxa"/>
            <w:shd w:val="clear" w:color="auto" w:fill="C6EFCE"/>
            <w:noWrap/>
          </w:tcPr>
          <w:p>
            <w:pPr>
              <w:spacing w:after="0"/>
              <w:jc w:val="right"/>
              <w:rPr>
                <w:rFonts w:ascii="Times New Roman" w:eastAsia="Times New Roman" w:hAnsi="Times New Roman" w:cs="Times New Roman"/>
                <w:noProof/>
                <w:sz w:val="18"/>
                <w:szCs w:val="18"/>
                <w:lang w:val="en-IE" w:eastAsia="en-GB"/>
              </w:rPr>
            </w:pPr>
          </w:p>
        </w:tc>
        <w:tc>
          <w:tcPr>
            <w:tcW w:w="84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4783"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Execuția bugetară de cel puțin 75,6 milioane EUR, care ar trebui să ducă la o îmbunătățire semnificativă a digitalizării sectorului, în special: (a) digitalizarea federațiilor sportive (inclusiv gestionarea bugetului și a licențelor) cu un nou sistem informatic; (b) sistemul informatic Datawarehouse pentru analiza datelor; (c) internetul obiectelor (IO) în centrele de înaltă performanță; (d) sisteme de determinare a modelelor concurente sau de optimizare a antrenamentului fiecărui sportiv; (e) publicarea a 10 proiecte de cercetare în domeniul activității fizice benefice pentru sănătate (HEPA); test de sistem informatic în cadrul Centrului Național de Medicină Sportivă; (g) crearea unui Oficiu electronic pentru administrarea antidoping, inclusiv punerea în aplicare a unui sistem „fără hârtie” pentru controalele AD; și (h) studiul nevoilor de digitalizare (cum ar fi aplicațiile, federațiile sportive, medicina sportivă, HEPA și antidopajul) pentru digitalizarea sectorului sportului.</w:t>
            </w:r>
          </w:p>
        </w:tc>
      </w:tr>
      <w:tr>
        <w:trPr>
          <w:trHeight w:val="309"/>
        </w:trPr>
        <w:tc>
          <w:tcPr>
            <w:tcW w:w="70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371</w:t>
            </w:r>
          </w:p>
        </w:tc>
        <w:tc>
          <w:tcPr>
            <w:tcW w:w="845"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C26.I1</w:t>
            </w:r>
          </w:p>
        </w:tc>
        <w:tc>
          <w:tcPr>
            <w:tcW w:w="844"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533"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Centre de medicină sportivă </w:t>
            </w:r>
          </w:p>
        </w:tc>
        <w:tc>
          <w:tcPr>
            <w:tcW w:w="140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98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1266"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4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20</w:t>
            </w:r>
          </w:p>
        </w:tc>
        <w:tc>
          <w:tcPr>
            <w:tcW w:w="42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4783"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Cel puțin 20 din cele 23 centre de medicină sportivă trebuie să utilizeze noua tehnologie IT. </w:t>
            </w:r>
          </w:p>
        </w:tc>
      </w:tr>
      <w:tr>
        <w:trPr>
          <w:trHeight w:val="309"/>
        </w:trPr>
        <w:tc>
          <w:tcPr>
            <w:tcW w:w="70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372</w:t>
            </w:r>
          </w:p>
        </w:tc>
        <w:tc>
          <w:tcPr>
            <w:tcW w:w="845"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C26.I1</w:t>
            </w:r>
          </w:p>
        </w:tc>
        <w:tc>
          <w:tcPr>
            <w:tcW w:w="844"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533"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Finalizarea proiectelor informatice în centrele de înaltă performanță și în administrarea antidoping</w:t>
            </w:r>
          </w:p>
        </w:tc>
        <w:tc>
          <w:tcPr>
            <w:tcW w:w="140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Colectarea de date de la centrele de înaltă performanță; Începerea testelor aplicației de control AD </w:t>
            </w:r>
          </w:p>
        </w:tc>
        <w:tc>
          <w:tcPr>
            <w:tcW w:w="98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1266"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45"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4783"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Finalizarea dezvoltării sistemelor informatice (inclusiv IoT) în centrele de înaltă performanță. Crearea unui Oficiu electronic pentru administrarea antidoping, inclusiv punerea în aplicare a unui sistem „fără hârtie” pentru controalele AD </w:t>
            </w:r>
          </w:p>
        </w:tc>
      </w:tr>
      <w:tr>
        <w:trPr>
          <w:trHeight w:val="309"/>
        </w:trPr>
        <w:tc>
          <w:tcPr>
            <w:tcW w:w="70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373</w:t>
            </w:r>
          </w:p>
        </w:tc>
        <w:tc>
          <w:tcPr>
            <w:tcW w:w="845"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C26.I2</w:t>
            </w:r>
          </w:p>
        </w:tc>
        <w:tc>
          <w:tcPr>
            <w:tcW w:w="844"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533"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Renovarea și îmbunătățirea centrelor tehnice pentru sport și facilități sportive </w:t>
            </w:r>
          </w:p>
        </w:tc>
        <w:tc>
          <w:tcPr>
            <w:tcW w:w="140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98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1266"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4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95</w:t>
            </w:r>
          </w:p>
        </w:tc>
        <w:tc>
          <w:tcPr>
            <w:tcW w:w="42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2025</w:t>
            </w:r>
          </w:p>
        </w:tc>
        <w:tc>
          <w:tcPr>
            <w:tcW w:w="4783"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Cel puțin 40 de centre tehnice și 45 de centre sportive trebuie să fi fost renovate și să fi obținut o mai bună eficiență energetică și/sau optimizare a utilizării prin digitalizare și/sau o accesibilitate îmbunătățită. Mijloacele de verificare a finalizării lucrărilor sunt certificatele de finalizare a lucrărilor. Intervențiile privind eficiența energetică trebuie să ducă, în medie, la o reducere cu cel puțin 30 % a cererii de energie primară. Lista instalațiilor este făcută publică.</w:t>
            </w:r>
          </w:p>
        </w:tc>
      </w:tr>
      <w:tr>
        <w:trPr>
          <w:trHeight w:val="309"/>
        </w:trPr>
        <w:tc>
          <w:tcPr>
            <w:tcW w:w="70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374</w:t>
            </w:r>
          </w:p>
        </w:tc>
        <w:tc>
          <w:tcPr>
            <w:tcW w:w="845"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C26.I3</w:t>
            </w:r>
          </w:p>
        </w:tc>
        <w:tc>
          <w:tcPr>
            <w:tcW w:w="844"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533"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Proiecte de promovare a egalității în sport </w:t>
            </w:r>
          </w:p>
        </w:tc>
        <w:tc>
          <w:tcPr>
            <w:tcW w:w="140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Publicarea în JO</w:t>
            </w:r>
          </w:p>
        </w:tc>
        <w:tc>
          <w:tcPr>
            <w:tcW w:w="98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1266" w:type="dxa"/>
            <w:shd w:val="clear" w:color="auto" w:fill="C6EFCE"/>
            <w:noWrap/>
          </w:tcPr>
          <w:p>
            <w:pPr>
              <w:tabs>
                <w:tab w:val="center" w:pos="605"/>
                <w:tab w:val="right" w:pos="1210"/>
              </w:tabs>
              <w:spacing w:after="0"/>
              <w:rPr>
                <w:rFonts w:ascii="Times New Roman" w:eastAsia="Times New Roman" w:hAnsi="Times New Roman" w:cs="Times New Roman"/>
                <w:noProof/>
                <w:sz w:val="18"/>
                <w:szCs w:val="18"/>
                <w:lang w:val="en-IE" w:eastAsia="en-GB"/>
              </w:rPr>
            </w:pPr>
          </w:p>
        </w:tc>
        <w:tc>
          <w:tcPr>
            <w:tcW w:w="84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4783"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Atribuirea de către CSD (Consiliul Național pentru Sport) a unei cereri de propuneri în Jurnalul Oficial, care ar trebui să selecteze cel puțin 15 proiecte beneficiare pentru a promova egalitatea în sport, în special prin formare, profesionalizarea sportului feminin și vizibilitatea sportului feminin. Bugetul cumulat al cererii este de 11 700 000 EUR.</w:t>
            </w:r>
          </w:p>
        </w:tc>
      </w:tr>
      <w:tr>
        <w:trPr>
          <w:trHeight w:val="309"/>
        </w:trPr>
        <w:tc>
          <w:tcPr>
            <w:tcW w:w="70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375</w:t>
            </w:r>
          </w:p>
        </w:tc>
        <w:tc>
          <w:tcPr>
            <w:tcW w:w="845"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C26.I3</w:t>
            </w:r>
          </w:p>
        </w:tc>
        <w:tc>
          <w:tcPr>
            <w:tcW w:w="844"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533"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Finalizarea acțiunilor din cadrul Planului social pentru sport</w:t>
            </w:r>
          </w:p>
        </w:tc>
        <w:tc>
          <w:tcPr>
            <w:tcW w:w="140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98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126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45"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40</w:t>
            </w:r>
          </w:p>
        </w:tc>
        <w:tc>
          <w:tcPr>
            <w:tcW w:w="42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4783"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Finalizarea acțiunilor din cadrul Planului social pentru sport, inclusiv renovarea 40 instalațiilor sportive și a acțiunilor de promovare a preluării femeilor în sportul profesionist (programe de formare, campanii de marketing și studii). Intervențiile privind eficiența energetică trebuie să ducă, în medie, la o reducere cu cel puțin 30 % a cererii de energie primară. Lista instalațiilor este făcută publică.</w:t>
            </w:r>
          </w:p>
        </w:tc>
      </w:tr>
    </w:tbl>
    <w:p>
      <w:pPr>
        <w:pStyle w:val="SectionTitle"/>
        <w:rPr>
          <w:noProof/>
          <w:lang w:val="en-IE"/>
        </w:rPr>
        <w:sectPr>
          <w:headerReference w:type="even" r:id="rId325"/>
          <w:headerReference w:type="default" r:id="rId326"/>
          <w:footerReference w:type="even" r:id="rId327"/>
          <w:footerReference w:type="default" r:id="rId328"/>
          <w:headerReference w:type="first" r:id="rId329"/>
          <w:footerReference w:type="first" r:id="rId330"/>
          <w:pgSz w:w="16839" w:h="11907" w:orient="landscape"/>
          <w:pgMar w:top="1417" w:right="1134" w:bottom="1417" w:left="1134" w:header="709" w:footer="709" w:gutter="0"/>
          <w:cols w:space="720"/>
          <w:docGrid w:linePitch="360"/>
        </w:sectPr>
      </w:pPr>
    </w:p>
    <w:p>
      <w:pPr>
        <w:pStyle w:val="Heading1"/>
        <w:rPr>
          <w:noProof/>
        </w:rPr>
      </w:pPr>
      <w:r>
        <w:rPr>
          <w:noProof/>
        </w:rPr>
        <w:t>AA. COMPONENTA 27: Măsuri și acțiuni de prevenire și combatere a fraudei fiscale</w:t>
      </w:r>
    </w:p>
    <w:p>
      <w:pPr>
        <w:pStyle w:val="Text1"/>
        <w:ind w:left="0"/>
        <w:rPr>
          <w:noProof/>
          <w:szCs w:val="24"/>
        </w:rPr>
      </w:pPr>
      <w:r>
        <w:rPr>
          <w:noProof/>
        </w:rPr>
        <w:t xml:space="preserve">Această componentă a planului spaniol de redresare și reziliență abordează provocările legate de prevenirea și combaterea fraudei fiscale și a evaziunii fiscale. Obiectivul componentei este de a crește gradul de respectare a obligațiilor fiscale și de a colecta mai multe venituri fiscale. Componenta abordează, printre altele, recomandările specifice fiecărei țări cu privire la consolidarea cadrelor bugetare și de achiziții publice la toate nivelurile de guvernare (recomandarea specifică țării 1 2019) și la - atunci când condițiile economice permit acest lucru - aplicarea politicilor bugetare care vizează obținerea unor poziții bugetare prudente pe termen mediu și asigurarea sustenabilității datoriei, încurajând, în același timp, investițiile (recomandarea specifică țării 1 2020). </w:t>
      </w:r>
    </w:p>
    <w:p>
      <w:pPr>
        <w:pStyle w:val="Text1"/>
        <w:ind w:left="0"/>
        <w:rPr>
          <w:noProof/>
        </w:rPr>
      </w:pPr>
      <w:r>
        <w:rPr>
          <w:noProof/>
          <w:color w:val="000000" w:themeColor="text1"/>
        </w:rPr>
        <w:t>Se preconizează că nicio măsură din cadrul acestei componente nu aduce prejudicii semnificative obiectivelor de mediu în sensul articolului 17 din Regulamentul (UE) 2020/852, ținând seama de descrierea măsurilor și a măsurilor de atenuare stabilite în planul de redresare și reziliență în conformitate cu Orientările tehnice DNSH (2021/C58/01).</w:t>
      </w:r>
    </w:p>
    <w:p>
      <w:pPr>
        <w:pStyle w:val="Text1"/>
        <w:ind w:left="709"/>
        <w:rPr>
          <w:b/>
          <w:i/>
          <w:noProof/>
          <w:color w:val="4F81BD" w:themeColor="accent1"/>
          <w:szCs w:val="24"/>
        </w:rPr>
      </w:pPr>
      <w:r>
        <w:rPr>
          <w:b/>
          <w:noProof/>
          <w:szCs w:val="24"/>
          <w:u w:val="single"/>
        </w:rPr>
        <w:t xml:space="preserve">AA.1. </w:t>
      </w:r>
      <w:r>
        <w:rPr>
          <w:b/>
          <w:noProof/>
          <w:szCs w:val="24"/>
          <w:u w:val="single"/>
        </w:rPr>
        <w:tab/>
      </w:r>
      <w:r>
        <w:rPr>
          <w:b/>
          <w:bCs/>
          <w:noProof/>
          <w:szCs w:val="24"/>
          <w:u w:val="single"/>
        </w:rPr>
        <w:t>Descrierea reformelor și a investițiilor pentru care se prevede acordarea sprijinului financiar nerambursabil</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Reforma 1 (C27.R1) - Adoptarea Legii antifraudă</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Obiectivele acestei reforme sunt de a consolida normele împotriva practicilor de evitare a obligațiilor fiscale care afectează în mod direct funcționarea pieței interne, precum și de a modifica impozitarea indirectă și directă, anumite impozite ale administrațiilor locale și reglementarea jocurilor de noroc. Reforma introduce modificări ale regulamentului care vizează stabilirea parametrilor justiției fiscale și facilitarea acțiunilor menite să prevină și să combată frauda prin consolidarea controlului fiscal.</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Reforma constă în adoptarea și intrarea în vigoare a unei legi împotriva evaziunii și fraudei fiscale care:</w:t>
      </w:r>
    </w:p>
    <w:p>
      <w:pPr>
        <w:pStyle w:val="ListParagraph"/>
        <w:numPr>
          <w:ilvl w:val="0"/>
          <w:numId w:val="118"/>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Extinde perimetrul tranzacțiilor în care sunt autorizate plățile electronice (semnături &amp; profesioniști) și stabilește un prag legal pentru plățile în numerar;</w:t>
      </w:r>
    </w:p>
    <w:p>
      <w:pPr>
        <w:pStyle w:val="ListParagraph"/>
        <w:numPr>
          <w:ilvl w:val="0"/>
          <w:numId w:val="118"/>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Actualizează lista paradisurilor fiscale în conformitate cu criteriile privind transparența, lipsa impozitării și regimurile fiscale dăunătoare;</w:t>
      </w:r>
    </w:p>
    <w:p>
      <w:pPr>
        <w:pStyle w:val="ListParagraph"/>
        <w:numPr>
          <w:ilvl w:val="0"/>
          <w:numId w:val="118"/>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Să pună în aplicare modificări ale normelor privind plata arieratelor fiscale;</w:t>
      </w:r>
    </w:p>
    <w:p>
      <w:pPr>
        <w:pStyle w:val="ListParagraph"/>
        <w:numPr>
          <w:ilvl w:val="0"/>
          <w:numId w:val="118"/>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Pune în aplicare o interdicție privind „software-ul cu dublă utilizare”;</w:t>
      </w:r>
    </w:p>
    <w:p>
      <w:pPr>
        <w:pStyle w:val="ListParagraph"/>
        <w:numPr>
          <w:ilvl w:val="0"/>
          <w:numId w:val="118"/>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Introduce o valoare de referință pentru baza de impozitare a impozitului pe proprietate.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Legea se adoptă până la 30 iunie 2021. Legea intră în vigoare până la 30 iunie 2022. Reforma prevede o evaluare provizorie a legii până la 31 decembrie 2022 și, pe baza acestei evaluări, pot exista modificări în 2023.</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u w:val="single"/>
        </w:rPr>
        <w:t>Reforma 2 (C27.R2) - Modernizarea Agenției fiscale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Agenția Fiscală este însărcinată cu punerea în aplicare a sistemului fiscal de stat și a sistemului vamal și își desfășoară activitățile în cadrul Planului strategic 2020-2023. Acest plan strategic, care se bazează în mare măsură pe utilizarea soluțiilor informatice, este revizuit în fiecare an pentru a se asigura că este adaptat la noile evoluții ale politicii fiscale, la sursele de formare, la comportamentul contribuabililor și la evoluțiile tehnologice. Obiectivul acestei reforme este sprijinirea punerii în aplicare și a revizuirii anuale a Planului strategic 2020</w:t>
      </w:r>
      <w:r>
        <w:rPr>
          <w:rFonts w:ascii="Times New Roman" w:hAnsi="Times New Roman" w:cs="Times New Roman"/>
          <w:noProof/>
          <w:sz w:val="24"/>
          <w:szCs w:val="24"/>
        </w:rPr>
        <w:t>­</w:t>
      </w:r>
      <w:r>
        <w:rPr>
          <w:rFonts w:ascii="Times New Roman" w:hAnsi="Times New Roman"/>
          <w:noProof/>
          <w:sz w:val="24"/>
          <w:szCs w:val="24"/>
        </w:rPr>
        <w:t xml:space="preserve">2023, care vizează modernizarea furnizării de servicii de către agenție pentru a reduce frauda și evaziunea fiscală. Reforma din 2 interacționează îndeaproape cu alte reforme din cadrul acestei componente. Reforma include: </w:t>
      </w:r>
    </w:p>
    <w:p>
      <w:pPr>
        <w:pStyle w:val="ListParagraph"/>
        <w:numPr>
          <w:ilvl w:val="0"/>
          <w:numId w:val="119"/>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Creșterea resurselor umane în cadrul Agenției fiscale în funcție de nevoile sale pe termen mediu și </w:t>
      </w:r>
    </w:p>
    <w:p>
      <w:pPr>
        <w:pStyle w:val="ListParagraph"/>
        <w:numPr>
          <w:ilvl w:val="0"/>
          <w:numId w:val="119"/>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Efectuarea unei revizuiri a clădirilor agenției pentru modernizarea tehnologiei și creșterea eficienței energetice.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Reforma este pusă în aplicare până la 31 decembrie 2023.</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u w:val="single"/>
        </w:rPr>
        <w:t>Reforma 3 (C27.R3) - Asistență sporită pentru contribuabili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Obiectivele acestei reforme sunt îmbunătățirea asistenței acordate contribuabililor. Un element-cheie al strategiei Agenției fiscale pentru perioada 2020-2023 este de a îmbunătăți serviciile pentru contribuabili prin utilizarea sporită a platformelor electronice (așa-numitele „ADI”, Administrația digitală Integrală). Reforma constă în furnizarea de noi servicii pentru a facilita impozitarea societăților comerciale și a veniturilor persoanelor fizice, precum și impozitarea TVA. Noile servicii vor include metode îmbunătățite de comunicare, servicii de asistență tehnică și consultarea datelor utilizatorilor, precum și declarații fiscale și gestionarea declarațiilor. Se preconizează că furnizarea unor astfel de servicii va crește în trei etape în perioada 2021-2023, cu obiectivul ca tot mai mulți clienți să aleagă să utilizeze serviciile electronice în loc să își viziteze birourile fiscale locale. Prin aceste măsuri, agenția urmărește să faciliteze respectarea codului fiscal de către clienții lor și, prin urmare, să crească veniturile fiscale.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Punerea în aplicare a reformei se finalizează până la 31 decembrie 2023.</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Reforma 4 (C27.R4) - Dimensiunea internațională</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Obiectivul acestei reforme este de a spori și de a optimiza utilizarea sistemelor informatice în cadrul cooperării internaționale pentru a combate frauda și evaziunea fiscală. Această reformă, ca urmare a acordurilor internaționale din domeniul de politică, constă în adoptarea de măsuri menite să faciliteze respectarea de către contribuabili a obligațiilor lor fiscale (inclusiv a datelor privind impozitul pe venitul persoanelor fizice), să intensifice lupta împotriva activităților nedeclarate și a economiei subterane și să revizuiască calitatea și utilitatea informațiilor obținute din diferite țări. Se preconizează că aceste obiective vor fi atinse prin utilizarea pe scară mai largă a unor sisteme informatice mai sofisticate și prin implementarea de servicii online pentru contribuabili.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Reforma este pusă în aplicare până la 31 decembrie 2021.</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Reforma 5 (C27.R5) - Modelul de cooperare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Obiectivul acestei reforme este de a îmbunătăți relațiile agenției fiscale cu părțile interesate, cum ar fi corporațiile mari, IMM-urile, persoanele care desfășoară activități independente și asociațiile relevante, precum și cu sistemul judiciar, ca modalitate de a asigura o mai bună respectare a obligațiilor fiscale. În ceea ce privește contribuabilii, agenția urmărește o mai bună cooperare și o mai bună respectare a normelor prin intermediul rapoartelor voluntare privind transparența fiscală. Se preconizează o intensificare a cooperării cu judecătorii, procurorii și instanțele prin intensificarea anchetelor fiscale.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Reforma este pusă în aplicare până la 31 decembrie 2021.</w:t>
      </w:r>
    </w:p>
    <w:p>
      <w:pPr>
        <w:pStyle w:val="Text1"/>
        <w:ind w:left="709"/>
        <w:rPr>
          <w:b/>
          <w:noProof/>
          <w:szCs w:val="24"/>
          <w:u w:val="single"/>
        </w:rPr>
      </w:pPr>
      <w:r>
        <w:rPr>
          <w:b/>
          <w:bCs/>
          <w:noProof/>
          <w:szCs w:val="24"/>
          <w:u w:val="single"/>
        </w:rPr>
        <w:t xml:space="preserve">AA.2. </w:t>
      </w:r>
      <w:r>
        <w:rPr>
          <w:b/>
          <w:noProof/>
          <w:szCs w:val="24"/>
          <w:u w:val="single"/>
        </w:rPr>
        <w:tab/>
      </w:r>
      <w:r>
        <w:rPr>
          <w:b/>
          <w:bCs/>
          <w:noProof/>
          <w:szCs w:val="24"/>
          <w:u w:val="single"/>
        </w:rPr>
        <w:t>Jaloane, ținte, indicatori și calendarul de monitorizare și implementare aplicabile sprijinului financiar nerambursabil</w:t>
      </w:r>
    </w:p>
    <w:p>
      <w:pPr>
        <w:spacing w:before="120" w:after="120" w:line="240" w:lineRule="auto"/>
        <w:rPr>
          <w:rFonts w:ascii="Times New Roman" w:hAnsi="Times New Roman" w:cs="Times New Roman"/>
          <w:i/>
          <w:iCs/>
          <w:noProof/>
          <w:color w:val="000000"/>
        </w:rPr>
        <w:sectPr>
          <w:headerReference w:type="even" r:id="rId331"/>
          <w:headerReference w:type="default" r:id="rId332"/>
          <w:footerReference w:type="even" r:id="rId333"/>
          <w:footerReference w:type="default" r:id="rId334"/>
          <w:headerReference w:type="first" r:id="rId335"/>
          <w:footerReference w:type="first" r:id="rId336"/>
          <w:pgSz w:w="11907" w:h="16839"/>
          <w:pgMar w:top="1134" w:right="1417" w:bottom="1134" w:left="1417" w:header="709" w:footer="709" w:gutter="0"/>
          <w:cols w:space="720"/>
          <w:docGrid w:linePitch="360"/>
        </w:sectPr>
      </w:pPr>
      <w:r>
        <w:rPr>
          <w:rFonts w:ascii="Times New Roman" w:hAnsi="Times New Roman"/>
          <w:i/>
          <w:iCs/>
          <w:noProof/>
          <w:color w:val="000000"/>
          <w:sz w:val="24"/>
          <w:szCs w:val="24"/>
        </w:rPr>
        <w:t>Tabelul de mai jos.</w:t>
      </w:r>
      <w:r>
        <w:rPr>
          <w:rFonts w:ascii="Times New Roman" w:hAnsi="Times New Roman"/>
          <w:noProof/>
          <w:color w:val="1F497D"/>
          <w:sz w:val="24"/>
          <w:szCs w:val="24"/>
        </w:rPr>
        <w:t xml:space="preserve"> </w:t>
      </w:r>
      <w:r>
        <w:rPr>
          <w:rFonts w:ascii="Times New Roman" w:hAnsi="Times New Roman"/>
          <w:i/>
          <w:iCs/>
          <w:noProof/>
          <w:sz w:val="24"/>
          <w:szCs w:val="24"/>
        </w:rPr>
        <w:t>Data de referință pentru toți indicatorii este 1 februarie 2020, cu excepția cazului în care se indică altfel în descrierea acțiunii.</w:t>
      </w:r>
      <w:r>
        <w:rPr>
          <w:rFonts w:ascii="Times New Roman" w:hAnsi="Times New Roman"/>
          <w:i/>
          <w:iCs/>
          <w:noProof/>
          <w:color w:val="000000"/>
          <w:sz w:val="24"/>
          <w:szCs w:val="24"/>
        </w:rPr>
        <w:t xml:space="preserve"> Sumele din tabel nu includ TVA.</w:t>
      </w:r>
    </w:p>
    <w:tbl>
      <w:tblPr>
        <w:tblpPr w:leftFromText="180" w:rightFromText="180" w:vertAnchor="text" w:tblpXSpec="right" w:tblpY="1"/>
        <w:tblOverlap w:val="never"/>
        <w:tblW w:w="15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2977"/>
        <w:gridCol w:w="1134"/>
        <w:gridCol w:w="851"/>
        <w:gridCol w:w="708"/>
        <w:gridCol w:w="709"/>
        <w:gridCol w:w="425"/>
        <w:gridCol w:w="709"/>
        <w:gridCol w:w="5131"/>
      </w:tblGrid>
      <w:tr>
        <w:trPr>
          <w:trHeight w:val="309"/>
          <w:tblHeader/>
        </w:trPr>
        <w:tc>
          <w:tcPr>
            <w:tcW w:w="709"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Număr</w:t>
            </w:r>
          </w:p>
        </w:tc>
        <w:tc>
          <w:tcPr>
            <w:tcW w:w="851"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Măsură</w:t>
            </w:r>
          </w:p>
        </w:tc>
        <w:tc>
          <w:tcPr>
            <w:tcW w:w="850"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Jalon</w:t>
            </w:r>
            <w:r>
              <w:rPr>
                <w:rFonts w:ascii="Times New Roman" w:hAnsi="Times New Roman"/>
                <w:b/>
                <w:noProof/>
                <w:color w:val="000000"/>
                <w:sz w:val="18"/>
                <w:szCs w:val="18"/>
              </w:rPr>
              <w:br/>
              <w:t xml:space="preserve"> /Țintă</w:t>
            </w:r>
          </w:p>
        </w:tc>
        <w:tc>
          <w:tcPr>
            <w:tcW w:w="2977"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Denumire</w:t>
            </w:r>
          </w:p>
        </w:tc>
        <w:tc>
          <w:tcPr>
            <w:tcW w:w="1134"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Indicator calitativ pentru obiectivele de etapă</w:t>
            </w:r>
          </w:p>
        </w:tc>
        <w:tc>
          <w:tcPr>
            <w:tcW w:w="2268" w:type="dxa"/>
            <w:gridSpan w:val="3"/>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Indicator cantitativ pentru obiectiv</w:t>
            </w:r>
          </w:p>
        </w:tc>
        <w:tc>
          <w:tcPr>
            <w:tcW w:w="1134" w:type="dxa"/>
            <w:gridSpan w:val="2"/>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Timp</w:t>
            </w:r>
          </w:p>
        </w:tc>
        <w:tc>
          <w:tcPr>
            <w:tcW w:w="5131"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sz w:val="18"/>
                <w:szCs w:val="18"/>
              </w:rPr>
              <w:t>Descrierea fiecărui jalon și a fiecărei ținte</w:t>
            </w:r>
          </w:p>
        </w:tc>
      </w:tr>
      <w:tr>
        <w:trPr>
          <w:trHeight w:val="309"/>
          <w:tblHeader/>
        </w:trPr>
        <w:tc>
          <w:tcPr>
            <w:tcW w:w="709"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2977" w:type="dxa"/>
            <w:tcBorders>
              <w:top w:val="nil"/>
            </w:tcBorders>
            <w:shd w:val="clear" w:color="auto" w:fill="C6D9F1" w:themeFill="text2" w:themeFillTint="33"/>
            <w:noWrap/>
          </w:tcPr>
          <w:p>
            <w:pPr>
              <w:spacing w:after="0"/>
              <w:rPr>
                <w:rFonts w:ascii="Times New Roman" w:hAnsi="Times New Roman" w:cs="Times New Roman"/>
                <w:b/>
                <w:noProof/>
                <w:color w:val="000000"/>
                <w:sz w:val="18"/>
                <w:szCs w:val="18"/>
              </w:rPr>
            </w:pPr>
          </w:p>
        </w:tc>
        <w:tc>
          <w:tcPr>
            <w:tcW w:w="1134"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851"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Unitate</w:t>
            </w:r>
          </w:p>
        </w:tc>
        <w:tc>
          <w:tcPr>
            <w:tcW w:w="708"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Scenariu de bază</w:t>
            </w:r>
          </w:p>
        </w:tc>
        <w:tc>
          <w:tcPr>
            <w:tcW w:w="709"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Obiectiv</w:t>
            </w:r>
          </w:p>
        </w:tc>
        <w:tc>
          <w:tcPr>
            <w:tcW w:w="425"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Q</w:t>
            </w:r>
          </w:p>
        </w:tc>
        <w:tc>
          <w:tcPr>
            <w:tcW w:w="709"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An</w:t>
            </w:r>
          </w:p>
        </w:tc>
        <w:tc>
          <w:tcPr>
            <w:tcW w:w="5131" w:type="dxa"/>
            <w:tcBorders>
              <w:top w:val="nil"/>
            </w:tcBorders>
            <w:shd w:val="clear" w:color="auto" w:fill="C6D9F1" w:themeFill="text2" w:themeFillTint="33"/>
            <w:noWrap/>
          </w:tcPr>
          <w:p>
            <w:pPr>
              <w:spacing w:after="0"/>
              <w:rPr>
                <w:rFonts w:ascii="Times New Roman" w:hAnsi="Times New Roman" w:cs="Times New Roman"/>
                <w:b/>
                <w:noProof/>
                <w:color w:val="000000"/>
                <w:sz w:val="18"/>
                <w:szCs w:val="18"/>
                <w:lang w:val="en-IE"/>
              </w:rPr>
            </w:pPr>
          </w:p>
        </w:tc>
      </w:tr>
      <w:tr>
        <w:trPr>
          <w:trHeight w:val="309"/>
        </w:trPr>
        <w:tc>
          <w:tcPr>
            <w:tcW w:w="709"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376</w:t>
            </w:r>
          </w:p>
        </w:tc>
        <w:tc>
          <w:tcPr>
            <w:tcW w:w="851"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C27.R1</w:t>
            </w:r>
          </w:p>
        </w:tc>
        <w:tc>
          <w:tcPr>
            <w:tcW w:w="850"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977"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szCs w:val="18"/>
              </w:rPr>
              <w:t>Intrarea în vigoare a Legii privind evaziunea și frauda fiscală</w:t>
            </w:r>
          </w:p>
        </w:tc>
        <w:tc>
          <w:tcPr>
            <w:tcW w:w="1134"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 xml:space="preserve">Dispoziție din lege care indică intrarea sa în vigoare </w:t>
            </w:r>
          </w:p>
        </w:tc>
        <w:tc>
          <w:tcPr>
            <w:tcW w:w="851"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8" w:type="dxa"/>
            <w:shd w:val="clear" w:color="auto" w:fill="C6EFCE"/>
            <w:noWrap/>
          </w:tcPr>
          <w:p>
            <w:pPr>
              <w:spacing w:after="0"/>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Q2</w:t>
            </w:r>
          </w:p>
        </w:tc>
        <w:tc>
          <w:tcPr>
            <w:tcW w:w="709"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2022</w:t>
            </w:r>
          </w:p>
        </w:tc>
        <w:tc>
          <w:tcPr>
            <w:tcW w:w="5131"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szCs w:val="18"/>
              </w:rPr>
              <w:t>Intrarea în vigoare a unei legi împotriva evaziunii și fraudei fiscale („</w:t>
            </w:r>
            <w:r>
              <w:rPr>
                <w:rFonts w:ascii="Times New Roman" w:hAnsi="Times New Roman"/>
                <w:i/>
                <w:noProof/>
                <w:color w:val="000000"/>
                <w:sz w:val="18"/>
                <w:szCs w:val="18"/>
              </w:rPr>
              <w:t>Ley de medidas de prevención y lucha contra el fraude fiscal</w:t>
            </w:r>
            <w:r>
              <w:rPr>
                <w:rFonts w:ascii="Times New Roman" w:hAnsi="Times New Roman"/>
                <w:noProof/>
                <w:color w:val="000000"/>
                <w:sz w:val="18"/>
                <w:szCs w:val="18"/>
              </w:rPr>
              <w:t>”) care:</w:t>
            </w:r>
            <w:r>
              <w:rPr>
                <w:rFonts w:ascii="Times New Roman" w:hAnsi="Times New Roman"/>
                <w:noProof/>
                <w:color w:val="000000"/>
                <w:sz w:val="18"/>
                <w:szCs w:val="18"/>
              </w:rPr>
              <w:br/>
              <w:t xml:space="preserve">- Extinde perimetrul tranzacțiilor în care sunt autorizate plățile electronice (semnături &amp; profesioniști) și stabilește un prag legal pentru plățile în numerar; </w:t>
            </w:r>
            <w:r>
              <w:rPr>
                <w:rFonts w:ascii="Times New Roman" w:hAnsi="Times New Roman"/>
                <w:noProof/>
                <w:color w:val="000000"/>
                <w:sz w:val="18"/>
                <w:szCs w:val="18"/>
              </w:rPr>
              <w:br/>
              <w:t>- Actualizează lista paradisurilor fiscale în conformitate cu criteriile privind transparența, lipsa impozitării și regimurile fiscale dăunătoare;</w:t>
            </w:r>
            <w:r>
              <w:rPr>
                <w:rFonts w:ascii="Times New Roman" w:hAnsi="Times New Roman"/>
                <w:noProof/>
                <w:color w:val="000000"/>
                <w:sz w:val="18"/>
                <w:szCs w:val="18"/>
              </w:rPr>
              <w:br/>
              <w:t>Pune în aplicare modificări ale normelor privind enumerarea persoanelor care au restanțe la plata impozitelor.</w:t>
            </w:r>
            <w:r>
              <w:rPr>
                <w:rFonts w:ascii="Times New Roman" w:hAnsi="Times New Roman"/>
                <w:noProof/>
                <w:color w:val="000000"/>
                <w:sz w:val="18"/>
                <w:szCs w:val="18"/>
              </w:rPr>
              <w:br/>
              <w:t>Pune în aplicare o interdicție privind „produsele software cu dublă utilizare”.</w:t>
            </w:r>
            <w:r>
              <w:rPr>
                <w:rFonts w:ascii="Times New Roman" w:hAnsi="Times New Roman"/>
                <w:noProof/>
                <w:color w:val="000000"/>
                <w:sz w:val="18"/>
                <w:szCs w:val="18"/>
              </w:rPr>
              <w:br/>
              <w:t xml:space="preserve">Introduce o valoare de referință pentru baza de impozitare în impozitarea proprietăților. </w:t>
            </w:r>
          </w:p>
        </w:tc>
      </w:tr>
      <w:tr>
        <w:trPr>
          <w:trHeight w:val="309"/>
        </w:trPr>
        <w:tc>
          <w:tcPr>
            <w:tcW w:w="709"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377</w:t>
            </w:r>
          </w:p>
        </w:tc>
        <w:tc>
          <w:tcPr>
            <w:tcW w:w="851"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C27.R1</w:t>
            </w:r>
          </w:p>
        </w:tc>
        <w:tc>
          <w:tcPr>
            <w:tcW w:w="850"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977"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szCs w:val="18"/>
              </w:rPr>
              <w:t>Evaluarea intermediară a efectelor Legii privind evaziunea și frauda fiscală.</w:t>
            </w:r>
          </w:p>
        </w:tc>
        <w:tc>
          <w:tcPr>
            <w:tcW w:w="1134"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Publicarea raportului pe site-ul Ministerului Finanțelor.</w:t>
            </w:r>
          </w:p>
        </w:tc>
        <w:tc>
          <w:tcPr>
            <w:tcW w:w="851"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8" w:type="dxa"/>
            <w:shd w:val="clear" w:color="auto" w:fill="C6EFCE"/>
            <w:noWrap/>
          </w:tcPr>
          <w:p>
            <w:pPr>
              <w:spacing w:after="0"/>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709"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2022</w:t>
            </w:r>
          </w:p>
        </w:tc>
        <w:tc>
          <w:tcPr>
            <w:tcW w:w="5131"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szCs w:val="18"/>
              </w:rPr>
              <w:t>Ministerul Finanțelor efectuează o evaluare intermediară a Legii privind evaziunea și frauda fiscală. Această evaluare cu posibile recomandări de îmbunătățire va fi publicată pe site-ul Ministerului Finanțelor.</w:t>
            </w:r>
          </w:p>
        </w:tc>
      </w:tr>
      <w:tr>
        <w:trPr>
          <w:trHeight w:val="309"/>
        </w:trPr>
        <w:tc>
          <w:tcPr>
            <w:tcW w:w="709"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378</w:t>
            </w:r>
          </w:p>
        </w:tc>
        <w:tc>
          <w:tcPr>
            <w:tcW w:w="851"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C27.R2</w:t>
            </w:r>
          </w:p>
        </w:tc>
        <w:tc>
          <w:tcPr>
            <w:tcW w:w="850"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2977"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szCs w:val="18"/>
              </w:rPr>
              <w:t>Modernizarea Agenției Fiscale - Numărul de angajați ai Administrației Fiscale</w:t>
            </w:r>
          </w:p>
        </w:tc>
        <w:tc>
          <w:tcPr>
            <w:tcW w:w="1134"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851"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 xml:space="preserve">Număr </w:t>
            </w:r>
          </w:p>
        </w:tc>
        <w:tc>
          <w:tcPr>
            <w:tcW w:w="708" w:type="dxa"/>
            <w:shd w:val="clear" w:color="auto" w:fill="C6EFCE"/>
            <w:noWrap/>
          </w:tcPr>
          <w:p>
            <w:pPr>
              <w:spacing w:after="0"/>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25 325 </w:t>
            </w:r>
          </w:p>
        </w:tc>
        <w:tc>
          <w:tcPr>
            <w:tcW w:w="709"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szCs w:val="18"/>
              </w:rPr>
              <w:t>26 320</w:t>
            </w:r>
          </w:p>
        </w:tc>
        <w:tc>
          <w:tcPr>
            <w:tcW w:w="425"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709"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2021</w:t>
            </w:r>
          </w:p>
        </w:tc>
        <w:tc>
          <w:tcPr>
            <w:tcW w:w="5131"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szCs w:val="18"/>
              </w:rPr>
              <w:t xml:space="preserve">Creșterea numărului de angajați ai administrației fiscale la cel puțin 26 320 de angajați. Data scenariului de referință: 31 decembrie 2020. </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379</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C27.R2</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Modernizarea Agenției Fiscale - Anchete fiscale</w:t>
            </w:r>
          </w:p>
        </w:tc>
        <w:tc>
          <w:tcPr>
            <w:tcW w:w="1134"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708"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5 743</w:t>
            </w:r>
          </w:p>
        </w:tc>
        <w:tc>
          <w:tcPr>
            <w:tcW w:w="709"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6 591</w:t>
            </w:r>
          </w:p>
        </w:tc>
        <w:tc>
          <w:tcPr>
            <w:tcW w:w="425"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131"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Autoritățile vor efectua 6 591 de anchete fiscale (numărul de anchete fiscale efectuate în cursul anului 2021) pentru a descoperi activitățile impozabile nedeclarate. Data scenariului de referință: 31 decembrie 2020.</w:t>
            </w:r>
          </w:p>
        </w:tc>
      </w:tr>
      <w:tr>
        <w:trPr>
          <w:trHeight w:val="433"/>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380</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C27.R3</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Furnizarea de asistență sporită contribuabililor - rețeaua Sociedades Web modernizată și disponibilă pentru cel puțin 1 666 123 de contribuabili.</w:t>
            </w:r>
          </w:p>
        </w:tc>
        <w:tc>
          <w:tcPr>
            <w:tcW w:w="1134"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w:t>
            </w:r>
          </w:p>
        </w:tc>
        <w:tc>
          <w:tcPr>
            <w:tcW w:w="708"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1 666 123</w:t>
            </w:r>
          </w:p>
        </w:tc>
        <w:tc>
          <w:tcPr>
            <w:tcW w:w="425"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131"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Sociedades Web, un serviciu destinat contribuabililor persoane juridice, se modernizează și prezintă automat informații fiscale, raportate anterior de societăți administrației publice, care sunt relevante pentru declarația fiscală. La finalizarea acestei modernizări, serviciul este pus la dispoziția a 1 666 123 de contribuabili persoane juridice. Data scenariului de referință: 31 decembrie 2020.</w:t>
            </w:r>
          </w:p>
        </w:tc>
      </w:tr>
      <w:tr>
        <w:trPr>
          <w:trHeight w:val="309"/>
        </w:trPr>
        <w:tc>
          <w:tcPr>
            <w:tcW w:w="709"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381</w:t>
            </w:r>
          </w:p>
        </w:tc>
        <w:tc>
          <w:tcPr>
            <w:tcW w:w="851"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C27.R3</w:t>
            </w:r>
          </w:p>
        </w:tc>
        <w:tc>
          <w:tcPr>
            <w:tcW w:w="850"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2977"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szCs w:val="18"/>
              </w:rPr>
              <w:t>Furnizarea de asistență sporită contribuabililor - Renta Web modernizată și disponibilă pentru cel puțin 1 779 505 contribuabili</w:t>
            </w:r>
          </w:p>
        </w:tc>
        <w:tc>
          <w:tcPr>
            <w:tcW w:w="1134"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851"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Număr</w:t>
            </w:r>
          </w:p>
        </w:tc>
        <w:tc>
          <w:tcPr>
            <w:tcW w:w="708"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709"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szCs w:val="18"/>
              </w:rPr>
              <w:t>1 779 505</w:t>
            </w:r>
          </w:p>
        </w:tc>
        <w:tc>
          <w:tcPr>
            <w:tcW w:w="425"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709"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2021</w:t>
            </w:r>
          </w:p>
        </w:tc>
        <w:tc>
          <w:tcPr>
            <w:tcW w:w="5131"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i/>
                <w:noProof/>
                <w:color w:val="000000"/>
                <w:sz w:val="18"/>
                <w:szCs w:val="18"/>
              </w:rPr>
              <w:t>Renta Web</w:t>
            </w:r>
            <w:r>
              <w:rPr>
                <w:rFonts w:ascii="Times New Roman" w:hAnsi="Times New Roman"/>
                <w:noProof/>
                <w:color w:val="000000"/>
                <w:sz w:val="18"/>
                <w:szCs w:val="18"/>
              </w:rPr>
              <w:t xml:space="preserve"> este un software destinat impozitului pe venitul persoanelor fizice, care va permite importul direct al „</w:t>
            </w:r>
            <w:r>
              <w:rPr>
                <w:rFonts w:ascii="Times New Roman" w:hAnsi="Times New Roman"/>
                <w:i/>
                <w:noProof/>
                <w:color w:val="000000"/>
                <w:sz w:val="18"/>
                <w:szCs w:val="18"/>
              </w:rPr>
              <w:t>libros registro</w:t>
            </w:r>
            <w:r>
              <w:rPr>
                <w:rFonts w:ascii="Times New Roman" w:hAnsi="Times New Roman"/>
                <w:noProof/>
                <w:color w:val="000000"/>
                <w:sz w:val="18"/>
                <w:szCs w:val="18"/>
              </w:rPr>
              <w:t>” în declarațiile de impozit pe venit. Acesta va fi disponibil pentru 1 779 505 contribuabili cu venituri personale. Data scenariului de referință: 31 decembrie 2020.</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382</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C27.R3</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977"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Furnizarea a patru platforme digitale de sprijin</w:t>
            </w:r>
          </w:p>
        </w:tc>
        <w:tc>
          <w:tcPr>
            <w:tcW w:w="1134"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Publicarea unui raport al Agenției fiscale </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8"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131"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Agenția fiscală instituie și pune în funcțiune patru platforme de sprijin fiscal digital (DSP) pentru a îmbunătăți serviciile pentru contribuabili. Furnizorii de servicii de plată a datelor acționează ca ghișee online virtuale care oferă contribuabililor un serviciu de asistență mai larg, care le permite să intre în contact cu agenția fiscală în diferite limbi, în vederea desfășurării online a acelorași proceduri de sprijin ca cele disponibile într-un birou tradițional, cum ar fi serviciile de informații generale, asistență în cadrul diferitelor proceduri și, de asemenea, asistență pentru depunerea declarațiilor fiscale.</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383</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C27.R4</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Dimensiunea internațională - Identificarea contribuabililor străini înregistrați </w:t>
            </w:r>
          </w:p>
        </w:tc>
        <w:tc>
          <w:tcPr>
            <w:tcW w:w="1134"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Număr (%)</w:t>
            </w:r>
          </w:p>
        </w:tc>
        <w:tc>
          <w:tcPr>
            <w:tcW w:w="708"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85</w:t>
            </w:r>
          </w:p>
        </w:tc>
        <w:tc>
          <w:tcPr>
            <w:tcW w:w="425"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131"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Pentru a îmbunătăți respectarea obligațiilor fiscale, în special a contribuabililor care figurează în registru ca contribuabili străini, agenția fiscală realizează un proiect care utilizează noi informații privind contribuabilii din diverse surse internaționale, cum ar fi FATCA și SCR. La finalizarea proiectului, se preconizează că informațiile internaționale primite vor fi adecvate pentru analiza riscurilor. Obiectivul proiectului este ca datele fiscale de la cel puțin 85 % din contribuabilii străini înregistrați cu privire la care agenția fiscală a primit informații în 2019 să fi fost identificate și datele fiscale să fi fost verificate pentru a fi utilizate în analiza riscurilor până la 31 decembrie 2021. Data scenariului de referință: 31 decembrie 2020.</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384</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C27.R5</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Model de cooperare - Rapoarte privind transparența</w:t>
            </w:r>
          </w:p>
        </w:tc>
        <w:tc>
          <w:tcPr>
            <w:tcW w:w="1134"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Număr </w:t>
            </w:r>
          </w:p>
        </w:tc>
        <w:tc>
          <w:tcPr>
            <w:tcW w:w="708"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20</w:t>
            </w:r>
          </w:p>
        </w:tc>
        <w:tc>
          <w:tcPr>
            <w:tcW w:w="425"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131"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Agenția Fiscală pune în aplicare un proiect în 2021 care încurajează întreprinderile multinaționale să divulge informații cu privire la operațiunile lor. Aceste informații pot avea consecințe în ceea ce privește impozitarea societăților respective. Obiectivul este de 20 rapoarte privind transparența prezentate în 2021.</w:t>
            </w:r>
          </w:p>
        </w:tc>
      </w:tr>
    </w:tbl>
    <w:p>
      <w:pPr>
        <w:pStyle w:val="Text1"/>
        <w:ind w:left="709"/>
        <w:rPr>
          <w:noProof/>
        </w:rPr>
      </w:pPr>
    </w:p>
    <w:p>
      <w:pPr>
        <w:pStyle w:val="SectionTitle"/>
        <w:rPr>
          <w:noProof/>
        </w:rPr>
        <w:sectPr>
          <w:headerReference w:type="even" r:id="rId337"/>
          <w:headerReference w:type="default" r:id="rId338"/>
          <w:footerReference w:type="even" r:id="rId339"/>
          <w:footerReference w:type="default" r:id="rId340"/>
          <w:headerReference w:type="first" r:id="rId341"/>
          <w:footerReference w:type="first" r:id="rId342"/>
          <w:pgSz w:w="16839" w:h="11907" w:orient="landscape"/>
          <w:pgMar w:top="1417" w:right="1134" w:bottom="1417" w:left="1134" w:header="709" w:footer="709" w:gutter="0"/>
          <w:cols w:space="720"/>
          <w:docGrid w:linePitch="360"/>
        </w:sectPr>
      </w:pPr>
    </w:p>
    <w:p>
      <w:pPr>
        <w:pStyle w:val="Heading1"/>
        <w:rPr>
          <w:noProof/>
        </w:rPr>
      </w:pPr>
      <w:r>
        <w:rPr>
          <w:noProof/>
        </w:rPr>
        <w:t>AB. COMPONENTA 28: Adaptarea sistemului fiscal la realitatea secolului XXI</w:t>
      </w:r>
    </w:p>
    <w:p>
      <w:pPr>
        <w:pStyle w:val="Text1"/>
        <w:ind w:left="0"/>
        <w:rPr>
          <w:noProof/>
        </w:rPr>
      </w:pPr>
      <w:r>
        <w:rPr>
          <w:noProof/>
        </w:rPr>
        <w:t xml:space="preserve">Măsurile din componenta 28 a planului spaniol de redresare și reziliență cuprind diverse măsuri fiscale, cum ar fi măsurile de urgență decise în faza acută a crizei economice din 2020, introducerea de noi impozite în contextul bugetului de stat pentru 2021 și proiectele pe termen mediu de revizuire și dezvoltare a sistemului fiscal mai adecvat scopului său. Obiectivele urmărite de reforma sistemului fiscal spaniol sunt de a-l face mai echitabil, mai progresiv, mai sustenabil și mai corect, adâncind conceptul impozitării ecologice, integrând o perspectivă de gen și consolidând politicile publice de interes general, cum ar fi protecția sănătății. Reformele urmăresc, de asemenea, să contribuie în mod pozitiv la creșterea economică, la crearea de locuri de muncă, la reziliența economică și la coeziunea interteritorială. Întrucât ponderea globală a veniturilor fiscale în PIB în Spania este mai mică decât în cazul economiilor cu caracteristici similare, există posibilitatea de a crește veniturile și de a promova sustenabilitatea pe termen mediu și lung a finanțelor publice. </w:t>
      </w:r>
    </w:p>
    <w:p>
      <w:pPr>
        <w:pStyle w:val="Text1"/>
        <w:ind w:left="0"/>
        <w:rPr>
          <w:noProof/>
        </w:rPr>
      </w:pPr>
      <w:r>
        <w:rPr>
          <w:noProof/>
        </w:rPr>
        <w:t>Componenta abordează, printre altele, recomandările specifice fiecărei țări cu privire la consolidarea cadrelor bugetare și de achiziții publice la toate nivelurile de guvernare (recomandarea specifică țării 1 din 2019) și la - atunci când condițiile economice permit acest lucru - aplicarea politicilor bugetare care vizează obținerea unor poziții bugetare prudente pe termen mediu și asigurarea sustenabilității datoriei, încurajând, în același timp, investițiile (recomandarea specifică țării 1 din 2020).</w:t>
      </w:r>
    </w:p>
    <w:p>
      <w:pPr>
        <w:pStyle w:val="Text1"/>
        <w:ind w:left="0"/>
        <w:rPr>
          <w:noProof/>
        </w:rPr>
      </w:pPr>
      <w:r>
        <w:rPr>
          <w:noProof/>
          <w:color w:val="000000" w:themeColor="text1"/>
          <w:szCs w:val="24"/>
        </w:rPr>
        <w:t>Se preconizează că nicio măsură din cadrul acestei componente nu aduce prejudicii semnificative obiectivelor de mediu în sensul articolului 17 din Regulamentul (UE) 2020/852, ținând seama de descrierea măsurilor și a măsurilor de atenuare stabilite în planul de redresare și reziliență în conformitate cu Orientările tehnice DNSH (2021/C58/01).</w:t>
      </w:r>
    </w:p>
    <w:p>
      <w:pPr>
        <w:pStyle w:val="Text1"/>
        <w:ind w:left="709"/>
        <w:rPr>
          <w:b/>
          <w:i/>
          <w:noProof/>
          <w:color w:val="4F81BD" w:themeColor="accent1"/>
        </w:rPr>
      </w:pPr>
      <w:r>
        <w:rPr>
          <w:b/>
          <w:bCs/>
          <w:noProof/>
          <w:u w:val="single"/>
        </w:rPr>
        <w:t xml:space="preserve">AB.1. </w:t>
      </w:r>
      <w:r>
        <w:rPr>
          <w:b/>
          <w:noProof/>
          <w:u w:val="single"/>
        </w:rPr>
        <w:tab/>
      </w:r>
      <w:r>
        <w:rPr>
          <w:b/>
          <w:bCs/>
          <w:noProof/>
          <w:u w:val="single"/>
        </w:rPr>
        <w:t>Descrierea reformelor și a investițiilor pentru care se prevede acordarea sprijinului financiar nerambursabil</w:t>
      </w:r>
    </w:p>
    <w:p>
      <w:pPr>
        <w:pStyle w:val="Text1"/>
        <w:ind w:left="0"/>
        <w:rPr>
          <w:noProof/>
          <w:u w:val="single"/>
        </w:rPr>
      </w:pPr>
      <w:r>
        <w:rPr>
          <w:noProof/>
          <w:u w:val="single"/>
        </w:rPr>
        <w:t>Reforma 1 (C28.R1) - Măsuri luate în 2020 și 2021 pentru atenuarea efectelor pandemiei de COVID-19</w:t>
      </w:r>
    </w:p>
    <w:p>
      <w:pPr>
        <w:pStyle w:val="Text1"/>
        <w:ind w:left="0"/>
        <w:rPr>
          <w:noProof/>
        </w:rPr>
      </w:pPr>
      <w:r>
        <w:rPr>
          <w:noProof/>
        </w:rPr>
        <w:t xml:space="preserve">Spania a pus în aplicare în 2020 și 2021 mai multe măsuri fiscale pentru a atenua impactul negativ al crizei economice cauzate de epidemia de COVID-19. Printre aceste măsuri s-au numărat amânarea plății datoriilor fiscale și vamale, suspendarea și prelungirea termenelor fiscale, posibilitățile de simplificare a impozitului pe venitul persoanelor fizice, a impozitului pe profit al IMM-urilor și a regimurilor TVA, reducerea temporară a ratei TVA pentru anumite bunuri necesare pentru combaterea crizei sanitare și crearea Fondului de insolvență pentru societățile nefinanciare. Obiectivul acestor măsuri a fost de a atenua impactul economic și social al pandemiei. Aceste măsuri au intrat în vigoare la 1 februarie 2020, iar unele dintre ele continuă în 2021. </w:t>
      </w:r>
    </w:p>
    <w:p>
      <w:pPr>
        <w:pStyle w:val="Text1"/>
        <w:ind w:left="0"/>
        <w:rPr>
          <w:noProof/>
        </w:rPr>
      </w:pPr>
      <w:r>
        <w:rPr>
          <w:noProof/>
        </w:rPr>
        <w:t>Punerea în aplicare a măsurii se finalizează până la 31 martie 2021.</w:t>
      </w:r>
    </w:p>
    <w:p>
      <w:pPr>
        <w:pStyle w:val="Text1"/>
        <w:ind w:left="0"/>
        <w:rPr>
          <w:noProof/>
          <w:u w:val="single"/>
        </w:rPr>
      </w:pPr>
      <w:r>
        <w:rPr>
          <w:noProof/>
          <w:u w:val="single"/>
        </w:rPr>
        <w:t>Reforma 2 (C28.R2) - Analiza avantajelor fiscale</w:t>
      </w:r>
    </w:p>
    <w:p>
      <w:pPr>
        <w:pStyle w:val="Text1"/>
        <w:ind w:left="0"/>
        <w:rPr>
          <w:noProof/>
          <w:color w:val="000000"/>
          <w:sz w:val="20"/>
          <w:szCs w:val="20"/>
        </w:rPr>
      </w:pPr>
      <w:r>
        <w:rPr>
          <w:noProof/>
        </w:rPr>
        <w:t>O analiză a cheltuielilor efectuată de autoritatea fiscală independentă (</w:t>
      </w:r>
      <w:r>
        <w:rPr>
          <w:i/>
          <w:noProof/>
        </w:rPr>
        <w:t>Autoridad Independiente de Responsabilidad Fiscal</w:t>
      </w:r>
      <w:r>
        <w:rPr>
          <w:noProof/>
        </w:rPr>
        <w:t>, AIReF) privind avantajele fiscale legate de impozitul pe venitul persoanelor fizice, accize și TVA a identificat posibilități de modificare a anumitor avantaje fiscale. În 2020, au fost modificate avantajele fiscale ale sistemelor de impozitare a veniturilor persoanelor fizice și cota redusă de TVA pentru băuturi răcoritoare și sucuri, precum și pentru anumite băuturi cu adaos de zahăr și/sau îndulcitori. Punerea în aplicare a unor reforme suplimentare în materie de reglementare până la 31 martie 2023 derivă din recomandările unui grup de lucru înființat pentru evaluarea a 15 avantaje fiscale. Acest grup de lucru își propune să formuleze recomandări cu privire la modalitățile de modificare sau de eliminare în continuare a avantajelor fiscale în următorii ani pentru a spori eficacitatea sistemului fiscal, a crește veniturile, a sprijini tranziția verde și a promova echitatea.</w:t>
      </w:r>
      <w:r>
        <w:rPr>
          <w:noProof/>
          <w:color w:val="000000"/>
          <w:sz w:val="20"/>
          <w:szCs w:val="20"/>
        </w:rPr>
        <w:t xml:space="preserve"> </w:t>
      </w:r>
    </w:p>
    <w:p>
      <w:pPr>
        <w:pStyle w:val="Text1"/>
        <w:ind w:left="0"/>
        <w:rPr>
          <w:noProof/>
        </w:rPr>
      </w:pPr>
      <w:r>
        <w:rPr>
          <w:noProof/>
        </w:rPr>
        <w:t>Punerea în aplicare a măsurii se finalizează până la 31 martie 2023.</w:t>
      </w:r>
    </w:p>
    <w:p>
      <w:pPr>
        <w:pStyle w:val="Text1"/>
        <w:ind w:left="0"/>
        <w:rPr>
          <w:noProof/>
          <w:u w:val="single"/>
        </w:rPr>
      </w:pPr>
      <w:r>
        <w:rPr>
          <w:noProof/>
          <w:u w:val="single"/>
        </w:rPr>
        <w:t>Reforma 3 (C28.R3) - Înființarea unui comitet de experți pentru reforma fiscală</w:t>
      </w:r>
    </w:p>
    <w:p>
      <w:pPr>
        <w:pStyle w:val="Text1"/>
        <w:ind w:left="0"/>
        <w:rPr>
          <w:noProof/>
        </w:rPr>
      </w:pPr>
      <w:r>
        <w:rPr>
          <w:noProof/>
        </w:rPr>
        <w:t>La 12 aprilie 2021, autoritățile instituie un comitet de experți pentru a examina caracteristicile unui sistem fiscal optim și pentru a formula recomandări cu privire la modul de modernizare și adaptare a impozitării actuale în mod coerent. În special, Comitetul de experți acordă atenție următoarelor domenii:</w:t>
      </w:r>
    </w:p>
    <w:p>
      <w:pPr>
        <w:pStyle w:val="Text1"/>
        <w:numPr>
          <w:ilvl w:val="0"/>
          <w:numId w:val="120"/>
        </w:numPr>
        <w:rPr>
          <w:noProof/>
        </w:rPr>
      </w:pPr>
      <w:r>
        <w:rPr>
          <w:noProof/>
        </w:rPr>
        <w:t xml:space="preserve">taxele de mediu; </w:t>
      </w:r>
    </w:p>
    <w:p>
      <w:pPr>
        <w:pStyle w:val="Text1"/>
        <w:numPr>
          <w:ilvl w:val="0"/>
          <w:numId w:val="120"/>
        </w:numPr>
        <w:rPr>
          <w:noProof/>
        </w:rPr>
      </w:pPr>
      <w:r>
        <w:rPr>
          <w:noProof/>
        </w:rPr>
        <w:t>impozitarea întreprinderilor;</w:t>
      </w:r>
    </w:p>
    <w:p>
      <w:pPr>
        <w:pStyle w:val="Text1"/>
        <w:numPr>
          <w:ilvl w:val="0"/>
          <w:numId w:val="120"/>
        </w:numPr>
        <w:rPr>
          <w:noProof/>
        </w:rPr>
      </w:pPr>
      <w:r>
        <w:rPr>
          <w:noProof/>
        </w:rPr>
        <w:t>impozitarea economiei digitalizate;</w:t>
      </w:r>
    </w:p>
    <w:p>
      <w:pPr>
        <w:pStyle w:val="Text1"/>
        <w:numPr>
          <w:ilvl w:val="0"/>
          <w:numId w:val="120"/>
        </w:numPr>
        <w:rPr>
          <w:noProof/>
        </w:rPr>
      </w:pPr>
      <w:r>
        <w:rPr>
          <w:noProof/>
        </w:rPr>
        <w:t>impozitarea averii, inclusiv impozitarea proprietăților și punerea în aplicare concretă a armonizării în acest domeniu;</w:t>
      </w:r>
    </w:p>
    <w:p>
      <w:pPr>
        <w:pStyle w:val="Text1"/>
        <w:numPr>
          <w:ilvl w:val="0"/>
          <w:numId w:val="120"/>
        </w:numPr>
        <w:rPr>
          <w:noProof/>
        </w:rPr>
      </w:pPr>
      <w:r>
        <w:rPr>
          <w:noProof/>
        </w:rPr>
        <w:t>impozitarea activităților economice emergente; și</w:t>
      </w:r>
    </w:p>
    <w:p>
      <w:pPr>
        <w:pStyle w:val="Text1"/>
        <w:numPr>
          <w:ilvl w:val="0"/>
          <w:numId w:val="120"/>
        </w:numPr>
        <w:rPr>
          <w:noProof/>
        </w:rPr>
      </w:pPr>
      <w:r>
        <w:rPr>
          <w:noProof/>
        </w:rPr>
        <w:t>egalitatea de gen.</w:t>
      </w:r>
    </w:p>
    <w:p>
      <w:pPr>
        <w:pStyle w:val="Text1"/>
        <w:ind w:left="0"/>
        <w:rPr>
          <w:noProof/>
          <w:szCs w:val="24"/>
        </w:rPr>
      </w:pPr>
      <w:r>
        <w:rPr>
          <w:noProof/>
        </w:rPr>
        <w:t>Reforma este însoțită, de asemenea, de o analiză a impactului lor distributiv, cu un accent deosebit pe familiile cu copii. Analiza include cel puțin următoarele elemente: (i) impactul asupra progresivității fiscale globale a sistemului fiscal; (ii) impactul asupra grupurilor vulnerabile; (iii) impactul asupra familiilor cu copii; (iv) impozitarea marilor corporații; și (v) repartizarea impozitării între impozitarea veniturilor salariale și impozitarea capitalului.</w:t>
      </w:r>
    </w:p>
    <w:p>
      <w:pPr>
        <w:pStyle w:val="Text1"/>
        <w:ind w:left="0"/>
        <w:rPr>
          <w:noProof/>
          <w:szCs w:val="24"/>
        </w:rPr>
      </w:pPr>
      <w:r>
        <w:rPr>
          <w:noProof/>
        </w:rPr>
        <w:t xml:space="preserve">Comitetul de experți își publică raportul în februarie 2022. Modificările aduse sistemului fiscal pe baza recomandărilor din raport intră în vigoare până la 31 martie 2023. </w:t>
      </w:r>
    </w:p>
    <w:p>
      <w:pPr>
        <w:pStyle w:val="Text1"/>
        <w:ind w:left="0"/>
        <w:rPr>
          <w:noProof/>
        </w:rPr>
      </w:pPr>
      <w:r>
        <w:rPr>
          <w:noProof/>
        </w:rPr>
        <w:t>Punerea în aplicare a măsurii se finalizează până la 31 martie 2023.</w:t>
      </w:r>
    </w:p>
    <w:p>
      <w:pPr>
        <w:pStyle w:val="Text1"/>
        <w:ind w:left="0"/>
        <w:rPr>
          <w:noProof/>
          <w:szCs w:val="24"/>
          <w:u w:val="single"/>
        </w:rPr>
      </w:pPr>
      <w:r>
        <w:rPr>
          <w:noProof/>
          <w:szCs w:val="24"/>
          <w:u w:val="single"/>
        </w:rPr>
        <w:t>Reforma 4 (C28.R4) - Reforma măsurilor fiscale care contribuie la tranziția ecologică</w:t>
      </w:r>
    </w:p>
    <w:p>
      <w:pPr>
        <w:pStyle w:val="Text1"/>
        <w:ind w:left="0"/>
        <w:rPr>
          <w:noProof/>
          <w:szCs w:val="24"/>
        </w:rPr>
      </w:pPr>
      <w:r>
        <w:rPr>
          <w:noProof/>
        </w:rPr>
        <w:t xml:space="preserve">Această reformă conține măsuri fiscale care vizează sprijinirea tranziției verzi. Printre aceste măsuri se numără: </w:t>
      </w:r>
    </w:p>
    <w:p>
      <w:pPr>
        <w:pStyle w:val="Text1"/>
        <w:numPr>
          <w:ilvl w:val="0"/>
          <w:numId w:val="121"/>
        </w:numPr>
        <w:rPr>
          <w:noProof/>
          <w:szCs w:val="24"/>
        </w:rPr>
      </w:pPr>
      <w:r>
        <w:rPr>
          <w:noProof/>
        </w:rPr>
        <w:t>instituirea unei taxe pe depozitarea deșeurilor în depozitele de deșeuri și în instalațiile de incinerare;</w:t>
      </w:r>
    </w:p>
    <w:p>
      <w:pPr>
        <w:pStyle w:val="Text1"/>
        <w:numPr>
          <w:ilvl w:val="0"/>
          <w:numId w:val="121"/>
        </w:numPr>
        <w:rPr>
          <w:noProof/>
          <w:szCs w:val="24"/>
        </w:rPr>
      </w:pPr>
      <w:r>
        <w:rPr>
          <w:noProof/>
        </w:rPr>
        <w:t xml:space="preserve">introducerea unei taxe pe ambalajele din plastic de unică folosință; </w:t>
      </w:r>
    </w:p>
    <w:p>
      <w:pPr>
        <w:pStyle w:val="Text1"/>
        <w:numPr>
          <w:ilvl w:val="0"/>
          <w:numId w:val="121"/>
        </w:numPr>
        <w:rPr>
          <w:noProof/>
        </w:rPr>
      </w:pPr>
      <w:r>
        <w:rPr>
          <w:noProof/>
        </w:rPr>
        <w:t xml:space="preserve">modificarea taxei pe gazele fluorurate cu efect de seră; </w:t>
      </w:r>
    </w:p>
    <w:p>
      <w:pPr>
        <w:pStyle w:val="Text1"/>
        <w:numPr>
          <w:ilvl w:val="0"/>
          <w:numId w:val="121"/>
        </w:numPr>
        <w:rPr>
          <w:noProof/>
          <w:szCs w:val="24"/>
        </w:rPr>
      </w:pPr>
      <w:r>
        <w:rPr>
          <w:noProof/>
        </w:rPr>
        <w:t>taxe sau plăți legate de mobilitate, cum ar fi taxele rutiere și taxele de înmatriculare a vehiculelor; precum și,</w:t>
      </w:r>
    </w:p>
    <w:p>
      <w:pPr>
        <w:pStyle w:val="Text1"/>
        <w:numPr>
          <w:ilvl w:val="0"/>
          <w:numId w:val="121"/>
        </w:numPr>
        <w:rPr>
          <w:noProof/>
          <w:szCs w:val="24"/>
        </w:rPr>
      </w:pPr>
      <w:r>
        <w:rPr>
          <w:noProof/>
        </w:rPr>
        <w:t xml:space="preserve">revizuirea subvențiilor pentru uleiurile minerale utilizate drept combustibil. </w:t>
      </w:r>
    </w:p>
    <w:p>
      <w:pPr>
        <w:pStyle w:val="Text1"/>
        <w:ind w:left="0"/>
        <w:rPr>
          <w:noProof/>
          <w:szCs w:val="24"/>
        </w:rPr>
      </w:pPr>
      <w:r>
        <w:rPr>
          <w:noProof/>
        </w:rPr>
        <w:t xml:space="preserve">Punerea în aplicare a măsurii se finalizează până la 30 iunie 2022; </w:t>
      </w:r>
    </w:p>
    <w:p>
      <w:pPr>
        <w:pStyle w:val="Text1"/>
        <w:ind w:left="0"/>
        <w:rPr>
          <w:noProof/>
          <w:szCs w:val="24"/>
          <w:u w:val="single"/>
        </w:rPr>
      </w:pPr>
      <w:r>
        <w:rPr>
          <w:noProof/>
          <w:szCs w:val="24"/>
          <w:u w:val="single"/>
        </w:rPr>
        <w:t>Reforma din 5 (C28.R5) - Aprobarea taxei pe serviciile digitale</w:t>
      </w:r>
    </w:p>
    <w:p>
      <w:pPr>
        <w:pStyle w:val="Text1"/>
        <w:ind w:left="0"/>
        <w:rPr>
          <w:noProof/>
        </w:rPr>
      </w:pPr>
      <w:r>
        <w:rPr>
          <w:noProof/>
        </w:rPr>
        <w:t xml:space="preserve">Această reformă introduce o taxă bazată pe cifra de afaceri a societăților cu o cifră de afaceri netă de peste 750 000 000 EUR și pe veniturile din furnizarea anumitor servicii digitale, cum ar fi serviciile de publicitate și de intermediere online în Spania. Taxa este independentă de faptul că societatea este rezidentă sau nu pe teritoriul spaniol. Taxa a intrat în vigoare în primul trimestru al anului 2021. Reforma include, de asemenea, un raport de evaluare a impactului măsurii, care va fi publicat până la 31 martie 2022 și 2023. </w:t>
      </w:r>
    </w:p>
    <w:p>
      <w:pPr>
        <w:pStyle w:val="Text1"/>
        <w:ind w:left="0"/>
        <w:rPr>
          <w:noProof/>
        </w:rPr>
      </w:pPr>
      <w:r>
        <w:rPr>
          <w:noProof/>
        </w:rPr>
        <w:t>Punerea în aplicare a măsurii se finalizează până la 31 martie 2021.</w:t>
      </w:r>
    </w:p>
    <w:p>
      <w:pPr>
        <w:pStyle w:val="Text1"/>
        <w:ind w:left="0"/>
        <w:rPr>
          <w:noProof/>
          <w:szCs w:val="24"/>
          <w:u w:val="single"/>
        </w:rPr>
      </w:pPr>
      <w:r>
        <w:rPr>
          <w:noProof/>
          <w:szCs w:val="24"/>
          <w:u w:val="single"/>
        </w:rPr>
        <w:t>Reforma 6 (C28.R6) - Aprobarea taxei pe tranzacțiile financiare</w:t>
      </w:r>
    </w:p>
    <w:p>
      <w:pPr>
        <w:pStyle w:val="Text1"/>
        <w:ind w:left="0"/>
        <w:rPr>
          <w:noProof/>
          <w:szCs w:val="24"/>
        </w:rPr>
      </w:pPr>
      <w:r>
        <w:rPr>
          <w:noProof/>
        </w:rPr>
        <w:t xml:space="preserve">Această măsură introduce o taxă bazată pe valoarea de achiziție a acțiunilor societăților spaniole cotate la bursă cu capitalizare bursieră mai mare de 1 000 000 000 EUR. Punerea în aplicare a reformei a intrat în vigoare în primul trimestru al anului 2021. Reforma include, de asemenea, un raport de evaluare a impactului măsurii, care va fi publicat până la 31 martie 2022 și 2023. </w:t>
      </w:r>
    </w:p>
    <w:p>
      <w:pPr>
        <w:pStyle w:val="Text1"/>
        <w:ind w:left="0"/>
        <w:rPr>
          <w:noProof/>
          <w:szCs w:val="24"/>
        </w:rPr>
      </w:pPr>
      <w:r>
        <w:rPr>
          <w:noProof/>
        </w:rPr>
        <w:t>Punerea în aplicare a măsurii se finalizează până la 31 martie 2021.</w:t>
      </w:r>
    </w:p>
    <w:p>
      <w:pPr>
        <w:pStyle w:val="Text1"/>
        <w:keepNext/>
        <w:ind w:left="0"/>
        <w:rPr>
          <w:noProof/>
          <w:szCs w:val="24"/>
          <w:u w:val="single"/>
        </w:rPr>
      </w:pPr>
      <w:r>
        <w:rPr>
          <w:noProof/>
          <w:szCs w:val="24"/>
          <w:u w:val="single"/>
        </w:rPr>
        <w:t>Reforma 7 (C28.R7) - Măsuri fiscale pe termen scurt privind impozitele pentru persoane fizice</w:t>
      </w:r>
    </w:p>
    <w:p>
      <w:pPr>
        <w:pStyle w:val="Text1"/>
        <w:keepNext/>
        <w:ind w:left="0"/>
        <w:rPr>
          <w:noProof/>
        </w:rPr>
      </w:pPr>
      <w:r>
        <w:rPr>
          <w:noProof/>
        </w:rPr>
        <w:t>Reforma crește gradul de progresivitate și de redistribuire a impozitului pe venitul persoanelor fizice, prin intermediul unor modificări ale Legii privind impozitul pe venitul persoanelor fizice și ale Legii privind impozitul pe profit. În special, aceasta majorează cu 2 puncte procentuale rata de la nivelul național general de la 300 000 EUR ca bază generală de evaluare și economii cu 3 puncte procentuale față de 200 000 EUR. În plus, limita reducerii contribuțiilor individuale la sistemul de pensii de la 8 000 EUR la 2 000 EUR se reduce, iar limita actuală a contribuțiilor plătite de societate angajatului său se majorează de la 8 000 EUR la 10 000 EUR. În plus, în ceea ce privește ISF, reforma majorează rata aplicabilă ultimei tranșe a tarifului cu 1 puncte procentuale, de la 2,5 % la 3,5 % (pentru active de peste 10 000 000 EUR). Punerea în aplicare a reformei trebuia finalizată până la 1 ianuarie 2021.</w:t>
      </w:r>
    </w:p>
    <w:p>
      <w:pPr>
        <w:pStyle w:val="Text1"/>
        <w:ind w:left="0"/>
        <w:rPr>
          <w:noProof/>
          <w:szCs w:val="24"/>
        </w:rPr>
      </w:pPr>
      <w:r>
        <w:rPr>
          <w:noProof/>
        </w:rPr>
        <w:t>Punerea în aplicare a măsurii se finalizează până la 31 martie 2021.</w:t>
      </w:r>
    </w:p>
    <w:p>
      <w:pPr>
        <w:pStyle w:val="Text1"/>
        <w:ind w:left="0"/>
        <w:rPr>
          <w:noProof/>
          <w:szCs w:val="24"/>
          <w:u w:val="single"/>
        </w:rPr>
      </w:pPr>
      <w:r>
        <w:rPr>
          <w:noProof/>
          <w:szCs w:val="24"/>
          <w:u w:val="single"/>
        </w:rPr>
        <w:t>Reforma 8 (C28.R8) - Adoptarea pe termen scurt a unor măsuri fiscale în domeniul impozitului pe profit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Reforma va modifica Legea privind impozitul pe profit pentru a crește contribuția acestei taxe la sprijinirea cheltuielilor publice, introducând totodată simplificări ale scutirilor și deducerilor pentru a asigura o rată minimă de 15 % pentru contribuabili. Pe de altă parte, scutirea pentru dividendele și câștigurile de capital generate de participația lor în filiale, rezidente și nerezidente pe teritoriul spaniol, se reduce cu 5 %. </w:t>
      </w:r>
    </w:p>
    <w:p>
      <w:pPr>
        <w:pStyle w:val="Text1"/>
        <w:ind w:left="0"/>
        <w:rPr>
          <w:noProof/>
          <w:szCs w:val="24"/>
        </w:rPr>
      </w:pPr>
      <w:r>
        <w:rPr>
          <w:noProof/>
        </w:rPr>
        <w:t>Punerea în aplicare a măsurii se finalizează până la 31 martie 2021.</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Reforma 9 (C28.R9) - Măsuri fiscale pe termen scurt în domeniul impozitelor indirecte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Reforma extinde aplicarea cotei standard a taxei pe valoarea adăugată, stabilită la 21 %, la băuturile răcoritoare, sucurile și băuturile gazoase cu adaos de zahăr. O astfel de măsură constituie un angajament social de promovare a consumului responsabil al acestor categorii de băuturi și este în concordanță cu obiectivul de a finanța costurile externe ale statului social spaniol, care rezultă în acest caz din regimuri alimentare nesănătoase. În plus, rata de impozitare a primelor de asigurare se majorează cu două puncte procentuale, până la 8 %, rămânând totuși în intervalul mediu-scăzut în raport cu țările învecinate. </w:t>
      </w:r>
    </w:p>
    <w:p>
      <w:pPr>
        <w:pStyle w:val="Text1"/>
        <w:ind w:left="0"/>
        <w:rPr>
          <w:noProof/>
          <w:szCs w:val="24"/>
        </w:rPr>
      </w:pPr>
      <w:r>
        <w:rPr>
          <w:noProof/>
        </w:rPr>
        <w:t>Punerea în aplicare a măsurii se finalizează până la 31 martie 2021.</w:t>
      </w:r>
    </w:p>
    <w:p>
      <w:pPr>
        <w:pStyle w:val="Text1"/>
        <w:ind w:left="709"/>
        <w:rPr>
          <w:b/>
          <w:noProof/>
          <w:szCs w:val="24"/>
          <w:u w:val="single"/>
        </w:rPr>
      </w:pPr>
      <w:r>
        <w:rPr>
          <w:b/>
          <w:bCs/>
          <w:noProof/>
          <w:szCs w:val="24"/>
          <w:u w:val="single"/>
        </w:rPr>
        <w:t xml:space="preserve">AB.2. </w:t>
      </w:r>
      <w:r>
        <w:rPr>
          <w:b/>
          <w:noProof/>
          <w:szCs w:val="24"/>
          <w:u w:val="single"/>
        </w:rPr>
        <w:tab/>
      </w:r>
      <w:r>
        <w:rPr>
          <w:b/>
          <w:bCs/>
          <w:noProof/>
          <w:szCs w:val="24"/>
          <w:u w:val="single"/>
        </w:rPr>
        <w:t>Jaloane, ținte, indicatori și calendarul de monitorizare și implementare aplicabile sprijinului financiar nerambursabil</w:t>
      </w:r>
    </w:p>
    <w:p>
      <w:pPr>
        <w:spacing w:before="120" w:after="120" w:line="240" w:lineRule="auto"/>
        <w:rPr>
          <w:rFonts w:ascii="Times New Roman" w:hAnsi="Times New Roman" w:cs="Times New Roman"/>
          <w:noProof/>
          <w:color w:val="1F497D"/>
          <w:sz w:val="24"/>
          <w:szCs w:val="24"/>
        </w:rPr>
      </w:pPr>
      <w:r>
        <w:rPr>
          <w:rFonts w:ascii="Times New Roman" w:hAnsi="Times New Roman"/>
          <w:i/>
          <w:iCs/>
          <w:noProof/>
          <w:color w:val="000000"/>
          <w:sz w:val="24"/>
          <w:szCs w:val="24"/>
        </w:rPr>
        <w:t>Tabelul de mai jos.</w:t>
      </w:r>
      <w:r>
        <w:rPr>
          <w:rFonts w:ascii="Times New Roman" w:hAnsi="Times New Roman"/>
          <w:noProof/>
          <w:color w:val="1F497D"/>
          <w:sz w:val="24"/>
          <w:szCs w:val="24"/>
        </w:rPr>
        <w:t xml:space="preserve"> </w:t>
      </w:r>
      <w:r>
        <w:rPr>
          <w:rFonts w:ascii="Times New Roman" w:hAnsi="Times New Roman"/>
          <w:i/>
          <w:noProof/>
          <w:sz w:val="24"/>
          <w:szCs w:val="24"/>
        </w:rPr>
        <w:t>Data de referință pentru toți indicatorii este 1 februarie 2020, cu excepția cazului în care se indică altfel în descrierea acțiunii.</w:t>
      </w:r>
      <w:r>
        <w:rPr>
          <w:rFonts w:ascii="Times New Roman" w:hAnsi="Times New Roman"/>
          <w:i/>
          <w:iCs/>
          <w:noProof/>
          <w:color w:val="000000"/>
          <w:sz w:val="24"/>
          <w:szCs w:val="24"/>
        </w:rPr>
        <w:t xml:space="preserve"> Sumele din tabel nu includ TVA.</w:t>
      </w:r>
      <w:r>
        <w:rPr>
          <w:rFonts w:ascii="Times New Roman" w:hAnsi="Times New Roman"/>
          <w:noProof/>
          <w:color w:val="1F497D"/>
          <w:sz w:val="24"/>
          <w:szCs w:val="24"/>
        </w:rPr>
        <w:t xml:space="preserve"> </w:t>
      </w:r>
    </w:p>
    <w:p>
      <w:pPr>
        <w:pStyle w:val="Text1"/>
        <w:ind w:left="0"/>
        <w:rPr>
          <w:noProof/>
          <w:lang w:val="en-IE"/>
        </w:rPr>
        <w:sectPr>
          <w:headerReference w:type="even" r:id="rId343"/>
          <w:headerReference w:type="default" r:id="rId344"/>
          <w:footerReference w:type="even" r:id="rId345"/>
          <w:footerReference w:type="default" r:id="rId346"/>
          <w:headerReference w:type="first" r:id="rId347"/>
          <w:footerReference w:type="first" r:id="rId348"/>
          <w:pgSz w:w="11907" w:h="16839"/>
          <w:pgMar w:top="1134" w:right="1417" w:bottom="1134" w:left="1417" w:header="709" w:footer="709" w:gutter="0"/>
          <w:cols w:space="720"/>
          <w:docGrid w:linePitch="360"/>
        </w:sectPr>
      </w:pPr>
    </w:p>
    <w:tbl>
      <w:tblPr>
        <w:tblW w:w="1508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698"/>
        <w:gridCol w:w="839"/>
        <w:gridCol w:w="838"/>
        <w:gridCol w:w="2792"/>
        <w:gridCol w:w="979"/>
        <w:gridCol w:w="420"/>
        <w:gridCol w:w="420"/>
        <w:gridCol w:w="559"/>
        <w:gridCol w:w="420"/>
        <w:gridCol w:w="559"/>
        <w:gridCol w:w="6502"/>
        <w:gridCol w:w="59"/>
      </w:tblGrid>
      <w:tr>
        <w:trPr>
          <w:gridAfter w:val="1"/>
          <w:wAfter w:w="59" w:type="dxa"/>
          <w:trHeight w:val="309"/>
          <w:tblHeader/>
        </w:trPr>
        <w:tc>
          <w:tcPr>
            <w:tcW w:w="698"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Număr</w:t>
            </w:r>
          </w:p>
        </w:tc>
        <w:tc>
          <w:tcPr>
            <w:tcW w:w="839"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Măsură</w:t>
            </w:r>
          </w:p>
        </w:tc>
        <w:tc>
          <w:tcPr>
            <w:tcW w:w="838"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Jalon</w:t>
            </w:r>
            <w:r>
              <w:rPr>
                <w:rFonts w:ascii="Times New Roman" w:hAnsi="Times New Roman"/>
                <w:b/>
                <w:noProof/>
                <w:color w:val="000000"/>
                <w:sz w:val="18"/>
                <w:szCs w:val="18"/>
              </w:rPr>
              <w:br/>
              <w:t xml:space="preserve"> /Țintă</w:t>
            </w:r>
          </w:p>
        </w:tc>
        <w:tc>
          <w:tcPr>
            <w:tcW w:w="2792"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Denumire</w:t>
            </w:r>
          </w:p>
        </w:tc>
        <w:tc>
          <w:tcPr>
            <w:tcW w:w="979"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Indicator calitativ pentru obiectivele de etapă</w:t>
            </w:r>
          </w:p>
        </w:tc>
        <w:tc>
          <w:tcPr>
            <w:tcW w:w="1399" w:type="dxa"/>
            <w:gridSpan w:val="3"/>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Indicator cantitativ pentru obiectiv</w:t>
            </w:r>
          </w:p>
        </w:tc>
        <w:tc>
          <w:tcPr>
            <w:tcW w:w="979" w:type="dxa"/>
            <w:gridSpan w:val="2"/>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Timp</w:t>
            </w:r>
          </w:p>
        </w:tc>
        <w:tc>
          <w:tcPr>
            <w:tcW w:w="6502"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sz w:val="18"/>
                <w:szCs w:val="18"/>
              </w:rPr>
              <w:t>Descrierea fiecărui jalon și a fiecărei ținte</w:t>
            </w:r>
          </w:p>
        </w:tc>
      </w:tr>
      <w:tr>
        <w:trPr>
          <w:gridAfter w:val="1"/>
          <w:wAfter w:w="59" w:type="dxa"/>
          <w:trHeight w:val="309"/>
          <w:tblHeader/>
        </w:trPr>
        <w:tc>
          <w:tcPr>
            <w:tcW w:w="698"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839"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838"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2792" w:type="dxa"/>
            <w:tcBorders>
              <w:top w:val="nil"/>
            </w:tcBorders>
            <w:shd w:val="clear" w:color="auto" w:fill="C6D9F1" w:themeFill="text2" w:themeFillTint="33"/>
            <w:noWrap/>
          </w:tcPr>
          <w:p>
            <w:pPr>
              <w:spacing w:after="0"/>
              <w:rPr>
                <w:rFonts w:ascii="Times New Roman" w:hAnsi="Times New Roman" w:cs="Times New Roman"/>
                <w:b/>
                <w:noProof/>
                <w:color w:val="000000"/>
                <w:sz w:val="18"/>
                <w:szCs w:val="18"/>
              </w:rPr>
            </w:pPr>
          </w:p>
        </w:tc>
        <w:tc>
          <w:tcPr>
            <w:tcW w:w="979"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420"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Unitate</w:t>
            </w:r>
          </w:p>
        </w:tc>
        <w:tc>
          <w:tcPr>
            <w:tcW w:w="420"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Scenariu de bază</w:t>
            </w:r>
          </w:p>
        </w:tc>
        <w:tc>
          <w:tcPr>
            <w:tcW w:w="559"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Obiectiv</w:t>
            </w:r>
          </w:p>
        </w:tc>
        <w:tc>
          <w:tcPr>
            <w:tcW w:w="420"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Q</w:t>
            </w:r>
          </w:p>
        </w:tc>
        <w:tc>
          <w:tcPr>
            <w:tcW w:w="559"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An</w:t>
            </w:r>
          </w:p>
        </w:tc>
        <w:tc>
          <w:tcPr>
            <w:tcW w:w="6502" w:type="dxa"/>
            <w:tcBorders>
              <w:top w:val="nil"/>
            </w:tcBorders>
            <w:shd w:val="clear" w:color="auto" w:fill="C6D9F1" w:themeFill="text2" w:themeFillTint="33"/>
            <w:noWrap/>
          </w:tcPr>
          <w:p>
            <w:pPr>
              <w:spacing w:after="0"/>
              <w:rPr>
                <w:rFonts w:ascii="Times New Roman" w:hAnsi="Times New Roman" w:cs="Times New Roman"/>
                <w:b/>
                <w:noProof/>
                <w:color w:val="000000"/>
                <w:sz w:val="18"/>
                <w:szCs w:val="18"/>
                <w:lang w:val="en-IE"/>
              </w:rPr>
            </w:pPr>
          </w:p>
        </w:tc>
      </w:tr>
      <w:tr>
        <w:trPr>
          <w:trHeight w:val="309"/>
        </w:trPr>
        <w:tc>
          <w:tcPr>
            <w:tcW w:w="69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385</w:t>
            </w:r>
          </w:p>
        </w:tc>
        <w:tc>
          <w:tcPr>
            <w:tcW w:w="83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C28.R1</w:t>
            </w:r>
          </w:p>
        </w:tc>
        <w:tc>
          <w:tcPr>
            <w:tcW w:w="83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79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Măsurile bugetare adoptate în 2020 și 2021 pentru a atenua efectele pandemiei de COVID-19.</w:t>
            </w:r>
          </w:p>
        </w:tc>
        <w:tc>
          <w:tcPr>
            <w:tcW w:w="97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Dispoziții din legi și decrete regale care indică intrarea lor în vigoare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59"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55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6561"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măsurilor fiscale adoptate în 2020 și 2021 pentru atenuarea efectelor economice și sociale negative ale pandemiei de COVID-19:</w:t>
            </w:r>
            <w:r>
              <w:rPr>
                <w:rFonts w:ascii="Times New Roman" w:hAnsi="Times New Roman"/>
                <w:noProof/>
                <w:color w:val="000000"/>
                <w:sz w:val="18"/>
                <w:szCs w:val="18"/>
              </w:rPr>
              <w:br/>
              <w:t>1 Reglementări tranzitorii: diverse decrete legislative regale aprobate de guvern de la începutul pandemiei de COVID-19.</w:t>
            </w:r>
            <w:r>
              <w:rPr>
                <w:rFonts w:ascii="Times New Roman" w:hAnsi="Times New Roman"/>
                <w:noProof/>
                <w:color w:val="000000"/>
                <w:sz w:val="18"/>
                <w:szCs w:val="18"/>
              </w:rPr>
              <w:br/>
              <w:t>2 Modificarea reglementărilor de stat:</w:t>
            </w:r>
            <w:r>
              <w:rPr>
                <w:rFonts w:ascii="Times New Roman" w:hAnsi="Times New Roman"/>
                <w:noProof/>
                <w:color w:val="000000"/>
                <w:sz w:val="18"/>
                <w:szCs w:val="18"/>
              </w:rPr>
              <w:br/>
              <w:t>₋ Decretul-lege regal nr. 1/1993 din septembrie 24, care aprobă textul consolidat al Legii privind impozitul pe tranzacțiile și actele juridice documentate.</w:t>
            </w:r>
            <w:r>
              <w:rPr>
                <w:rFonts w:ascii="Times New Roman" w:hAnsi="Times New Roman"/>
                <w:noProof/>
                <w:color w:val="000000"/>
                <w:sz w:val="18"/>
                <w:szCs w:val="18"/>
              </w:rPr>
              <w:br/>
              <w:t>₋ Legea nr. 37/1992 din decembrie 28 privind taxa pe valoarea adăugată.</w:t>
            </w:r>
            <w:r>
              <w:rPr>
                <w:rFonts w:ascii="Times New Roman" w:hAnsi="Times New Roman"/>
                <w:noProof/>
                <w:color w:val="000000"/>
                <w:sz w:val="18"/>
                <w:szCs w:val="18"/>
              </w:rPr>
              <w:br/>
              <w:t>₋ Legea nr. 49/2002 din decembrie 23 privind regimul fiscal al entităților fără scop lucrativ și stimulentele fiscale pentru patronaj.</w:t>
            </w:r>
            <w:r>
              <w:rPr>
                <w:rFonts w:ascii="Times New Roman" w:hAnsi="Times New Roman"/>
                <w:noProof/>
                <w:color w:val="000000"/>
                <w:sz w:val="18"/>
                <w:szCs w:val="18"/>
              </w:rPr>
              <w:br/>
              <w:t>₋ Legea nr. 58/2003 din decembrie 17, Impozitul general.</w:t>
            </w:r>
            <w:r>
              <w:rPr>
                <w:rFonts w:ascii="Times New Roman" w:hAnsi="Times New Roman"/>
                <w:noProof/>
                <w:color w:val="000000"/>
                <w:sz w:val="18"/>
                <w:szCs w:val="18"/>
              </w:rPr>
              <w:br/>
              <w:t>₋ Legea nr. 35/2006 din noiembrie 28 privind impozitul pe venitul persoanelor fizice</w:t>
            </w:r>
          </w:p>
        </w:tc>
      </w:tr>
      <w:tr>
        <w:trPr>
          <w:trHeight w:val="309"/>
        </w:trPr>
        <w:tc>
          <w:tcPr>
            <w:tcW w:w="69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386</w:t>
            </w:r>
          </w:p>
        </w:tc>
        <w:tc>
          <w:tcPr>
            <w:tcW w:w="83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C28.R2</w:t>
            </w:r>
          </w:p>
        </w:tc>
        <w:tc>
          <w:tcPr>
            <w:tcW w:w="83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79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Revizuirea și modificările avantajelor fiscale</w:t>
            </w:r>
          </w:p>
        </w:tc>
        <w:tc>
          <w:tcPr>
            <w:tcW w:w="97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Dispoziții ale reformelor care indică intrarea lor în vigoare și publicarea pe pagina de internet Finanțe a recomandărilor grupului de lucru</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59"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55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561"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Intrarea în vigoare a reformelor de reglementare necesare pentru punerea în aplicare a recomandărilor grupului de lucru de a modifica sau de a elimina 15 avantaje fiscale. Avantajele fiscale trebuie să fi fost selectate în funcție de importanța lor cantitativă și calitativă și evaluate în conformitate cu metodologia AIReF. Reformele în materie de reglementare vizează eficientizarea sistemului fiscal, creșterea veniturilor, sprijinirea tranziției verzi și promovarea echității. </w:t>
            </w:r>
          </w:p>
        </w:tc>
      </w:tr>
      <w:tr>
        <w:trPr>
          <w:trHeight w:val="309"/>
        </w:trPr>
        <w:tc>
          <w:tcPr>
            <w:tcW w:w="69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387</w:t>
            </w:r>
          </w:p>
        </w:tc>
        <w:tc>
          <w:tcPr>
            <w:tcW w:w="83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C28.R3</w:t>
            </w:r>
          </w:p>
        </w:tc>
        <w:tc>
          <w:tcPr>
            <w:tcW w:w="83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79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Numirea comitetului de experți de către secretarul de stat al finanțelor.</w:t>
            </w:r>
          </w:p>
        </w:tc>
        <w:tc>
          <w:tcPr>
            <w:tcW w:w="97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Publicarea pe pagina web</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59"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5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6561"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Numirea unui comitet de experți care să ghideze reforma sistemului fiscal. Comitetul este responsabil de efectuarea unei analize tehnice a reformelor necesare, ținând seama de scenariul actual, precum și de situația preconizată pe termen mediu și lung, acordând o atenție deosebită următoarelor domenii: impozitarea mediului, impozitarea întreprinderilor, impozitarea economiei digitale, impozitarea averii și armonizarea concretă în acest domeniu, impozitarea activităților economice emergente.</w:t>
            </w:r>
          </w:p>
        </w:tc>
      </w:tr>
      <w:tr>
        <w:trPr>
          <w:trHeight w:val="309"/>
        </w:trPr>
        <w:tc>
          <w:tcPr>
            <w:tcW w:w="69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388</w:t>
            </w:r>
          </w:p>
        </w:tc>
        <w:tc>
          <w:tcPr>
            <w:tcW w:w="83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C28.R3</w:t>
            </w:r>
          </w:p>
        </w:tc>
        <w:tc>
          <w:tcPr>
            <w:tcW w:w="83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79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reformelor derivate din recomandările comisiei</w:t>
            </w:r>
          </w:p>
        </w:tc>
        <w:tc>
          <w:tcPr>
            <w:tcW w:w="97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Dispozițiile reformelor care indică intrarea lor în vigoare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59"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55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561"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reformelor derivate din recomandările Comitetului de experți referitoare la diferitele elemente ale sistemului fiscal spaniol, cu scopul de a aduce raportul dintre veniturile publice și PIB din Spania mai aproape de media UE, de a asigura un impozit minim pe profit, de a face sistemul fiscal mai eficient, de a-l moderniza și de a-l adapta la noile tendințe, inclusiv la o perspectivă de gen, concentrându-se pe domenii precum impozitarea mediului, impozitarea întreprinderilor, impozitarea economiei digitalizate, armonizarea impozitării averii și impozitarea activităților economice emergente. Reformele sunt însoțite, de asemenea, de o analiză a impactului lor distributiv, cu un accent deosebit pe familiile cu copii.</w:t>
            </w:r>
          </w:p>
        </w:tc>
      </w:tr>
      <w:tr>
        <w:trPr>
          <w:trHeight w:val="309"/>
        </w:trPr>
        <w:tc>
          <w:tcPr>
            <w:tcW w:w="69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389</w:t>
            </w:r>
          </w:p>
        </w:tc>
        <w:tc>
          <w:tcPr>
            <w:tcW w:w="83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C28.R4</w:t>
            </w:r>
          </w:p>
        </w:tc>
        <w:tc>
          <w:tcPr>
            <w:tcW w:w="83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79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Impozite pe materialele plastice de unică folosință și pe deșeuri</w:t>
            </w:r>
          </w:p>
        </w:tc>
        <w:tc>
          <w:tcPr>
            <w:tcW w:w="97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Dispoziție din lege care indică intrarea sa în vigoare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59"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Q3</w:t>
            </w:r>
          </w:p>
        </w:tc>
        <w:tc>
          <w:tcPr>
            <w:tcW w:w="55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6561"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Legii care reglementează taxele pe materialele plastice și depozitarea și incinerarea deșeurilor pentru a promova economia circulară și a reduce utilizarea materialelor plastice de unică folosință.</w:t>
            </w:r>
          </w:p>
        </w:tc>
      </w:tr>
      <w:tr>
        <w:trPr>
          <w:trHeight w:val="309"/>
        </w:trPr>
        <w:tc>
          <w:tcPr>
            <w:tcW w:w="69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390</w:t>
            </w:r>
          </w:p>
        </w:tc>
        <w:tc>
          <w:tcPr>
            <w:tcW w:w="83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C28.R4</w:t>
            </w:r>
          </w:p>
        </w:tc>
        <w:tc>
          <w:tcPr>
            <w:tcW w:w="83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79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Analiza taxei de înmatriculare a vehiculelor și a taxei de circulație</w:t>
            </w:r>
          </w:p>
        </w:tc>
        <w:tc>
          <w:tcPr>
            <w:tcW w:w="97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Publicarea pe pagina web</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59"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55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561"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Reforma prevede o analiză a taxei de înmatriculare a vehiculelor, a taxei de circulație sau a plăților, cum ar fi taxele rutiere. Pe baza acestei analize, se consideră că revizuirea legii promovează un transport rutier mai durabil și reduce emisiile de gaze cu efect de seră. </w:t>
            </w:r>
          </w:p>
        </w:tc>
      </w:tr>
      <w:tr>
        <w:trPr>
          <w:trHeight w:val="309"/>
        </w:trPr>
        <w:tc>
          <w:tcPr>
            <w:tcW w:w="69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391</w:t>
            </w:r>
          </w:p>
        </w:tc>
        <w:tc>
          <w:tcPr>
            <w:tcW w:w="83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C28.R4</w:t>
            </w:r>
          </w:p>
        </w:tc>
        <w:tc>
          <w:tcPr>
            <w:tcW w:w="83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79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Intrarea în vigoare a reformei impozitului pe gazele fluorurate </w:t>
            </w:r>
          </w:p>
        </w:tc>
        <w:tc>
          <w:tcPr>
            <w:tcW w:w="97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Dispoziție din lege care indică intrarea sa în vigoare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59"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5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561"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Intrarea în vigoare a reformei taxei pe gazele fluorurate pentru a descuraja utilizarea acestora și a reduce evaziunea fiscală. </w:t>
            </w:r>
          </w:p>
        </w:tc>
      </w:tr>
      <w:tr>
        <w:trPr>
          <w:trHeight w:val="309"/>
        </w:trPr>
        <w:tc>
          <w:tcPr>
            <w:tcW w:w="69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392</w:t>
            </w:r>
          </w:p>
        </w:tc>
        <w:tc>
          <w:tcPr>
            <w:tcW w:w="83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C28.R5</w:t>
            </w:r>
          </w:p>
        </w:tc>
        <w:tc>
          <w:tcPr>
            <w:tcW w:w="83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79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Impozitarea serviciilor digitale</w:t>
            </w:r>
          </w:p>
        </w:tc>
        <w:tc>
          <w:tcPr>
            <w:tcW w:w="97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Dispoziție din lege care indică intrarea sa în vigoare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59"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55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6561"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Legii privind impozitul pe anumite servicii digitale (</w:t>
            </w:r>
            <w:r>
              <w:rPr>
                <w:rFonts w:ascii="Times New Roman" w:hAnsi="Times New Roman"/>
                <w:i/>
                <w:noProof/>
                <w:color w:val="000000"/>
                <w:sz w:val="18"/>
                <w:szCs w:val="18"/>
              </w:rPr>
              <w:t>Ley 4/2020, de 15 de octubre, del Impuesto sobre Determinados Servicios Digitales</w:t>
            </w:r>
            <w:r>
              <w:rPr>
                <w:rFonts w:ascii="Times New Roman" w:hAnsi="Times New Roman"/>
                <w:noProof/>
                <w:color w:val="000000"/>
                <w:sz w:val="18"/>
                <w:szCs w:val="18"/>
              </w:rPr>
              <w:t>) pentru a genera noi surse de venituri pentru guvern, bazate pe sectoarele de afaceri emergente, dezvoltând în același timp sistemul fiscal în mod coerent și acolo unde este relevant în context internațional.</w:t>
            </w:r>
          </w:p>
        </w:tc>
      </w:tr>
      <w:tr>
        <w:trPr>
          <w:trHeight w:val="309"/>
        </w:trPr>
        <w:tc>
          <w:tcPr>
            <w:tcW w:w="69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393</w:t>
            </w:r>
          </w:p>
        </w:tc>
        <w:tc>
          <w:tcPr>
            <w:tcW w:w="83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C28.R6</w:t>
            </w:r>
          </w:p>
        </w:tc>
        <w:tc>
          <w:tcPr>
            <w:tcW w:w="83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79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Taxa pe tranzacțiile financiare</w:t>
            </w:r>
          </w:p>
        </w:tc>
        <w:tc>
          <w:tcPr>
            <w:tcW w:w="97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Dispoziție din lege care indică intrarea sa în vigoare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59"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55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6561"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Legii privind taxa pe tranzacțiile financiare (</w:t>
            </w:r>
            <w:r>
              <w:rPr>
                <w:rFonts w:ascii="Times New Roman" w:hAnsi="Times New Roman"/>
                <w:i/>
                <w:noProof/>
                <w:color w:val="000000"/>
                <w:sz w:val="18"/>
                <w:szCs w:val="18"/>
              </w:rPr>
              <w:t>Ley 5/2020, de 15 de octubre, del Impuesto sobre las Transacciones Financieras</w:t>
            </w:r>
            <w:r>
              <w:rPr>
                <w:rFonts w:ascii="Times New Roman" w:hAnsi="Times New Roman"/>
                <w:noProof/>
                <w:color w:val="000000"/>
                <w:sz w:val="18"/>
                <w:szCs w:val="18"/>
              </w:rPr>
              <w:t>) pentru a genera noi surse de venituri pentru guvern, dezvoltând în același timp sistemul fiscal în mod coerent și acolo unde este relevant în contextul internațional.</w:t>
            </w:r>
          </w:p>
        </w:tc>
      </w:tr>
      <w:tr>
        <w:trPr>
          <w:trHeight w:val="309"/>
        </w:trPr>
        <w:tc>
          <w:tcPr>
            <w:tcW w:w="69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394</w:t>
            </w:r>
          </w:p>
        </w:tc>
        <w:tc>
          <w:tcPr>
            <w:tcW w:w="83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C28.R7</w:t>
            </w:r>
          </w:p>
        </w:tc>
        <w:tc>
          <w:tcPr>
            <w:tcW w:w="83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79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Modificări ale impozitului pe venitul persoanelor fizice și ale impozitului pe avere în 2021</w:t>
            </w:r>
          </w:p>
        </w:tc>
        <w:tc>
          <w:tcPr>
            <w:tcW w:w="97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Dispoziție din Legea bugetului care indică intrarea sa în vigoare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59"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55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6561"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modificărilor introduse prin Legea bugetului pentru 2021 și prin regulamentele de dezvoltare referitoare la impozitul pe venitul persoanelor fizice și impozitul pe avere pentru a reduce deficitul bugetar și pentru a face ca impozitarea veniturilor persoanelor fizice să fie mai progresivă.</w:t>
            </w:r>
          </w:p>
        </w:tc>
      </w:tr>
      <w:tr>
        <w:trPr>
          <w:trHeight w:val="309"/>
        </w:trPr>
        <w:tc>
          <w:tcPr>
            <w:tcW w:w="69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395</w:t>
            </w:r>
          </w:p>
        </w:tc>
        <w:tc>
          <w:tcPr>
            <w:tcW w:w="83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C28.R8</w:t>
            </w:r>
          </w:p>
        </w:tc>
        <w:tc>
          <w:tcPr>
            <w:tcW w:w="83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79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Modificări ale impozitului pe profit în 2021</w:t>
            </w:r>
          </w:p>
        </w:tc>
        <w:tc>
          <w:tcPr>
            <w:tcW w:w="97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Dispoziție din Legea bugetului care indică intrarea sa în vigoare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59"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55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6561"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modificărilor introduse prin Legea bugetului pentru 2021 și prin regulamentele de dezvoltare referitoare la impozitul pe profit pentru a crește veniturile din impozitul pe profit.</w:t>
            </w:r>
          </w:p>
        </w:tc>
      </w:tr>
      <w:tr>
        <w:trPr>
          <w:trHeight w:val="309"/>
        </w:trPr>
        <w:tc>
          <w:tcPr>
            <w:tcW w:w="69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396</w:t>
            </w:r>
          </w:p>
        </w:tc>
        <w:tc>
          <w:tcPr>
            <w:tcW w:w="83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C28.R9</w:t>
            </w:r>
          </w:p>
        </w:tc>
        <w:tc>
          <w:tcPr>
            <w:tcW w:w="83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79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Modificări ale impozitelor indirecte în 2021</w:t>
            </w:r>
          </w:p>
        </w:tc>
        <w:tc>
          <w:tcPr>
            <w:tcW w:w="97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Dispoziție din Legea bugetului care indică intrarea sa în vigoare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59"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55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6561"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modificărilor introduse prin Legea bugetului pentru 2021 și prin regulamentele de dezvoltare referitoare la impozitele indirecte pentru promovarea unei alimentații mai sănătoase prin reducerea consumului de anumite băuturi zaharoase și pentru creșterea veniturilor administrației centrale prin majorarea impozitului pe primele de asigurare.</w:t>
            </w:r>
          </w:p>
        </w:tc>
      </w:tr>
    </w:tbl>
    <w:p>
      <w:pPr>
        <w:pStyle w:val="SectionTitle"/>
        <w:jc w:val="left"/>
        <w:rPr>
          <w:noProof/>
        </w:rPr>
        <w:sectPr>
          <w:headerReference w:type="even" r:id="rId349"/>
          <w:headerReference w:type="default" r:id="rId350"/>
          <w:footerReference w:type="even" r:id="rId351"/>
          <w:footerReference w:type="default" r:id="rId352"/>
          <w:headerReference w:type="first" r:id="rId353"/>
          <w:footerReference w:type="first" r:id="rId354"/>
          <w:pgSz w:w="16839" w:h="11907" w:orient="landscape"/>
          <w:pgMar w:top="1417" w:right="1134" w:bottom="1417" w:left="1134" w:header="709" w:footer="709" w:gutter="0"/>
          <w:cols w:space="720"/>
          <w:docGrid w:linePitch="360"/>
        </w:sectPr>
      </w:pPr>
    </w:p>
    <w:p>
      <w:pPr>
        <w:pStyle w:val="Heading1"/>
        <w:rPr>
          <w:noProof/>
        </w:rPr>
      </w:pPr>
      <w:r>
        <w:rPr>
          <w:noProof/>
        </w:rPr>
        <w:t>AC. COMPONENTA 29: Îmbunătățirea eficacității cheltuielilor publice</w:t>
      </w:r>
    </w:p>
    <w:p>
      <w:pPr>
        <w:pStyle w:val="Text1"/>
        <w:ind w:left="0"/>
        <w:rPr>
          <w:noProof/>
        </w:rPr>
      </w:pPr>
      <w:r>
        <w:rPr>
          <w:noProof/>
        </w:rPr>
        <w:t xml:space="preserve">Reformele din cadrul componentei 29 a planului spaniol de redresare și reziliență vizează (i) îmbunătățirea eficacității cheltuielilor publice prin consolidarea cadrului și a practicilor pentru analizele cheltuielilor și (ii) alinierea bugetului administrației centrale la obiectivele de dezvoltare durabilă și la principiile bugetului ecologic. </w:t>
      </w:r>
    </w:p>
    <w:p>
      <w:pPr>
        <w:pStyle w:val="Text1"/>
        <w:ind w:left="0"/>
        <w:rPr>
          <w:noProof/>
        </w:rPr>
      </w:pPr>
      <w:r>
        <w:rPr>
          <w:noProof/>
        </w:rPr>
        <w:t xml:space="preserve">Obiectivul componentei planului este de a îmbunătăți calitatea cheltuielilor publice, în special prin revizuirea structurii și reorientarea utilizării acestora, de a sprijini creșterea economică și crearea de locuri de muncă și, în cele din urmă, de a face finanțele publice stabile și mai sustenabile pe termen mediu. Reformele abordează, de asemenea, provocările generate de noua realitate economică și socială.  </w:t>
      </w:r>
    </w:p>
    <w:p>
      <w:pPr>
        <w:pStyle w:val="Text1"/>
        <w:ind w:left="0"/>
        <w:rPr>
          <w:noProof/>
        </w:rPr>
      </w:pPr>
      <w:r>
        <w:rPr>
          <w:noProof/>
        </w:rPr>
        <w:t>Componenta abordează recomandarea specifică țării cu privire la - atunci când condițiile economice permit acest lucru - aplicarea politicilor bugetare care vizează obținerea unor poziții bugetare prudente pe termen mediu și asigurarea sustenabilității datoriei, încurajând în același timp investițiile (recomandarea specifică țării 1 din 2020).</w:t>
      </w:r>
    </w:p>
    <w:p>
      <w:pPr>
        <w:pStyle w:val="Text1"/>
        <w:ind w:left="0"/>
        <w:rPr>
          <w:noProof/>
        </w:rPr>
      </w:pPr>
      <w:r>
        <w:rPr>
          <w:noProof/>
          <w:color w:val="000000" w:themeColor="text1"/>
        </w:rPr>
        <w:t>Se preconizează că nicio măsură din cadrul acestei componente nu aduce prejudicii semnificative obiectivelor de mediu în sensul articolului 17 din Regulamentul (UE) 2020/852, ținând seama de descrierea măsurilor și a măsurilor de atenuare stabilite în planul de redresare și reziliență în conformitate cu Orientările tehnice DNSH (2021/C58/01).</w:t>
      </w:r>
    </w:p>
    <w:p>
      <w:pPr>
        <w:pStyle w:val="Text1"/>
        <w:ind w:left="709"/>
        <w:rPr>
          <w:noProof/>
        </w:rPr>
      </w:pPr>
      <w:r>
        <w:rPr>
          <w:b/>
          <w:bCs/>
          <w:noProof/>
          <w:u w:val="single"/>
        </w:rPr>
        <w:t xml:space="preserve">AC.1. </w:t>
      </w:r>
      <w:r>
        <w:rPr>
          <w:b/>
          <w:noProof/>
          <w:u w:val="single"/>
        </w:rPr>
        <w:tab/>
      </w:r>
      <w:r>
        <w:rPr>
          <w:b/>
          <w:bCs/>
          <w:noProof/>
          <w:u w:val="single"/>
        </w:rPr>
        <w:t>Descrierea reformelor și a investițiilor pentru care se prevede acordarea sprijinului financiar nerambursabil</w:t>
      </w:r>
    </w:p>
    <w:p>
      <w:pPr>
        <w:pStyle w:val="Text1"/>
        <w:ind w:left="0"/>
        <w:rPr>
          <w:noProof/>
          <w:u w:val="single"/>
        </w:rPr>
      </w:pPr>
      <w:r>
        <w:rPr>
          <w:noProof/>
          <w:u w:val="single"/>
        </w:rPr>
        <w:t>Reforma 1 (C29.R1) - Analiza și procesul de evaluare a cheltuielilor publice</w:t>
      </w:r>
    </w:p>
    <w:p>
      <w:pPr>
        <w:pStyle w:val="Text1"/>
        <w:ind w:left="0"/>
        <w:rPr>
          <w:noProof/>
        </w:rPr>
      </w:pPr>
      <w:r>
        <w:rPr>
          <w:noProof/>
        </w:rPr>
        <w:t>Obiectivul acestei reforme este de a institui un cadru permanent care să asigure îmbunătățirea calității cheltuielilor publice, să consolideze stabilitatea fiscală și sustenabilitatea finanțelor publice. Această reformă cuprinde patru subelemente:</w:t>
      </w:r>
    </w:p>
    <w:p>
      <w:pPr>
        <w:pStyle w:val="Text1"/>
        <w:numPr>
          <w:ilvl w:val="0"/>
          <w:numId w:val="122"/>
        </w:numPr>
        <w:rPr>
          <w:noProof/>
        </w:rPr>
      </w:pPr>
      <w:r>
        <w:rPr>
          <w:noProof/>
        </w:rPr>
        <w:t xml:space="preserve">Includerea în procesul decizional a recomandărilor din analiza cheltuielilor 2018-2020 (faza I și faza II): Pentru a se da curs în mod eficient recomandărilor din fazele I și II, unităților bugetare cărora li s-au adresat recomandări li se acordă un termen limită pentru a răspunde la aceste recomandări, în conformitate cu principiul „ completării sau explicării”. Se preconizează că Ministerul Finanțelor va avea sarcina de a monitoriza acțiunile ulterioare și de a elabora un raport anual privind răspunsul la recomandări. </w:t>
      </w:r>
    </w:p>
    <w:p>
      <w:pPr>
        <w:pStyle w:val="Text1"/>
        <w:numPr>
          <w:ilvl w:val="0"/>
          <w:numId w:val="122"/>
        </w:numPr>
        <w:rPr>
          <w:noProof/>
        </w:rPr>
      </w:pPr>
      <w:r>
        <w:rPr>
          <w:noProof/>
        </w:rPr>
        <w:t xml:space="preserve">Lansarea fazei III a analizei cheltuielilor 2021: Cea de a treia fază a analizei cheltuielilor este planificată să se axeze pe instrumentele financiare și pe gestionarea deșeurilor municipale; </w:t>
      </w:r>
    </w:p>
    <w:p>
      <w:pPr>
        <w:pStyle w:val="Text1"/>
        <w:numPr>
          <w:ilvl w:val="0"/>
          <w:numId w:val="122"/>
        </w:numPr>
        <w:rPr>
          <w:noProof/>
        </w:rPr>
      </w:pPr>
      <w:r>
        <w:rPr>
          <w:noProof/>
        </w:rPr>
        <w:t xml:space="preserve">Noul proces de revizuire și evaluare a cheltuielilor publice (pentru perioada 2022­2026): În cadrul acestui ciclu, viitoarele revizuiri ale cheltuielilor vor fi efectuate de autoritatea fiscală independentă (Autoridad Independiente de Responsabilidad Fiscal, AIReF). Orientarea, acoperirea și calendarul acestor revizuiri viitoare sunt decise de Consiliul de Miniștri în urma consultărilor cu AIReF. Obiectivul este de a publica un raport anual în perioada 2022-2026; </w:t>
      </w:r>
    </w:p>
    <w:p>
      <w:pPr>
        <w:pStyle w:val="Text1"/>
        <w:numPr>
          <w:ilvl w:val="0"/>
          <w:numId w:val="122"/>
        </w:numPr>
        <w:rPr>
          <w:noProof/>
        </w:rPr>
      </w:pPr>
      <w:r>
        <w:rPr>
          <w:noProof/>
        </w:rPr>
        <w:t>Consolidarea capacității evaluatorului (AIReF): Statutul AIReF va fi modificat pentru a crea o nouă unitate responsabilă cu analiza cheltuielilor publice.</w:t>
      </w:r>
    </w:p>
    <w:p>
      <w:pPr>
        <w:pStyle w:val="Text1"/>
        <w:ind w:left="0"/>
        <w:rPr>
          <w:noProof/>
        </w:rPr>
      </w:pPr>
      <w:r>
        <w:rPr>
          <w:noProof/>
        </w:rPr>
        <w:t xml:space="preserve">Reforma 1 poate fi considerată ca sprijinind coerența și alte reforme ale planului spaniol de redresare și reziliență, în special în componentele 6, 17, 18, 21, 23 și 28, în care recomandările bazate pe fazele I și II ale analizei cheltuielilor au contribuit la aceste priorități de reformă. </w:t>
      </w:r>
    </w:p>
    <w:p>
      <w:pPr>
        <w:pStyle w:val="Text1"/>
        <w:ind w:left="0"/>
        <w:rPr>
          <w:noProof/>
        </w:rPr>
      </w:pPr>
      <w:r>
        <w:rPr>
          <w:noProof/>
        </w:rPr>
        <w:t>Se preconizează că această reformă va fi finalizată până la 30 iunie 2023.</w:t>
      </w:r>
    </w:p>
    <w:p>
      <w:pPr>
        <w:pStyle w:val="Text1"/>
        <w:ind w:left="0"/>
        <w:rPr>
          <w:noProof/>
          <w:u w:val="single"/>
        </w:rPr>
      </w:pPr>
      <w:r>
        <w:rPr>
          <w:noProof/>
        </w:rPr>
        <w:t>Reforma 2 (C29.R2) - Alinierea bugetului administrației centrale cu obiectivele de dezvoltare durabilă ale Agendei 2030</w:t>
      </w:r>
    </w:p>
    <w:p>
      <w:pPr>
        <w:pStyle w:val="Text1"/>
        <w:ind w:left="0"/>
        <w:rPr>
          <w:noProof/>
        </w:rPr>
      </w:pPr>
      <w:r>
        <w:rPr>
          <w:noProof/>
        </w:rPr>
        <w:t xml:space="preserve">Obiectivul acestei reforme este de a alinia bugetul de stat la obiectivele de dezvoltare durabilă (ODD), care stau la baza întregului plan. Reforma constă în publicarea unui raport în contextul procesului bugetar de stat care, în conformitate cu o metodologie predefinită, reflectă alinierea investițiilor publice la ODD. Această reformă se bazează pe metodologia și pe cadrul de monitorizare în curs de elaborare cu sprijinul Instrumentului de sprijin tehnic al UE. </w:t>
      </w:r>
    </w:p>
    <w:p>
      <w:pPr>
        <w:pStyle w:val="Text1"/>
        <w:ind w:left="0"/>
        <w:rPr>
          <w:noProof/>
        </w:rPr>
      </w:pPr>
      <w:r>
        <w:rPr>
          <w:noProof/>
        </w:rPr>
        <w:t>Punerea în aplicare a măsurii se finalizează până la 30 septembrie 2021.</w:t>
      </w:r>
    </w:p>
    <w:p>
      <w:pPr>
        <w:pStyle w:val="Text1"/>
        <w:ind w:left="0"/>
        <w:rPr>
          <w:noProof/>
          <w:u w:val="single"/>
        </w:rPr>
      </w:pPr>
      <w:r>
        <w:rPr>
          <w:noProof/>
          <w:u w:val="single"/>
        </w:rPr>
        <w:t>Reforma 3 (C29.R3) - Alinierea bugetului administrației centrale cu înverzirea bugetului</w:t>
      </w:r>
    </w:p>
    <w:p>
      <w:pPr>
        <w:pStyle w:val="Text1"/>
        <w:ind w:left="0"/>
        <w:rPr>
          <w:noProof/>
        </w:rPr>
      </w:pPr>
      <w:r>
        <w:rPr>
          <w:noProof/>
        </w:rPr>
        <w:t>Obiectivul acestei reforme este de a alinia bugetul de stat la cadrul de referință al UE privind bugetul verde pe termen mediu. Aceasta consolidează reforma din 2 și, în general, aspirațiile ecologice ale planului. Reforma constă în publicarea a două rapoarte, în contextul procesului bugetar al administrației centrale, care identifică cheltuielile verzi și, respectiv, cele maro în legile bugetare anuale pentru 2023 și 2024. Această reformă se bazează pe metodologia și pe cadrul de monitorizare în curs de elaborare cu sprijinul Instrumentului de sprijin tehnic al UE.</w:t>
      </w:r>
    </w:p>
    <w:p>
      <w:pPr>
        <w:pStyle w:val="Text1"/>
        <w:ind w:left="0"/>
        <w:rPr>
          <w:noProof/>
        </w:rPr>
      </w:pPr>
      <w:r>
        <w:rPr>
          <w:noProof/>
        </w:rPr>
        <w:t>Punerea în aplicare a măsurii se finalizează până la 30 septembrie 2023.</w:t>
      </w:r>
    </w:p>
    <w:p>
      <w:pPr>
        <w:pStyle w:val="Text1"/>
        <w:ind w:left="709"/>
        <w:rPr>
          <w:b/>
          <w:bCs/>
          <w:noProof/>
          <w:szCs w:val="24"/>
          <w:u w:val="single"/>
        </w:rPr>
      </w:pPr>
      <w:r>
        <w:rPr>
          <w:b/>
          <w:bCs/>
          <w:noProof/>
          <w:szCs w:val="24"/>
          <w:u w:val="single"/>
        </w:rPr>
        <w:t xml:space="preserve">AC.2. </w:t>
      </w:r>
      <w:r>
        <w:rPr>
          <w:b/>
          <w:noProof/>
          <w:szCs w:val="24"/>
          <w:u w:val="single"/>
        </w:rPr>
        <w:tab/>
      </w:r>
      <w:r>
        <w:rPr>
          <w:b/>
          <w:bCs/>
          <w:noProof/>
          <w:szCs w:val="24"/>
          <w:u w:val="single"/>
        </w:rPr>
        <w:t>Jaloane, ținte, indicatori și calendarul de monitorizare și implementare aplicabile sprijinului financiar nerambursabil</w:t>
      </w:r>
    </w:p>
    <w:p>
      <w:pPr>
        <w:spacing w:before="120" w:after="120" w:line="240" w:lineRule="auto"/>
        <w:rPr>
          <w:rFonts w:ascii="Times New Roman" w:hAnsi="Times New Roman" w:cs="Times New Roman"/>
          <w:noProof/>
          <w:color w:val="1F497D"/>
          <w:sz w:val="24"/>
          <w:szCs w:val="24"/>
        </w:rPr>
      </w:pPr>
      <w:r>
        <w:rPr>
          <w:rFonts w:ascii="Times New Roman" w:hAnsi="Times New Roman"/>
          <w:i/>
          <w:iCs/>
          <w:noProof/>
          <w:color w:val="000000"/>
          <w:sz w:val="24"/>
          <w:szCs w:val="24"/>
        </w:rPr>
        <w:t>Tabelul de mai jos.</w:t>
      </w:r>
      <w:r>
        <w:rPr>
          <w:rFonts w:ascii="Times New Roman" w:hAnsi="Times New Roman"/>
          <w:noProof/>
          <w:color w:val="1F497D"/>
          <w:sz w:val="24"/>
          <w:szCs w:val="24"/>
        </w:rPr>
        <w:t xml:space="preserve"> </w:t>
      </w:r>
      <w:r>
        <w:rPr>
          <w:rFonts w:ascii="Times New Roman" w:hAnsi="Times New Roman"/>
          <w:i/>
          <w:noProof/>
          <w:sz w:val="24"/>
          <w:szCs w:val="24"/>
        </w:rPr>
        <w:t>Data de referință pentru toți indicatorii este 1 februarie 2020, cu excepția cazului în care se indică altfel în descrierea acțiunii.</w:t>
      </w:r>
      <w:r>
        <w:rPr>
          <w:rFonts w:ascii="Times New Roman" w:hAnsi="Times New Roman"/>
          <w:i/>
          <w:iCs/>
          <w:noProof/>
          <w:color w:val="000000"/>
          <w:sz w:val="24"/>
          <w:szCs w:val="24"/>
        </w:rPr>
        <w:t xml:space="preserve"> Sumele din tabel nu includ TVA.</w:t>
      </w:r>
      <w:r>
        <w:rPr>
          <w:rFonts w:ascii="Times New Roman" w:hAnsi="Times New Roman"/>
          <w:noProof/>
          <w:color w:val="1F497D"/>
          <w:sz w:val="24"/>
          <w:szCs w:val="24"/>
        </w:rPr>
        <w:t xml:space="preserve"> </w:t>
      </w:r>
    </w:p>
    <w:p>
      <w:pPr>
        <w:pStyle w:val="Text1"/>
        <w:ind w:left="0"/>
        <w:rPr>
          <w:b/>
          <w:bCs/>
          <w:noProof/>
          <w:u w:val="single"/>
          <w:lang w:val="en-IE"/>
        </w:rPr>
      </w:pPr>
    </w:p>
    <w:p>
      <w:pPr>
        <w:pStyle w:val="Text1"/>
        <w:ind w:left="709"/>
        <w:rPr>
          <w:noProof/>
          <w:lang w:val="en-IE"/>
        </w:rPr>
        <w:sectPr>
          <w:headerReference w:type="even" r:id="rId355"/>
          <w:headerReference w:type="default" r:id="rId356"/>
          <w:footerReference w:type="even" r:id="rId357"/>
          <w:footerReference w:type="default" r:id="rId358"/>
          <w:headerReference w:type="first" r:id="rId359"/>
          <w:footerReference w:type="first" r:id="rId360"/>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2694"/>
        <w:gridCol w:w="992"/>
        <w:gridCol w:w="709"/>
        <w:gridCol w:w="567"/>
        <w:gridCol w:w="708"/>
        <w:gridCol w:w="567"/>
        <w:gridCol w:w="567"/>
        <w:gridCol w:w="6096"/>
      </w:tblGrid>
      <w:tr>
        <w:trPr>
          <w:trHeight w:val="309"/>
          <w:tblHeader/>
        </w:trPr>
        <w:tc>
          <w:tcPr>
            <w:tcW w:w="709" w:type="dxa"/>
            <w:tcBorders>
              <w:bottom w:val="nil"/>
            </w:tcBorders>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Număr</w:t>
            </w:r>
          </w:p>
        </w:tc>
        <w:tc>
          <w:tcPr>
            <w:tcW w:w="851" w:type="dxa"/>
            <w:tcBorders>
              <w:bottom w:val="nil"/>
            </w:tcBorders>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Măsură</w:t>
            </w:r>
          </w:p>
        </w:tc>
        <w:tc>
          <w:tcPr>
            <w:tcW w:w="850" w:type="dxa"/>
            <w:tcBorders>
              <w:bottom w:val="nil"/>
            </w:tcBorders>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Jalon</w:t>
            </w:r>
            <w:r>
              <w:rPr>
                <w:rFonts w:ascii="Times New Roman" w:hAnsi="Times New Roman"/>
                <w:b/>
                <w:noProof/>
                <w:color w:val="000000"/>
                <w:sz w:val="18"/>
                <w:szCs w:val="18"/>
              </w:rPr>
              <w:br/>
              <w:t xml:space="preserve"> /Țintă</w:t>
            </w:r>
          </w:p>
        </w:tc>
        <w:tc>
          <w:tcPr>
            <w:tcW w:w="2694" w:type="dxa"/>
            <w:tcBorders>
              <w:bottom w:val="nil"/>
            </w:tcBorders>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Denumire</w:t>
            </w:r>
          </w:p>
        </w:tc>
        <w:tc>
          <w:tcPr>
            <w:tcW w:w="992" w:type="dxa"/>
            <w:tcBorders>
              <w:bottom w:val="nil"/>
            </w:tcBorders>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Indicator calitativ pentru obiectivele de etapă</w:t>
            </w:r>
          </w:p>
        </w:tc>
        <w:tc>
          <w:tcPr>
            <w:tcW w:w="1984" w:type="dxa"/>
            <w:gridSpan w:val="3"/>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Indicator cantitativ pentru obiectiv</w:t>
            </w:r>
          </w:p>
        </w:tc>
        <w:tc>
          <w:tcPr>
            <w:tcW w:w="1134" w:type="dxa"/>
            <w:gridSpan w:val="2"/>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Timp</w:t>
            </w:r>
          </w:p>
        </w:tc>
        <w:tc>
          <w:tcPr>
            <w:tcW w:w="6096" w:type="dxa"/>
            <w:tcBorders>
              <w:bottom w:val="nil"/>
            </w:tcBorders>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sz w:val="18"/>
                <w:szCs w:val="18"/>
              </w:rPr>
              <w:t>Descrierea fiecărui jalon și a fiecărei ținte</w:t>
            </w:r>
          </w:p>
        </w:tc>
      </w:tr>
      <w:tr>
        <w:trPr>
          <w:trHeight w:val="309"/>
          <w:tblHeader/>
        </w:trPr>
        <w:tc>
          <w:tcPr>
            <w:tcW w:w="709"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2694" w:type="dxa"/>
            <w:tcBorders>
              <w:top w:val="nil"/>
            </w:tcBorders>
            <w:shd w:val="clear" w:color="auto" w:fill="C6D9F1" w:themeFill="text2" w:themeFillTint="33"/>
            <w:noWrap/>
          </w:tcPr>
          <w:p>
            <w:pPr>
              <w:spacing w:after="0"/>
              <w:rPr>
                <w:rFonts w:ascii="Times New Roman" w:hAnsi="Times New Roman" w:cs="Times New Roman"/>
                <w:b/>
                <w:noProof/>
                <w:color w:val="000000"/>
                <w:sz w:val="18"/>
                <w:szCs w:val="18"/>
              </w:rPr>
            </w:pPr>
          </w:p>
        </w:tc>
        <w:tc>
          <w:tcPr>
            <w:tcW w:w="992"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709" w:type="dxa"/>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Unitate</w:t>
            </w:r>
          </w:p>
        </w:tc>
        <w:tc>
          <w:tcPr>
            <w:tcW w:w="567" w:type="dxa"/>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Scenariu de bază</w:t>
            </w:r>
          </w:p>
        </w:tc>
        <w:tc>
          <w:tcPr>
            <w:tcW w:w="708" w:type="dxa"/>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Obiectiv</w:t>
            </w:r>
          </w:p>
        </w:tc>
        <w:tc>
          <w:tcPr>
            <w:tcW w:w="567" w:type="dxa"/>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Q</w:t>
            </w:r>
          </w:p>
        </w:tc>
        <w:tc>
          <w:tcPr>
            <w:tcW w:w="567" w:type="dxa"/>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An</w:t>
            </w:r>
          </w:p>
        </w:tc>
        <w:tc>
          <w:tcPr>
            <w:tcW w:w="6096" w:type="dxa"/>
            <w:tcBorders>
              <w:top w:val="nil"/>
            </w:tcBorders>
            <w:shd w:val="clear" w:color="auto" w:fill="C6D9F1" w:themeFill="text2" w:themeFillTint="33"/>
            <w:noWrap/>
          </w:tcPr>
          <w:p>
            <w:pPr>
              <w:spacing w:after="0"/>
              <w:rPr>
                <w:rFonts w:ascii="Times New Roman" w:hAnsi="Times New Roman" w:cs="Times New Roman"/>
                <w:b/>
                <w:noProof/>
                <w:color w:val="000000"/>
                <w:sz w:val="18"/>
                <w:szCs w:val="18"/>
                <w:lang w:val="en-IE"/>
              </w:rPr>
            </w:pP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397</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C29.R1</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Înființarea unei echipe permanente în cadrul Ministerului Finanțelor pentru monitorizarea activă a punerii în aplicare a rezultatelor revizuirii cheltuielilor și aprobarea Ordinului de Elaborare a Legii bugetare anuale</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Dispozițiile legislației care indică intrarea sa în vigoare. Ordinul de Elaborare a Legii bugetare anuale.</w:t>
            </w:r>
          </w:p>
        </w:tc>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8"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6096"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(i) a înființării în cadrul Ministerului Finanțelor (în cadrul Secretariatului de Stat pentru Buget și Cheltuieli) a unei echipe permanente pentru monitorizarea activă a punerii în aplicare a rezultatelor analizelor cheltuielilor, promovând principiul „conformare sau justificare”; și (ii) a angajamentului Ministerului de Finanțe de a publica un raport anual cu răspunsuri la toate recomandările de revizuire a cheltuielilor emise de AIReF. Ordinul de Elaborare a Legii Bugetare Anuale include angajamentul statului și al securității sociale de a monitoriza și monitoriza, prin ciclul bugetar, recomandările revizuirii cheltuielilor, inclusiv măsurile care au fost puse în aplicare sau care urmează să fie puse în aplicare în anul următor.</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398</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C29.R1</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Etapa III a analizei cheltuielilor</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Aprobarea de către Consiliul de Miniștri</w:t>
            </w:r>
          </w:p>
        </w:tc>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8"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6096"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Consiliul de Miniștri decide cu privire la lansarea fazei III a analizei cheltuielilor în 2021. A treia etapă a analizei cheltuielilor abordează cel puțin două domenii: instrumente financiare și gestionarea deșeurilor municipale. Analiza cheltuielilor se efectuează de către AIReF. </w:t>
            </w:r>
          </w:p>
        </w:tc>
      </w:tr>
      <w:tr>
        <w:trPr>
          <w:trHeight w:val="309"/>
        </w:trPr>
        <w:tc>
          <w:tcPr>
            <w:tcW w:w="709"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399</w:t>
            </w:r>
          </w:p>
        </w:tc>
        <w:tc>
          <w:tcPr>
            <w:tcW w:w="851"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C29.R1</w:t>
            </w:r>
          </w:p>
        </w:tc>
        <w:tc>
          <w:tcPr>
            <w:tcW w:w="850"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694"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szCs w:val="18"/>
              </w:rPr>
              <w:t>Crearea unei unități permanente în cadrul AIReF, responsabilă cu efectuarea analizelor cheltuielilor mandatate de guvern.</w:t>
            </w:r>
          </w:p>
        </w:tc>
        <w:tc>
          <w:tcPr>
            <w:tcW w:w="992"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Dispoziții ale DR care indică intrarea sa în vigoare</w:t>
            </w:r>
          </w:p>
        </w:tc>
        <w:tc>
          <w:tcPr>
            <w:tcW w:w="709"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8" w:type="dxa"/>
            <w:shd w:val="clear" w:color="auto" w:fill="C6EFCE"/>
            <w:noWrap/>
          </w:tcPr>
          <w:p>
            <w:pPr>
              <w:spacing w:after="0"/>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Q2</w:t>
            </w:r>
          </w:p>
        </w:tc>
        <w:tc>
          <w:tcPr>
            <w:tcW w:w="567"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2021</w:t>
            </w:r>
          </w:p>
        </w:tc>
        <w:tc>
          <w:tcPr>
            <w:tcW w:w="6096"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szCs w:val="18"/>
              </w:rPr>
              <w:t xml:space="preserve">Intrarea în vigoare a modificării Decretului regal 215/2014, a statutului organic al AIReF, prin crearea unei unități permanente însărcinate cu efectuarea analizelor cheltuielilor comandate de guvern. </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400</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C29.R1</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Aprobarea de către Consiliul de Miniștri a noului ciclu (2022-26) al analizelor cheltuielilor care urmează să fie comandate către AIReF.</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Dispoziție din acordul Consiliului de Miniștri care indică intrarea sa în vigoare</w:t>
            </w:r>
          </w:p>
        </w:tc>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8"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6096"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Noul ciclu multianual de revizuire a cheltuielilor publice acoperă perioada 2022</w:t>
            </w:r>
            <w:r>
              <w:rPr>
                <w:rFonts w:ascii="Times New Roman" w:hAnsi="Times New Roman" w:cs="Times New Roman"/>
                <w:noProof/>
                <w:color w:val="000000"/>
                <w:sz w:val="18"/>
                <w:szCs w:val="18"/>
              </w:rPr>
              <w:t>­</w:t>
            </w:r>
            <w:r>
              <w:rPr>
                <w:rFonts w:ascii="Times New Roman" w:hAnsi="Times New Roman"/>
                <w:noProof/>
                <w:color w:val="000000"/>
                <w:sz w:val="18"/>
                <w:szCs w:val="18"/>
              </w:rPr>
              <w:t xml:space="preserve">2026. Pentru a planifica în mod corespunzător cererea și pentru a colecta informațiile necesare pentru fiecare etapă a examinării cheltuielilor, după consultarea AIReF, Consiliul de Miniștri decide și publică cel puțin domeniile de politică, entitățile publice în cauză și perioadele de timp care trebuie acoperite de analiză, precum și aspectele metodologice relevante. </w:t>
            </w:r>
          </w:p>
        </w:tc>
      </w:tr>
      <w:tr>
        <w:trPr>
          <w:trHeight w:val="390"/>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401</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C29.R1</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69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Publicarea unui raport de monitorizare</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Publicare pe pagina web a Ministerului de Finanțe</w:t>
            </w:r>
          </w:p>
        </w:tc>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8"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096"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Publicarea anuală a unui raport de monitorizare Raportul enumeră recomandările emise de AIReF și detaliază modificările de reglementare sau alte măsuri luate pentru a le aborda. În cazul în care centrele de cheltuieli cărora li se adresează recomandările nu sunt de acord cu acestea, se include o justificare adecvată.</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402</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C29.R1</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Etapa III a analizei cheltuielilor</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Publicarea rapoartelor pe pagina de internet AIReF</w:t>
            </w:r>
          </w:p>
        </w:tc>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8"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096"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Publicarea rapoartelor privind a treia etapă a examinării cheltuielilor de către AIReF.</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403</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C29.R2</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Raport de aliniere bugetară cu ODD-urile</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Publicarea ca documentație complementară în legea bugetară anuală</w:t>
            </w:r>
          </w:p>
        </w:tc>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8"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Q3</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6096"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Publicarea raportului care însoțește proiectul de lege a bugetului pentru 2022 privind alinierea acestuia la obiectivele de dezvoltare durabilă.</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404</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C29.R3</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Raport de aliniere la bugetul verde</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Publicarea ca documentație complementară în legea bugetară anuală</w:t>
            </w:r>
          </w:p>
        </w:tc>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8"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Q3</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096"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Raportul privind bugetul verde (dimensiunea verde) care însoțește Legea anuală a bugetului pentru 2023. Raportul va cartografia cheltuielile verzi în legea anuală a bugetului și va fi elaborat în conformitate cu metodologia și cadrul de monitorizare conceput cu sprijinul Instrumentului de sprijin tehnic al UE.</w:t>
            </w:r>
          </w:p>
        </w:tc>
      </w:tr>
      <w:tr>
        <w:trPr>
          <w:trHeight w:val="309"/>
        </w:trPr>
        <w:tc>
          <w:tcPr>
            <w:tcW w:w="709"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405</w:t>
            </w:r>
          </w:p>
        </w:tc>
        <w:tc>
          <w:tcPr>
            <w:tcW w:w="851"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C29.R3</w:t>
            </w:r>
          </w:p>
        </w:tc>
        <w:tc>
          <w:tcPr>
            <w:tcW w:w="850"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694"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szCs w:val="18"/>
              </w:rPr>
              <w:t>Raport de aliniere la bugetul verde</w:t>
            </w:r>
          </w:p>
        </w:tc>
        <w:tc>
          <w:tcPr>
            <w:tcW w:w="992"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Publicarea ca documentație complementară în legea bugetară anuală</w:t>
            </w:r>
          </w:p>
        </w:tc>
        <w:tc>
          <w:tcPr>
            <w:tcW w:w="709"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8" w:type="dxa"/>
            <w:shd w:val="clear" w:color="auto" w:fill="C6EFCE"/>
            <w:noWrap/>
          </w:tcPr>
          <w:p>
            <w:pPr>
              <w:spacing w:after="0"/>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Q3</w:t>
            </w:r>
          </w:p>
        </w:tc>
        <w:tc>
          <w:tcPr>
            <w:tcW w:w="567"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6096"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szCs w:val="18"/>
              </w:rPr>
              <w:t>Raportul privind bugetul verde (dimensiunea maro) care însoțește Legea anuală a bugetului pentru 2024. Raportul va cartografia cheltuielile maro în legea anuală a bugetului și va fi elaborat în conformitate cu metodologia și cadrul de monitorizare conceput cu sprijinul Instrumentului de sprijin tehnic al UE.</w:t>
            </w:r>
          </w:p>
        </w:tc>
      </w:tr>
    </w:tbl>
    <w:p>
      <w:pPr>
        <w:pStyle w:val="SectionTitle"/>
        <w:rPr>
          <w:noProof/>
          <w:sz w:val="2"/>
          <w:szCs w:val="2"/>
        </w:rPr>
        <w:sectPr>
          <w:headerReference w:type="even" r:id="rId361"/>
          <w:headerReference w:type="default" r:id="rId362"/>
          <w:footerReference w:type="even" r:id="rId363"/>
          <w:footerReference w:type="default" r:id="rId364"/>
          <w:headerReference w:type="first" r:id="rId365"/>
          <w:footerReference w:type="first" r:id="rId366"/>
          <w:pgSz w:w="16839" w:h="11907" w:orient="landscape"/>
          <w:pgMar w:top="1417" w:right="1134" w:bottom="1417" w:left="1134" w:header="709" w:footer="709" w:gutter="0"/>
          <w:cols w:space="720"/>
          <w:docGrid w:linePitch="360"/>
        </w:sectPr>
      </w:pPr>
    </w:p>
    <w:p>
      <w:pPr>
        <w:pStyle w:val="Heading1"/>
        <w:rPr>
          <w:noProof/>
        </w:rPr>
      </w:pPr>
      <w:r>
        <w:rPr>
          <w:noProof/>
        </w:rPr>
        <w:t>AD. COMPONENTA 30: Pensiile</w:t>
      </w:r>
    </w:p>
    <w:p>
      <w:pPr>
        <w:pStyle w:val="Text1"/>
        <w:ind w:left="0"/>
        <w:rPr>
          <w:rStyle w:val="IntenseEmphasis"/>
          <w:i w:val="0"/>
          <w:noProof/>
          <w:szCs w:val="24"/>
        </w:rPr>
      </w:pPr>
      <w:r>
        <w:rPr>
          <w:noProof/>
        </w:rPr>
        <w:t>Obiectivul componentei planului spaniol de redresare și reziliență este de a reforma sistemul de pensii pentru i) a asigura sustenabilitatea financiară a sistemului pe termen scurt, mediu și lung, ii) a menține puterea de cumpărare a pensiilor, iii) a menține caracterul adecvat al pensiilor, iv) a proteja pensionarii împotriva sărăciei și v) a asigura echitatea între generații. Măsurile de reformă se bazează pe consensul larg al Parlamentului cu privire la adoptarea recomandărilor Pactului de la Toledo</w:t>
      </w:r>
      <w:r>
        <w:rPr>
          <w:rStyle w:val="FootnoteReference"/>
          <w:noProof/>
          <w:szCs w:val="24"/>
          <w:lang w:val="en-IE"/>
        </w:rPr>
        <w:footnoteReference w:id="104"/>
      </w:r>
      <w:r>
        <w:rPr>
          <w:noProof/>
        </w:rPr>
        <w:t>. Printre măsurile care fac încă obiectul dialogului social se numără: i) separarea surselor de finanțare, ii) un mecanism revizuit de indexare a pensiilor, iii) stimulente pentru pensionarea târzie și modificări normative în ceea ce privește pensionarea anticipată, iv) modificări ale perioadei de contribuție pentru calcularea pensiei pentru limită de vârstă, v) un nou sistem de contribuții pentru lucrătorii independenți bazat pe venitul real și vi) dezvoltarea sistemelor de pensii ocupaționale prin negocieri colective.</w:t>
      </w:r>
    </w:p>
    <w:p>
      <w:pPr>
        <w:pStyle w:val="Text1"/>
        <w:ind w:left="0"/>
        <w:rPr>
          <w:rStyle w:val="IntenseEmphasis"/>
          <w:i w:val="0"/>
          <w:noProof/>
          <w:color w:val="000000" w:themeColor="text1"/>
        </w:rPr>
      </w:pPr>
      <w:r>
        <w:rPr>
          <w:rStyle w:val="IntenseEmphasis"/>
          <w:i w:val="0"/>
          <w:noProof/>
          <w:color w:val="000000" w:themeColor="text1"/>
        </w:rPr>
        <w:t xml:space="preserve">Componenta abordează recomandările specifice fiecărei țări cu privire la menținerea sustenabilității sistemului de pensii (recomandarea specifică țării 1 din 2019) și la aplicarea politicilor bugetare, atunci când condițiile economice o permit, cu scopul de a obține poziții bugetare prudente pe termen mediu și de a asigura sustenabilitatea datoriei, încurajând în același timp investițiile (recomandarea specifică țării 1 din 2020). </w:t>
      </w:r>
    </w:p>
    <w:p>
      <w:pPr>
        <w:pStyle w:val="Text1"/>
        <w:ind w:left="0"/>
        <w:rPr>
          <w:noProof/>
          <w:color w:val="000000" w:themeColor="text1"/>
        </w:rPr>
      </w:pPr>
      <w:r>
        <w:rPr>
          <w:noProof/>
          <w:color w:val="000000" w:themeColor="text1"/>
        </w:rPr>
        <w:t>Se preconizează că nicio măsură din cadrul acestei componente nu aduce prejudicii semnificative obiectivelor de mediu în sensul articolului 17 din Regulamentul (UE) 2020/852, ținând seama de descrierea măsurilor și a măsurilor de atenuare stabilite în planul de redresare și reziliență în conformitate cu Orientările tehnice DNSH (2021/C58/01).</w:t>
      </w:r>
    </w:p>
    <w:p>
      <w:pPr>
        <w:pStyle w:val="Text1"/>
        <w:ind w:left="709"/>
        <w:rPr>
          <w:b/>
          <w:bCs/>
          <w:noProof/>
          <w:szCs w:val="24"/>
          <w:u w:val="single"/>
        </w:rPr>
      </w:pPr>
      <w:r>
        <w:rPr>
          <w:b/>
          <w:bCs/>
          <w:noProof/>
          <w:szCs w:val="24"/>
          <w:u w:val="single"/>
        </w:rPr>
        <w:t xml:space="preserve">AD.1. </w:t>
      </w:r>
      <w:r>
        <w:rPr>
          <w:b/>
          <w:noProof/>
          <w:szCs w:val="24"/>
          <w:u w:val="single"/>
        </w:rPr>
        <w:tab/>
      </w:r>
      <w:r>
        <w:rPr>
          <w:b/>
          <w:bCs/>
          <w:noProof/>
          <w:szCs w:val="24"/>
          <w:u w:val="single"/>
        </w:rPr>
        <w:t>Descrierea reformelor și a investițiilor pentru care se prevede acordarea sprijinului financiar nerambursabil</w:t>
      </w:r>
    </w:p>
    <w:p>
      <w:pPr>
        <w:pStyle w:val="Text1"/>
        <w:ind w:left="0"/>
        <w:rPr>
          <w:noProof/>
          <w:szCs w:val="24"/>
        </w:rPr>
      </w:pPr>
      <w:r>
        <w:rPr>
          <w:iCs/>
          <w:noProof/>
          <w:color w:val="000000" w:themeColor="text1"/>
          <w:szCs w:val="24"/>
          <w:u w:val="single"/>
        </w:rPr>
        <w:t>Reforma 1 (C30.R1) - Separarea surselor de finanțare a sistemelor de securitate socială</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Obiectivul reformei este de a modifica finanțarea sistemului de pensii în conformitate cu recomandările Pactului de la Toledo, astfel încât prestațiile de tip contributiv să fie finanțate prin contribuții sociale, iar prestațiile necontributive să fie plătite de la bugetul de stat. Reforma constă în preluarea de către stat a finanțării unei serii de cheltuieli, care sunt în prezent acoperite de contribuții sociale. Se preconizează că reforma va consolida legătura dintre contribuții și drepturi și va îmbunătăți sustenabilitatea financiară a sistemului contributiv.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Posturile de cheltuieli care au fost anterior finanțate prin contribuții sociale, dar în cadrul acestei reforme sunt considerate necontributive și finanțate de la bugetul de stat, constau în i) o parte din politicile necontributive de ocupare a forței de muncă, ii) reduceri ale contribuției la asigurările sociale pentru promovarea ocupării forței de muncă, iii) alocații de naștere și de îngrijire a copiilor, iv) cheltuieli legate de pensionarea anticipată, v) suplimentul la pensia de maternitate, v) pensiile pentru membrii familiei, vi) măsuri de sprijin („subvenții implicite”) pentru regimuri speciale și vii) costul completării contribuțiilor la sistemul de pensii pentru limită de vârstă.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Reforma a început prin provizioane în bugetul general de stat pentru anul 2021 și va fi implementată progresiv prin transferuri de la bugetul de stat la bugetul asigurărilor sociale.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Reforma este pusă în aplicare până la 31 decembrie 2023.</w:t>
      </w:r>
    </w:p>
    <w:p>
      <w:pPr>
        <w:pStyle w:val="Text1"/>
        <w:ind w:left="0"/>
        <w:rPr>
          <w:iCs/>
          <w:noProof/>
          <w:color w:val="000000" w:themeColor="text1"/>
          <w:szCs w:val="24"/>
          <w:u w:val="single"/>
        </w:rPr>
      </w:pPr>
      <w:r>
        <w:rPr>
          <w:noProof/>
        </w:rPr>
        <w:t>Reforma 2 (C30.R2) - Menținerea puterii de cumpărare a pensiilor, alinierea vârstei efective de pensionare la vârsta legală de pensionare, adaptarea perioadei de calcul pentru calcularea pensiei pentru limită de vârstă la noile cariere și înlocuirea factorului de sustenabilitate cu un mecanism de echitate între generații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Obiectivele reformei sunt i) garantarea puterii de cumpărare a pensionarilor, ii) creșterea participării pe piața forței de muncă la vârste apropiate de vârsta legală de pensionare, iii) amânarea pensionării, iv) consolidarea progresivității sistemului de contribuții, v) adaptarea regulamentului actual la carierele discontinue și la alte forme de muncă atipică și vi) abordarea impactului viitoarelor schimbări demografice fără a deteriora gradul de adecvare al pensiilor actuale și viitoare. Reforma constă în patru reforme separate în materie de reglementare, în conformitate cu recomandările Pactului de la Toledo, care urmează să fie adoptate în două etape. </w:t>
      </w:r>
    </w:p>
    <w:p>
      <w:pPr>
        <w:spacing w:before="120" w:after="120" w:line="240" w:lineRule="auto"/>
        <w:rPr>
          <w:rFonts w:ascii="Times New Roman" w:hAnsi="Times New Roman" w:cs="Times New Roman"/>
          <w:noProof/>
          <w:sz w:val="24"/>
          <w:szCs w:val="24"/>
        </w:rPr>
      </w:pPr>
      <w:r>
        <w:rPr>
          <w:rFonts w:ascii="Times New Roman" w:hAnsi="Times New Roman"/>
          <w:noProof/>
          <w:sz w:val="24"/>
          <w:szCs w:val="24"/>
        </w:rPr>
        <w:t>Reformele care vor intra în vigoare până la 31 decembrie 2021 sunt:</w:t>
      </w:r>
    </w:p>
    <w:p>
      <w:pPr>
        <w:pStyle w:val="ListParagraph"/>
        <w:numPr>
          <w:ilvl w:val="0"/>
          <w:numId w:val="123"/>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Un nou mecanism de indexare care corelează prestațiile de pensie cu inflația, cu obiectivul de a garanta puterea de cumpărare a pensionarilor în mod permanent. </w:t>
      </w:r>
    </w:p>
    <w:p>
      <w:pPr>
        <w:pStyle w:val="ListParagraph"/>
        <w:numPr>
          <w:ilvl w:val="0"/>
          <w:numId w:val="123"/>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Alinierea vârstei efective de pensionare la vârsta legală de pensionare, cu obiectivele de a crește participarea pe piața muncii la vârste apropiate de vârsta legală de pensionare și de a amâna pensionarea. Măsura constă în următoarele modificări de reglementare:</w:t>
      </w:r>
    </w:p>
    <w:p>
      <w:pPr>
        <w:pStyle w:val="ListParagraph"/>
        <w:numPr>
          <w:ilvl w:val="1"/>
          <w:numId w:val="123"/>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 Crearea de noi stimulente pentru amânarea pensionării (stimulente economice sporite pentru amânarea pensionării și promovarea compatibilității între muncă și pensie). În special, lucrătorii care amână pensionarea au dreptul de a alege dintre: o majorare a cuantumului pensiei pentru fiecare an de contribuție suplimentară complet creditat între vârsta legală de pensionare și pensionarea efectivă; o plată forfetară; și o combinație a primelor două.</w:t>
      </w:r>
    </w:p>
    <w:p>
      <w:pPr>
        <w:pStyle w:val="ListParagraph"/>
        <w:numPr>
          <w:ilvl w:val="1"/>
          <w:numId w:val="123"/>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Consolidarea factorilor de descurajare în reglementarea elementelor de pensionare anticipată din cadrul reglementărilor actuale privind pensionarea anticipată. Rata de reducere a pensionării anticipate se modifică pentru a crește vârsta efectivă de pensionare și pentru a elimina tratamentul privilegiat acordat pensionarilor cu baza de contribuție maximă. Dispozițiile privind negocierile colective care impun accesul la pensie la vârsta standard de pensionare trebuie interzise.</w:t>
      </w:r>
    </w:p>
    <w:p>
      <w:pPr>
        <w:spacing w:before="120" w:after="120" w:line="240" w:lineRule="auto"/>
        <w:rPr>
          <w:rFonts w:ascii="Times New Roman" w:hAnsi="Times New Roman" w:cs="Times New Roman"/>
          <w:noProof/>
          <w:sz w:val="24"/>
          <w:szCs w:val="24"/>
        </w:rPr>
      </w:pPr>
      <w:r>
        <w:rPr>
          <w:rFonts w:ascii="Times New Roman" w:hAnsi="Times New Roman"/>
          <w:noProof/>
          <w:sz w:val="24"/>
          <w:szCs w:val="24"/>
        </w:rPr>
        <w:t>Reformele care vor intra în vigoare până la 31 decembrie 2022 sunt:</w:t>
      </w:r>
    </w:p>
    <w:p>
      <w:pPr>
        <w:pStyle w:val="ListParagraph"/>
        <w:numPr>
          <w:ilvl w:val="0"/>
          <w:numId w:val="123"/>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Ajustarea perioadei de contribuție pentru calcularea pensiei pentru limită de vârstă, cu scopul de a consolida progresivitatea sistemului și de a adapta regulamentul actual la carierele discontinue și la alte forme de muncă atipică. </w:t>
      </w:r>
    </w:p>
    <w:p>
      <w:pPr>
        <w:pStyle w:val="ListParagraph"/>
        <w:numPr>
          <w:ilvl w:val="0"/>
          <w:numId w:val="123"/>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Înlocuirea factorului de sustenabilitate cu un mecanism care să garanteze echitatea între generații și sustenabilitatea bugetară. Obiectivul măsurii este de a aborda impactul viitoarelor schimbări demografice fără a deteriora gradul de adecvare al pensiilor actuale și viitoare.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Reforma este pusă în aplicare până la 31 decembrie 2022.</w:t>
      </w:r>
    </w:p>
    <w:p>
      <w:pPr>
        <w:keepNext/>
        <w:spacing w:before="120" w:after="120" w:line="240" w:lineRule="auto"/>
        <w:rPr>
          <w:rFonts w:ascii="Times New Roman" w:hAnsi="Times New Roman" w:cs="Times New Roman"/>
          <w:noProof/>
          <w:color w:val="000000" w:themeColor="text1"/>
          <w:sz w:val="24"/>
          <w:szCs w:val="24"/>
          <w:u w:val="single"/>
        </w:rPr>
      </w:pPr>
      <w:r>
        <w:rPr>
          <w:rFonts w:ascii="Times New Roman" w:hAnsi="Times New Roman"/>
          <w:noProof/>
          <w:color w:val="000000" w:themeColor="text1"/>
          <w:sz w:val="24"/>
          <w:szCs w:val="24"/>
          <w:u w:val="single"/>
        </w:rPr>
        <w:t>Reforma 3 (C30.R3) - Reforma sistemului de contribuții la asigurările sociale pentru lucrătorii care desfășoară o activitate independentă</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Obiectivul reformei este de a egaliza tratamentul aplicat lucrătorilor și persoanelor care desfășoară o activitate independentă, de a majora contribuțiile la sistemul de pensii și de a se asigura că persoanele care desfășoară o activitate independentă primesc un venit adecvat din pensii. Reforma modifică regimul de contribuție al lucrătorilor care desfășoară o activitate independentă. Reforma își bazează contribuțiile lucrătorilor independenți pe venitul real, în locul unei baze de contribuție autoalese, în conformitate cu recomandările Pactului de la Toledo. Contribuția finală se calculează pe baza veniturilor profesionale independente furnizate de autoritățile fiscale. Reforma este pusă în aplicare treptat prin creșteri ale bazei minime de contribuție pentru a permite adaptarea la noul regim.</w:t>
      </w:r>
    </w:p>
    <w:p>
      <w:pPr>
        <w:spacing w:before="120" w:after="120" w:line="240" w:lineRule="auto"/>
        <w:rPr>
          <w:rFonts w:ascii="Times New Roman" w:hAnsi="Times New Roman" w:cs="Times New Roman"/>
          <w:noProof/>
          <w:sz w:val="24"/>
          <w:szCs w:val="24"/>
        </w:rPr>
      </w:pPr>
      <w:r>
        <w:rPr>
          <w:rFonts w:ascii="Times New Roman" w:hAnsi="Times New Roman"/>
          <w:noProof/>
          <w:sz w:val="24"/>
          <w:szCs w:val="24"/>
        </w:rPr>
        <w:t>Reforma este pusă în aplicare până la joi, 30 iunie 2022.</w:t>
      </w:r>
    </w:p>
    <w:p>
      <w:pPr>
        <w:keepNext/>
        <w:spacing w:before="120" w:after="120" w:line="240" w:lineRule="auto"/>
        <w:rPr>
          <w:rFonts w:ascii="Times New Roman" w:hAnsi="Times New Roman" w:cs="Times New Roman"/>
          <w:noProof/>
          <w:sz w:val="24"/>
          <w:szCs w:val="24"/>
        </w:rPr>
      </w:pPr>
      <w:r>
        <w:rPr>
          <w:rFonts w:ascii="Times New Roman" w:hAnsi="Times New Roman"/>
          <w:noProof/>
          <w:color w:val="000000" w:themeColor="text1"/>
          <w:sz w:val="24"/>
          <w:szCs w:val="24"/>
          <w:u w:val="single"/>
        </w:rPr>
        <w:t>Reforma 4 (C30.R4) - Raționalizarea majorărilor de maternitate</w:t>
      </w:r>
    </w:p>
    <w:p>
      <w:pPr>
        <w:keepNext/>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Obiectivul reformei este de a compensa părinții, în special mamele, pentru costul nașterii și al îngrijirii copiilor, pentru a reduce decalajul de pensii dintre femei și bărbați. Reforma redefinește suplimentul de maternitate și a fost deja adoptată (Decretul-lege regal 3/2021 din 2 februarie). Suplimentul de maternitate anterior, în vigoare din 2016, a fost considerat discriminatoriu pentru bărbați de către Curtea de Justiție a Uniunii Europene în hotărârea sa din 12 decembrie 2019. Se preconizează că suplimentul reformat la concediul de maternitate va respecta hotărârea judecătorească și va preveni discriminarea. Noul supliment se bazează pe o analiză a parcursurilor de contribuție pentru a identifica care dintre cei doi părinți a fost cel mai dezavantajat în cariera lor contributivă ca urmare a nașterii unui copil, cu condiția ca, în absența unui părinte deosebit de defavorizat, mamei să i se acorde suplimentul.</w:t>
      </w:r>
    </w:p>
    <w:p>
      <w:pPr>
        <w:spacing w:before="120" w:after="120" w:line="240" w:lineRule="auto"/>
        <w:rPr>
          <w:rFonts w:ascii="Times New Roman" w:hAnsi="Times New Roman" w:cs="Times New Roman"/>
          <w:noProof/>
          <w:sz w:val="24"/>
          <w:szCs w:val="24"/>
        </w:rPr>
      </w:pPr>
      <w:r>
        <w:rPr>
          <w:rFonts w:ascii="Times New Roman" w:hAnsi="Times New Roman"/>
          <w:noProof/>
          <w:sz w:val="24"/>
          <w:szCs w:val="24"/>
        </w:rPr>
        <w:t>Reforma este pusă în aplicare până la miercuri, 31 martie 2021.</w:t>
      </w:r>
    </w:p>
    <w:p>
      <w:pPr>
        <w:spacing w:before="120" w:after="120" w:line="240" w:lineRule="auto"/>
        <w:rPr>
          <w:rFonts w:ascii="Times New Roman" w:hAnsi="Times New Roman" w:cs="Times New Roman"/>
          <w:noProof/>
          <w:color w:val="000000" w:themeColor="text1"/>
          <w:sz w:val="24"/>
          <w:szCs w:val="24"/>
          <w:u w:val="single"/>
        </w:rPr>
      </w:pPr>
      <w:r>
        <w:rPr>
          <w:rFonts w:ascii="Times New Roman" w:hAnsi="Times New Roman"/>
          <w:noProof/>
          <w:color w:val="000000" w:themeColor="text1"/>
          <w:sz w:val="24"/>
          <w:szCs w:val="24"/>
          <w:u w:val="single"/>
        </w:rPr>
        <w:t>Reforma 5 (C30.R5) - Revizuirea sistemului actual de pensii suplimentare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Reforma revizuiește cadrul de reglementare a sistemului de pensii suplimentare, cu scopul de a crește acoperirea sistemelor de pensii ocupaționale convenite prin negocieri colective, de preferință la nivel sectorial. Noul cadru juridic pentru sistemele de pensii ocupaționale este menit să acopere lucrătorii care nu dispun de sisteme de pensii ocupaționale în întreprinderile lor și lucrătorii care desfășoară o activitate independentă și care în prezent nu au acces la aceste sisteme din cadrul celui de-al doilea pilon. </w:t>
      </w:r>
    </w:p>
    <w:p>
      <w:pPr>
        <w:spacing w:before="120" w:after="120" w:line="240" w:lineRule="auto"/>
        <w:rPr>
          <w:rFonts w:ascii="Times New Roman" w:hAnsi="Times New Roman" w:cs="Times New Roman"/>
          <w:noProof/>
          <w:sz w:val="24"/>
          <w:szCs w:val="24"/>
        </w:rPr>
      </w:pPr>
      <w:r>
        <w:rPr>
          <w:rFonts w:ascii="Times New Roman" w:hAnsi="Times New Roman"/>
          <w:noProof/>
          <w:sz w:val="24"/>
          <w:szCs w:val="24"/>
        </w:rPr>
        <w:t>Măsurile specifice ale reformei includ:</w:t>
      </w:r>
    </w:p>
    <w:p>
      <w:pPr>
        <w:pStyle w:val="ListParagraph"/>
        <w:numPr>
          <w:ilvl w:val="0"/>
          <w:numId w:val="124"/>
        </w:numPr>
        <w:spacing w:before="120" w:after="120" w:line="240" w:lineRule="auto"/>
        <w:rPr>
          <w:rFonts w:ascii="Times New Roman" w:hAnsi="Times New Roman" w:cs="Times New Roman"/>
          <w:noProof/>
          <w:sz w:val="24"/>
          <w:szCs w:val="24"/>
        </w:rPr>
      </w:pPr>
      <w:r>
        <w:rPr>
          <w:rFonts w:ascii="Times New Roman" w:hAnsi="Times New Roman"/>
          <w:noProof/>
          <w:sz w:val="24"/>
          <w:szCs w:val="24"/>
        </w:rPr>
        <w:t xml:space="preserve">Crearea de fonduri publice pentru furnizarea de pensii ocupaționale, gestionate de sectorul privat. </w:t>
      </w:r>
    </w:p>
    <w:p>
      <w:pPr>
        <w:pStyle w:val="ListParagraph"/>
        <w:numPr>
          <w:ilvl w:val="0"/>
          <w:numId w:val="124"/>
        </w:numPr>
        <w:spacing w:before="120" w:after="120" w:line="240" w:lineRule="auto"/>
        <w:rPr>
          <w:rFonts w:ascii="Times New Roman" w:hAnsi="Times New Roman" w:cs="Times New Roman"/>
          <w:noProof/>
          <w:sz w:val="24"/>
          <w:szCs w:val="24"/>
        </w:rPr>
      </w:pPr>
      <w:r>
        <w:rPr>
          <w:rFonts w:ascii="Times New Roman" w:hAnsi="Times New Roman"/>
          <w:noProof/>
          <w:sz w:val="24"/>
          <w:szCs w:val="24"/>
        </w:rPr>
        <w:t>Stimulente și modificări în materie de reglementare pentru a crește gradul de acoperire al sistemelor de pensii ocupaționale convenite prin negocieri colective.</w:t>
      </w:r>
    </w:p>
    <w:p>
      <w:pPr>
        <w:pStyle w:val="ListParagraph"/>
        <w:numPr>
          <w:ilvl w:val="0"/>
          <w:numId w:val="124"/>
        </w:numPr>
        <w:spacing w:before="120" w:after="120" w:line="240" w:lineRule="auto"/>
        <w:rPr>
          <w:rFonts w:ascii="Times New Roman" w:hAnsi="Times New Roman" w:cs="Times New Roman"/>
          <w:noProof/>
          <w:sz w:val="24"/>
          <w:szCs w:val="24"/>
        </w:rPr>
      </w:pPr>
      <w:r>
        <w:rPr>
          <w:rFonts w:ascii="Times New Roman" w:hAnsi="Times New Roman"/>
          <w:noProof/>
          <w:sz w:val="24"/>
          <w:szCs w:val="24"/>
        </w:rPr>
        <w:t>Simplificarea procedurilor sistemelor de pensii.</w:t>
      </w:r>
    </w:p>
    <w:p>
      <w:pPr>
        <w:pStyle w:val="ListParagraph"/>
        <w:numPr>
          <w:ilvl w:val="0"/>
          <w:numId w:val="124"/>
        </w:numPr>
        <w:spacing w:before="120" w:after="120" w:line="240" w:lineRule="auto"/>
        <w:rPr>
          <w:rFonts w:ascii="Times New Roman" w:hAnsi="Times New Roman" w:cs="Times New Roman"/>
          <w:noProof/>
          <w:sz w:val="24"/>
          <w:szCs w:val="24"/>
        </w:rPr>
      </w:pPr>
      <w:r>
        <w:rPr>
          <w:rFonts w:ascii="Times New Roman" w:hAnsi="Times New Roman"/>
          <w:noProof/>
          <w:sz w:val="24"/>
          <w:szCs w:val="24"/>
        </w:rPr>
        <w:t>Modificări în materie de reglementare pentru a promova mobilitatea lucrătorilor între diferite întreprinderi și sectoare.</w:t>
      </w:r>
    </w:p>
    <w:p>
      <w:pPr>
        <w:pStyle w:val="ListParagraph"/>
        <w:numPr>
          <w:ilvl w:val="0"/>
          <w:numId w:val="124"/>
        </w:numPr>
        <w:spacing w:before="120" w:after="120" w:line="240" w:lineRule="auto"/>
        <w:rPr>
          <w:rFonts w:ascii="Times New Roman" w:hAnsi="Times New Roman" w:cs="Times New Roman"/>
          <w:noProof/>
          <w:sz w:val="24"/>
          <w:szCs w:val="24"/>
        </w:rPr>
      </w:pPr>
      <w:r>
        <w:rPr>
          <w:rFonts w:ascii="Times New Roman" w:hAnsi="Times New Roman"/>
          <w:noProof/>
          <w:sz w:val="24"/>
          <w:szCs w:val="24"/>
        </w:rPr>
        <w:t>Stimulente fiscale pentru promovarea participării la sistemele colective de ocupare a forței de muncă</w:t>
      </w:r>
    </w:p>
    <w:p>
      <w:pPr>
        <w:pStyle w:val="ListParagraph"/>
        <w:numPr>
          <w:ilvl w:val="0"/>
          <w:numId w:val="124"/>
        </w:numPr>
        <w:spacing w:before="120" w:after="120" w:line="240" w:lineRule="auto"/>
        <w:rPr>
          <w:rFonts w:ascii="Times New Roman" w:hAnsi="Times New Roman" w:cs="Times New Roman"/>
          <w:noProof/>
          <w:sz w:val="24"/>
          <w:szCs w:val="24"/>
        </w:rPr>
      </w:pPr>
      <w:r>
        <w:rPr>
          <w:rFonts w:ascii="Times New Roman" w:hAnsi="Times New Roman"/>
          <w:noProof/>
          <w:sz w:val="24"/>
          <w:szCs w:val="24"/>
        </w:rPr>
        <w:t>Limitarea costurilor de gestionare pentru sistemele colective de ocupare la mai puțin de 0,30 % din activele gestionate.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Punerea în aplicare a reformei a început prin dispoziții din bugetul general de stat pentru 2021, prin transferarea stimulentelor fiscale asociate anterior sistemelor de pensii individuale în favoarea sistemelor colective (măsura v. de mai sus) și prin promovarea publică a fondurilor pentru furnizarea de pensii ocupaționale (măsura i. de mai sus).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Reforma este pusă în aplicare până la joi, 30 iunie 2022.</w:t>
      </w:r>
    </w:p>
    <w:p>
      <w:pPr>
        <w:spacing w:before="120" w:after="120" w:line="240" w:lineRule="auto"/>
        <w:rPr>
          <w:rFonts w:ascii="Times New Roman" w:hAnsi="Times New Roman" w:cs="Times New Roman"/>
          <w:noProof/>
          <w:color w:val="000000" w:themeColor="text1"/>
          <w:sz w:val="24"/>
          <w:szCs w:val="24"/>
          <w:u w:val="single"/>
        </w:rPr>
      </w:pPr>
      <w:r>
        <w:rPr>
          <w:rFonts w:ascii="Times New Roman" w:hAnsi="Times New Roman"/>
          <w:noProof/>
          <w:color w:val="000000" w:themeColor="text1"/>
          <w:sz w:val="24"/>
          <w:szCs w:val="24"/>
          <w:u w:val="single"/>
        </w:rPr>
        <w:t>Reforma 6 (C30.R6) - Ajustarea bazei contribuției maxime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Reforma majorează baza de contribuție maximă a sistemului de pensii și ajustează pensiile maxime pentru a extinde baza de contribuție, a crește progresivitatea sistemului de pensii și a crește veniturile globale. Măsurile sunt conforme cu recomandările Pactului de la Toledo. Ajustarea sistemului este treptată pentru a permite contribuitorilor să se adapteze la schimbări. Pensiile maxime și bazele maxime de contribuție sunt majorate în mod corespunzător în vederea menținerii caracterului contributiv al sistemului. Reforma intră în vigoare gradual și urmează să fie pusă în aplicare treptat, în următorii treizeci de ani.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Reforma intră în vigoare până la 31 decembrie 2022. </w:t>
      </w:r>
    </w:p>
    <w:p>
      <w:pPr>
        <w:pStyle w:val="Text1"/>
        <w:ind w:left="709"/>
        <w:rPr>
          <w:b/>
          <w:noProof/>
          <w:szCs w:val="24"/>
          <w:u w:val="single"/>
        </w:rPr>
      </w:pPr>
      <w:r>
        <w:rPr>
          <w:b/>
          <w:bCs/>
          <w:noProof/>
          <w:szCs w:val="24"/>
          <w:u w:val="single"/>
        </w:rPr>
        <w:t xml:space="preserve">AD.2. </w:t>
      </w:r>
      <w:r>
        <w:rPr>
          <w:b/>
          <w:noProof/>
          <w:szCs w:val="24"/>
          <w:u w:val="single"/>
        </w:rPr>
        <w:tab/>
      </w:r>
      <w:r>
        <w:rPr>
          <w:b/>
          <w:bCs/>
          <w:noProof/>
          <w:szCs w:val="24"/>
          <w:u w:val="single"/>
        </w:rPr>
        <w:t>Jaloane, ținte, indicatori și calendarul de monitorizare și implementare aplicabile sprijinului financiar nerambursabil</w:t>
      </w:r>
    </w:p>
    <w:p>
      <w:pPr>
        <w:spacing w:before="120" w:after="120" w:line="240" w:lineRule="auto"/>
        <w:jc w:val="both"/>
        <w:rPr>
          <w:rFonts w:ascii="Times New Roman" w:hAnsi="Times New Roman" w:cs="Times New Roman"/>
          <w:noProof/>
          <w:color w:val="1F497D"/>
          <w:sz w:val="24"/>
          <w:szCs w:val="24"/>
        </w:rPr>
      </w:pPr>
      <w:r>
        <w:rPr>
          <w:rFonts w:ascii="Times New Roman" w:hAnsi="Times New Roman"/>
          <w:i/>
          <w:iCs/>
          <w:noProof/>
          <w:color w:val="000000"/>
          <w:sz w:val="24"/>
          <w:szCs w:val="24"/>
        </w:rPr>
        <w:t>Tabelul de mai jos.</w:t>
      </w:r>
      <w:r>
        <w:rPr>
          <w:rFonts w:ascii="Times New Roman" w:hAnsi="Times New Roman"/>
          <w:noProof/>
          <w:color w:val="1F497D"/>
          <w:sz w:val="24"/>
          <w:szCs w:val="24"/>
        </w:rPr>
        <w:t xml:space="preserve"> </w:t>
      </w:r>
      <w:r>
        <w:rPr>
          <w:rFonts w:ascii="Times New Roman" w:hAnsi="Times New Roman"/>
          <w:i/>
          <w:iCs/>
          <w:noProof/>
          <w:sz w:val="24"/>
          <w:szCs w:val="24"/>
        </w:rPr>
        <w:t>Data de referință pentru toți indicatorii este 1 februarie 2020, cu excepția cazului în care se indică altfel în descrierea acțiunii.</w:t>
      </w:r>
      <w:r>
        <w:rPr>
          <w:rFonts w:ascii="Times New Roman" w:hAnsi="Times New Roman"/>
          <w:i/>
          <w:iCs/>
          <w:noProof/>
          <w:color w:val="000000"/>
          <w:sz w:val="24"/>
          <w:szCs w:val="24"/>
        </w:rPr>
        <w:t xml:space="preserve"> Sumele din tabel nu includ TVA.</w:t>
      </w:r>
      <w:r>
        <w:rPr>
          <w:rFonts w:ascii="Times New Roman" w:hAnsi="Times New Roman"/>
          <w:noProof/>
          <w:color w:val="1F497D"/>
          <w:sz w:val="24"/>
          <w:szCs w:val="24"/>
        </w:rPr>
        <w:t xml:space="preserve"> </w:t>
      </w:r>
    </w:p>
    <w:p>
      <w:pPr>
        <w:pStyle w:val="Text1"/>
        <w:ind w:left="709"/>
        <w:rPr>
          <w:noProof/>
          <w:lang w:val="en-IE"/>
        </w:rPr>
        <w:sectPr>
          <w:headerReference w:type="even" r:id="rId367"/>
          <w:headerReference w:type="default" r:id="rId368"/>
          <w:footerReference w:type="even" r:id="rId369"/>
          <w:footerReference w:type="default" r:id="rId370"/>
          <w:headerReference w:type="first" r:id="rId371"/>
          <w:footerReference w:type="first" r:id="rId372"/>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2552"/>
        <w:gridCol w:w="992"/>
        <w:gridCol w:w="567"/>
        <w:gridCol w:w="425"/>
        <w:gridCol w:w="567"/>
        <w:gridCol w:w="426"/>
        <w:gridCol w:w="567"/>
        <w:gridCol w:w="6804"/>
      </w:tblGrid>
      <w:tr>
        <w:trPr>
          <w:trHeight w:val="309"/>
          <w:tblHeader/>
        </w:trPr>
        <w:tc>
          <w:tcPr>
            <w:tcW w:w="709"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Număr</w:t>
            </w:r>
          </w:p>
        </w:tc>
        <w:tc>
          <w:tcPr>
            <w:tcW w:w="851"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Măsură</w:t>
            </w:r>
          </w:p>
        </w:tc>
        <w:tc>
          <w:tcPr>
            <w:tcW w:w="850"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Jalon</w:t>
            </w:r>
            <w:r>
              <w:rPr>
                <w:rFonts w:ascii="Times New Roman" w:hAnsi="Times New Roman"/>
                <w:b/>
                <w:noProof/>
                <w:color w:val="000000"/>
                <w:sz w:val="18"/>
                <w:szCs w:val="18"/>
              </w:rPr>
              <w:br/>
              <w:t xml:space="preserve"> /Țintă</w:t>
            </w:r>
          </w:p>
        </w:tc>
        <w:tc>
          <w:tcPr>
            <w:tcW w:w="2552"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Denumire</w:t>
            </w:r>
          </w:p>
        </w:tc>
        <w:tc>
          <w:tcPr>
            <w:tcW w:w="992"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Indicator calitativ pentru obiectivele de etapă</w:t>
            </w:r>
          </w:p>
        </w:tc>
        <w:tc>
          <w:tcPr>
            <w:tcW w:w="1559" w:type="dxa"/>
            <w:gridSpan w:val="3"/>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Indicator cantitativ pentru obiectiv</w:t>
            </w:r>
          </w:p>
        </w:tc>
        <w:tc>
          <w:tcPr>
            <w:tcW w:w="993" w:type="dxa"/>
            <w:gridSpan w:val="2"/>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Timp</w:t>
            </w:r>
          </w:p>
        </w:tc>
        <w:tc>
          <w:tcPr>
            <w:tcW w:w="6804"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sz w:val="18"/>
                <w:szCs w:val="18"/>
              </w:rPr>
              <w:t>Descrierea fiecărui jalon și a fiecărei ținte</w:t>
            </w:r>
          </w:p>
        </w:tc>
      </w:tr>
      <w:tr>
        <w:trPr>
          <w:trHeight w:val="309"/>
          <w:tblHeader/>
        </w:trPr>
        <w:tc>
          <w:tcPr>
            <w:tcW w:w="709"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2552" w:type="dxa"/>
            <w:tcBorders>
              <w:top w:val="nil"/>
            </w:tcBorders>
            <w:shd w:val="clear" w:color="auto" w:fill="C6D9F1" w:themeFill="text2" w:themeFillTint="33"/>
            <w:noWrap/>
          </w:tcPr>
          <w:p>
            <w:pPr>
              <w:spacing w:after="0"/>
              <w:rPr>
                <w:rFonts w:ascii="Times New Roman" w:hAnsi="Times New Roman" w:cs="Times New Roman"/>
                <w:b/>
                <w:noProof/>
                <w:color w:val="000000"/>
                <w:sz w:val="18"/>
                <w:szCs w:val="18"/>
              </w:rPr>
            </w:pPr>
          </w:p>
        </w:tc>
        <w:tc>
          <w:tcPr>
            <w:tcW w:w="992"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567"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Unitate</w:t>
            </w:r>
          </w:p>
        </w:tc>
        <w:tc>
          <w:tcPr>
            <w:tcW w:w="425"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Scenariu de bază</w:t>
            </w:r>
          </w:p>
        </w:tc>
        <w:tc>
          <w:tcPr>
            <w:tcW w:w="567"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Obiectiv</w:t>
            </w:r>
          </w:p>
        </w:tc>
        <w:tc>
          <w:tcPr>
            <w:tcW w:w="426"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Q</w:t>
            </w:r>
          </w:p>
        </w:tc>
        <w:tc>
          <w:tcPr>
            <w:tcW w:w="567"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An</w:t>
            </w:r>
          </w:p>
        </w:tc>
        <w:tc>
          <w:tcPr>
            <w:tcW w:w="6804" w:type="dxa"/>
            <w:tcBorders>
              <w:top w:val="nil"/>
            </w:tcBorders>
            <w:shd w:val="clear" w:color="auto" w:fill="C6D9F1" w:themeFill="text2" w:themeFillTint="33"/>
            <w:noWrap/>
          </w:tcPr>
          <w:p>
            <w:pPr>
              <w:spacing w:after="0"/>
              <w:rPr>
                <w:rFonts w:ascii="Times New Roman" w:hAnsi="Times New Roman" w:cs="Times New Roman"/>
                <w:b/>
                <w:noProof/>
                <w:color w:val="000000"/>
                <w:sz w:val="18"/>
                <w:szCs w:val="18"/>
                <w:lang w:val="en-IE"/>
              </w:rPr>
            </w:pP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406</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C30.R1</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55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Separarea finanțării pentru securitatea socială</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Dispoziție din lege care indică intrarea sa în vigoare </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2020</w:t>
            </w:r>
          </w:p>
        </w:tc>
        <w:tc>
          <w:tcPr>
            <w:tcW w:w="680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Legii 11/2020 din 30 decembrie privind bugetul general de stat pentru anul 2021, privind separarea surselor de finanțare pentru securitatea socială. Anual, statul transferă către sistemul de securitate socială o sumă echivalentă cu cheltuielile necontributive. Acest lucru va permite reducerea deficitului de securitate socială și transferul acestuia către administrația centrală, care dispune de instrumentele adecvate pentru a o remedia. De asemenea, aceasta înlătură îndoielile cu privire la solvabilitatea sistemului, îmbunătățind condițiile de abordare a provocărilor pe termen mediu și lung. Legea bugetului de stat din 2021 prevede un prim pas semnificativ în această direcție.</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407</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C30.R2</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55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Menținerea puterii de cumpărare a pensiilor și alinierea vârstei efective de pensionare cu vârsta legală de pensionare</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Dispoziție a legislației care indică intrarea sa în vigoare </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680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legislației în Jurnalul Oficial cu scopul:</w:t>
            </w:r>
            <w:r>
              <w:rPr>
                <w:rFonts w:ascii="Times New Roman" w:hAnsi="Times New Roman"/>
                <w:noProof/>
                <w:color w:val="000000"/>
                <w:sz w:val="18"/>
                <w:szCs w:val="18"/>
              </w:rPr>
              <w:br/>
              <w:t xml:space="preserve">a) Menținerea puterii de cumpărare a pensiilor: va fi dezvoltat un nou mecanism de reevaluare care să coreleze pensiile cu inflația, pentru a se asigura că puterea de cumpărare a pensionarilor este garantată în mod permanent. </w:t>
            </w:r>
            <w:r>
              <w:rPr>
                <w:rFonts w:ascii="Times New Roman" w:hAnsi="Times New Roman"/>
                <w:noProof/>
                <w:color w:val="000000"/>
                <w:sz w:val="18"/>
                <w:szCs w:val="18"/>
              </w:rPr>
              <w:br/>
              <w:t>b) Alinierea vârstei efective de pensionare și a vârstei legale de pensionare: oferirea de stimulente pentru amânarea pensionării, inclusiv stimulente economice sporite și promovarea reconcilierii între viața profesională și pensionare, pentru a crește participarea pe piața muncii la vârste apropiate de vârsta legală de pensionare și pentru a amâna pensionarea.</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408</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C30.R2</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55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Ajustarea perioadei de calcul pentru calcularea pensiei pentru limită de vârstă </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Dispoziție a legislației care indică intrarea sa în vigoare </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80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Intrarea în vigoare a legislației privind ajustarea perioadei de calcul, prelungind perioada de calcul pentru calcularea pensiei pentru limită de vârstă. </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409</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C30.R2</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55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Înlocuirea factorului de durabilitate cu un mecanism de echitate între generații</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Dispoziție a legislației care indică intrarea sa în vigoare</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80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legislației de înlocuire a actualului factor de sustenabilitate care corelează speranța de viață cu un mecanism care garantează echitatea între generații și sustenabilitatea bugetară prin adaptarea la schimbările demografice.</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410</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C30.R2</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55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Previziuni actualizate care arată modul în care reformele sistemelor de pensii întreprinse în 2021 și 2022 asigură sustenabilitatea fiscală pe termen lung</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Publicarea unui raport pe site-ul de securitate socială</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80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Publicarea unor proiecții actualizate care să arate modul în care reformele sistemelor de pensii întreprinse în 2021 și 2022 asigură sustenabilitatea fiscală pe termen lung, luând în considerare, de asemenea, impactul altor reforme structurale, cum ar fi reformele pieței forței de muncă.</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411</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C30.R3</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55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Reforma sistemului de contribuții la asigurările sociale pentru lucrătorii care desfășoară o activitate independentă</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Dispoziție a legislației care indică intrarea sa în vigoare </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80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legislației privind reforma sistemului de contribuții la asigurările sociale pentru lucrătorii independenți, transferând treptat sistemul de contribuții pentru a se baza pe venitul real.</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412</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C30.R4</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55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Raționalizarea majorărilor de maternitate</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Dispoziție a RDL care indică intrarea sa în vigoare </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680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Decretului-lege regal nr. 3/2021 din 3 februarie 2021 privind raționalizarea majorărilor de maternitate. Pentru a respecta hotărârea CEJ din 12 decembrie 2019, majorările de pensii vor fi raționalizate și axate pe reducerea disparității de gen. Se introduce o indemnizație forfetară pentru părinții a căror viață profesională a fost modificată imediat după calitatea de părinte.</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413</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C30.R5</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55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Revizuirea scutirilor fiscale legate de actualul sistem de pensii suplimentare</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Dispoziție din lege care indică intrarea în vigoare a dispoziției finale 11 și a articolul 62 </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2020</w:t>
            </w:r>
          </w:p>
        </w:tc>
        <w:tc>
          <w:tcPr>
            <w:tcW w:w="680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Legii nr. 11/2020 din decembrie 30 privind bugetul general de stat pe 2021, a revizuirii scutirilor fiscale legate de actualul sistem de pensii suplimentare. Dreptul la facilități fiscale se transferă de la planurile individuale de pensii private la sistemele de pensii ocupaționale bazate pe contracte colective de muncă. Dispozițiile relevante din Legea bugetului pentru introducerea noului cadru sunt dispoziția finală 11 LPGE și articolul 62.</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414</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C30.R5</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55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Revizuirea sistemului actual de pensii suplimentare</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Dispoziție a legislației care indică intrarea sa în vigoare </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80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legislației privind revizuirea sistemului actual de pensii suplimentare pentru a promova sistemele de pensii prin crearea de către administrație a fondurilor de pensii deschise tuturor întreprinderilor și lucrătorilor.</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415</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C30.R6</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55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Ajustarea bazei contribuției maxime</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Dispoziție a legislației care indică intrarea sa în vigoare </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80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Intrarea în vigoare a legislației privind ajustarea bazei contribuției maxime: creșterea treptată a bazei maxime de contribuție a sistemului și ajustarea pensiilor maxime pentru a extinde baza de contribuție și progresivitatea sistemului și pentru a crește veniturile globale.</w:t>
            </w:r>
          </w:p>
        </w:tc>
      </w:tr>
    </w:tbl>
    <w:p>
      <w:pPr>
        <w:pStyle w:val="Text1"/>
        <w:ind w:left="709"/>
        <w:rPr>
          <w:noProof/>
        </w:rPr>
        <w:sectPr>
          <w:headerReference w:type="even" r:id="rId373"/>
          <w:headerReference w:type="default" r:id="rId374"/>
          <w:footerReference w:type="even" r:id="rId375"/>
          <w:footerReference w:type="default" r:id="rId376"/>
          <w:headerReference w:type="first" r:id="rId377"/>
          <w:footerReference w:type="first" r:id="rId378"/>
          <w:pgSz w:w="16839" w:h="11907" w:orient="landscape"/>
          <w:pgMar w:top="1417" w:right="1134" w:bottom="1417" w:left="1134" w:header="709" w:footer="709" w:gutter="0"/>
          <w:cols w:space="720"/>
          <w:docGrid w:linePitch="360"/>
        </w:sectPr>
      </w:pPr>
    </w:p>
    <w:p>
      <w:pPr>
        <w:pStyle w:val="NumPar1"/>
        <w:rPr>
          <w:b/>
          <w:noProof/>
          <w:sz w:val="28"/>
          <w:szCs w:val="28"/>
        </w:rPr>
      </w:pPr>
      <w:r>
        <w:rPr>
          <w:b/>
          <w:noProof/>
          <w:sz w:val="28"/>
          <w:szCs w:val="28"/>
        </w:rPr>
        <w:t>Costurile totale estimate ale planului de redresare și reziliență</w:t>
      </w:r>
    </w:p>
    <w:p>
      <w:pPr>
        <w:pStyle w:val="Text1"/>
        <w:rPr>
          <w:noProof/>
        </w:rPr>
      </w:pPr>
      <w:r>
        <w:rPr>
          <w:noProof/>
        </w:rPr>
        <w:t>Costurile totale estimate ale planului de redresare și reziliență al Spaniei sunt de 69 528 050 000 EUR.</w:t>
      </w:r>
    </w:p>
    <w:p>
      <w:pPr>
        <w:pStyle w:val="Text1"/>
        <w:ind w:left="709"/>
        <w:rPr>
          <w:noProof/>
        </w:rPr>
      </w:pPr>
    </w:p>
    <w:p>
      <w:pPr>
        <w:rPr>
          <w:rFonts w:ascii="Times New Roman" w:hAnsi="Times New Roman" w:cs="Times New Roman"/>
          <w:b/>
          <w:bCs/>
          <w:noProof/>
          <w:sz w:val="24"/>
        </w:rPr>
      </w:pPr>
      <w:r>
        <w:rPr>
          <w:noProof/>
        </w:rPr>
        <w:br w:type="page"/>
      </w:r>
    </w:p>
    <w:p>
      <w:pPr>
        <w:spacing w:before="120" w:after="120" w:line="240" w:lineRule="auto"/>
        <w:jc w:val="both"/>
        <w:rPr>
          <w:rFonts w:ascii="Times New Roman" w:hAnsi="Times New Roman" w:cs="Times New Roman"/>
          <w:b/>
          <w:noProof/>
          <w:sz w:val="28"/>
          <w:szCs w:val="28"/>
        </w:rPr>
      </w:pPr>
      <w:r>
        <w:rPr>
          <w:rFonts w:ascii="Times New Roman" w:hAnsi="Times New Roman"/>
          <w:b/>
          <w:noProof/>
          <w:sz w:val="28"/>
          <w:szCs w:val="28"/>
        </w:rPr>
        <w:t>SECȚIUNEA 2: SPRIJIN FINANCIAR</w:t>
      </w:r>
    </w:p>
    <w:p>
      <w:pPr>
        <w:pStyle w:val="NumPar1"/>
        <w:numPr>
          <w:ilvl w:val="0"/>
          <w:numId w:val="149"/>
        </w:numPr>
        <w:rPr>
          <w:b/>
          <w:noProof/>
          <w:sz w:val="28"/>
          <w:szCs w:val="28"/>
        </w:rPr>
      </w:pPr>
      <w:r>
        <w:rPr>
          <w:b/>
          <w:noProof/>
          <w:sz w:val="28"/>
          <w:szCs w:val="28"/>
        </w:rPr>
        <w:t xml:space="preserve">Contribuția financiară </w:t>
      </w:r>
    </w:p>
    <w:p>
      <w:pPr>
        <w:spacing w:before="120" w:after="120" w:line="240" w:lineRule="auto"/>
        <w:ind w:left="850"/>
        <w:jc w:val="both"/>
        <w:rPr>
          <w:rFonts w:ascii="Times New Roman" w:hAnsi="Times New Roman" w:cs="Times New Roman"/>
          <w:noProof/>
          <w:sz w:val="24"/>
        </w:rPr>
      </w:pPr>
      <w:r>
        <w:rPr>
          <w:rFonts w:ascii="Times New Roman" w:hAnsi="Times New Roman"/>
          <w:noProof/>
          <w:sz w:val="24"/>
        </w:rPr>
        <w:t>Tranșele menționate la articolul 2 alineatul (2) se organizează după cum urmează:</w:t>
      </w:r>
    </w:p>
    <w:p>
      <w:pPr>
        <w:pStyle w:val="NumPar2"/>
        <w:rPr>
          <w:noProof/>
        </w:rPr>
      </w:pPr>
      <w:r>
        <w:rPr>
          <w:noProof/>
        </w:rPr>
        <w:t xml:space="preserve">Prima tranșă (sprijin nerambursabil): </w:t>
      </w:r>
    </w:p>
    <w:tbl>
      <w:tblPr>
        <w:tblW w:w="9882" w:type="dxa"/>
        <w:tblInd w:w="113" w:type="dxa"/>
        <w:tblLook w:val="04A0" w:firstRow="1" w:lastRow="0" w:firstColumn="1" w:lastColumn="0" w:noHBand="0" w:noVBand="1"/>
      </w:tblPr>
      <w:tblGrid>
        <w:gridCol w:w="928"/>
        <w:gridCol w:w="1239"/>
        <w:gridCol w:w="1230"/>
        <w:gridCol w:w="6485"/>
      </w:tblGrid>
      <w:tr>
        <w:trPr>
          <w:trHeight w:val="906"/>
          <w:tblHeader/>
        </w:trPr>
        <w:tc>
          <w:tcPr>
            <w:tcW w:w="92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Număr</w:t>
            </w:r>
          </w:p>
        </w:tc>
        <w:tc>
          <w:tcPr>
            <w:tcW w:w="123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Măsură conexă (reformă sau investiție)</w:t>
            </w:r>
          </w:p>
        </w:tc>
        <w:tc>
          <w:tcPr>
            <w:tcW w:w="123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Jalon/Țintă</w:t>
            </w:r>
          </w:p>
        </w:tc>
        <w:tc>
          <w:tcPr>
            <w:tcW w:w="6485"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Denumire</w:t>
            </w:r>
          </w:p>
        </w:tc>
      </w:tr>
      <w:tr>
        <w:trPr>
          <w:trHeight w:val="253"/>
          <w:tblHeader/>
        </w:trPr>
        <w:tc>
          <w:tcPr>
            <w:tcW w:w="928"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noProof/>
                <w:sz w:val="18"/>
                <w:szCs w:val="18"/>
                <w:lang w:val="en-IE" w:eastAsia="en-GB"/>
              </w:rPr>
            </w:pPr>
          </w:p>
        </w:tc>
        <w:tc>
          <w:tcPr>
            <w:tcW w:w="1239"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noProof/>
                <w:sz w:val="18"/>
                <w:szCs w:val="18"/>
                <w:lang w:val="en-IE" w:eastAsia="en-GB"/>
              </w:rPr>
            </w:pPr>
          </w:p>
        </w:tc>
        <w:tc>
          <w:tcPr>
            <w:tcW w:w="1230"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noProof/>
                <w:sz w:val="18"/>
                <w:szCs w:val="18"/>
                <w:lang w:val="en-IE" w:eastAsia="en-GB"/>
              </w:rPr>
            </w:pPr>
          </w:p>
        </w:tc>
        <w:tc>
          <w:tcPr>
            <w:tcW w:w="6485" w:type="dxa"/>
            <w:vMerge/>
            <w:tcBorders>
              <w:top w:val="single" w:sz="4" w:space="0" w:color="auto"/>
              <w:left w:val="nil"/>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noProof/>
                <w:sz w:val="18"/>
                <w:szCs w:val="18"/>
                <w:lang w:val="en-IE" w:eastAsia="en-GB"/>
              </w:rPr>
            </w:pP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C1.R1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Ordinul TMA/178/2020 și Decretul-lege regal nr. 23/2020</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21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C2.R1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 xml:space="preserve">Intrarea în vigoare a Agendei urbane spaniole și a Strategiei de renovare pe termen lung pentru reabilitarea energetică în sectorul construcțiilor din Spania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39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C3.R1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Intrarea în vigoare a Decretului-lege regal nr. 5/2020 privind măsurile urgente referitoare la agricultură și alimentație și a Legii nr. 8/2020 privind modificarea Legii nr. 12/2013 privind măsurile de îmbunătățire a funcționării lanțului alimentar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63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C4.R2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Adoptarea Strategiei naționale privind infrastructurile ecologice, conectivitatea și refacerea ecologică</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82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C6.R1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Strategia privind mobilitatea durabilă, sigură și conectată (consultare publică)</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102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C7.R1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Intrarea în vigoare a Decretului-lege regal 23/2020 (măsuri privind energia)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103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C7.R1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Intrarea în vigoare a Decretului regal 960/2020 (regimul economic pentru energia regenerabilă)</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104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C7.R1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Intrarea în vigoare a Decretului regal nr. 1183/2020 (conectarea surselor regenerabile de energie la rețeaua de energie electrică)</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105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C7.R1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 xml:space="preserve">Intrarea în vigoare a Legii privind schimbările climatice și tranziția energetică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121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C8.R1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Aprobarea strategiei de decarbonizare pe termen lung („ELP2050”).</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122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C8.R2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Intrarea în vigoare a reformelor de planificare, legislative și de reglementare pentru a promova dezvoltarea unei soluții de stocare a energiei.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129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C9.R1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 xml:space="preserve">Foaia de parcurs privind hidrogenul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137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C10.R1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 xml:space="preserve">Crearea Institutului pentru Fondul pentru o tranziție justă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144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C11.R1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Intrarea în vigoare a unui act legislativ pentru reducerea numărului de locuri de muncă temporare în administrațiile publice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151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C11.R2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Intrarea în vigoare a Legii nr. 3/2020 privind măsurile procedurale și organizatorice în domeniul justiției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153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C11.R3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Intrarea în vigoare a Decretului regal nr. 937/2020 privind reglementarea Caja General de Depósitos</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154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C11.R3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Intrarea în vigoare a Decretului regal de aprobare a Regulamentului de punere în aplicare a Legii nr. 22/2015 din 20 iulie privind auditul conturilor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157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C11.R5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Intrarea în vigoare a Decretului-lege regal nr. 36/2020 privind punerea în aplicare a planului de redresare, transformare și reziliență</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158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C11.R5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Crearea de noi organisme în cadrul administrației centrale pentru monitorizarea punerii în aplicare, a controlului și a auditului planului.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159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C11.R5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Ordin de definire a procedurilor și a formatului informațiilor care urmează să fie partajate pentru monitorizarea PRP și execuția contabilă a cheltuielilor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173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C11.I5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Sistemul informatic integrat al Mecanismului de redresare și reziliență</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177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C12.R2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Strategia spaniolă privind economia circulară (EEEC)</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181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C12.I2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Plan de stimulare a lanțului valoric al industriei autovehiculelor către o mobilitate durabilă și conectată</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199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C13.I3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Planul privind digitalizarea IMM-urilor pentru perioada 2021-2025</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214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C14.R1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Plan de promovare a sectorului turismului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215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C14.R1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Lansarea site-ului „DATAESTUR”, care colectează date privind turismul</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230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C15.R2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Planul și strategia pentru Spania digitală pentru 2025 pentru promovarea tehnologiei 5G</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231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C15.R2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Eliberarea benzii de frecvențe libere de 700 MHz</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249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C16.R1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 xml:space="preserve">Strategia națională pentru inteligența artificială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255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C17.R2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Publicarea Strategiei spaniole pentru știință, tehnologie și inovare 2021-2027</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257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C17.R3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 xml:space="preserve">Intrarea în vigoare a Decretului regal privind reorganizarea organizațiilor publice de cercetare.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285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C19.R1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Aprobarea Planului național privind competențele digitale de către Consiliul de Miniștri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295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C20.R1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Planul de modernizare a formării profesionale și decretele legislative aferente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303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C21.R1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 xml:space="preserve">Intrarea în vigoare a Legii organice privind educația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318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C22.R5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Intrarea în vigoare a Decretului-lege regal nr. 20/2020 din 29 mai de aprobare a venitului minim vital</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329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C23.R1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Intrarea în vigoare a două decrete-lege regale care reglementează munca la distanță în sectorul privat și în administrațiile publice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330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C23.R2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Intrarea în vigoare a două regulamente privind egalitatea de remunerare între femei și bărbați și privind planurile de egalitate și înregistrarea acestora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333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C23.R5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 xml:space="preserve">Intrarea în vigoare a Planului de acțiune pentru combaterea șomajului în rândul tinerilor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363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C25.R1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Planul „Spania, platforma audiovizuală a Europei”.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385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C28.R1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Măsurile bugetare adoptate în 2020 și 2021 pentru a atenua efectele pandemiei de COVID-19.</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387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C28.R3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Numirea comitetului de experți de către secretarul de stat al finanțelor.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392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C28.R5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Impozitarea serviciilor digitale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393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C28.R6</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Taxa pe tranzacțiile financiare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394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C28.R7</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Modificări ale impozitului pe venitul persoanelor fizice și ale impozitului pe avere în 2021</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395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C28.R8</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Modificări ale impozitului pe profit în 2021</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396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C28.R9</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Modificări ale impozitelor indirecte în 2021</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397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C29.R1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Înființarea unei echipe permanente în cadrul Ministerului Finanțelor pentru monitorizarea activă a punerii în aplicare a rezultatelor revizuirii cheltuielilor și aprobarea Ordinului de Elaborare a Legii bugetare anuale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398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C29.R1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Etapa III a analizei cheltuielilor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399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C29.R1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Crearea unei unități permanente în cadrul AIReF, responsabilă cu efectuarea analizelor cheltuielilor mandatate de guvern.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406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C30.R1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Separarea finanțării pentru securitatea socială</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412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C30.R4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Raționalizarea majorărilor de maternitate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413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C30.R5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Revizuirea scutirilor fiscale legate de actualul sistem de pensii suplimentare</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sz w:val="18"/>
                <w:szCs w:val="18"/>
                <w:lang w:val="en-IE" w:eastAsia="en-GB"/>
              </w:rPr>
            </w:pPr>
          </w:p>
        </w:tc>
        <w:tc>
          <w:tcPr>
            <w:tcW w:w="1239"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sz w:val="18"/>
                <w:szCs w:val="18"/>
                <w:lang w:val="en-IE" w:eastAsia="en-GB"/>
              </w:rPr>
            </w:pPr>
          </w:p>
        </w:tc>
        <w:tc>
          <w:tcPr>
            <w:tcW w:w="1230"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szCs w:val="20"/>
              </w:rPr>
              <w:t>Cuantumul tranșei</w:t>
            </w:r>
          </w:p>
        </w:tc>
        <w:tc>
          <w:tcPr>
            <w:tcW w:w="6485"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szCs w:val="20"/>
              </w:rPr>
              <w:t xml:space="preserve">11 494 252 874 EUR  </w:t>
            </w:r>
          </w:p>
        </w:tc>
      </w:tr>
    </w:tbl>
    <w:p>
      <w:pPr>
        <w:pStyle w:val="Text1"/>
        <w:rPr>
          <w:noProof/>
          <w:lang w:val="en-IE"/>
        </w:rPr>
      </w:pPr>
    </w:p>
    <w:p>
      <w:pPr>
        <w:pStyle w:val="NumPar2"/>
        <w:keepNext/>
        <w:rPr>
          <w:noProof/>
        </w:rPr>
      </w:pPr>
      <w:r>
        <w:rPr>
          <w:noProof/>
        </w:rPr>
        <w:t xml:space="preserve">A doua tranșă (sprijin nerambursabil): </w:t>
      </w:r>
    </w:p>
    <w:tbl>
      <w:tblPr>
        <w:tblW w:w="9882" w:type="dxa"/>
        <w:tblInd w:w="113" w:type="dxa"/>
        <w:tblLook w:val="04A0" w:firstRow="1" w:lastRow="0" w:firstColumn="1" w:lastColumn="0" w:noHBand="0" w:noVBand="1"/>
      </w:tblPr>
      <w:tblGrid>
        <w:gridCol w:w="928"/>
        <w:gridCol w:w="1239"/>
        <w:gridCol w:w="1230"/>
        <w:gridCol w:w="6485"/>
      </w:tblGrid>
      <w:tr>
        <w:trPr>
          <w:trHeight w:val="906"/>
          <w:tblHeader/>
        </w:trPr>
        <w:tc>
          <w:tcPr>
            <w:tcW w:w="92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keepNext/>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Număr</w:t>
            </w:r>
          </w:p>
        </w:tc>
        <w:tc>
          <w:tcPr>
            <w:tcW w:w="123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keepNext/>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Măsură conexă (reformă sau investiție)</w:t>
            </w:r>
          </w:p>
        </w:tc>
        <w:tc>
          <w:tcPr>
            <w:tcW w:w="123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keepNext/>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Jalon/Țintă</w:t>
            </w:r>
          </w:p>
        </w:tc>
        <w:tc>
          <w:tcPr>
            <w:tcW w:w="6485"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keepNext/>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Denumire</w:t>
            </w:r>
          </w:p>
        </w:tc>
      </w:tr>
      <w:tr>
        <w:trPr>
          <w:trHeight w:val="230"/>
          <w:tblHeader/>
        </w:trPr>
        <w:tc>
          <w:tcPr>
            <w:tcW w:w="928" w:type="dxa"/>
            <w:vMerge/>
            <w:tcBorders>
              <w:top w:val="single" w:sz="4" w:space="0" w:color="auto"/>
              <w:left w:val="single" w:sz="4" w:space="0" w:color="auto"/>
              <w:bottom w:val="single" w:sz="4" w:space="0" w:color="000000"/>
              <w:right w:val="single" w:sz="4" w:space="0" w:color="auto"/>
            </w:tcBorders>
            <w:vAlign w:val="center"/>
            <w:hideMark/>
          </w:tcPr>
          <w:p>
            <w:pPr>
              <w:keepNext/>
              <w:spacing w:after="0" w:line="240" w:lineRule="auto"/>
              <w:rPr>
                <w:rFonts w:ascii="Times New Roman" w:eastAsia="Times New Roman" w:hAnsi="Times New Roman" w:cs="Times New Roman"/>
                <w:b/>
                <w:bCs/>
                <w:noProof/>
                <w:sz w:val="20"/>
                <w:szCs w:val="20"/>
                <w:lang w:val="en-IE" w:eastAsia="en-GB"/>
              </w:rPr>
            </w:pPr>
          </w:p>
        </w:tc>
        <w:tc>
          <w:tcPr>
            <w:tcW w:w="1239" w:type="dxa"/>
            <w:vMerge/>
            <w:tcBorders>
              <w:top w:val="single" w:sz="4" w:space="0" w:color="auto"/>
              <w:left w:val="single" w:sz="4" w:space="0" w:color="auto"/>
              <w:bottom w:val="single" w:sz="4" w:space="0" w:color="000000"/>
              <w:right w:val="single" w:sz="4" w:space="0" w:color="auto"/>
            </w:tcBorders>
            <w:vAlign w:val="center"/>
            <w:hideMark/>
          </w:tcPr>
          <w:p>
            <w:pPr>
              <w:keepNext/>
              <w:spacing w:after="0" w:line="240" w:lineRule="auto"/>
              <w:rPr>
                <w:rFonts w:ascii="Times New Roman" w:eastAsia="Times New Roman" w:hAnsi="Times New Roman" w:cs="Times New Roman"/>
                <w:b/>
                <w:bCs/>
                <w:noProof/>
                <w:sz w:val="20"/>
                <w:szCs w:val="20"/>
                <w:lang w:val="en-IE" w:eastAsia="en-GB"/>
              </w:rPr>
            </w:pPr>
          </w:p>
        </w:tc>
        <w:tc>
          <w:tcPr>
            <w:tcW w:w="1230" w:type="dxa"/>
            <w:vMerge/>
            <w:tcBorders>
              <w:top w:val="single" w:sz="4" w:space="0" w:color="auto"/>
              <w:left w:val="single" w:sz="4" w:space="0" w:color="auto"/>
              <w:bottom w:val="single" w:sz="4" w:space="0" w:color="000000"/>
              <w:right w:val="single" w:sz="4" w:space="0" w:color="auto"/>
            </w:tcBorders>
            <w:vAlign w:val="center"/>
            <w:hideMark/>
          </w:tcPr>
          <w:p>
            <w:pPr>
              <w:keepNext/>
              <w:spacing w:after="0" w:line="240" w:lineRule="auto"/>
              <w:rPr>
                <w:rFonts w:ascii="Times New Roman" w:eastAsia="Times New Roman" w:hAnsi="Times New Roman" w:cs="Times New Roman"/>
                <w:b/>
                <w:bCs/>
                <w:noProof/>
                <w:sz w:val="20"/>
                <w:szCs w:val="20"/>
                <w:lang w:val="en-IE" w:eastAsia="en-GB"/>
              </w:rPr>
            </w:pPr>
          </w:p>
        </w:tc>
        <w:tc>
          <w:tcPr>
            <w:tcW w:w="6485" w:type="dxa"/>
            <w:vMerge/>
            <w:tcBorders>
              <w:top w:val="single" w:sz="4" w:space="0" w:color="auto"/>
              <w:left w:val="nil"/>
              <w:bottom w:val="single" w:sz="4" w:space="0" w:color="000000"/>
              <w:right w:val="single" w:sz="4" w:space="0" w:color="auto"/>
            </w:tcBorders>
            <w:vAlign w:val="center"/>
            <w:hideMark/>
          </w:tcPr>
          <w:p>
            <w:pPr>
              <w:keepNext/>
              <w:spacing w:after="0" w:line="240" w:lineRule="auto"/>
              <w:rPr>
                <w:rFonts w:ascii="Times New Roman" w:eastAsia="Times New Roman" w:hAnsi="Times New Roman" w:cs="Times New Roman"/>
                <w:b/>
                <w:bCs/>
                <w:noProof/>
                <w:sz w:val="20"/>
                <w:szCs w:val="20"/>
                <w:lang w:val="en-IE" w:eastAsia="en-GB"/>
              </w:rPr>
            </w:pP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keepNext/>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24</w:t>
            </w:r>
          </w:p>
        </w:tc>
        <w:tc>
          <w:tcPr>
            <w:tcW w:w="1239" w:type="dxa"/>
            <w:tcBorders>
              <w:top w:val="nil"/>
              <w:left w:val="nil"/>
              <w:bottom w:val="single" w:sz="4" w:space="0" w:color="auto"/>
              <w:right w:val="single" w:sz="4" w:space="0" w:color="auto"/>
            </w:tcBorders>
            <w:shd w:val="clear" w:color="auto" w:fill="C6EFCE"/>
            <w:noWrap/>
            <w:vAlign w:val="center"/>
            <w:hideMark/>
          </w:tcPr>
          <w:p>
            <w:pPr>
              <w:keepNext/>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C2.R5</w:t>
            </w:r>
          </w:p>
        </w:tc>
        <w:tc>
          <w:tcPr>
            <w:tcW w:w="1230" w:type="dxa"/>
            <w:tcBorders>
              <w:top w:val="nil"/>
              <w:left w:val="nil"/>
              <w:bottom w:val="single" w:sz="4" w:space="0" w:color="auto"/>
              <w:right w:val="single" w:sz="4" w:space="0" w:color="auto"/>
            </w:tcBorders>
            <w:shd w:val="clear" w:color="auto" w:fill="C6EFCE"/>
            <w:noWrap/>
            <w:vAlign w:val="center"/>
            <w:hideMark/>
          </w:tcPr>
          <w:p>
            <w:pPr>
              <w:keepNext/>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hideMark/>
          </w:tcPr>
          <w:p>
            <w:pPr>
              <w:keepNext/>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Intrarea în vigoare a Decretului regal privind oficiile de renovare („ghișeele unice”)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26</w:t>
            </w:r>
          </w:p>
        </w:tc>
        <w:tc>
          <w:tcPr>
            <w:tcW w:w="1239"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C2.I1</w:t>
            </w:r>
          </w:p>
        </w:tc>
        <w:tc>
          <w:tcPr>
            <w:tcW w:w="1230"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Intrarea în vigoare a Decretului regal privind cadrul de reglementare pentru punerea în aplicare a programului de reînnoire; și Decretul-lege regal de reglementare a stimulentelor fiscale pentru persoanele fizice în vederea sprijinirii programului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30</w:t>
            </w:r>
          </w:p>
        </w:tc>
        <w:tc>
          <w:tcPr>
            <w:tcW w:w="1239"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C2.I2</w:t>
            </w:r>
          </w:p>
        </w:tc>
        <w:tc>
          <w:tcPr>
            <w:tcW w:w="1230"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Intrarea în vigoare a Decretului regal privind definirea cadrului de reglementare pentru punerea în aplicare a programului privind locuințele sociale de închiriat eficiente din punct de vedere energetic care respectă criteriile de eficiență energetică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40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C3.R1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Intrarea în vigoare a celei de-a doua modificări a Legii nr. 12/2013 privind măsurile de îmbunătățire a funcționării lanțului alimentar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46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C3.I1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Intrarea în vigoare a acordului contractual dintre Ministerul Agriculturii, Pescuitului și Alimentației (MAPA) și SEIASA pentru sprijinirea îmbunătățirii și sustenabilității suprafețelor irigate (faza 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56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C3.I7</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Acorduri cu organismele publice de cercetare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74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C5.R1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Intrarea în vigoare a modificărilor aduse Regulamentului privind planificarea hidrologică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83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C6.R1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Strategia privind mobilitatea durabilă, sigură și conectată (aprobare)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108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C7.R2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Strategia națională privind autoconsumul</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112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C7.R4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Foaie de parcurs pentru energia eoliană offshore și alte surse de energie marină</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139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C10.I1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Programul de ajutor pentru formare pentru „tranziția justă” și acordarea de ajutoare pentru dezvoltarea economică a zonelor de tranziție justă</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155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C11.R4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Intrarea în vigoare a Ordinului ministerial de instituire a Biroului Național de Evaluare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189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C13.R1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Intrarea în vigoare a Legii de modificare a Legii nr. 34/2006 privind accesul la profesiile de avocat și procuror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216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C14.R1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Intrarea în vigoare a decretului regal de punere în aplicare a Fondului financiar de stat pentru competitivitatea turismului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217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C14.I1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Bugetul alocat pentru planurile de promovare a durabilității turismului la destinație.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232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C15.R2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Alocarea benzii de frecvențe de 700 MHz</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233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C15.R2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Intrarea în vigoare a actului juridic privind reducerea impozitării spectrului de frecvențe 5G</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250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C16.R1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Carta drepturilor digitale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258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C17.I1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Acorduri semnate de Ministerul Științei și Inovării cu comunitățile autonome pentru punerea în aplicare a „planurilor complementare C &amp; D”.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273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C18.R1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Plan de acțiune pentru asistența medicală primară și comunitară</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278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C18.I1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Aprobarea planului de investiții în echipamente și distribuirea fondurilor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289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C19.I2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Program de dotare a școlilor publice și subvenționate din fonduri publice cu instrumente digitale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306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C21.R3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Intrarea în vigoare a decretelor regale pentru organizarea universităților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331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C23.R3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Intrarea în vigoare a Decretului-lege regal privind protecția lucrătorilor care desfășoară activități de distribuție către terți prin mijloace tehnologice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332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C23.R4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Modificarea Statutului lucrătorilor pentru a sprijini reducerea locurilor de muncă temporare prin raționalizarea numărului de tipuri de contracte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334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C23.R5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Decretul regal pentru o nouă strategie spaniolă de ocupare a forței de muncă 2021</w:t>
            </w:r>
            <w:r>
              <w:rPr>
                <w:rFonts w:ascii="Times New Roman" w:hAnsi="Times New Roman" w:cs="Times New Roman"/>
                <w:noProof/>
                <w:color w:val="000000"/>
                <w:sz w:val="18"/>
                <w:szCs w:val="18"/>
              </w:rPr>
              <w:t>­</w:t>
            </w:r>
            <w:r>
              <w:rPr>
                <w:rFonts w:ascii="Times New Roman" w:hAnsi="Times New Roman"/>
                <w:noProof/>
                <w:color w:val="000000"/>
                <w:sz w:val="18"/>
                <w:szCs w:val="18"/>
              </w:rPr>
              <w:t>2024</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336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C23.R6</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Modificarea Statutului lucrătorilor pentru a institui un sistem de adaptare la șocurile ciclice și structurale, inclusiv un sistem care oferă flexibilitate internă întreprinderilor și stabilitate pentru lucrători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338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C23.R8</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Modificarea Statutului lucrătorilor pentru a îmbunătăți normele juridice care reglementează negocierile colective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339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C23.R9</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Modificarea statutului lucrătorilor pentru a îmbunătăți drepturile persoanelor care lucrează în societățile subcontractate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345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C23.I4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Aprobarea alocării regionale de fonduri pentru proiecte teritoriale destinate grupurilor vulnerabile, antreprenoriatului și microîntreprinderilor.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378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C27.R2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Modernizarea Agenției Fiscale - Numărul de angajați ai Administrației Fiscale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379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C27.R2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Modernizarea Agenției Fiscale - Anchete fiscale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380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C27.R3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Furnizarea de asistență sporită contribuabililor - rețeaua Sociedades Web modernizată și disponibilă pentru cel puțin 1 666 123 de contribuabili.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381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C27.R3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Furnizarea de asistență sporită contribuabililor - Renta Web modernizată și disponibilă pentru cel puțin 1 779 505 contribuabili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383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C27.R4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Dimensiunea internațională - Identificarea contribuabililor străini înregistrați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384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C27.R5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Model de cooperare - Rapoarte privind transparența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389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C28.R4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Impozite pe materialele plastice de unică folosință și pe deșeuri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400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C29.R1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Aprobarea de către Consiliul de Miniștri a noului ciclu (2022-26) al analizelor cheltuielilor care urmează să fie comandate către AIReF.</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403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C29.R2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Raport de aliniere bugetară cu ODD-urile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407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C30.R2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Menținerea puterii de cumpărare a pensiilor și alinierea vârstei efective de pensionare cu vârsta legală de pensionare.</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lang w:eastAsia="en-GB"/>
              </w:rPr>
            </w:pPr>
          </w:p>
        </w:tc>
        <w:tc>
          <w:tcPr>
            <w:tcW w:w="1239"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lang w:eastAsia="en-GB"/>
              </w:rPr>
            </w:pPr>
          </w:p>
        </w:tc>
        <w:tc>
          <w:tcPr>
            <w:tcW w:w="1230"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szCs w:val="20"/>
              </w:rPr>
              <w:t>Cuantumul tranșei</w:t>
            </w:r>
          </w:p>
        </w:tc>
        <w:tc>
          <w:tcPr>
            <w:tcW w:w="6485"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szCs w:val="20"/>
              </w:rPr>
              <w:t xml:space="preserve">13 793 103 448 EUR  </w:t>
            </w:r>
          </w:p>
        </w:tc>
      </w:tr>
    </w:tbl>
    <w:p>
      <w:pPr>
        <w:pStyle w:val="Text1"/>
        <w:rPr>
          <w:noProof/>
          <w:lang w:val="en-IE"/>
        </w:rPr>
      </w:pPr>
    </w:p>
    <w:p>
      <w:pPr>
        <w:pStyle w:val="NumPar2"/>
        <w:rPr>
          <w:noProof/>
        </w:rPr>
      </w:pPr>
      <w:r>
        <w:rPr>
          <w:noProof/>
        </w:rPr>
        <w:t xml:space="preserve">A treia tranșă (sprijin nerambursabil): </w:t>
      </w:r>
    </w:p>
    <w:tbl>
      <w:tblPr>
        <w:tblW w:w="9882" w:type="dxa"/>
        <w:tblInd w:w="113" w:type="dxa"/>
        <w:tblLook w:val="04A0" w:firstRow="1" w:lastRow="0" w:firstColumn="1" w:lastColumn="0" w:noHBand="0" w:noVBand="1"/>
      </w:tblPr>
      <w:tblGrid>
        <w:gridCol w:w="928"/>
        <w:gridCol w:w="1239"/>
        <w:gridCol w:w="1230"/>
        <w:gridCol w:w="6485"/>
      </w:tblGrid>
      <w:tr>
        <w:trPr>
          <w:trHeight w:val="906"/>
          <w:tblHeader/>
        </w:trPr>
        <w:tc>
          <w:tcPr>
            <w:tcW w:w="92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Număr</w:t>
            </w:r>
          </w:p>
        </w:tc>
        <w:tc>
          <w:tcPr>
            <w:tcW w:w="123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Măsură conexă (reformă sau investiție)</w:t>
            </w:r>
          </w:p>
        </w:tc>
        <w:tc>
          <w:tcPr>
            <w:tcW w:w="123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Jalon/Țintă</w:t>
            </w:r>
          </w:p>
        </w:tc>
        <w:tc>
          <w:tcPr>
            <w:tcW w:w="6485"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Denumire</w:t>
            </w:r>
          </w:p>
        </w:tc>
      </w:tr>
      <w:tr>
        <w:trPr>
          <w:trHeight w:val="230"/>
          <w:tblHeader/>
        </w:trPr>
        <w:tc>
          <w:tcPr>
            <w:tcW w:w="928"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lang w:val="en-IE" w:eastAsia="en-GB"/>
              </w:rPr>
            </w:pPr>
          </w:p>
        </w:tc>
        <w:tc>
          <w:tcPr>
            <w:tcW w:w="1239"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lang w:val="en-IE" w:eastAsia="en-GB"/>
              </w:rPr>
            </w:pPr>
          </w:p>
        </w:tc>
        <w:tc>
          <w:tcPr>
            <w:tcW w:w="1230"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lang w:val="en-IE" w:eastAsia="en-GB"/>
              </w:rPr>
            </w:pPr>
          </w:p>
        </w:tc>
        <w:tc>
          <w:tcPr>
            <w:tcW w:w="6485" w:type="dxa"/>
            <w:vMerge/>
            <w:tcBorders>
              <w:top w:val="single" w:sz="4" w:space="0" w:color="auto"/>
              <w:left w:val="nil"/>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lang w:val="en-IE" w:eastAsia="en-GB"/>
              </w:rPr>
            </w:pP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w:t>
            </w:r>
          </w:p>
        </w:tc>
        <w:tc>
          <w:tcPr>
            <w:tcW w:w="1239"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C1.R1</w:t>
            </w:r>
          </w:p>
        </w:tc>
        <w:tc>
          <w:tcPr>
            <w:tcW w:w="1230"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Modificări aduse Codului tehnic al clădirii (de confirmat), Regulamentului privind electrotehnica joasă (LVER) și aprobării unui decret regal de reglementare a serviciilor publice de reîncărcare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45</w:t>
            </w:r>
          </w:p>
        </w:tc>
        <w:tc>
          <w:tcPr>
            <w:tcW w:w="1239"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C3.R6</w:t>
            </w:r>
          </w:p>
        </w:tc>
        <w:tc>
          <w:tcPr>
            <w:tcW w:w="1230"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Intrarea în vigoare a Decretului regal privind gestionarea zonelor de pescuit naționale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51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C3.I4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Planul de investiții pentru promovarea sustenabilității și competitivității agriculturii și a creșterii animalelor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57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C3.I7</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Achiziționarea de sonde acustice pentru cercetarea în domeniul pescuitului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61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C3.I11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Finanțarea proiectelor de investiții în sectorul pescuitului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65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C4.I1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Atribuirea de contracte pentru aeronave cu destinație specială pentru stingerea incendiilor și instituirea sistemului de monitorizare și gestionare a cunoștințelor privind biodiversitatea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110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C7.R3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Proiect-pilot pentru comunitățile energetice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115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C7.I1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Licitație pentru sprijin pentru investiții în favoarea capacității inovatoare sau cu valoare adăugată a energiei din surse regenerabile.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124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C8.R4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Intrarea în vigoare a măsurilor de promovare a spațiilor de testare în materie de reglementare pentru a încuraja cercetarea și inovarea în sectorul energiei electrice.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130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C9.R1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Intrarea în vigoare a regulamentului de instituire a garanțiilor de origine pentru gazele regenerabile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190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C13.R1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Intrarea în vigoare a Legii privind reforma Legii privind insolvența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229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C15.R1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Intrarea în vigoare a Legii privind telecomunicațiile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254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C17.R1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Intrarea în vigoare a modificării Legii 14/2011 din 1 iunie privind știința, tehnologia și inovarea.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270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C17.I8</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Sprijin pentru C &amp; D &amp; I proiecte în domeniul autovehiculelor durabile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274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C18.R2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Aprobarea strategiei spaniole de sănătate publică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296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C20.R2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Intrarea în vigoare a Legii privind sistemul unic integrat de formare profesională, în scopul modernizării sistemului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304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C21.R2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Intrarea în vigoare a Decretului regal privind cerințele minime de predare în domeniul educației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314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C22.R1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Aprobarea de către Consiliul teritorial a evaluării sistemului de autonomie și de dependență (SAAD).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317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C22.R4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Intrarea în vigoare a reformei legislative a sistemului de primire a migranților și a solicitanților de protecție internațională în Spania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350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C23.I7</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Îmbunătățirea ratei de utilizare a venitului social minim („IMV”) și creșterea eficacității acestuia prin politici de incluziune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360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C24.I3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Digitalizarea și promovarea serviciilor culturale majore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364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C25.R1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Intrarea în vigoare a Legii generale privind comunicațiile audiovizuale.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374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C26.I3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Proiecte de promovare a egalității în sport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376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C27.R1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Intrarea în vigoare a Legii privind evaziunea și frauda fiscală</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390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C28.R4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Analiza taxei de înmatriculare a vehiculelor și a taxei de circulație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391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C28.R4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Intrarea în vigoare a reformei impozitului pe gazele fluorurate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401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C29.R1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Publicarea unui raport de monitorizare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411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C30.R3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Reforma sistemului de contribuții la asigurările sociale pentru lucrătorii care desfășoară o activitate independentă</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414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C30.R5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Revizuirea sistemului actual de pensii suplimentare</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lang w:val="fr-BE" w:eastAsia="en-GB"/>
              </w:rPr>
            </w:pPr>
          </w:p>
        </w:tc>
        <w:tc>
          <w:tcPr>
            <w:tcW w:w="1239"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lang w:val="fr-BE" w:eastAsia="en-GB"/>
              </w:rPr>
            </w:pPr>
          </w:p>
        </w:tc>
        <w:tc>
          <w:tcPr>
            <w:tcW w:w="1230"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szCs w:val="20"/>
              </w:rPr>
              <w:t>Cuantumul tranșei</w:t>
            </w:r>
          </w:p>
        </w:tc>
        <w:tc>
          <w:tcPr>
            <w:tcW w:w="6485"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szCs w:val="20"/>
              </w:rPr>
              <w:t xml:space="preserve">6 896 551 724 EUR  </w:t>
            </w:r>
          </w:p>
        </w:tc>
      </w:tr>
    </w:tbl>
    <w:p>
      <w:pPr>
        <w:pStyle w:val="Text1"/>
        <w:rPr>
          <w:noProof/>
          <w:lang w:val="en-IE"/>
        </w:rPr>
      </w:pPr>
    </w:p>
    <w:p>
      <w:pPr>
        <w:pStyle w:val="NumPar2"/>
        <w:rPr>
          <w:noProof/>
        </w:rPr>
      </w:pPr>
      <w:r>
        <w:rPr>
          <w:noProof/>
        </w:rPr>
        <w:t xml:space="preserve">A patra tranșă (sprijin nerambursabil) </w:t>
      </w:r>
    </w:p>
    <w:tbl>
      <w:tblPr>
        <w:tblW w:w="9882" w:type="dxa"/>
        <w:tblInd w:w="113" w:type="dxa"/>
        <w:tblLook w:val="04A0" w:firstRow="1" w:lastRow="0" w:firstColumn="1" w:lastColumn="0" w:noHBand="0" w:noVBand="1"/>
      </w:tblPr>
      <w:tblGrid>
        <w:gridCol w:w="928"/>
        <w:gridCol w:w="1239"/>
        <w:gridCol w:w="1230"/>
        <w:gridCol w:w="6485"/>
      </w:tblGrid>
      <w:tr>
        <w:trPr>
          <w:trHeight w:val="906"/>
          <w:tblHeader/>
        </w:trPr>
        <w:tc>
          <w:tcPr>
            <w:tcW w:w="92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Număr</w:t>
            </w:r>
          </w:p>
        </w:tc>
        <w:tc>
          <w:tcPr>
            <w:tcW w:w="123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Măsură conexă (reformă sau investiție)</w:t>
            </w:r>
          </w:p>
        </w:tc>
        <w:tc>
          <w:tcPr>
            <w:tcW w:w="123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Jalon/Țintă</w:t>
            </w:r>
          </w:p>
        </w:tc>
        <w:tc>
          <w:tcPr>
            <w:tcW w:w="6485"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Denumire</w:t>
            </w:r>
          </w:p>
        </w:tc>
      </w:tr>
      <w:tr>
        <w:trPr>
          <w:trHeight w:val="230"/>
          <w:tblHeader/>
        </w:trPr>
        <w:tc>
          <w:tcPr>
            <w:tcW w:w="928"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lang w:val="en-IE" w:eastAsia="en-GB"/>
              </w:rPr>
            </w:pPr>
          </w:p>
        </w:tc>
        <w:tc>
          <w:tcPr>
            <w:tcW w:w="1239"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lang w:val="en-IE" w:eastAsia="en-GB"/>
              </w:rPr>
            </w:pPr>
          </w:p>
        </w:tc>
        <w:tc>
          <w:tcPr>
            <w:tcW w:w="1230"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lang w:val="en-IE" w:eastAsia="en-GB"/>
              </w:rPr>
            </w:pPr>
          </w:p>
        </w:tc>
        <w:tc>
          <w:tcPr>
            <w:tcW w:w="6485" w:type="dxa"/>
            <w:vMerge/>
            <w:tcBorders>
              <w:top w:val="single" w:sz="4" w:space="0" w:color="auto"/>
              <w:left w:val="nil"/>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lang w:val="en-IE" w:eastAsia="en-GB"/>
              </w:rPr>
            </w:pP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4</w:t>
            </w:r>
          </w:p>
        </w:tc>
        <w:tc>
          <w:tcPr>
            <w:tcW w:w="1239"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C1.I1</w:t>
            </w:r>
          </w:p>
        </w:tc>
        <w:tc>
          <w:tcPr>
            <w:tcW w:w="1230"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Bugetul cheltuit pentru achiziții sau acordat de municipalități cu scopul de a promova mobilitatea durabilă</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Intrarea în vigoare a Legii privind locuințele, inclusiv acțiuni de sprijinire a creșterii ofertei de locuințe în conformitate cu clădirile al căror consum de energie este aproape egal cu zero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Intrarea în vigoare a Legii privind calitatea arhitecturii și a mediului imobiliar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C2.R6</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Intrarea în vigoare a amendamentelor la Legea orizontală a proprietății pentru a facilita finanțarea reabilitării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C2.I6</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Planuri de acțiune în cadrul Agendei urbane spaniole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41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C3.R2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Intrarea în vigoare a cadrului de reglementare pentru a elabora un registru general al celor mai bune tehnici disponibile în ferme pentru a informa cu privire la emisiile de poluanți și de gaze cu efect de seră și pentru a reforma legislația în materie de planificare cu criterii privind fermele din toate sectoarele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43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C3.R4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Intrarea în vigoare a Decretului regal privind un mecanism de guvernanță pentru îmbunătățirea sistemului spaniol de irigații.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44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C3.R5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Adoptarea celui de-al doilea plan de acțiune al strategiei de digitalizare a sectorului agroalimentar și a zonelor rurale.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47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C3.I1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Punerea în aplicare a acordului dintre Ministerul Agriculturii, Pescuitului și Alimentației (MAPA) și SEIASA pentru a sprijini îmbunătățirea și sustenabilitatea suprafețelor irigate (faza II)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55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C3.I6</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Achiziționarea de echipamente TIC pentru rezervele maritime de interes de pescuit și contracte pentru achiziționarea de nave cu destinație specială pentru rezervele maritime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60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C3.I10</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Achiziționarea de nave ușoare de patrulare și nave de patrulare în marea liberă pentru combaterea pescuitului ilegal, nedeclarat și nereglementat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62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C4.R1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Planul strategic pentru patrimoniul natural și biodiversitate și Planul privind rețeaua de zone marine protejate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64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C4.R3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Aprobarea strategiei spaniole și a planului de sprijin pentru păduri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77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C5.I2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Refacerea protecției malurilor râurilor împotriva riscurilor de inundații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80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C5.I4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Refacerea zonelor degradate și a ecosistemelor pe o distanță de cel puțin 50 km de coastă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84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C6.R2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Strategia orientativă în domeniul feroviar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85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C6.I1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Rețeaua centrală TEN-T: atribuirea proiectelor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88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C6.I2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Rețeaua TEN-T: diferite moduri de transport (feroviar și rutier): atribuirea parțială a bugetului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95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C6.I3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Infrastructuri intermodale și logistice: atribuirea parțială a bugetului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99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C6.I4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Sprijin pentru programul de transport durabil și digital.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140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C10.I1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Sprijin pentru proiecte de infrastructură de mediu, digitale și sociale.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145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C11.R1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Intrarea în vigoare a modificărilor aduse Legii nr. 40/2015 de consolidare a cooperării interteritoriale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146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C11.R1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Intrarea în vigoare a legii pentru consolidarea evaluării politicilor publice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147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C11.R1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Intrarea în vigoare a reformei Legii nr. 7/1985 privind regimurile administrative locale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148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C11.R1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Intrarea în vigoare a Ley de Función Pública de la Administración del Estado</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152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C11.R2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Intrarea în vigoare a Legii privind îmbunătățirea eficienței procedurilor judiciare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156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C11.R4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Strategia națională privind achizițiile publice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174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C11.I5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Noi instrumente și activități de comunicare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178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C12.R2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Intrarea în vigoare a actelor care fac parte din pachetul de politici privind economia circulară</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179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C12.R2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Intrarea în vigoare a Legii privind deșeurile și solul contaminat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182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C12.I2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PERTE în domeniul vehiculelor electrice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183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C12.I2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PERTE în domeniile strategice definite în plan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184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C12.I2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Proiecte inovatoare pentru transformarea industriei în ceea ce privește eficiența energetică, durabilitatea și digitalizarea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191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C13.R1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Intrarea în vigoare a Legii privind crearea și creșterea întreprinderilor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192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C13.R2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Intrarea în vigoare a Legii privind întreprinderile nou-înființate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200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C13.I3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Bugetul alocat programului privind setul de instrumente digitale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201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C13.I3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Bugetul angajat pentru programul „Agenții schimbării”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202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C13.I3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Buget alocat Programului de sprijin pentru clusterele de afaceri inovatoare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203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C13.I3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Bugetul angajat pentru programul de centre de inovare digitală</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218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C14.I1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Bugetul alocat pentru planurile de promovare a durabilității turismului la destinație.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234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C15.R2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Alocarea benzii de frecvențe de 26 GHz</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235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C15.R2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Intrarea în vigoare a Legii privind securitatea cibernetică 5G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245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C15.I7</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Lansarea programului național de sprijin pentru industria securității cibernetice, a Programului global de inovare în domeniul securității și a acțiunilor conexe.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259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C17.I2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Premii pentru proiecte de consolidare a infrastructurilor științifice naționale și a capacității sistemului spaniol de tehnologie științifică și inovare, precum și acorduri bilaterale semnate cu entități internaționale și alte instrumente de finanțare a proiectelor de infrastructură europeană și internațională.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261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C17.I3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Atribuirea de noi proiecte private, interdisciplinare, publice de C &amp; D &amp; I, teste de concepție, cereri competitive internaționale și C &amp; D de vârf, adaptate provocărilor sociale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300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C20.I3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Cel puțin 50 000 de noi locuri EFP comparativ cu sfârșitul anului 2020.</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319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C22.R5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Publicarea „Planului de reorganizare și simplificare a sistemului de prestații financiare necontributive ale administrației generale de stat”.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335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C23.R5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Intrarea în vigoare a modificării Legii muncii (Decretul legislativ regal 3/2015)</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337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C23.R7</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Intrarea în vigoare a reformei Legii nr. 43/2006 pentru a simplifica și a spori eficacitatea sistemului de stimulente pentru recrutare, ținând seama de recomandările emise de AIReF</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340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C23.R10</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Intrarea în vigoare a modificării Decretului-lege regal nr. 8/2015 de reformare a reglementării ajutorului pentru șomaj necontributiv</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352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C24.R1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Intrarea în vigoare a statutului artistului, sponsorizarea și regimul stimulentelor fiscale.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367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C26.R1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Intrarea în vigoare a legii sportului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377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C27.R1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Evaluarea intermediară a efectelor Legii privind evaziunea și frauda fiscală.</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404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C29.R3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Raport de aliniere la bugetul verde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408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C30.R2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Ajustarea perioadei de calcul pentru calcularea pensiei pentru limită de vârstă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409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C30.R2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Înlocuirea factorului de durabilitate cu un mecanism de echitate între generații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410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C30.R2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Previziuni actualizate care arată modul în care reformele sistemelor de pensii întreprinse în 2021 și 2022 asigură sustenabilitatea fiscală pe termen lung</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415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C30.R6</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Ajustarea bazei contribuției maxime</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lang w:val="en-IE" w:eastAsia="en-GB"/>
              </w:rPr>
            </w:pPr>
          </w:p>
        </w:tc>
        <w:tc>
          <w:tcPr>
            <w:tcW w:w="1239"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lang w:val="en-IE" w:eastAsia="en-GB"/>
              </w:rPr>
            </w:pPr>
          </w:p>
        </w:tc>
        <w:tc>
          <w:tcPr>
            <w:tcW w:w="1230"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szCs w:val="20"/>
              </w:rPr>
              <w:t>Cuantumul tranșei</w:t>
            </w:r>
          </w:p>
        </w:tc>
        <w:tc>
          <w:tcPr>
            <w:tcW w:w="6485"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szCs w:val="20"/>
              </w:rPr>
              <w:t xml:space="preserve">11 494 252 874 EUR  </w:t>
            </w:r>
          </w:p>
        </w:tc>
      </w:tr>
    </w:tbl>
    <w:p>
      <w:pPr>
        <w:pStyle w:val="Text1"/>
        <w:rPr>
          <w:noProof/>
          <w:lang w:val="en-IE"/>
        </w:rPr>
      </w:pPr>
    </w:p>
    <w:p>
      <w:pPr>
        <w:pStyle w:val="NumPar2"/>
        <w:rPr>
          <w:noProof/>
        </w:rPr>
      </w:pPr>
      <w:r>
        <w:rPr>
          <w:noProof/>
        </w:rPr>
        <w:t xml:space="preserve">A cincea tranșă (sprijin nerambursabil): </w:t>
      </w:r>
    </w:p>
    <w:tbl>
      <w:tblPr>
        <w:tblW w:w="9882" w:type="dxa"/>
        <w:tblInd w:w="113" w:type="dxa"/>
        <w:tblLook w:val="04A0" w:firstRow="1" w:lastRow="0" w:firstColumn="1" w:lastColumn="0" w:noHBand="0" w:noVBand="1"/>
      </w:tblPr>
      <w:tblGrid>
        <w:gridCol w:w="928"/>
        <w:gridCol w:w="1239"/>
        <w:gridCol w:w="1230"/>
        <w:gridCol w:w="6485"/>
      </w:tblGrid>
      <w:tr>
        <w:trPr>
          <w:trHeight w:val="906"/>
          <w:tblHeader/>
        </w:trPr>
        <w:tc>
          <w:tcPr>
            <w:tcW w:w="92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Număr</w:t>
            </w:r>
          </w:p>
        </w:tc>
        <w:tc>
          <w:tcPr>
            <w:tcW w:w="123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Măsură conexă (reformă sau investiție)</w:t>
            </w:r>
          </w:p>
        </w:tc>
        <w:tc>
          <w:tcPr>
            <w:tcW w:w="123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Jalon/Țintă</w:t>
            </w:r>
          </w:p>
        </w:tc>
        <w:tc>
          <w:tcPr>
            <w:tcW w:w="6485"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Denumire</w:t>
            </w:r>
          </w:p>
        </w:tc>
      </w:tr>
      <w:tr>
        <w:trPr>
          <w:trHeight w:val="230"/>
          <w:tblHeader/>
        </w:trPr>
        <w:tc>
          <w:tcPr>
            <w:tcW w:w="928"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lang w:val="en-IE" w:eastAsia="en-GB"/>
              </w:rPr>
            </w:pPr>
          </w:p>
        </w:tc>
        <w:tc>
          <w:tcPr>
            <w:tcW w:w="1239"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lang w:val="en-IE" w:eastAsia="en-GB"/>
              </w:rPr>
            </w:pPr>
          </w:p>
        </w:tc>
        <w:tc>
          <w:tcPr>
            <w:tcW w:w="1230"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lang w:val="en-IE" w:eastAsia="en-GB"/>
              </w:rPr>
            </w:pPr>
          </w:p>
        </w:tc>
        <w:tc>
          <w:tcPr>
            <w:tcW w:w="6485" w:type="dxa"/>
            <w:vMerge/>
            <w:tcBorders>
              <w:top w:val="single" w:sz="4" w:space="0" w:color="auto"/>
              <w:left w:val="nil"/>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lang w:val="en-IE" w:eastAsia="en-GB"/>
              </w:rPr>
            </w:pP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11</w:t>
            </w:r>
          </w:p>
        </w:tc>
        <w:tc>
          <w:tcPr>
            <w:tcW w:w="1239"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C1.I2</w:t>
            </w:r>
          </w:p>
        </w:tc>
        <w:tc>
          <w:tcPr>
            <w:tcW w:w="1230"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Acordare de proiecte inovatoare de promovare a electromobilității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21bis</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C2.R2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Publicarea recomandărilor grupurilor de lucru pentru punerea în aplicare a strategiei de renovare pe termen lung în Spania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42</w:t>
            </w:r>
          </w:p>
        </w:tc>
        <w:tc>
          <w:tcPr>
            <w:tcW w:w="1239"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C3.R3</w:t>
            </w:r>
          </w:p>
        </w:tc>
        <w:tc>
          <w:tcPr>
            <w:tcW w:w="1230"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Intrarea în vigoare a cadrului normativ privind alimentația durabilă în solurile agricole.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53</w:t>
            </w:r>
          </w:p>
        </w:tc>
        <w:tc>
          <w:tcPr>
            <w:tcW w:w="1239"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C3.I5</w:t>
            </w:r>
          </w:p>
        </w:tc>
        <w:tc>
          <w:tcPr>
            <w:tcW w:w="1230"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Semnarea acordurilor contractuale între Ministerul Agriculturii, Pescuitului și Alimentației (MAPA) și ENISA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70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C4.I3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Reabilitarea fostelor situri miniere (cel puțin 20 de foste situri miniere)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73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C4.I4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Acțiuni privind gestionarea durabilă a pădurilor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75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C5.R1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Intrarea în vigoare a modificării Legii apei și a noului regulament de înlocuire a Decretului regal 1620/2007</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76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C5.I1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Îmbunătățirea infrastructurilor de tratare a apei și a apelor reziduale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109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C7.R2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Finalizarea măsurilor din cadrul Strategiei naționale pentru autoconsum</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113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C7.R4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Intrarea în vigoare a măsurilor de reglementare identificate în harta energiei eoliene offshore și a altor tipuri de energie marină.</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131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C9.I1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Finanțarea IMM-urilor pentru consolidarea lanțului valoric în domeniul hidrogenului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138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C10.R1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Protocoale pentru o tranziție justă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241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C15.I5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Îmbunătățirea infrastructurii digitale transfrontaliere: atribuire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267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C17.I6</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Sprijin pentru proiecte de consolidare a capacităților strategice și internaționalizarea sistemului național de sănătate, proiecte legate de strategia de medicină personalizată de precizie și contribuția la un vehicul de investiții publice și private în terapii avansate.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307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C21.R3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Intrarea în vigoare a Legii organice privind sistemul universitar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315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C22.R2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Intrarea în vigoare a Legii privind serviciile sociale și a reglementărilor ministeriale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316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C22.R3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Intrarea în vigoare a Legii privind diversitatea familială</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321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C22.I1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Proiecte executate de Ministerul drepturilor sociale și al Agendei 2030</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326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C22.I3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Proiecte privind îmbunătățirea accesibilității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386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C28.R2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Revizuirea și modificările avantajelor fiscale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388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C28.R3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Intrarea în vigoare a reformelor derivate din recomandările comisiei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402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C29.R1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Etapa III a analizei cheltuielilor</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lang w:val="en-IE" w:eastAsia="en-GB"/>
              </w:rPr>
            </w:pPr>
          </w:p>
        </w:tc>
        <w:tc>
          <w:tcPr>
            <w:tcW w:w="1239"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lang w:val="en-IE" w:eastAsia="en-GB"/>
              </w:rPr>
            </w:pPr>
          </w:p>
        </w:tc>
        <w:tc>
          <w:tcPr>
            <w:tcW w:w="1230"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szCs w:val="20"/>
              </w:rPr>
              <w:t>Cuantumul tranșei</w:t>
            </w:r>
          </w:p>
        </w:tc>
        <w:tc>
          <w:tcPr>
            <w:tcW w:w="6485"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szCs w:val="20"/>
              </w:rPr>
              <w:t xml:space="preserve">8 045 977 011 EUR  </w:t>
            </w:r>
          </w:p>
        </w:tc>
      </w:tr>
    </w:tbl>
    <w:p>
      <w:pPr>
        <w:pStyle w:val="Text1"/>
        <w:rPr>
          <w:noProof/>
          <w:lang w:val="en-IE"/>
        </w:rPr>
      </w:pPr>
    </w:p>
    <w:p>
      <w:pPr>
        <w:pStyle w:val="NumPar2"/>
        <w:rPr>
          <w:noProof/>
        </w:rPr>
      </w:pPr>
      <w:r>
        <w:rPr>
          <w:noProof/>
        </w:rPr>
        <w:t xml:space="preserve">A șasea tranșă (sprijin nerambursabil) </w:t>
      </w:r>
    </w:p>
    <w:tbl>
      <w:tblPr>
        <w:tblW w:w="9882" w:type="dxa"/>
        <w:tblInd w:w="113" w:type="dxa"/>
        <w:tblLook w:val="04A0" w:firstRow="1" w:lastRow="0" w:firstColumn="1" w:lastColumn="0" w:noHBand="0" w:noVBand="1"/>
      </w:tblPr>
      <w:tblGrid>
        <w:gridCol w:w="928"/>
        <w:gridCol w:w="1239"/>
        <w:gridCol w:w="1230"/>
        <w:gridCol w:w="6485"/>
      </w:tblGrid>
      <w:tr>
        <w:trPr>
          <w:trHeight w:val="906"/>
          <w:tblHeader/>
        </w:trPr>
        <w:tc>
          <w:tcPr>
            <w:tcW w:w="92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Număr</w:t>
            </w:r>
          </w:p>
        </w:tc>
        <w:tc>
          <w:tcPr>
            <w:tcW w:w="123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Măsură conexă (reformă sau investiție)</w:t>
            </w:r>
          </w:p>
        </w:tc>
        <w:tc>
          <w:tcPr>
            <w:tcW w:w="123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Jalon/Țintă</w:t>
            </w:r>
          </w:p>
        </w:tc>
        <w:tc>
          <w:tcPr>
            <w:tcW w:w="6485"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Denumire</w:t>
            </w:r>
          </w:p>
        </w:tc>
      </w:tr>
      <w:tr>
        <w:trPr>
          <w:trHeight w:val="230"/>
          <w:tblHeader/>
        </w:trPr>
        <w:tc>
          <w:tcPr>
            <w:tcW w:w="928"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lang w:val="en-IE" w:eastAsia="en-GB"/>
              </w:rPr>
            </w:pPr>
          </w:p>
        </w:tc>
        <w:tc>
          <w:tcPr>
            <w:tcW w:w="1239"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lang w:val="en-IE" w:eastAsia="en-GB"/>
              </w:rPr>
            </w:pPr>
          </w:p>
        </w:tc>
        <w:tc>
          <w:tcPr>
            <w:tcW w:w="1230"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lang w:val="en-IE" w:eastAsia="en-GB"/>
              </w:rPr>
            </w:pPr>
          </w:p>
        </w:tc>
        <w:tc>
          <w:tcPr>
            <w:tcW w:w="6485" w:type="dxa"/>
            <w:vMerge/>
            <w:tcBorders>
              <w:top w:val="single" w:sz="4" w:space="0" w:color="auto"/>
              <w:left w:val="nil"/>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lang w:val="en-IE" w:eastAsia="en-GB"/>
              </w:rPr>
            </w:pP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w:t>
            </w:r>
          </w:p>
        </w:tc>
        <w:tc>
          <w:tcPr>
            <w:tcW w:w="1239"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C1.R2</w:t>
            </w:r>
          </w:p>
        </w:tc>
        <w:tc>
          <w:tcPr>
            <w:tcW w:w="1230"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Adoptarea unei legi privind mobilitatea durabilă și finanțarea transporturilor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5</w:t>
            </w:r>
          </w:p>
        </w:tc>
        <w:tc>
          <w:tcPr>
            <w:tcW w:w="1239"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C1.I1</w:t>
            </w:r>
          </w:p>
        </w:tc>
        <w:tc>
          <w:tcPr>
            <w:tcW w:w="1230"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Buget cheltuit pentru achiziții sau acordat de comunitățile autonome de cel puțin 900 milioane EUR pentru promovarea mobilității durabile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6</w:t>
            </w:r>
          </w:p>
        </w:tc>
        <w:tc>
          <w:tcPr>
            <w:tcW w:w="1239"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C1.I1</w:t>
            </w:r>
          </w:p>
        </w:tc>
        <w:tc>
          <w:tcPr>
            <w:tcW w:w="1230"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Proiecte finalizate care promovează mobilitatea durabilă, inclusiv în zonele urbane și metropolitane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Vehicule electrice și puncte de reîncărcare instalate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Linii de cale ferată pe distanțe scurte (Cercanías)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Stații îmbunătățite cu ajutorul digitalizării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Stații „Cercanías” îmbunătățite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Finalizarea acțiunilor de renovare a locuințelor, obținând, în medie, o reducere cu cel puțin 30 % a cererii de energie primară (cel puțin 231 000 de acțiuni în cel puțin 160 000 de locuințe unice)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Acordarea de renovări pentru locuințe rezidențiale și clădiri nerezidențiale, obținându-se, în medie, o reducere cu cel puțin 30 % a cererii de energie primară</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49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C3.I2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Intrarea în funcțiune a unei instalații pentru animale, a unui laborator care are atât un nivel de biosecuritate 3, cât și un Laborator Național pentru Sănătatea Plantelor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50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C3.I3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Îmbunătățirea centrelor de curățare și dezinfectare și a centrelor de producție a materialului de reproducere a plantelor, cu consolidarea formării și a sistemelor de biosecuritate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54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C3.I5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Sprijinirea IMM-urilor agroalimentare pentru a pune în aplicare proiecte de afaceri inovatoare și digitale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58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C3.I8</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Proiecte de cercetare, dezvoltare și inovare pentru a sprijini reziliența și sustenabilitatea sectorului pescuitului și acvaculturii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59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C3.I9</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Consolidarea digitală a Sistemului spaniol de informații privind pescuitul (SIPE) și a sistemului de supraveghere a pescuitului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67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C4.I2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Zonele marine protejate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78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C5.I2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Reducerea volumului de apă extrasă din acvifere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79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C5.I3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Punerea în funcțiune a instrumentelor de îmbunătățire a cunoștințelor și a utilizării resurselor de apă și de monitorizare a precipitațiilor și a altor date meteorologice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81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C5.I4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Refacerea zonelor degradate și a ecosistemelor pe o distanță de cel puțin 100 km de coastă</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106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C7.R1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Capacitate de producție suplimentară pentru energia din surse regenerabile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107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C7.R1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Capacitatea suplimentară cumulată de energie din surse regenerabile instalată în Spania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111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C7.R3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Finalizarea proiectelor-pilot în domeniul energiei în comunitățile locale.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114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C7.R4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Finalizarea măsurilor identificate în foaia de parcurs privind biogazul.</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116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C7.I1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Noi proiecte, tehnologii sau instalații de infrastructură marină pentru energia din surse regenerabile.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118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C7.I2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Biroul pentru energie curată și proiecte inteligente pentru insule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123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C8.R3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Intrarea în vigoare a măsurilor de reglementare pentru integrarea flexibilității și a redistribuirii cererii.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125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C8.I1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Proiecte inovatoare de stocare atribuite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127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C8.I2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Proiecte inovatoare de digitalizare pentru distribuția energiei electrice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128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C8.I3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Proiecte de promovare a unor noi modele de afaceri pentru tranziția energetică</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132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C9.I1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Evoluții tehnologice în lanțul valoric al hidrogenului din surse regenerabile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133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C9.I1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Clustere de hidrogen regenerabil (sau văi)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134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C9.I1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Proiecte de pionierat pe bază de hidrogen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135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C9.I1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Instalații de testare sau noi linii de producție.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141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C10.I1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Asistență pentru căutarea unui loc de muncă și recalificare pentru șomeri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142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C10.I1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Proiecte de investiții pentru adaptarea instalațiilor industriale pentru hidrogen ecologic și stocarea energiei.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149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C11.R1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Statutul noului organism public de evaluare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160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C11.I1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Interconectarea platformelor naționale de achiziții publice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161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C11.I1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Atribuirea proiectelor care sprijină transformarea digitală a administrației publice centrale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163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C11.I2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Platforme interoperabile pentru schimbul de date privind securitatea socială și sănătatea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164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C11.I2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Procedura judiciară care trebuie efectuată pe cale electronică</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165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C11.I2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Atribuirea de proiecte care sprijină proiectele de stimulare a digitalizării ale administrației publice centrale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167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C11.I3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Digitalizarea entităților regionale și locale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176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C12.R1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Intrarea în vigoare a Legii privind industria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187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C12.I3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Finalizarea proiectelor de sprijinire a punerii în aplicare a legislației privind deșeurile și de promovare a economiei circulare în întreprinderi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193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C13.I1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Antreprenori sau IMM-uri care beneficiază de măsuri de stimulare a ecosistemului antreprenorial</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194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C13.I1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Utilizatorii care beneficiază de măsuri de stimulare a ecosistemului antreprenorial</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195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C13.I1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Alte acțiuni de diseminare, comunicare și finanțare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196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C13.I2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Garanția CERSA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197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C13.I2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IMM-uri sprijinite de programul „Competențe pentru creșterea IMM-urilor”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198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C13.I2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Antreprenori și IMM-uri sprijinite de Programul de sprijin pentru antreprenoriatul industrial</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204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C13.I3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IMM-uri sprijinite de programul de instrumente digitale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205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C13.I3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Execuția bugetului programului „Agenții schimbării”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206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C13.I3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Execuția bugetului Programului de sprijin pentru clusterele de afaceri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207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C13.I3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Execuția bugetului programului pentru centrele de inovare digitală</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210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C13.I4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IMM-uri și asociații de întreprinderi care au primit sprijin din partea Fondului tehnologic</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219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C14.I1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Bugetul alocat pentru planurile de promovare a durabilității turismului la destinație.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236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C15.I1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Extinderea benzii largi ultrarapide: atribuire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238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C15.I2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Îmbunătățirea conectivității în centrele și sectoarele-cheie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239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C15.I3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Vouchere pentru conectivitate pentru IMM-uri și grupuri vulnerabile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240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C15.I4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Adaptarea infrastructurii de telecomunicații în clădiri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243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C15.I6</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Implementarea tehnologiei 5G: atribuire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246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C15.I7</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Consolidarea și îmbunătățirea capacităților de securitate cibernetică: Resurse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247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C15.I7</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Consolidarea și îmbunătățirea capacităților de securitate cibernetică: Linie de asistență în materie de securitate cibernetică</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251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C16.R1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Sprijin pentru proiectele privind inteligența artificială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256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C17.R2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Evaluarea intermediară a Strategiei spaniole pentru știință, tehnologie și inovare 2021</w:t>
            </w:r>
            <w:r>
              <w:rPr>
                <w:rFonts w:ascii="Times New Roman" w:hAnsi="Times New Roman" w:cs="Times New Roman"/>
                <w:bCs/>
                <w:noProof/>
                <w:color w:val="000000"/>
                <w:sz w:val="18"/>
                <w:szCs w:val="18"/>
              </w:rPr>
              <w:t>­</w:t>
            </w:r>
            <w:r>
              <w:rPr>
                <w:rFonts w:ascii="Times New Roman" w:hAnsi="Times New Roman"/>
                <w:bCs/>
                <w:noProof/>
                <w:color w:val="000000"/>
                <w:sz w:val="18"/>
                <w:szCs w:val="18"/>
              </w:rPr>
              <w:t xml:space="preserve">2027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265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C17.I5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Întreprinderile inovatoare și bazate pe tehnologie au primit capital în cadrul programului INNVIERTE pentru a-și consolida activitățile de cercetare într-un stadiu incipient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269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C17.I7</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Centrul C &amp; D de stocare a energiei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bCs/>
                <w:noProof/>
                <w:color w:val="000000"/>
                <w:sz w:val="18"/>
                <w:szCs w:val="18"/>
              </w:rPr>
            </w:pPr>
            <w:r>
              <w:rPr>
                <w:rFonts w:ascii="Times New Roman" w:hAnsi="Times New Roman"/>
                <w:noProof/>
                <w:color w:val="000000"/>
                <w:sz w:val="18"/>
                <w:szCs w:val="18"/>
              </w:rPr>
              <w:t>271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bCs/>
                <w:noProof/>
                <w:color w:val="000000"/>
                <w:sz w:val="18"/>
                <w:szCs w:val="18"/>
              </w:rPr>
            </w:pPr>
            <w:r>
              <w:rPr>
                <w:rFonts w:ascii="Times New Roman" w:hAnsi="Times New Roman"/>
                <w:noProof/>
                <w:color w:val="000000"/>
                <w:sz w:val="18"/>
                <w:szCs w:val="18"/>
              </w:rPr>
              <w:t>C17.I9</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bCs/>
                <w:noProof/>
                <w:color w:val="000000"/>
                <w:sz w:val="18"/>
                <w:szCs w:val="18"/>
              </w:rPr>
            </w:pPr>
            <w:r>
              <w:rPr>
                <w:rFonts w:ascii="Times New Roman" w:hAnsi="Times New Roman"/>
                <w:noProof/>
                <w:color w:val="000000"/>
                <w:sz w:val="18"/>
                <w:szCs w:val="18"/>
              </w:rPr>
              <w:t xml:space="preserve">Sprijin pentru C &amp; D &amp; Proiecte de inovare în domeniul aerospațial, cu accent pe emisii scăzute și zero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275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C18.R3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Legea privind echitatea, universalitatea și coeziunea sistemului național de sănătate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276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C18.R4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Legea privind statutul-cadru al personalului statutar din domeniul sănătății.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277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C18.R5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Legea privind garanțiile și utilizarea rațională a produselor medicale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279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C18.I1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Instalarea/reînnoirea/extinderea echipamentelor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280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C18.I2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Campanii și acțiuni în domeniul sănătății publice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281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C18.I3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Sistemul de informații al rețelei de supraveghere a sănătății publice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282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C18.I4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Profesioniști din domeniul sănătății formați în cadrul planurilor de formare continuă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283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C18.I5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Sistemul VALTERMED și platforma pentru evaluarea tehnologiilor și beneficiilor medicale ale sistemului național de sănătate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284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C18.I6</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Lacul cu date medicale operațional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286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C19.I1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Formarea cetățenilor cu privire la competențele digitale.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308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C21.I1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Premiul bugetar pentru promovarea primului ciclu de educație a copiilor preșcolari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312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C21.I4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Burse și burse pentru studenți postdoctorali, profesori asistenți și cercetători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313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C21.I5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Creșterea „Indicelui digital pentru universități”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320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C22.R5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Intrarea în vigoare a unei legislații pentru reorganizarea și simplificarea sistemului de prestații financiare necontributive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322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C22.I1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Servicii de telecomunicații la domiciliu în cadrul sistemului de autonomie și îngrijire pentru dependență (SAAD)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323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C22.I1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Centre rezidențiale, nerezidențiale și de zi.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324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C22.I2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Punerea în aplicare a unor instrumente tehnologice specifice pentru îmbunătățirea sistemelor de informare și gestionare a serviciilor sociale.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325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C22.I2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Finalizarea proiectelor de transformare tehnologică a serviciilor sociale și de modernizare a infrastructurii și a serviciilor legate de protecția rezidențială și familiile substitutive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327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C22.I4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Centre pentru victimele violenței sexuale.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341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C23.R11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Certificate de finalizare a serviciilor în cadrul contractelor de modernizare a serviciului public de ocupare a forței de muncă de stat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346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C23.I4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Au fost finalizate proiecte teritoriale pentru grupurile vulnerabile, antreprenoriat și microîntreprinderi, care implică cel puțin 39 000 de lucrători și 64 000 de întreprinderi.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347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C23.I5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Centrele publice de orientare, antreprenoriat, sprijin și inovare pentru noi locuri de muncă sunt pe deplin operaționale.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348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C23.I5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Acțiuni de formare pentru personalul SPOFM</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349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C23.I6</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Proiecte de economie socială finalizate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353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C24.R2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Intrarea în vigoare a măsurilor legislative și de reglementare pentru consolidarea drepturilor de autor și a drepturilor conexe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354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C24.I1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Consolidarea competitivității industriilor culturale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355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C24.I2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Modernizarea și gestionarea durabilă a infrastructurii artelor spectacolului și muzicale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356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C24.I2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Conservarea, restaurarea și consolidarea patrimoniului cultural spaniol</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357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C24.I2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Licențe pentru cărți electronice pentru biblioteci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358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C24.I2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Cumpărături de cărți pentru biblioteci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359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C24.I2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Stimularea inițiativelor culturale și creative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361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C24.I3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Finalizarea digitalizării și promovarea serviciilor culturale majore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362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C24.I3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Finalizarea digitizării patrimoniului bibliografic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365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C25.R1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 Intrarea în vigoare a legii privind cinematografia.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366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C25.I1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Sprijinirea IMM-urilor în sectorul audiovizual.</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368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C26.R2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Intrarea în vigoare a Legii privind reglementarea anumitor profesii sportive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369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C26.R3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Strategia națională pentru promovarea sportului împotriva stilului de viață sedentar și a inactivității fizice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370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C26.I1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Digitalizarea sectorului sportiv</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371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C26.I1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Centre de medicină sportivă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372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C26.I1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Finalizarea proiectelor informatice în centrele de înaltă performanță și în administrarea antidoping</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375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C26.I3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Finalizarea acțiunilor din cadrul Planului social pentru sport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382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C27.R3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Furnizarea a patru platforme digitale de sprijin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405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C29.R3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Raport de aliniere la bugetul verde</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lang w:val="fr-BE" w:eastAsia="en-GB"/>
              </w:rPr>
            </w:pPr>
          </w:p>
        </w:tc>
        <w:tc>
          <w:tcPr>
            <w:tcW w:w="1239"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lang w:val="fr-BE" w:eastAsia="en-GB"/>
              </w:rPr>
            </w:pPr>
          </w:p>
        </w:tc>
        <w:tc>
          <w:tcPr>
            <w:tcW w:w="1230"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szCs w:val="20"/>
              </w:rPr>
              <w:t>Cuantumul tranșei</w:t>
            </w:r>
          </w:p>
        </w:tc>
        <w:tc>
          <w:tcPr>
            <w:tcW w:w="6485"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szCs w:val="20"/>
              </w:rPr>
              <w:t xml:space="preserve">9 195 402 299 EUR  </w:t>
            </w:r>
          </w:p>
        </w:tc>
      </w:tr>
    </w:tbl>
    <w:p>
      <w:pPr>
        <w:pStyle w:val="Text1"/>
        <w:rPr>
          <w:noProof/>
          <w:lang w:val="fr-BE"/>
        </w:rPr>
      </w:pPr>
    </w:p>
    <w:p>
      <w:pPr>
        <w:pStyle w:val="NumPar2"/>
        <w:rPr>
          <w:noProof/>
        </w:rPr>
      </w:pPr>
      <w:r>
        <w:rPr>
          <w:noProof/>
        </w:rPr>
        <w:t xml:space="preserve">A șaptea tranșă (sprijin nerambursabil): </w:t>
      </w:r>
    </w:p>
    <w:tbl>
      <w:tblPr>
        <w:tblW w:w="9882" w:type="dxa"/>
        <w:tblInd w:w="113" w:type="dxa"/>
        <w:tblLook w:val="04A0" w:firstRow="1" w:lastRow="0" w:firstColumn="1" w:lastColumn="0" w:noHBand="0" w:noVBand="1"/>
      </w:tblPr>
      <w:tblGrid>
        <w:gridCol w:w="928"/>
        <w:gridCol w:w="1239"/>
        <w:gridCol w:w="1230"/>
        <w:gridCol w:w="6485"/>
      </w:tblGrid>
      <w:tr>
        <w:trPr>
          <w:trHeight w:val="906"/>
          <w:tblHeader/>
        </w:trPr>
        <w:tc>
          <w:tcPr>
            <w:tcW w:w="92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Număr</w:t>
            </w:r>
          </w:p>
        </w:tc>
        <w:tc>
          <w:tcPr>
            <w:tcW w:w="123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Măsură conexă (reformă sau investiție)</w:t>
            </w:r>
          </w:p>
        </w:tc>
        <w:tc>
          <w:tcPr>
            <w:tcW w:w="123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Jalon/Țintă</w:t>
            </w:r>
          </w:p>
        </w:tc>
        <w:tc>
          <w:tcPr>
            <w:tcW w:w="6485"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Denumire</w:t>
            </w:r>
          </w:p>
        </w:tc>
      </w:tr>
      <w:tr>
        <w:trPr>
          <w:trHeight w:val="230"/>
          <w:tblHeader/>
        </w:trPr>
        <w:tc>
          <w:tcPr>
            <w:tcW w:w="928"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lang w:val="en-IE" w:eastAsia="en-GB"/>
              </w:rPr>
            </w:pPr>
          </w:p>
        </w:tc>
        <w:tc>
          <w:tcPr>
            <w:tcW w:w="1239"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lang w:val="en-IE" w:eastAsia="en-GB"/>
              </w:rPr>
            </w:pPr>
          </w:p>
        </w:tc>
        <w:tc>
          <w:tcPr>
            <w:tcW w:w="1230"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lang w:val="en-IE" w:eastAsia="en-GB"/>
              </w:rPr>
            </w:pPr>
          </w:p>
        </w:tc>
        <w:tc>
          <w:tcPr>
            <w:tcW w:w="6485" w:type="dxa"/>
            <w:vMerge/>
            <w:tcBorders>
              <w:top w:val="single" w:sz="4" w:space="0" w:color="auto"/>
              <w:left w:val="nil"/>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lang w:val="en-IE" w:eastAsia="en-GB"/>
              </w:rPr>
            </w:pP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7</w:t>
            </w:r>
          </w:p>
        </w:tc>
        <w:tc>
          <w:tcPr>
            <w:tcW w:w="1239"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C1.I1</w:t>
            </w:r>
          </w:p>
        </w:tc>
        <w:tc>
          <w:tcPr>
            <w:tcW w:w="1230"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Bugetul cheltuit pentru achiziții sau acordat de municipalități cu scopul de a promova mobilitatea durabilă</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8</w:t>
            </w:r>
          </w:p>
        </w:tc>
        <w:tc>
          <w:tcPr>
            <w:tcW w:w="1239"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C1.I1</w:t>
            </w:r>
          </w:p>
        </w:tc>
        <w:tc>
          <w:tcPr>
            <w:tcW w:w="1230"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Atribuire de proiecte de îmbunătățire a noilor forme de mobilitate pe drumurile publice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Buget cumulat acordat pentru investiții în linii de cale ferată pe distanțe scurte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Finalizarea renovărilor clădirilor publice, obținându-se, în medie, o reducere cu cel puțin 30 % a cererii de energie primară (cel puțin 290 000 m²)</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71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C4.I3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Acțiuni de refacere a ecosistemelor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86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C6.I1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Rețeaua centrală TEN-T: evoluția lucrărilor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89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C6.I2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Rețeaua TEN-T non-centrală: progresele înregistrate în ceea ce privește lucrările feroviare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90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C6.I2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Cerul unic european: proiectul atribuit și progresele înregistrate în ceea ce privește finalizarea proiectelor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91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C6.I2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Digitalizarea Ministerului Transporturilor, Mobilității și Agendei urbane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96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C6.I3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Execuția bugetului pentru infrastructura intermodală și logistică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100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C6.I4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Transportul durabil și digital: demararea lucrărilor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119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C7.I2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Finalizarea proiectelor de sprijinire a tranziției energetice pe insule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150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C11.R1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Stabilizarea ocupării forței de muncă în sectorul public</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170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C11.I4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Renovarea vehiculelor în administrația publică</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171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C11.I4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Renovarea energetică a clădirilor publice (140 000 m²)</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185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C12.I2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Execuția bugetară a PERTE și a proiectelor inovatoare pentru transformarea industriei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208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C13.I3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Finalizarea programului privind setul de instrumente digitale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211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C13.I4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Acțiuni de modernizare a piețelor municipale sau a zonelor comerciale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212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C13.I4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Modernizarea infrastructurii de piață în localitățile mici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213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C13.I5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Societăți care participă la proiecte de sprijinire a internaționalizării lor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220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C14.I1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Finalizarea planurilor de promovare a durabilității turismului la destinație.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225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C14.I4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Proiecte care vizează zonele comerciale situate în zone locale cu un aflux turistic ridicat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262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C17.I3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Aprobarea proiectelor C &amp; I cu cel puțin 35 % legate de tranziția verde și digitală</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263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C17.I4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Sprijin pentru cariera în domeniul cercetării științifice prin burse și granturi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266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C17.I5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Sprijinirea întreprinderilor tinere bazate pe tehnologie pentru a-și continua planul de afaceri.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287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C19.I1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Finalizarea acțiunilor de consolidare a capacităților digitale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290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C19.I2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Finalizarea acțiunilor pentru transformarea digitală a educației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293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C19.I4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Programe de burse pentru talente digitale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297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C20.I1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Noi unități de competență ale Catalogului Național al Calificărilor Profesionale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298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C20.I1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Cursuri de formare modulare pentru perfecționarea și recalificarea angajaților și a șomerilor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299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C20.I2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Centre de excelență și inovare în formarea profesională</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301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C20.I3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Cicluri bilingve de formare profesională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302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C20.I3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Noi locuri EFP în comparație cu sfârșitul anului 2020</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305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C21.R2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Materiale pentru îndrumarea și sprijinirea cadrelor didactice în ceea ce privește punerea în aplicare a noii programe de învățământ și formarea profesioniștilor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309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C21.I1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Noi locuri pentru primul ciclu de educație a copiilor preșcolari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310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C21.I2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Sprijin pentru școli în cadrul programului PROA +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311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C21.I3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Unitățile de asistență și orientare pentru elevii vulnerabili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328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C22.I5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Capacitatea sistemului de primire a migranților și a solicitanților de protecție internațională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351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C23.I7</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Evaluare pentru a evalua gradul de acoperire, eficacitatea și succesul sistemelor de venit minim</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lang w:val="fr-BE" w:eastAsia="en-GB"/>
              </w:rPr>
            </w:pPr>
          </w:p>
        </w:tc>
        <w:tc>
          <w:tcPr>
            <w:tcW w:w="1239"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lang w:val="fr-BE" w:eastAsia="en-GB"/>
              </w:rPr>
            </w:pPr>
          </w:p>
        </w:tc>
        <w:tc>
          <w:tcPr>
            <w:tcW w:w="1230"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szCs w:val="20"/>
              </w:rPr>
              <w:t>Cuantumul tranșei</w:t>
            </w:r>
          </w:p>
        </w:tc>
        <w:tc>
          <w:tcPr>
            <w:tcW w:w="6485"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szCs w:val="20"/>
              </w:rPr>
              <w:t xml:space="preserve">3 995 348 232 EUR  </w:t>
            </w:r>
          </w:p>
        </w:tc>
      </w:tr>
    </w:tbl>
    <w:p>
      <w:pPr>
        <w:pStyle w:val="Text1"/>
        <w:rPr>
          <w:noProof/>
          <w:lang w:val="en-IE"/>
        </w:rPr>
      </w:pPr>
    </w:p>
    <w:p>
      <w:pPr>
        <w:pStyle w:val="NumPar2"/>
        <w:keepNext/>
        <w:rPr>
          <w:noProof/>
        </w:rPr>
      </w:pPr>
      <w:r>
        <w:rPr>
          <w:noProof/>
        </w:rPr>
        <w:t xml:space="preserve">A opta tranșă (sprijin nerambursabil) </w:t>
      </w:r>
    </w:p>
    <w:tbl>
      <w:tblPr>
        <w:tblW w:w="9882" w:type="dxa"/>
        <w:tblInd w:w="113" w:type="dxa"/>
        <w:tblLook w:val="04A0" w:firstRow="1" w:lastRow="0" w:firstColumn="1" w:lastColumn="0" w:noHBand="0" w:noVBand="1"/>
      </w:tblPr>
      <w:tblGrid>
        <w:gridCol w:w="928"/>
        <w:gridCol w:w="1239"/>
        <w:gridCol w:w="1230"/>
        <w:gridCol w:w="6485"/>
      </w:tblGrid>
      <w:tr>
        <w:trPr>
          <w:trHeight w:val="906"/>
          <w:tblHeader/>
        </w:trPr>
        <w:tc>
          <w:tcPr>
            <w:tcW w:w="92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keepNext/>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Număr</w:t>
            </w:r>
          </w:p>
        </w:tc>
        <w:tc>
          <w:tcPr>
            <w:tcW w:w="123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keepNext/>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Măsură conexă (reformă sau investiție)</w:t>
            </w:r>
          </w:p>
        </w:tc>
        <w:tc>
          <w:tcPr>
            <w:tcW w:w="123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keepNext/>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Jalon/Țintă</w:t>
            </w:r>
          </w:p>
        </w:tc>
        <w:tc>
          <w:tcPr>
            <w:tcW w:w="6485"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keepNext/>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Denumire</w:t>
            </w:r>
          </w:p>
        </w:tc>
      </w:tr>
      <w:tr>
        <w:trPr>
          <w:trHeight w:val="230"/>
          <w:tblHeader/>
        </w:trPr>
        <w:tc>
          <w:tcPr>
            <w:tcW w:w="928" w:type="dxa"/>
            <w:vMerge/>
            <w:tcBorders>
              <w:top w:val="single" w:sz="4" w:space="0" w:color="auto"/>
              <w:left w:val="single" w:sz="4" w:space="0" w:color="auto"/>
              <w:bottom w:val="single" w:sz="4" w:space="0" w:color="000000"/>
              <w:right w:val="single" w:sz="4" w:space="0" w:color="auto"/>
            </w:tcBorders>
            <w:vAlign w:val="center"/>
            <w:hideMark/>
          </w:tcPr>
          <w:p>
            <w:pPr>
              <w:keepNext/>
              <w:spacing w:after="0" w:line="240" w:lineRule="auto"/>
              <w:rPr>
                <w:rFonts w:ascii="Times New Roman" w:eastAsia="Times New Roman" w:hAnsi="Times New Roman" w:cs="Times New Roman"/>
                <w:b/>
                <w:bCs/>
                <w:noProof/>
                <w:sz w:val="20"/>
                <w:szCs w:val="20"/>
                <w:lang w:val="en-IE" w:eastAsia="en-GB"/>
              </w:rPr>
            </w:pPr>
          </w:p>
        </w:tc>
        <w:tc>
          <w:tcPr>
            <w:tcW w:w="1239" w:type="dxa"/>
            <w:vMerge/>
            <w:tcBorders>
              <w:top w:val="single" w:sz="4" w:space="0" w:color="auto"/>
              <w:left w:val="single" w:sz="4" w:space="0" w:color="auto"/>
              <w:bottom w:val="single" w:sz="4" w:space="0" w:color="000000"/>
              <w:right w:val="single" w:sz="4" w:space="0" w:color="auto"/>
            </w:tcBorders>
            <w:vAlign w:val="center"/>
            <w:hideMark/>
          </w:tcPr>
          <w:p>
            <w:pPr>
              <w:keepNext/>
              <w:spacing w:after="0" w:line="240" w:lineRule="auto"/>
              <w:rPr>
                <w:rFonts w:ascii="Times New Roman" w:eastAsia="Times New Roman" w:hAnsi="Times New Roman" w:cs="Times New Roman"/>
                <w:b/>
                <w:bCs/>
                <w:noProof/>
                <w:sz w:val="20"/>
                <w:szCs w:val="20"/>
                <w:lang w:val="en-IE" w:eastAsia="en-GB"/>
              </w:rPr>
            </w:pPr>
          </w:p>
        </w:tc>
        <w:tc>
          <w:tcPr>
            <w:tcW w:w="1230" w:type="dxa"/>
            <w:vMerge/>
            <w:tcBorders>
              <w:top w:val="single" w:sz="4" w:space="0" w:color="auto"/>
              <w:left w:val="single" w:sz="4" w:space="0" w:color="auto"/>
              <w:bottom w:val="single" w:sz="4" w:space="0" w:color="000000"/>
              <w:right w:val="single" w:sz="4" w:space="0" w:color="auto"/>
            </w:tcBorders>
            <w:vAlign w:val="center"/>
            <w:hideMark/>
          </w:tcPr>
          <w:p>
            <w:pPr>
              <w:keepNext/>
              <w:spacing w:after="0" w:line="240" w:lineRule="auto"/>
              <w:rPr>
                <w:rFonts w:ascii="Times New Roman" w:eastAsia="Times New Roman" w:hAnsi="Times New Roman" w:cs="Times New Roman"/>
                <w:b/>
                <w:bCs/>
                <w:noProof/>
                <w:sz w:val="20"/>
                <w:szCs w:val="20"/>
                <w:lang w:val="en-IE" w:eastAsia="en-GB"/>
              </w:rPr>
            </w:pPr>
          </w:p>
        </w:tc>
        <w:tc>
          <w:tcPr>
            <w:tcW w:w="6485" w:type="dxa"/>
            <w:vMerge/>
            <w:tcBorders>
              <w:top w:val="single" w:sz="4" w:space="0" w:color="auto"/>
              <w:left w:val="nil"/>
              <w:bottom w:val="single" w:sz="4" w:space="0" w:color="000000"/>
              <w:right w:val="single" w:sz="4" w:space="0" w:color="auto"/>
            </w:tcBorders>
            <w:vAlign w:val="center"/>
            <w:hideMark/>
          </w:tcPr>
          <w:p>
            <w:pPr>
              <w:keepNext/>
              <w:spacing w:after="0" w:line="240" w:lineRule="auto"/>
              <w:rPr>
                <w:rFonts w:ascii="Times New Roman" w:eastAsia="Times New Roman" w:hAnsi="Times New Roman" w:cs="Times New Roman"/>
                <w:b/>
                <w:bCs/>
                <w:noProof/>
                <w:sz w:val="20"/>
                <w:szCs w:val="20"/>
                <w:lang w:val="en-IE" w:eastAsia="en-GB"/>
              </w:rPr>
            </w:pP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keepNext/>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9</w:t>
            </w:r>
          </w:p>
        </w:tc>
        <w:tc>
          <w:tcPr>
            <w:tcW w:w="1239" w:type="dxa"/>
            <w:tcBorders>
              <w:top w:val="nil"/>
              <w:left w:val="nil"/>
              <w:bottom w:val="single" w:sz="4" w:space="0" w:color="auto"/>
              <w:right w:val="single" w:sz="4" w:space="0" w:color="auto"/>
            </w:tcBorders>
            <w:shd w:val="clear" w:color="auto" w:fill="C6EFCE"/>
            <w:noWrap/>
            <w:vAlign w:val="center"/>
            <w:hideMark/>
          </w:tcPr>
          <w:p>
            <w:pPr>
              <w:keepNext/>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C1.I1</w:t>
            </w:r>
          </w:p>
        </w:tc>
        <w:tc>
          <w:tcPr>
            <w:tcW w:w="1230" w:type="dxa"/>
            <w:tcBorders>
              <w:top w:val="nil"/>
              <w:left w:val="nil"/>
              <w:bottom w:val="single" w:sz="4" w:space="0" w:color="auto"/>
              <w:right w:val="single" w:sz="4" w:space="0" w:color="auto"/>
            </w:tcBorders>
            <w:shd w:val="clear" w:color="auto" w:fill="C6EFCE"/>
            <w:noWrap/>
            <w:vAlign w:val="center"/>
            <w:hideMark/>
          </w:tcPr>
          <w:p>
            <w:pPr>
              <w:keepNext/>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hideMark/>
          </w:tcPr>
          <w:p>
            <w:pPr>
              <w:keepNext/>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Proiecte finalizate care promovează mobilitatea durabilă, inclusiv în zonele urbane și metropolitane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10</w:t>
            </w:r>
          </w:p>
        </w:tc>
        <w:tc>
          <w:tcPr>
            <w:tcW w:w="1239"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C1.I1</w:t>
            </w:r>
          </w:p>
        </w:tc>
        <w:tc>
          <w:tcPr>
            <w:tcW w:w="1230"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Îmbunătățirea drumurilor de stat din zonele urbane pentru a promova noi forme de mobilitate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13</w:t>
            </w:r>
          </w:p>
        </w:tc>
        <w:tc>
          <w:tcPr>
            <w:tcW w:w="1239"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C1.I2</w:t>
            </w:r>
          </w:p>
        </w:tc>
        <w:tc>
          <w:tcPr>
            <w:tcW w:w="1230"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Finalizarea proiectelor inovatoare de promovare a electromobilității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Linii feroviare pe distanțe scurte (Cercanías) modernizate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Stații îmbunătățite cu ajutorul digitalizării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Stații „Cercanías” îmbunătățite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Suprafețele, exprimate în hectare, situate în zone sau cartiere care fac obiectul unei renovări finalizate, cu o reducere medie de cel puțin 30 % a cererii de energie primară</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Finalizarea acțiunilor de renovare a locuințelor, obținând, în medie, o reducere cu cel puțin 30 % a cererii de energie primară (cel puțin 510 000 de acțiuni în cel puțin 355 000 de locuințe unice)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Locuințe noi construite pentru închiriere socială sau la prețuri accesibile, în conformitate cu criteriile de eficiență energetică</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Finalizarea renovărilor pentru locuințele rezidențiale și clădirile nerezidențiale, obținându-se, în medie, o reducere cu cel puțin 30 % a cererii de energie primară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Finalizarea renovării locuințelor în municipalitățile cu mai puțin de 5 000 de locuitori, obținându-se, în medie, o reducere cu cel puțin 30 % a cererii de energie primară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Proiecte în domeniul energiei curate în municipalități cu mai puțin de 5 000 de locuitori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Finalizarea renovărilor clădirilor publice, obținându-se, în medie, o reducere cu cel puțin 30 % a cererii de energie primară (cel puțin 1 230 000 m²)</w:t>
            </w:r>
            <w:r>
              <w:rPr>
                <w:rFonts w:ascii="Times New Roman" w:hAnsi="Times New Roman"/>
                <w:bCs/>
                <w:noProof/>
                <w:color w:val="000000"/>
                <w:sz w:val="18"/>
                <w:szCs w:val="18"/>
              </w:rPr>
              <w:t xml:space="preserv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48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C3.I1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Modernizarea sistemelor de irigații modernizate în ceea ce privește economisirea apei și eficiența energetică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52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C3.I4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Proiecte finalizate pentru agricultura de precizie, eficiența energetică, economia circulară și utilizarea energiei din surse regenerabile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66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C4.I1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Finalizarea actualizărilor și modernizărilor aeronavelor de stingere a incendiilor și operaționalizarea sistemului de monitorizare și gestionare a cunoștințelor privind biodiversitatea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68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C4.I2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Zonele marine protejate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69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C4.I2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Acțiuni de conservare a biodiversității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72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C4.I3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Finalizarea reabilitării fostelor situri miniere (cel puțin 30 de foste situri miniere)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87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C6.I1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Rețeaua centrală TEN-T: finalizarea lucrărilor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92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C6.I2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Rețea TEN-T nouă sau modernizată, alte lucrări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93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C6.I2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Cerul unic european: finalizarea proiectului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94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C6.I2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Rețeaua rutieră de stat adaptată la reglementările actuale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97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C6.I3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Infrastructura intermodală și logistică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98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C6.I3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Finalizarea proiectelor privind accesibilitatea feroviară și a proiectelor de sustenabilitate în porturi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101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C6.I4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Transportul durabil și digital: finalizarea lucrărilor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117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C7.I1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Capacitate de producție suplimentară pentru energia din surse regenerabile inovatoare sau cu valoare adăugată.</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120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C7.I2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Capacitate suplimentară de producție pentru energia din surse regenerabile în insule.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126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C8.I1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Proiecte de stocare inovatoare operaționale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136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C9.I1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Capacitatea electrolizorului autorizată</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143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C10.I1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Terenuri reabilitate în mine de cărbune închise sau în zone adiacente centralelor electrice.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162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C11.I1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Finalizarea proiectelor de sprijinire a transformării digitale a administrației publice centrale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166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C11.I2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Finalizarea proiectelor care sprijină proiectele de stimulare a digitalizării ale administrației publice centrale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168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C11.I3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Atribuirea proiectelor de sprijinire a transformării digitale a administrațiilor publice regionale și locale și a Ministerului pentru Politică Teritorială și Administrație Publică</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169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C11.I3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Finalizarea tuturor proiectelor de sprijinire a transformării digitale a administrațiilor publice regionale și locale și a Ministerului pentru Politică Teritorială și Administrație Publică</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172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C11.I4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Renovări energetice în clădirile publice (1 000 000 m²)</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175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C11.I5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Formarea personalului din administrația publică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180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C12.I1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Spații de date sectoriale și interoperabile de mare valoare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186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C12.I2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Finalizarea proiectelor PERTE și a proiectelor inovatoare pentru transformarea industriei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188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C12.I3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Creșterea deșeurilor municipale colectate separat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209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C13.I3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IMM-urile care au finalizat acțiuni menite să sporească utilizarea tehnologiilor digitale (cu excepția setului de instrumente digitale)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221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C14.I1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Finalizarea proiectelor de promovare a durabilității destinațiilor turistice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222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C14.I2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Lansarea platformei pentru o destinație inteligentă a sectorului turismului.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223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C14.I2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Beneficiarii proiectelor inovatoare bazate pe tehnologie legate de IA și de alte tehnologii generice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224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C14.I3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Beneficiari din regiunile extrapeninsulare care au finalizat proiecte de îmbunătățire a competitivității și a capacității de adaptare la schimbările de pe piețele naționale.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226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C14.I4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Produse turistice livrate în conformitate cu strategia în domeniul turismului.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227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C14.I4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Unități turistice care își reduc consumul anual de deșeuri sau de energie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228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C14.I4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Proiecte de regenerare a siturilor de patrimoniu istoric cu o utilizare turistică actuală sau viitoare.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237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C15.I1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Extinderea benzii largi ultrarapide: Finalizarea proiectului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242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C15.I5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Îmbunătățirea infrastructurii digitale transfrontaliere: finalizarea proiectului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244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C15.I6</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Implementarea tehnologiei 5G: Finalizarea proiectului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248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C15.I7</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Finalizarea proiectelor din cadrul Programului național de sprijin pentru industria securității cibernetice, al Programului de inovare în domeniul securității globale și al acțiunilor conexe.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252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C16.R1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Misiunile de țară vizate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253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C16.R1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Finalizarea proiectelor privind inteligența artificială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260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C17.I2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Finalizarea tuturor proiectelor de consolidare a infrastructurilor științifice și a capacității sistemului spaniol de tehnologie științifică și inovare, inclusiv a proiectelor privind infrastructura europeană și internațională.</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264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C17.I4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Finalizarea bursei și a burselor pentru sprijinirea carierei spaniole în domeniul cercetării științifice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268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C17.I6</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Finalizarea tuturor proiectelor de consolidare a cercetării și inovării în sectorul sănătății.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272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C17.I9</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Finalizarea C &amp; D &amp; Proiecte de inovare în domeniul aerospațial, cu accent pe emisii scăzute și zero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288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C19.I1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Formarea cetățenilor cu privire la competențele digitale.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291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C19.I2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Furnizarea de dispozitive digitale conectate în școlile publice și subvenționate din fonduri publice pentru a reduce „decalajul digital” și echiparea a cel puțin 240 000 săli de clasă</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292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C19.I3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Formare digitală pentru ocuparea forței de muncă</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294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C19.I4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Formarea profesioniștilor din domeniul IT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342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C23.I1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Persoane care au finalizat programele pentru tineret.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343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C23.I2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Persoane care au finalizat programul „Plan Emilio Mujer, rural and Urban areas” și „Victimele violenței de gen și ale traficului uman”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344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C23.I3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Persoane care au absolvit programe de formare în vederea dobândirii de competențe pentru transformarea digitală, ecologică și productivă</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bCs/>
                <w:noProof/>
                <w:color w:val="000000"/>
                <w:sz w:val="18"/>
                <w:szCs w:val="18"/>
              </w:rPr>
            </w:pPr>
            <w:r>
              <w:rPr>
                <w:rFonts w:ascii="Times New Roman" w:hAnsi="Times New Roman"/>
                <w:bCs/>
                <w:noProof/>
                <w:color w:val="000000"/>
                <w:sz w:val="18"/>
                <w:szCs w:val="18"/>
              </w:rPr>
              <w:t>373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bCs/>
                <w:noProof/>
                <w:color w:val="000000"/>
                <w:sz w:val="18"/>
                <w:szCs w:val="18"/>
              </w:rPr>
            </w:pPr>
            <w:r>
              <w:rPr>
                <w:rFonts w:ascii="Times New Roman" w:hAnsi="Times New Roman"/>
                <w:bCs/>
                <w:noProof/>
                <w:color w:val="000000"/>
                <w:sz w:val="18"/>
                <w:szCs w:val="18"/>
              </w:rPr>
              <w:t>C26.I2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bCs/>
                <w:noProof/>
                <w:color w:val="000000"/>
                <w:sz w:val="18"/>
                <w:szCs w:val="18"/>
              </w:rPr>
            </w:pPr>
            <w:r>
              <w:rPr>
                <w:rFonts w:ascii="Times New Roman" w:hAnsi="Times New Roman"/>
                <w:bCs/>
                <w:noProof/>
                <w:color w:val="000000"/>
                <w:sz w:val="18"/>
                <w:szCs w:val="18"/>
              </w:rPr>
              <w:t xml:space="preserve">Renovarea și îmbunătățirea centrelor tehnice pentru sport și facilități sportive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lang w:val="en-IE" w:eastAsia="en-GB"/>
              </w:rPr>
            </w:pPr>
          </w:p>
        </w:tc>
        <w:tc>
          <w:tcPr>
            <w:tcW w:w="1239"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lang w:val="en-IE" w:eastAsia="en-GB"/>
              </w:rPr>
            </w:pPr>
          </w:p>
        </w:tc>
        <w:tc>
          <w:tcPr>
            <w:tcW w:w="1230"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szCs w:val="20"/>
              </w:rPr>
              <w:t>Cuantumul tranșei</w:t>
            </w:r>
          </w:p>
        </w:tc>
        <w:tc>
          <w:tcPr>
            <w:tcW w:w="6485"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szCs w:val="20"/>
              </w:rPr>
              <w:t xml:space="preserve">4 597 701 149 EUR  </w:t>
            </w:r>
          </w:p>
        </w:tc>
      </w:tr>
    </w:tbl>
    <w:p>
      <w:pPr>
        <w:spacing w:before="120" w:after="120" w:line="240" w:lineRule="auto"/>
        <w:jc w:val="both"/>
        <w:rPr>
          <w:rFonts w:ascii="Times New Roman" w:hAnsi="Times New Roman" w:cs="Times New Roman"/>
          <w:noProof/>
          <w:sz w:val="24"/>
          <w:lang w:val="en-IE"/>
        </w:rPr>
      </w:pPr>
    </w:p>
    <w:p>
      <w:pPr>
        <w:rPr>
          <w:rFonts w:ascii="Times New Roman" w:hAnsi="Times New Roman" w:cs="Times New Roman"/>
          <w:b/>
          <w:bCs/>
          <w:noProof/>
          <w:sz w:val="28"/>
          <w:szCs w:val="28"/>
        </w:rPr>
      </w:pPr>
      <w:r>
        <w:rPr>
          <w:noProof/>
        </w:rPr>
        <w:br w:type="page"/>
      </w:r>
    </w:p>
    <w:p>
      <w:pPr>
        <w:spacing w:before="60" w:after="60" w:line="240" w:lineRule="auto"/>
        <w:rPr>
          <w:rFonts w:ascii="Times New Roman" w:hAnsi="Times New Roman" w:cs="Times New Roman"/>
          <w:b/>
          <w:noProof/>
          <w:sz w:val="28"/>
          <w:szCs w:val="28"/>
        </w:rPr>
      </w:pPr>
      <w:r>
        <w:rPr>
          <w:rFonts w:ascii="Times New Roman" w:hAnsi="Times New Roman"/>
          <w:b/>
          <w:noProof/>
          <w:sz w:val="28"/>
          <w:szCs w:val="28"/>
        </w:rPr>
        <w:t xml:space="preserve">SECȚIUNEA 3: MĂSURI SUPLIMENTARE </w:t>
      </w:r>
    </w:p>
    <w:p>
      <w:pPr>
        <w:pStyle w:val="NumPar1"/>
        <w:numPr>
          <w:ilvl w:val="0"/>
          <w:numId w:val="150"/>
        </w:numPr>
        <w:spacing w:before="60" w:after="60"/>
        <w:rPr>
          <w:b/>
          <w:noProof/>
        </w:rPr>
      </w:pPr>
      <w:r>
        <w:rPr>
          <w:b/>
          <w:noProof/>
          <w:sz w:val="28"/>
          <w:szCs w:val="28"/>
        </w:rPr>
        <w:t>Măsuri pentru monitorizarea și implementarea planului de redresare și reziliență</w:t>
      </w:r>
    </w:p>
    <w:p>
      <w:pPr>
        <w:spacing w:before="60" w:after="60" w:line="240" w:lineRule="auto"/>
        <w:jc w:val="both"/>
        <w:rPr>
          <w:rFonts w:ascii="Times New Roman" w:hAnsi="Times New Roman" w:cs="Times New Roman"/>
          <w:noProof/>
          <w:sz w:val="24"/>
        </w:rPr>
      </w:pPr>
      <w:r>
        <w:rPr>
          <w:rFonts w:ascii="Times New Roman" w:hAnsi="Times New Roman"/>
          <w:noProof/>
          <w:sz w:val="24"/>
        </w:rPr>
        <w:t>Monitorizarea și punerea în aplicare a planului de redresare și reziliență al Spaniei au fost stabilite în Decretul-lege regal nr. 36/2020 din 30 decembrie de aprobare a unor măsuri urgente pentru modernizarea administrației publice și punerea în aplicare a planului de redresare („RDL 36/2020”).</w:t>
      </w:r>
      <w:r>
        <w:rPr>
          <w:rFonts w:ascii="Times New Roman" w:hAnsi="Times New Roman"/>
          <w:noProof/>
          <w:sz w:val="24"/>
          <w:szCs w:val="24"/>
        </w:rPr>
        <w:t xml:space="preserve"> </w:t>
      </w:r>
      <w:r>
        <w:rPr>
          <w:rFonts w:ascii="Times New Roman" w:hAnsi="Times New Roman"/>
          <w:noProof/>
          <w:sz w:val="24"/>
        </w:rPr>
        <w:t>Acestea se desfășoară în conformitate cu următoarele dispoziții:</w:t>
      </w:r>
    </w:p>
    <w:p>
      <w:pPr>
        <w:pStyle w:val="ListParagraph"/>
        <w:numPr>
          <w:ilvl w:val="0"/>
          <w:numId w:val="180"/>
        </w:numPr>
        <w:spacing w:before="60" w:after="60" w:line="240" w:lineRule="auto"/>
        <w:contextualSpacing w:val="0"/>
        <w:jc w:val="both"/>
        <w:rPr>
          <w:rFonts w:ascii="Times New Roman" w:hAnsi="Times New Roman" w:cs="Times New Roman"/>
          <w:iCs/>
          <w:noProof/>
          <w:sz w:val="24"/>
          <w:szCs w:val="24"/>
        </w:rPr>
      </w:pPr>
      <w:r>
        <w:rPr>
          <w:rFonts w:ascii="Times New Roman" w:hAnsi="Times New Roman"/>
          <w:noProof/>
          <w:sz w:val="24"/>
          <w:szCs w:val="24"/>
        </w:rPr>
        <w:t>A fost instituită o Comisie pentru redresare, transformare și reziliență, care reunește toți miniștrii competenți pentru plan și va fi prezidată de președintele guvernului. Comisia a stabilit orientările generale de politică pentru elaborarea și punerea în aplicare a planului de redresare și monitorizează punerea în aplicare a acestuia. Lucrările sale vor fi asistate de un comitet tehnic format din 20 de membri ai administrației publice, prezidat de Secretariatul General pentru Fondurile Europene.</w:t>
      </w:r>
    </w:p>
    <w:p>
      <w:pPr>
        <w:pStyle w:val="ListParagraph"/>
        <w:numPr>
          <w:ilvl w:val="0"/>
          <w:numId w:val="180"/>
        </w:numPr>
        <w:spacing w:before="60" w:after="60" w:line="240" w:lineRule="auto"/>
        <w:contextualSpacing w:val="0"/>
        <w:jc w:val="both"/>
        <w:rPr>
          <w:rFonts w:ascii="Times New Roman" w:hAnsi="Times New Roman" w:cs="Times New Roman"/>
          <w:iCs/>
          <w:noProof/>
          <w:sz w:val="24"/>
          <w:szCs w:val="24"/>
        </w:rPr>
      </w:pPr>
      <w:r>
        <w:rPr>
          <w:rFonts w:ascii="Times New Roman" w:hAnsi="Times New Roman"/>
          <w:noProof/>
          <w:sz w:val="24"/>
          <w:szCs w:val="24"/>
        </w:rPr>
        <w:t>O nouă înființare a Secretariatului General pentru Fondurile Europene în cadrul Ministerului Finanțelor va fi autoritatea responsabilă pentru plan în raport cu Comisia Europeană. Această autoritate va fi esențială pentru monitorizarea depunerii cererilor de plată, care se va baza pe atingerea obiectivelor de etapă și a țintelor.</w:t>
      </w:r>
    </w:p>
    <w:p>
      <w:pPr>
        <w:pStyle w:val="ListParagraph"/>
        <w:numPr>
          <w:ilvl w:val="0"/>
          <w:numId w:val="180"/>
        </w:numPr>
        <w:spacing w:before="60" w:after="60" w:line="240" w:lineRule="auto"/>
        <w:contextualSpacing w:val="0"/>
        <w:jc w:val="both"/>
        <w:rPr>
          <w:rFonts w:ascii="Times New Roman" w:hAnsi="Times New Roman" w:cs="Times New Roman"/>
          <w:iCs/>
          <w:noProof/>
          <w:sz w:val="24"/>
          <w:szCs w:val="24"/>
        </w:rPr>
      </w:pPr>
      <w:r>
        <w:rPr>
          <w:rFonts w:ascii="Times New Roman" w:hAnsi="Times New Roman"/>
          <w:bCs/>
          <w:iCs/>
          <w:noProof/>
          <w:sz w:val="24"/>
          <w:szCs w:val="24"/>
        </w:rPr>
        <w:t>Planul include 416 obiective de etapă și ținte, dintre care majoritatea se referă la perioada 2021-2023. Obiectivele de etapă și țintele propuse sunt clare și realiste, iar indicatorii propuși sunt relevanți, acceptabili și robuști.</w:t>
      </w:r>
    </w:p>
    <w:p>
      <w:pPr>
        <w:pStyle w:val="ListParagraph"/>
        <w:numPr>
          <w:ilvl w:val="0"/>
          <w:numId w:val="180"/>
        </w:numPr>
        <w:spacing w:before="60" w:after="6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În timp ce ministerul responsabil pentru fiecare măsură va fi responsabil de luarea de măsuri în vederea atingerii obiectivelor de etapă și a obiectivelor aferente, în conformitate cu resursele bugetate, Secretariatul General pentru Fondurile Europene va fi organismul care va elabora cererile de plată către Comisia Europeană. Fiecare cerere de plată este însoțită de o declarație de gestiune bazată pe rapoarte emise de organismele responsabile de componente. În plus, Inspectorul General al Administrației de Stat (</w:t>
      </w:r>
      <w:r>
        <w:rPr>
          <w:rFonts w:ascii="Times New Roman" w:hAnsi="Times New Roman"/>
          <w:i/>
          <w:noProof/>
          <w:sz w:val="24"/>
          <w:szCs w:val="24"/>
        </w:rPr>
        <w:t>Intervención General de la Administración del Estado</w:t>
      </w:r>
      <w:r>
        <w:rPr>
          <w:rFonts w:ascii="Times New Roman" w:hAnsi="Times New Roman"/>
          <w:noProof/>
          <w:sz w:val="24"/>
          <w:szCs w:val="24"/>
        </w:rPr>
        <w:t xml:space="preserve"> - IGAE) va efectua verificări pentru a certifica îndeplinirea obiectivelor de etapă și a obiectivelor, precum și rezultatele obținute. Fondurile alocate pentru punerea în aplicare a planului vor fi incluse în bugetul administrației centrale.</w:t>
      </w:r>
    </w:p>
    <w:p>
      <w:pPr>
        <w:pStyle w:val="ListParagraph"/>
        <w:numPr>
          <w:ilvl w:val="0"/>
          <w:numId w:val="180"/>
        </w:numPr>
        <w:spacing w:before="60" w:after="6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Au fost instituite mecanisme pentru implicarea actorilor-cheie în punerea în aplicare a planului. Se instituie o nouă conferință sectorială pentru acest plan, cu scopul de a canaliza cooperarea dintre regiuni, entitățile locale și administrația centrală în vederea punerii în aplicare a planului. În ceea ce privește controlul parlamentar, articolul 22 din Decretul-lege regal nr. 36/2020 prevede că guvernul raportează trimestrial Comisiei parlamentare mixte pentru Uniunea Europeană cu privire la progresele înregistrate în ceea ce privește planul de redresare, transformare și reziliență.</w:t>
      </w:r>
    </w:p>
    <w:p>
      <w:pPr>
        <w:pStyle w:val="NumPar1"/>
        <w:numPr>
          <w:ilvl w:val="0"/>
          <w:numId w:val="147"/>
        </w:numPr>
        <w:spacing w:before="60" w:after="60"/>
        <w:rPr>
          <w:b/>
          <w:noProof/>
          <w:sz w:val="28"/>
          <w:szCs w:val="28"/>
        </w:rPr>
      </w:pPr>
      <w:r>
        <w:rPr>
          <w:b/>
          <w:noProof/>
          <w:sz w:val="28"/>
          <w:szCs w:val="28"/>
        </w:rPr>
        <w:t>Măsuri pentru asigurarea accesului deplin al Comisiei la datele subiacente</w:t>
      </w:r>
    </w:p>
    <w:p>
      <w:pPr>
        <w:spacing w:before="60" w:after="60" w:line="240" w:lineRule="auto"/>
        <w:jc w:val="both"/>
        <w:rPr>
          <w:noProof/>
          <w:sz w:val="24"/>
          <w:szCs w:val="24"/>
        </w:rPr>
      </w:pPr>
      <w:r>
        <w:rPr>
          <w:rFonts w:ascii="Times New Roman" w:hAnsi="Times New Roman"/>
          <w:noProof/>
          <w:sz w:val="24"/>
          <w:szCs w:val="24"/>
        </w:rPr>
        <w:t>Secretariatul General pentru Fonduri Europene (Ministerul de Finanțe), în calitate de coordonator pentru planul de redresare și reziliență al Spaniei, este responsabil de punerea în aplicare generală a planurilor de redresare și reziliență, de asigurarea coordonării cu alte autorități relevante din țară (inclusiv asigurarea coerenței în ceea ce privește utilizarea altor fonduri ale UE), de monitorizarea progreselor înregistrate în ceea ce privește obiectivele de etapă și țintele, de supravegherea și asigurarea punerii în aplicare a măsurilor de control și audit, precum și de furnizarea tuturor rapoartelor necesare și a cererilor de plată și a declarației de gestiune care o însoțește. Secretariatul General pentru fondurile europene ar trebui să se bazeze pe un sistem informatic care să permită ministerelor și altor organisme de implementare, control și audit să codifice toate informațiile relevante, inclusiv raportarea obiectivelor de etapă și a țintelor și indicatorii de monitorizare, rapoartele de control și de audit și rapoartele de gestiune ale organismelor de implementare, care ar trebui să servească drept bază pentru declarațiile de gestiune care însoțesc cererile de plată. Sistemul permite, de asemenea, înregistrarea informațiilor financiare calitative și a altor date, cum ar fi cele privind destinatarii finali, contractanții, subcontractanții și beneficiarii reali.</w:t>
      </w:r>
    </w:p>
    <w:p>
      <w:pPr>
        <w:spacing w:before="60" w:after="60" w:line="240" w:lineRule="auto"/>
        <w:jc w:val="both"/>
        <w:rPr>
          <w:rFonts w:ascii="Times New Roman" w:hAnsi="Times New Roman" w:cs="Times New Roman"/>
          <w:noProof/>
          <w:sz w:val="24"/>
          <w:szCs w:val="24"/>
        </w:rPr>
      </w:pPr>
      <w:r>
        <w:rPr>
          <w:rFonts w:ascii="Times New Roman" w:hAnsi="Times New Roman"/>
          <w:noProof/>
          <w:sz w:val="24"/>
          <w:szCs w:val="24"/>
        </w:rPr>
        <w:t xml:space="preserve">În conformitate cu articolul 24 alineatul (2) din Regulamentul (UE) 2021/241, după îndeplinirea obiectivelor de etapă și a țintelor convenite relevante din secțiunea 2.1 a prezentei anexe, Spania prezintă Comisiei o cerere justificată în mod corespunzător de plată a contribuției financiare. Spania se asigură că, la cerere, Comisia are acces deplin la datele relevante care stau la baza justificării corespunzătoare a cererii de plată, atât pentru evaluarea cererii de plată în conformitate cu articolul 24 alineatul (3) din Regulamentul (UE) 2021/241, cât și pentru audit și control. </w:t>
      </w:r>
    </w:p>
    <w:p>
      <w:pPr>
        <w:spacing w:before="60" w:after="60" w:line="240" w:lineRule="auto"/>
        <w:jc w:val="both"/>
        <w:rPr>
          <w:rFonts w:ascii="Times New Roman" w:hAnsi="Times New Roman" w:cs="Times New Roman"/>
          <w:noProof/>
          <w:sz w:val="24"/>
          <w:szCs w:val="24"/>
        </w:rPr>
      </w:pPr>
    </w:p>
    <w:p>
      <w:pPr>
        <w:spacing w:after="360"/>
        <w:jc w:val="both"/>
        <w:rPr>
          <w:rFonts w:ascii="Times New Roman" w:hAnsi="Times New Roman" w:cs="Times New Roman"/>
          <w:noProof/>
          <w:sz w:val="24"/>
          <w:szCs w:val="24"/>
        </w:rPr>
      </w:pPr>
    </w:p>
    <w:sectPr>
      <w:headerReference w:type="even" r:id="rId379"/>
      <w:headerReference w:type="default" r:id="rId380"/>
      <w:footerReference w:type="even" r:id="rId381"/>
      <w:footerReference w:type="default" r:id="rId382"/>
      <w:headerReference w:type="first" r:id="rId383"/>
      <w:footerReference w:type="first" r:id="rId384"/>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p/>
  </w:endnote>
  <w:endnote w:type="continuationSeparator" w:id="0">
    <w:p>
      <w:pPr>
        <w:spacing w:after="0" w:line="240" w:lineRule="auto"/>
      </w:pPr>
      <w:r>
        <w:continuationSeparator/>
      </w:r>
    </w:p>
    <w:p/>
  </w:endnote>
  <w:endnote w:type="continuationNotice" w:id="1">
    <w:p>
      <w:pPr>
        <w:spacing w:after="0" w:line="240" w:lineRule="auto"/>
      </w:pPr>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136471"/>
      <w:docPartObj>
        <w:docPartGallery w:val="Page Numbers (Bottom of Page)"/>
        <w:docPartUnique/>
      </w:docPartObj>
    </w:sdtPr>
    <w:sdtEndPr>
      <w:rPr>
        <w:noProof/>
        <w:sz w:val="20"/>
        <w:szCs w:val="20"/>
      </w:rPr>
    </w:sdtEndPr>
    <w:sdtContent>
      <w:p>
        <w:pPr>
          <w:pStyle w:val="Footer"/>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180</w:t>
        </w:r>
        <w:r>
          <w:rPr>
            <w:sz w:val="20"/>
            <w:szCs w:val="20"/>
          </w:rPr>
          <w:fldChar w:fldCharType="end"/>
        </w:r>
      </w:p>
    </w:sdtContent>
  </w:sdt>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20"/>
        <w:szCs w:val="20"/>
      </w:rPr>
    </w:pPr>
    <w:r>
      <w:rPr>
        <w:rFonts w:ascii="Arial" w:hAnsi="Arial"/>
        <w:b/>
        <w:sz w:val="48"/>
      </w:rP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187</w:t>
    </w:r>
    <w:r>
      <w:rPr>
        <w:sz w:val="20"/>
        <w:szCs w:val="20"/>
      </w:rPr>
      <w:fldChar w:fldCharType="end"/>
    </w:r>
    <w:r>
      <w:rPr>
        <w:sz w:val="20"/>
        <w:szCs w:val="20"/>
      </w:rPr>
      <w:tab/>
    </w:r>
    <w:r>
      <w:rPr>
        <w:sz w:val="20"/>
        <w:szCs w:val="20"/>
      </w:rPr>
      <w:tab/>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5747792"/>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193</w:t>
        </w:r>
        <w:r>
          <w:rPr>
            <w:sz w:val="20"/>
            <w:szCs w:val="20"/>
          </w:rPr>
          <w:fldChar w:fldCharType="end"/>
        </w:r>
      </w:p>
    </w:sdtContent>
  </w:sdt>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360681"/>
      <w:docPartObj>
        <w:docPartGallery w:val="Page Numbers (Bottom of Page)"/>
        <w:docPartUnique/>
      </w:docPartObj>
    </w:sdtPr>
    <w:sdtEndPr>
      <w:rPr>
        <w:noProof/>
        <w:sz w:val="20"/>
        <w:szCs w:val="20"/>
      </w:rPr>
    </w:sdtEndPr>
    <w:sdtContent>
      <w:p>
        <w:pPr>
          <w:pStyle w:val="Footer"/>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21</w:t>
        </w:r>
        <w:r>
          <w:rPr>
            <w:sz w:val="20"/>
            <w:szCs w:val="20"/>
          </w:rPr>
          <w:fldChar w:fldCharType="end"/>
        </w:r>
      </w:p>
    </w:sdtContent>
  </w:sdt>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20"/>
        <w:szCs w:val="20"/>
      </w:rPr>
    </w:pPr>
    <w:r>
      <w:rPr>
        <w:rFonts w:ascii="Arial" w:hAnsi="Arial"/>
        <w:b/>
        <w:sz w:val="48"/>
      </w:rP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197</w:t>
    </w:r>
    <w:r>
      <w:rPr>
        <w:sz w:val="20"/>
        <w:szCs w:val="20"/>
      </w:rPr>
      <w:fldChar w:fldCharType="end"/>
    </w:r>
    <w:r>
      <w:rPr>
        <w:sz w:val="20"/>
        <w:szCs w:val="20"/>
      </w:rPr>
      <w:tab/>
    </w:r>
    <w:r>
      <w:rPr>
        <w:sz w:val="20"/>
        <w:szCs w:val="20"/>
      </w:rPr>
      <w:tab/>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8508906"/>
      <w:docPartObj>
        <w:docPartGallery w:val="Page Numbers (Bottom of Page)"/>
        <w:docPartUnique/>
      </w:docPartObj>
    </w:sdtPr>
    <w:sdtEndPr>
      <w:rPr>
        <w:noProof/>
        <w:sz w:val="20"/>
        <w:szCs w:val="20"/>
      </w:rPr>
    </w:sdtEndPr>
    <w:sdtContent>
      <w:p>
        <w:pPr>
          <w:pStyle w:val="Footer"/>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199</w:t>
        </w:r>
        <w:r>
          <w:rPr>
            <w:sz w:val="20"/>
            <w:szCs w:val="20"/>
          </w:rPr>
          <w:fldChar w:fldCharType="end"/>
        </w:r>
      </w:p>
    </w:sdtContent>
  </w:sdt>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20"/>
        <w:szCs w:val="20"/>
      </w:rPr>
    </w:pPr>
    <w:r>
      <w:rPr>
        <w:rFonts w:ascii="Arial" w:hAnsi="Arial"/>
        <w:b/>
        <w:sz w:val="48"/>
      </w:rP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201</w:t>
    </w:r>
    <w:r>
      <w:rPr>
        <w:sz w:val="20"/>
        <w:szCs w:val="20"/>
      </w:rPr>
      <w:fldChar w:fldCharType="end"/>
    </w:r>
    <w:r>
      <w:rPr>
        <w:sz w:val="20"/>
        <w:szCs w:val="20"/>
      </w:rPr>
      <w:tab/>
    </w:r>
    <w:r>
      <w:rPr>
        <w:sz w:val="20"/>
        <w:szCs w:val="20"/>
      </w:rPr>
      <w:tab/>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729217"/>
      <w:docPartObj>
        <w:docPartGallery w:val="Page Numbers (Bottom of Page)"/>
        <w:docPartUnique/>
      </w:docPartObj>
    </w:sdtPr>
    <w:sdtEndPr>
      <w:rPr>
        <w:noProof/>
        <w:sz w:val="20"/>
        <w:szCs w:val="20"/>
      </w:rPr>
    </w:sdtEndPr>
    <w:sdtContent>
      <w:p>
        <w:pPr>
          <w:pStyle w:val="Footer"/>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205</w:t>
        </w:r>
        <w:r>
          <w:rPr>
            <w:sz w:val="20"/>
            <w:szCs w:val="20"/>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Cs w:val="24"/>
      </w:rPr>
    </w:pPr>
    <w:r>
      <w:rPr>
        <w:rFonts w:ascii="Arial" w:hAnsi="Arial"/>
        <w:b/>
        <w:sz w:val="48"/>
      </w:rPr>
      <w:tab/>
    </w:r>
    <w:r>
      <w:fldChar w:fldCharType="begin"/>
    </w:r>
    <w:r>
      <w:instrText xml:space="preserve"> PAGE  \* MERGEFORMAT </w:instrText>
    </w:r>
    <w:r>
      <w:fldChar w:fldCharType="separate"/>
    </w:r>
    <w:r>
      <w:rPr>
        <w:noProof/>
      </w:rPr>
      <w:t>207</w:t>
    </w:r>
    <w:r>
      <w:fldChar w:fldCharType="end"/>
    </w:r>
    <w:r>
      <w:tab/>
    </w:r>
    <w:r>
      <w:tab/>
    </w: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905917"/>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212</w:t>
        </w:r>
        <w:r>
          <w:rPr>
            <w:sz w:val="20"/>
            <w:szCs w:val="20"/>
          </w:rPr>
          <w:fldChar w:fldCharType="end"/>
        </w:r>
      </w:p>
    </w:sdtContent>
  </w:sdt>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20"/>
        <w:szCs w:val="20"/>
      </w:rPr>
    </w:pPr>
    <w:r>
      <w:rPr>
        <w:rFonts w:ascii="Arial" w:hAnsi="Arial"/>
        <w:b/>
        <w:sz w:val="48"/>
      </w:rP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215</w:t>
    </w:r>
    <w:r>
      <w:rPr>
        <w:sz w:val="20"/>
        <w:szCs w:val="20"/>
      </w:rPr>
      <w:fldChar w:fldCharType="end"/>
    </w:r>
    <w:r>
      <w:rPr>
        <w:sz w:val="20"/>
        <w:szCs w:val="20"/>
      </w:rPr>
      <w:tab/>
    </w:r>
    <w:r>
      <w:rPr>
        <w:sz w:val="20"/>
        <w:szCs w:val="20"/>
      </w:rPr>
      <w:tab/>
    </w: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664382"/>
      <w:docPartObj>
        <w:docPartGallery w:val="Page Numbers (Bottom of Page)"/>
        <w:docPartUnique/>
      </w:docPartObj>
    </w:sdtPr>
    <w:sdtEndPr>
      <w:rPr>
        <w:noProof/>
        <w:sz w:val="20"/>
        <w:szCs w:val="20"/>
      </w:rPr>
    </w:sdtEndPr>
    <w:sdtContent>
      <w:p>
        <w:pPr>
          <w:pStyle w:val="Footer"/>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217</w:t>
        </w:r>
        <w:r>
          <w:rPr>
            <w:sz w:val="20"/>
            <w:szCs w:val="20"/>
          </w:rPr>
          <w:fldChar w:fldCharType="end"/>
        </w:r>
      </w:p>
    </w:sdtContent>
  </w:sdt>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20"/>
        <w:szCs w:val="20"/>
      </w:rPr>
    </w:pPr>
    <w:r>
      <w:rPr>
        <w:rFonts w:ascii="Arial" w:hAnsi="Arial"/>
        <w:b/>
        <w:sz w:val="48"/>
      </w:rP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225</w:t>
    </w:r>
    <w:r>
      <w:rPr>
        <w:sz w:val="20"/>
        <w:szCs w:val="20"/>
      </w:rPr>
      <w:fldChar w:fldCharType="end"/>
    </w:r>
    <w:r>
      <w:rPr>
        <w:sz w:val="20"/>
        <w:szCs w:val="20"/>
      </w:rPr>
      <w:tab/>
    </w:r>
    <w:r>
      <w:rPr>
        <w:sz w:val="20"/>
        <w:szCs w:val="20"/>
      </w:rPr>
      <w:tab/>
    </w:r>
  </w:p>
</w:ftr>
</file>

<file path=word/footer1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3839761"/>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226</w:t>
        </w:r>
        <w:r>
          <w:rPr>
            <w:sz w:val="20"/>
            <w:szCs w:val="20"/>
          </w:rPr>
          <w:fldChar w:fldCharType="end"/>
        </w:r>
      </w:p>
    </w:sdtContent>
  </w:sdt>
</w:ftr>
</file>

<file path=word/footer1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20"/>
        <w:szCs w:val="20"/>
      </w:rPr>
    </w:pPr>
    <w:r>
      <w:rPr>
        <w:rFonts w:ascii="Arial" w:hAnsi="Arial"/>
        <w:b/>
        <w:sz w:val="48"/>
      </w:rP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28</w:t>
    </w:r>
    <w:r>
      <w:rPr>
        <w:sz w:val="20"/>
        <w:szCs w:val="20"/>
      </w:rPr>
      <w:fldChar w:fldCharType="end"/>
    </w:r>
    <w:r>
      <w:rPr>
        <w:sz w:val="20"/>
        <w:szCs w:val="20"/>
      </w:rPr>
      <w:tab/>
    </w:r>
    <w:r>
      <w:rPr>
        <w:sz w:val="20"/>
        <w:szCs w:val="20"/>
      </w:rPr>
      <w:tab/>
    </w:r>
  </w:p>
</w:ftr>
</file>

<file path=word/footer1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20"/>
        <w:szCs w:val="20"/>
      </w:rPr>
    </w:pPr>
    <w:r>
      <w:rPr>
        <w:rFonts w:ascii="Arial" w:hAnsi="Arial"/>
        <w:b/>
        <w:sz w:val="48"/>
      </w:rP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241</w:t>
    </w:r>
    <w:r>
      <w:rPr>
        <w:sz w:val="20"/>
        <w:szCs w:val="20"/>
      </w:rPr>
      <w:fldChar w:fldCharType="end"/>
    </w:r>
    <w:r>
      <w:rPr>
        <w:sz w:val="20"/>
        <w:szCs w:val="20"/>
      </w:rPr>
      <w:tab/>
    </w:r>
    <w:r>
      <w:rPr>
        <w:sz w:val="20"/>
        <w:szCs w:val="20"/>
      </w:rPr>
      <w:tab/>
    </w:r>
  </w:p>
</w:ftr>
</file>

<file path=word/footer1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0614336"/>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242</w:t>
        </w:r>
        <w:r>
          <w:rPr>
            <w:sz w:val="20"/>
            <w:szCs w:val="20"/>
          </w:rPr>
          <w:fldChar w:fldCharType="end"/>
        </w:r>
      </w:p>
    </w:sdtContent>
  </w:sdt>
</w:ftr>
</file>

<file path=word/footer1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6456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250</w:t>
        </w:r>
        <w:r>
          <w:fldChar w:fldCharType="end"/>
        </w:r>
      </w:p>
    </w:sdtContent>
  </w:sdt>
  <w:p>
    <w:pPr>
      <w:pStyle w:val="FooterLandscape"/>
      <w:rPr>
        <w:rFonts w:ascii="Arial" w:hAnsi="Arial" w:cs="Arial"/>
        <w:b/>
        <w:szCs w:val="24"/>
      </w:rPr>
    </w:pPr>
  </w:p>
</w:ftr>
</file>

<file path=word/footer1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15307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252</w:t>
        </w:r>
        <w:r>
          <w:fldChar w:fldCharType="end"/>
        </w:r>
      </w:p>
    </w:sdtContent>
  </w:sdt>
  <w:p>
    <w:pPr>
      <w:pStyle w:val="FooterLandscape"/>
      <w:rPr>
        <w:rFonts w:ascii="Arial" w:hAnsi="Arial" w:cs="Arial"/>
        <w:b/>
        <w:szCs w:val="24"/>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5515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254</w:t>
        </w:r>
        <w:r>
          <w:fldChar w:fldCharType="end"/>
        </w:r>
      </w:p>
    </w:sdtContent>
  </w:sdt>
  <w:p>
    <w:pPr>
      <w:pStyle w:val="FooterLandscape"/>
      <w:rPr>
        <w:rFonts w:ascii="Arial" w:hAnsi="Arial" w:cs="Arial"/>
        <w:b/>
        <w:szCs w:val="24"/>
      </w:rPr>
    </w:pPr>
  </w:p>
</w:ftr>
</file>

<file path=word/footer1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97447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257</w:t>
        </w:r>
        <w:r>
          <w:fldChar w:fldCharType="end"/>
        </w:r>
      </w:p>
    </w:sdtContent>
  </w:sdt>
  <w:p>
    <w:pPr>
      <w:pStyle w:val="FooterLandscape"/>
      <w:rPr>
        <w:rFonts w:ascii="Arial" w:hAnsi="Arial" w:cs="Arial"/>
        <w:b/>
        <w:szCs w:val="24"/>
      </w:rPr>
    </w:pPr>
  </w:p>
</w:ftr>
</file>

<file path=word/footer1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78308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260</w:t>
        </w:r>
        <w:r>
          <w:fldChar w:fldCharType="end"/>
        </w:r>
      </w:p>
    </w:sdtContent>
  </w:sdt>
  <w:p>
    <w:pPr>
      <w:pStyle w:val="Footer"/>
      <w:rPr>
        <w:rFonts w:ascii="Arial" w:hAnsi="Arial" w:cs="Arial"/>
        <w:b/>
        <w:szCs w:val="24"/>
      </w:rPr>
    </w:pPr>
  </w:p>
</w:ftr>
</file>

<file path=word/footer1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387623"/>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263</w:t>
        </w:r>
        <w:r>
          <w:fldChar w:fldCharType="end"/>
        </w:r>
      </w:p>
    </w:sdtContent>
  </w:sdt>
  <w:p>
    <w:pPr>
      <w:pStyle w:val="Footer"/>
      <w:rPr>
        <w:rFonts w:ascii="Arial" w:hAnsi="Arial" w:cs="Arial"/>
        <w:b/>
        <w:szCs w:val="24"/>
      </w:rPr>
    </w:pPr>
  </w:p>
</w:ftr>
</file>

<file path=word/footer1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74546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266</w:t>
        </w:r>
        <w:r>
          <w:fldChar w:fldCharType="end"/>
        </w:r>
      </w:p>
    </w:sdtContent>
  </w:sdt>
  <w:p>
    <w:pPr>
      <w:pStyle w:val="Footer"/>
      <w:rPr>
        <w:rFonts w:ascii="Arial" w:hAnsi="Arial" w:cs="Arial"/>
        <w:b/>
        <w:szCs w:val="24"/>
      </w:rPr>
    </w:pPr>
  </w:p>
</w:ftr>
</file>

<file path=word/footer1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27174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270</w:t>
        </w:r>
        <w:r>
          <w:fldChar w:fldCharType="end"/>
        </w:r>
      </w:p>
    </w:sdtContent>
  </w:sdt>
  <w:p>
    <w:pPr>
      <w:pStyle w:val="Footer"/>
      <w:rPr>
        <w:rFonts w:ascii="Arial" w:hAnsi="Arial" w:cs="Arial"/>
        <w:b/>
        <w:szCs w:val="24"/>
      </w:rPr>
    </w:pPr>
  </w:p>
</w:ftr>
</file>

<file path=word/footer1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033638"/>
      <w:docPartObj>
        <w:docPartGallery w:val="Page Numbers (Bottom of Page)"/>
        <w:docPartUnique/>
      </w:docPartObj>
    </w:sdtPr>
    <w:sdtEndPr>
      <w:rPr>
        <w:noProof/>
        <w:sz w:val="20"/>
        <w:szCs w:val="20"/>
      </w:rPr>
    </w:sdtEndPr>
    <w:sdtContent>
      <w:p>
        <w:pPr>
          <w:pStyle w:val="Footer"/>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38</w:t>
        </w:r>
        <w:r>
          <w:rPr>
            <w:sz w:val="20"/>
            <w:szCs w:val="20"/>
          </w:rPr>
          <w:fldChar w:fldCharType="end"/>
        </w:r>
      </w:p>
    </w:sdtContent>
  </w:sdt>
</w:ftr>
</file>

<file path=word/footer1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01875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274</w:t>
        </w:r>
        <w:r>
          <w:fldChar w:fldCharType="end"/>
        </w:r>
      </w:p>
    </w:sdtContent>
  </w:sdt>
  <w:p>
    <w:pPr>
      <w:pStyle w:val="Footer"/>
      <w:rPr>
        <w:rFonts w:ascii="Arial" w:hAnsi="Arial" w:cs="Arial"/>
        <w:b/>
        <w:bCs/>
        <w:sz w:val="2"/>
        <w:szCs w:val="2"/>
      </w:rPr>
    </w:pPr>
  </w:p>
</w:ftr>
</file>

<file path=word/footer1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210972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276</w:t>
        </w:r>
        <w:r>
          <w:fldChar w:fldCharType="end"/>
        </w:r>
      </w:p>
    </w:sdtContent>
  </w:sdt>
  <w:p>
    <w:pPr>
      <w:pStyle w:val="Footer"/>
      <w:rPr>
        <w:rFonts w:ascii="Arial" w:hAnsi="Arial" w:cs="Arial"/>
        <w:b/>
        <w:bCs/>
        <w:szCs w:val="24"/>
      </w:rPr>
    </w:pPr>
  </w:p>
</w:ftr>
</file>

<file path=word/footer1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59429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279</w:t>
        </w:r>
        <w:r>
          <w:fldChar w:fldCharType="end"/>
        </w:r>
      </w:p>
    </w:sdtContent>
  </w:sdt>
  <w:p>
    <w:pPr>
      <w:pStyle w:val="Footer"/>
      <w:rPr>
        <w:rFonts w:ascii="Arial" w:hAnsi="Arial" w:cs="Arial"/>
        <w:b/>
        <w:szCs w:val="24"/>
      </w:rPr>
    </w:pPr>
  </w:p>
</w:ftr>
</file>

<file path=word/footer1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65057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280</w:t>
        </w:r>
        <w:r>
          <w:fldChar w:fldCharType="end"/>
        </w:r>
      </w:p>
    </w:sdtContent>
  </w:sdt>
  <w:p>
    <w:pPr>
      <w:pStyle w:val="Footer"/>
      <w:rPr>
        <w:rFonts w:ascii="Arial" w:hAnsi="Arial" w:cs="Arial"/>
        <w:b/>
        <w:szCs w:val="24"/>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ftr>
</file>

<file path=word/footer1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jc w:val="center"/>
      <w:rPr>
        <w:rFonts w:ascii="Arial" w:hAnsi="Arial" w:cs="Arial"/>
        <w:b/>
        <w:sz w:val="20"/>
        <w:szCs w:val="20"/>
      </w:rP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286</w:t>
    </w:r>
    <w:r>
      <w:rPr>
        <w:sz w:val="20"/>
        <w:szCs w:val="20"/>
      </w:rPr>
      <w:fldChar w:fldCharType="end"/>
    </w:r>
  </w:p>
  <w:p/>
</w:ftr>
</file>

<file path=word/footer1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ftr>
</file>

<file path=word/footer1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jc w:val="center"/>
      <w:rPr>
        <w:rFonts w:ascii="Arial" w:hAnsi="Arial" w:cs="Arial"/>
        <w:b/>
        <w:sz w:val="20"/>
        <w:szCs w:val="20"/>
      </w:rP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304</w:t>
    </w:r>
    <w:r>
      <w:rPr>
        <w:sz w:val="20"/>
        <w:szCs w:val="20"/>
      </w:rPr>
      <w:fldChar w:fldCharType="end"/>
    </w:r>
  </w:p>
  <w:p/>
</w:ftr>
</file>

<file path=word/footer1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4347752"/>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45</w:t>
        </w:r>
        <w:r>
          <w:rPr>
            <w:sz w:val="20"/>
            <w:szCs w:val="20"/>
          </w:rPr>
          <w:fldChar w:fldCharType="end"/>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02353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50</w:t>
        </w:r>
        <w:r>
          <w:fldChar w:fldCharType="end"/>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68938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53</w:t>
        </w:r>
        <w:r>
          <w:fldChar w:fldCharType="end"/>
        </w:r>
      </w:p>
    </w:sdtContent>
  </w:sdt>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549261"/>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57</w:t>
        </w:r>
        <w:r>
          <w:rPr>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20"/>
        <w:szCs w:val="20"/>
      </w:rPr>
    </w:pPr>
    <w:r>
      <w:rPr>
        <w:rFonts w:ascii="Arial" w:hAnsi="Arial"/>
        <w:b/>
        <w:sz w:val="48"/>
      </w:rP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60</w:t>
    </w:r>
    <w:r>
      <w:rPr>
        <w:sz w:val="20"/>
        <w:szCs w:val="20"/>
      </w:rPr>
      <w:fldChar w:fldCharType="end"/>
    </w:r>
    <w:r>
      <w:rPr>
        <w:sz w:val="20"/>
        <w:szCs w:val="20"/>
      </w:rPr>
      <w:tab/>
    </w:r>
    <w:r>
      <w:rPr>
        <w:sz w:val="20"/>
        <w:szCs w:val="20"/>
      </w:rPr>
      <w:tab/>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0125478"/>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65</w:t>
        </w:r>
        <w:r>
          <w:rPr>
            <w:sz w:val="20"/>
            <w:szCs w:val="20"/>
          </w:rPr>
          <w:fldChar w:fldCharType="end"/>
        </w:r>
      </w:p>
    </w:sdtContent>
  </w:sdt>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20"/>
        <w:szCs w:val="20"/>
      </w:rPr>
    </w:pPr>
    <w:r>
      <w:rPr>
        <w:rFonts w:ascii="Arial" w:hAnsi="Arial"/>
        <w:b/>
        <w:sz w:val="48"/>
      </w:rP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76</w:t>
    </w:r>
    <w:r>
      <w:rPr>
        <w:sz w:val="20"/>
        <w:szCs w:val="20"/>
      </w:rPr>
      <w:fldChar w:fldCharType="end"/>
    </w:r>
    <w:r>
      <w:rPr>
        <w:sz w:val="20"/>
        <w:szCs w:val="20"/>
      </w:rPr>
      <w:tab/>
    </w:r>
    <w:r>
      <w:rPr>
        <w:sz w:val="20"/>
        <w:szCs w:val="20"/>
      </w:rPr>
      <w:tab/>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000005"/>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80</w:t>
        </w:r>
        <w:r>
          <w:rPr>
            <w:sz w:val="20"/>
            <w:szCs w:val="20"/>
          </w:rPr>
          <w:fldChar w:fldCharType="end"/>
        </w:r>
      </w:p>
    </w:sdtContent>
  </w:sdt>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ind w:left="0"/>
      <w:rPr>
        <w:rFonts w:ascii="Arial" w:hAnsi="Arial" w:cs="Arial"/>
        <w:b/>
        <w:sz w:val="20"/>
        <w:szCs w:val="20"/>
      </w:rPr>
    </w:pPr>
    <w:r>
      <w:rPr>
        <w:rFonts w:ascii="Arial" w:hAnsi="Arial"/>
        <w:b/>
        <w:sz w:val="48"/>
      </w:rP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84</w:t>
    </w:r>
    <w:r>
      <w:rPr>
        <w:sz w:val="20"/>
        <w:szCs w:val="20"/>
      </w:rPr>
      <w:fldChar w:fldCharType="end"/>
    </w:r>
    <w:r>
      <w:rPr>
        <w:sz w:val="20"/>
        <w:szCs w:val="20"/>
      </w:rPr>
      <w:tab/>
    </w:r>
    <w:r>
      <w:rPr>
        <w:sz w:val="20"/>
        <w:szCs w:val="20"/>
      </w:rPr>
      <w:tab/>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106000"/>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88</w:t>
        </w:r>
        <w:r>
          <w:rPr>
            <w:sz w:val="20"/>
            <w:szCs w:val="20"/>
          </w:rPr>
          <w:fldChar w:fldCharType="end"/>
        </w:r>
      </w:p>
    </w:sdtContent>
  </w:sdt>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096451"/>
      <w:docPartObj>
        <w:docPartGallery w:val="Page Numbers (Bottom of Page)"/>
        <w:docPartUnique/>
      </w:docPartObj>
    </w:sdtPr>
    <w:sdtEndPr>
      <w:rPr>
        <w:noProof/>
        <w:sz w:val="20"/>
        <w:szCs w:val="20"/>
      </w:rPr>
    </w:sdtEndPr>
    <w:sdtContent>
      <w:p>
        <w:pPr>
          <w:pStyle w:val="Footer"/>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2</w:t>
        </w:r>
        <w:r>
          <w:rPr>
            <w:sz w:val="20"/>
            <w:szCs w:val="20"/>
          </w:rPr>
          <w:fldChar w:fldCharType="end"/>
        </w:r>
      </w:p>
    </w:sdtContent>
  </w:sdt>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20"/>
        <w:szCs w:val="20"/>
      </w:rPr>
    </w:pPr>
    <w:r>
      <w:rPr>
        <w:rFonts w:ascii="Arial" w:hAnsi="Arial"/>
        <w:b/>
        <w:sz w:val="48"/>
      </w:rP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90</w:t>
    </w:r>
    <w:r>
      <w:rPr>
        <w:sz w:val="20"/>
        <w:szCs w:val="20"/>
      </w:rPr>
      <w:fldChar w:fldCharType="end"/>
    </w:r>
    <w:r>
      <w:rPr>
        <w:sz w:val="20"/>
        <w:szCs w:val="20"/>
      </w:rPr>
      <w:tab/>
    </w:r>
    <w:r>
      <w:rPr>
        <w:sz w:val="20"/>
        <w:szCs w:val="20"/>
      </w:rPr>
      <w:tab/>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94972"/>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93</w:t>
        </w:r>
        <w:r>
          <w:rPr>
            <w:sz w:val="20"/>
            <w:szCs w:val="20"/>
          </w:rPr>
          <w:fldChar w:fldCharType="end"/>
        </w:r>
      </w:p>
    </w:sdtContent>
  </w:sdt>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20"/>
        <w:szCs w:val="20"/>
      </w:rPr>
    </w:pPr>
    <w:r>
      <w:rPr>
        <w:rFonts w:ascii="Arial" w:hAnsi="Arial"/>
        <w:b/>
        <w:sz w:val="48"/>
      </w:rP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95</w:t>
    </w:r>
    <w:r>
      <w:rPr>
        <w:sz w:val="20"/>
        <w:szCs w:val="20"/>
      </w:rPr>
      <w:fldChar w:fldCharType="end"/>
    </w:r>
    <w:r>
      <w:rPr>
        <w:sz w:val="20"/>
        <w:szCs w:val="20"/>
      </w:rPr>
      <w:tab/>
    </w:r>
    <w:r>
      <w:rPr>
        <w:sz w:val="20"/>
        <w:szCs w:val="20"/>
      </w:rPr>
      <w:tab/>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8627477"/>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98</w:t>
        </w:r>
        <w:r>
          <w:rPr>
            <w:sz w:val="20"/>
            <w:szCs w:val="20"/>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Cs w:val="24"/>
      </w:rPr>
    </w:pPr>
    <w:r>
      <w:rPr>
        <w:rFonts w:ascii="Arial" w:hAnsi="Arial"/>
        <w:b/>
        <w:sz w:val="48"/>
      </w:rPr>
      <w:tab/>
    </w:r>
    <w:r>
      <w:fldChar w:fldCharType="begin"/>
    </w:r>
    <w:r>
      <w:instrText xml:space="preserve"> PAGE  \* MERGEFORMAT </w:instrText>
    </w:r>
    <w:r>
      <w:fldChar w:fldCharType="separate"/>
    </w:r>
    <w:r>
      <w:rPr>
        <w:noProof/>
      </w:rPr>
      <w:t>100</w:t>
    </w:r>
    <w:r>
      <w:fldChar w:fldCharType="end"/>
    </w:r>
    <w:r>
      <w:tab/>
    </w:r>
    <w:r>
      <w:tab/>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337460"/>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105</w:t>
        </w:r>
        <w:r>
          <w:rPr>
            <w:sz w:val="20"/>
            <w:szCs w:val="20"/>
          </w:rPr>
          <w:fldChar w:fldCharType="end"/>
        </w:r>
      </w:p>
    </w:sdtContent>
  </w:sdt>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20"/>
        <w:szCs w:val="20"/>
      </w:rPr>
    </w:pPr>
    <w:r>
      <w:rPr>
        <w:rFonts w:ascii="Arial" w:hAnsi="Arial"/>
        <w:b/>
        <w:sz w:val="48"/>
      </w:rP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113</w:t>
    </w:r>
    <w:r>
      <w:rPr>
        <w:sz w:val="20"/>
        <w:szCs w:val="20"/>
      </w:rPr>
      <w:fldChar w:fldCharType="end"/>
    </w:r>
    <w:r>
      <w:rPr>
        <w:sz w:val="20"/>
        <w:szCs w:val="20"/>
      </w:rPr>
      <w:tab/>
    </w:r>
    <w:r>
      <w:rPr>
        <w:sz w:val="20"/>
        <w:szCs w:val="20"/>
      </w:rPr>
      <w:tab/>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63779"/>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118</w:t>
        </w:r>
        <w:r>
          <w:rPr>
            <w:sz w:val="20"/>
            <w:szCs w:val="20"/>
          </w:rPr>
          <w:fldChar w:fldCharType="end"/>
        </w:r>
      </w:p>
    </w:sdtContent>
  </w:sdt>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Cs w:val="24"/>
      </w:rPr>
    </w:pPr>
    <w:r>
      <w:rPr>
        <w:rFonts w:ascii="Arial" w:hAnsi="Arial"/>
        <w:b/>
        <w:sz w:val="48"/>
      </w:rPr>
      <w:tab/>
    </w:r>
    <w:r>
      <w:fldChar w:fldCharType="begin"/>
    </w:r>
    <w:r>
      <w:instrText xml:space="preserve"> PAGE  \* MERGEFORMAT </w:instrText>
    </w:r>
    <w:r>
      <w:fldChar w:fldCharType="separate"/>
    </w:r>
    <w:r>
      <w:rPr>
        <w:noProof/>
      </w:rPr>
      <w:t>122</w:t>
    </w:r>
    <w:r>
      <w:fldChar w:fldCharType="end"/>
    </w:r>
    <w:r>
      <w:tab/>
    </w:r>
    <w:r>
      <w:tab/>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59719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134</w:t>
        </w:r>
        <w:r>
          <w:fldChar w:fldCharType="end"/>
        </w:r>
      </w:p>
    </w:sdtContent>
  </w:sdt>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829136"/>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8</w:t>
        </w:r>
        <w:r>
          <w:rPr>
            <w:sz w:val="20"/>
            <w:szCs w:val="20"/>
          </w:rPr>
          <w:fldChar w:fldCharType="end"/>
        </w:r>
      </w:p>
    </w:sdtContent>
  </w:sdt>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Cs w:val="24"/>
      </w:rPr>
    </w:pPr>
    <w:r>
      <w:rPr>
        <w:rFonts w:ascii="Arial" w:hAnsi="Arial"/>
        <w:b/>
        <w:sz w:val="48"/>
      </w:rPr>
      <w:tab/>
    </w:r>
    <w:r>
      <w:fldChar w:fldCharType="begin"/>
    </w:r>
    <w:r>
      <w:instrText xml:space="preserve"> PAGE  \* MERGEFORMAT </w:instrText>
    </w:r>
    <w:r>
      <w:fldChar w:fldCharType="separate"/>
    </w:r>
    <w:r>
      <w:rPr>
        <w:noProof/>
      </w:rPr>
      <w:t>144</w:t>
    </w:r>
    <w:r>
      <w:fldChar w:fldCharType="end"/>
    </w:r>
    <w:r>
      <w:tab/>
    </w:r>
    <w:r>
      <w:tab/>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200683"/>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150</w:t>
        </w:r>
        <w:r>
          <w:rPr>
            <w:sz w:val="20"/>
            <w:szCs w:val="20"/>
          </w:rPr>
          <w:fldChar w:fldCharType="end"/>
        </w:r>
      </w:p>
    </w:sdtContent>
  </w:sdt>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20"/>
        <w:szCs w:val="20"/>
      </w:rPr>
    </w:pPr>
    <w:r>
      <w:rPr>
        <w:rFonts w:ascii="Arial" w:hAnsi="Arial"/>
        <w:b/>
        <w:sz w:val="48"/>
      </w:rP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154</w:t>
    </w:r>
    <w:r>
      <w:rPr>
        <w:sz w:val="20"/>
        <w:szCs w:val="20"/>
      </w:rPr>
      <w:fldChar w:fldCharType="end"/>
    </w:r>
    <w:r>
      <w:rPr>
        <w:sz w:val="20"/>
        <w:szCs w:val="20"/>
      </w:rPr>
      <w:tab/>
    </w:r>
    <w:r>
      <w:rPr>
        <w:sz w:val="20"/>
        <w:szCs w:val="20"/>
      </w:rPr>
      <w:tab/>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9444570"/>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159</w:t>
        </w:r>
        <w:r>
          <w:rPr>
            <w:sz w:val="20"/>
            <w:szCs w:val="20"/>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b/>
        <w:sz w:val="20"/>
        <w:szCs w:val="20"/>
      </w:rPr>
    </w:pPr>
    <w:r>
      <w:rPr>
        <w:rFonts w:ascii="Arial" w:hAnsi="Arial"/>
        <w:b/>
        <w:sz w:val="48"/>
      </w:rP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164</w:t>
    </w:r>
    <w:r>
      <w:rPr>
        <w:sz w:val="20"/>
        <w:szCs w:val="20"/>
      </w:rPr>
      <w:fldChar w:fldCharType="end"/>
    </w:r>
    <w:r>
      <w:rPr>
        <w:sz w:val="20"/>
        <w:szCs w:val="20"/>
      </w:rPr>
      <w:tab/>
    </w:r>
    <w:r>
      <w:rPr>
        <w:sz w:val="20"/>
        <w:szCs w:val="20"/>
      </w:rPr>
      <w:tab/>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103259"/>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167</w:t>
        </w:r>
        <w:r>
          <w:rPr>
            <w:sz w:val="20"/>
            <w:szCs w:val="20"/>
          </w:rPr>
          <w:fldChar w:fldCharType="end"/>
        </w:r>
      </w:p>
    </w:sdtContent>
  </w:sdt>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20"/>
        <w:szCs w:val="20"/>
      </w:rPr>
    </w:pPr>
    <w:r>
      <w:rPr>
        <w:rFonts w:ascii="Arial" w:hAnsi="Arial"/>
        <w:b/>
        <w:sz w:val="48"/>
      </w:rP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169</w:t>
    </w:r>
    <w:r>
      <w:rPr>
        <w:sz w:val="20"/>
        <w:szCs w:val="20"/>
      </w:rPr>
      <w:fldChar w:fldCharType="end"/>
    </w:r>
    <w:r>
      <w:rPr>
        <w:sz w:val="20"/>
        <w:szCs w:val="20"/>
      </w:rPr>
      <w:tab/>
    </w:r>
    <w:r>
      <w:rPr>
        <w:sz w:val="20"/>
        <w:szCs w:val="20"/>
      </w:rPr>
      <w:tab/>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pPr>
        <w:spacing w:after="0" w:line="240" w:lineRule="auto"/>
      </w:pPr>
      <w:r>
        <w:continuationSeparator/>
      </w:r>
    </w:p>
    <w:p/>
  </w:footnote>
  <w:footnote w:type="continuationNotice" w:id="1">
    <w:p>
      <w:pPr>
        <w:spacing w:after="0" w:line="240" w:lineRule="auto"/>
      </w:pPr>
    </w:p>
    <w:p/>
  </w:footnote>
  <w:footnote w:id="2">
    <w:p>
      <w:pPr>
        <w:pStyle w:val="FootnoteText"/>
      </w:pPr>
      <w:r>
        <w:rPr>
          <w:rStyle w:val="FootnoteReference"/>
        </w:rPr>
        <w:footnoteRef/>
      </w:r>
      <w:r>
        <w:t xml:space="preserve"> Astfel cum sunt definite la articolul 3 alineatul (11) din Regulamentul 2019/1242: un vehicul fără motor cu ardere internă sau cu un motor cu ardere internă care emite mai puțin de 1 g CO</w:t>
      </w:r>
      <w:r>
        <w:rPr>
          <w:vertAlign w:val="subscript"/>
        </w:rPr>
        <w:t>2</w:t>
      </w:r>
      <w:r>
        <w:t>/km.</w:t>
      </w:r>
    </w:p>
  </w:footnote>
  <w:footnote w:id="3">
    <w:p>
      <w:pPr>
        <w:pStyle w:val="FootnoteText"/>
      </w:pPr>
      <w:r>
        <w:rPr>
          <w:rStyle w:val="FootnoteReference"/>
        </w:rPr>
        <w:footnoteRef/>
      </w:r>
      <w:r>
        <w:t xml:space="preserve"> Astfel cum sunt definite la articolul 3 alineatul (12) din Regulamentul (UE) 2019/1242: cu emisii de CO</w:t>
      </w:r>
      <w:r>
        <w:rPr>
          <w:vertAlign w:val="subscript"/>
        </w:rPr>
        <w:t>2</w:t>
      </w:r>
      <w:r>
        <w:t xml:space="preserve"> mai mici decât jumătate din nivelul de referință al emisiilor de CO</w:t>
      </w:r>
      <w:r>
        <w:rPr>
          <w:vertAlign w:val="subscript"/>
        </w:rPr>
        <w:t>2</w:t>
      </w:r>
      <w:r>
        <w:t xml:space="preserve"> ale tuturor vehiculelor din subgrupul de vehicule; valorile de referință diferă în funcție de tipul de camion.</w:t>
      </w:r>
    </w:p>
  </w:footnote>
  <w:footnote w:id="4">
    <w:p>
      <w:pPr>
        <w:pStyle w:val="FootnoteText"/>
      </w:pPr>
      <w:r>
        <w:rPr>
          <w:rStyle w:val="FootnoteReference"/>
        </w:rPr>
        <w:footnoteRef/>
      </w:r>
      <w:r>
        <w:t xml:space="preserve"> Biocombustibilii, biolichidele și combustibilii din biomasă îndeplinesc criteriile de durabilitate și de reducere a emisiilor de gaze cu efect de seră prevăzute la articolele 29-31 și normele privind biocombustibilii pe bază de alimente și furaje prevăzute la articolul 26 din Directiva (UE) 2018/2001 privind energia din surse regenerabile (REDII), precum și actele de punere în aplicare și actele delegate aferente; și exclusiv biocombustibilii, biolichidele și combustibilii din biomasă care respectă REDII sunt utilizați de vehiculele care beneficiază de sprijin în cadrul Mecanismului de redresare și reziliență; iar nivelul/ponderea biocombustibililor, a biolichidelor și a combustibililor din biomasă în cadrul mixului național crește în timp.</w:t>
      </w:r>
    </w:p>
  </w:footnote>
  <w:footnote w:id="5">
    <w:p>
      <w:pPr>
        <w:pStyle w:val="FootnoteText"/>
      </w:pPr>
      <w:r>
        <w:rPr>
          <w:rStyle w:val="FootnoteReference"/>
        </w:rPr>
        <w:footnoteRef/>
      </w:r>
      <w:r>
        <w:t xml:space="preserve"> Biocombustibilii, biolichidele și combustibilii din biomasă îndeplinesc criteriile de durabilitate și de reducere a emisiilor de gaze cu efect de seră prevăzute la articolele 29-31 și normele privind biocombustibilii pe bază de alimente și furaje prevăzute la articolul 26 din Directiva (UE) 2018/2001 privind energia din surse regenerabile (REDII), precum și actele de punere în aplicare și actele delegate aferente; și exclusiv biocombustibilii, biolichidele și combustibilii din biomasă care respectă REDII sunt utilizați de vehiculele care beneficiază de sprijin în cadrul Mecanismului de redresare și reziliență; iar nivelul/ponderea biocombustibililor, a biolichidelor și a combustibililor din biomasă în cadrul mixului național crește în timp.</w:t>
      </w:r>
    </w:p>
  </w:footnote>
  <w:footnote w:id="6">
    <w:p>
      <w:pPr>
        <w:pStyle w:val="FootnoteText"/>
      </w:pPr>
      <w:r>
        <w:rPr>
          <w:rStyle w:val="FootnoteReference"/>
        </w:rPr>
        <w:footnoteRef/>
      </w:r>
      <w:r>
        <w:t xml:space="preserve"> Cu excepția proiectelor din cadrul acestei măsuri privind generarea de energie electrică și/sau termică, precum și infrastructura aferentă de transport și distribuție, care utilizează gaze naturale, care respectă condițiile stabilite în anexa III la Orientările tehnice privind principiul „de a nu prejudicia în mod semnificativ” (2021/C58/01).</w:t>
      </w:r>
    </w:p>
  </w:footnote>
  <w:footnote w:id="7">
    <w:p>
      <w:pPr>
        <w:pStyle w:val="FootnoteText"/>
      </w:pPr>
      <w:r>
        <w:rPr>
          <w:rStyle w:val="FootnoteReference"/>
        </w:rPr>
        <w:footnoteRef/>
      </w:r>
      <w:r>
        <w:t xml:space="preserve"> În cazul în care activitatea sprijinită generează emisii de gaze cu efect de seră preconizate care nu sunt semnificativ mai scăzute decât valorile de referință relevante, ar trebui furnizată o explicație a motivelor pentru care acest lucru nu este posibil. Valorile de referință stabilite pentru alocarea cu titlu gratuit pentru activitățile care intră în domeniul de aplicare al schemei de comercializare a certificatelor de emisii, astfel cum se prevede în regulamentul de punere în aplicare (UE) 2021/447 al Comisiei.</w:t>
      </w:r>
    </w:p>
  </w:footnote>
  <w:footnote w:id="8">
    <w:p>
      <w:pPr>
        <w:pStyle w:val="FootnoteText"/>
      </w:pPr>
      <w:r>
        <w:rPr>
          <w:rStyle w:val="FootnoteReference"/>
        </w:rPr>
        <w:footnoteRef/>
      </w:r>
      <w:r>
        <w:t xml:space="preserve"> Această excludere nu se aplică acțiunilor întreprinse în cadrul acestei măsuri în instalațiile dedicate exclusiv tratării deșeurilor periculoase nereciclabile și instalațiilor existente, în cazul în care acțiunile din cadrul acestei măsuri vizează creșterea eficienței energetice, captarea gazelor de evacuare pentru depozitare sau utilizare sau recuperarea materialelor din cenușa de incinerare, cu condiția ca astfel de acțiuni din cadrul acestei măsuri să nu conducă la o creștere a capacității de prelucrare a deșeurilor a instalațiilor sau la o prelungire a duratei de viață a instalațiilor; pentru care se furnizează dovezi la nivel de uzină.</w:t>
      </w:r>
    </w:p>
  </w:footnote>
  <w:footnote w:id="9">
    <w:p>
      <w:pPr>
        <w:pStyle w:val="FootnoteText"/>
      </w:pPr>
      <w:r>
        <w:rPr>
          <w:rStyle w:val="FootnoteReference"/>
        </w:rPr>
        <w:footnoteRef/>
      </w:r>
      <w:r>
        <w:t xml:space="preserve"> Această excludere nu se aplică acțiunilor întreprinse în cadrul acestei măsuri în stațiile de tratare mecano-biologică existente, în cazul în care acțiunile din cadrul acestei măsuri vizează creșterea eficienței energetice sau readaptarea la operațiunile de reciclare a deșeurilor separate pentru compostarea deșeurilor biologice și a digestiei anaerobe a deșeurilor biologice, cu condiția ca astfel de acțiuni din cadrul acestei măsuri să nu conducă la o creștere a capacității de prelucrare a deșeurilor a instalațiilor sau la o prelungire a duratei de viață a instalațiilor; pentru care se furnizează dovezi la nivel de uzină.</w:t>
      </w:r>
    </w:p>
  </w:footnote>
  <w:footnote w:id="10">
    <w:p>
      <w:pPr>
        <w:pStyle w:val="FootnoteText"/>
      </w:pPr>
      <w:r>
        <w:rPr>
          <w:rStyle w:val="FootnoteReference"/>
        </w:rPr>
        <w:footnoteRef/>
      </w:r>
      <w:r>
        <w:t xml:space="preserve"> Cu excepția proiectelor din cadrul acestei măsuri privind generarea de energie electrică și/sau termică, precum și infrastructura aferentă de transport și distribuție, care utilizează gaze naturale, care respectă condițiile stabilite în anexa III la Orientările tehnice privind principiul „de a nu prejudicia în mod semnificativ” (2021/C58/01).</w:t>
      </w:r>
    </w:p>
  </w:footnote>
  <w:footnote w:id="11">
    <w:p>
      <w:pPr>
        <w:pStyle w:val="FootnoteText"/>
      </w:pPr>
      <w:r>
        <w:rPr>
          <w:rStyle w:val="FootnoteReference"/>
        </w:rPr>
        <w:footnoteRef/>
      </w:r>
      <w:r>
        <w:t xml:space="preserve"> În cazul în care activitatea sprijinită generează emisii de gaze cu efect de seră preconizate care nu sunt semnificativ mai scăzute decât valorile de referință relevante, ar trebui furnizată o explicație a motivelor pentru care acest lucru nu este posibil. Valorile de referință stabilite pentru alocarea cu titlu gratuit pentru activitățile care intră în domeniul de aplicare al schemei de comercializare a certificatelor de emisii, astfel cum se prevede în regulamentul de punere în aplicare (UE) 2021/447 al Comisiei.</w:t>
      </w:r>
    </w:p>
  </w:footnote>
  <w:footnote w:id="12">
    <w:p>
      <w:pPr>
        <w:pStyle w:val="FootnoteText"/>
      </w:pPr>
      <w:r>
        <w:rPr>
          <w:rStyle w:val="FootnoteReference"/>
        </w:rPr>
        <w:footnoteRef/>
      </w:r>
      <w:r>
        <w:t xml:space="preserve"> Această excludere nu se aplică acțiunilor întreprinse în cadrul acestei măsuri în instalațiile dedicate exclusiv tratării deșeurilor periculoase nereciclabile și instalațiilor existente, în cazul în care acțiunile din cadrul acestei măsuri vizează creșterea eficienței energetice, captarea gazelor de evacuare pentru depozitare sau utilizare sau recuperarea materialelor din cenușa de incinerare, cu condiția ca astfel de acțiuni din cadrul acestei măsuri să nu conducă la o creștere a capacității de prelucrare a deșeurilor a instalațiilor sau la o prelungire a duratei de viață a instalațiilor; pentru care se furnizează dovezi la nivel de uzină.</w:t>
      </w:r>
    </w:p>
  </w:footnote>
  <w:footnote w:id="13">
    <w:p>
      <w:pPr>
        <w:pStyle w:val="FootnoteText"/>
      </w:pPr>
      <w:r>
        <w:rPr>
          <w:rStyle w:val="FootnoteReference"/>
        </w:rPr>
        <w:footnoteRef/>
      </w:r>
      <w:r>
        <w:t xml:space="preserve"> Această excludere nu se aplică acțiunilor întreprinse în cadrul acestei măsuri în stațiile de tratare mecano-biologică existente, în cazul în care acțiunile din cadrul acestei măsuri vizează creșterea eficienței energetice sau readaptarea la operațiunile de reciclare a deșeurilor separate pentru compostarea deșeurilor biologice și a digestiei anaerobe a deșeurilor biologice, cu condiția ca astfel de acțiuni din cadrul acestei măsuri să nu conducă la o creștere a capacității de prelucrare a deșeurilor a instalațiilor sau la o prelungire a duratei de viață a instalațiilor; pentru care se furnizează dovezi la nivel de uzină.</w:t>
      </w:r>
    </w:p>
  </w:footnote>
  <w:footnote w:id="14">
    <w:p>
      <w:pPr>
        <w:pStyle w:val="FootnoteText"/>
      </w:pPr>
      <w:r>
        <w:rPr>
          <w:rStyle w:val="FootnoteReference"/>
        </w:rPr>
        <w:footnoteRef/>
      </w:r>
      <w:r>
        <w:t xml:space="preserve"> Sub 50 gCO</w:t>
      </w:r>
      <w:r>
        <w:rPr>
          <w:vertAlign w:val="subscript"/>
        </w:rPr>
        <w:t>2</w:t>
      </w:r>
      <w:r>
        <w:t>/km, în conformitate cu categoria „vehicule nepoluante” din Directiva 2009/33/CE revizuită privind vehiculele nepoluante.</w:t>
      </w:r>
    </w:p>
  </w:footnote>
  <w:footnote w:id="15">
    <w:p>
      <w:pPr>
        <w:pStyle w:val="FootnoteText"/>
      </w:pPr>
      <w:r>
        <w:rPr>
          <w:rStyle w:val="FootnoteReference"/>
        </w:rPr>
        <w:footnoteRef/>
      </w:r>
      <w:r>
        <w:t xml:space="preserve"> Sub 50 gCO</w:t>
      </w:r>
      <w:r>
        <w:rPr>
          <w:vertAlign w:val="subscript"/>
        </w:rPr>
        <w:t>2</w:t>
      </w:r>
      <w:r>
        <w:t>/km, în conformitate cu categoria „vehicule nepoluante” din Directiva 2009/33/CE revizuită privind vehiculele nepoluante.</w:t>
      </w:r>
    </w:p>
  </w:footnote>
  <w:footnote w:id="16">
    <w:p>
      <w:pPr>
        <w:pStyle w:val="FootnoteText"/>
      </w:pPr>
      <w:r>
        <w:rPr>
          <w:rStyle w:val="FootnoteReference"/>
        </w:rPr>
        <w:footnoteRef/>
      </w:r>
      <w:r>
        <w:tab/>
        <w:t>JO L 169, 25.6.2019, p. 1.</w:t>
      </w:r>
    </w:p>
  </w:footnote>
  <w:footnote w:id="17">
    <w:p>
      <w:pPr>
        <w:pStyle w:val="FootnoteText"/>
      </w:pPr>
      <w:r>
        <w:rPr>
          <w:rStyle w:val="FootnoteReference"/>
        </w:rPr>
        <w:footnoteRef/>
      </w:r>
      <w:r>
        <w:tab/>
        <w:t>COM(2020) 66 final.</w:t>
      </w:r>
    </w:p>
  </w:footnote>
  <w:footnote w:id="18">
    <w:p>
      <w:pPr>
        <w:pStyle w:val="FootnoteText"/>
      </w:pPr>
      <w:r>
        <w:rPr>
          <w:rStyle w:val="FootnoteReference"/>
        </w:rPr>
        <w:footnoteRef/>
      </w:r>
      <w:r>
        <w:tab/>
        <w:t>A se vedea Propunerea de regulament al Parlamentului European și al Consiliului privind guvernanța europeană a datelor, 25.11.2020, COM/2020/767 final.</w:t>
      </w:r>
    </w:p>
  </w:footnote>
  <w:footnote w:id="19">
    <w:p>
      <w:pPr>
        <w:pStyle w:val="FootnoteText"/>
      </w:pPr>
      <w:r>
        <w:rPr>
          <w:rStyle w:val="FootnoteReference"/>
        </w:rPr>
        <w:footnoteRef/>
      </w:r>
      <w:r>
        <w:tab/>
        <w:t>https://digital-strategy.ec.europa.eu/en/activities/digital-programme.</w:t>
      </w:r>
    </w:p>
  </w:footnote>
  <w:footnote w:id="20">
    <w:p>
      <w:pPr>
        <w:pStyle w:val="FootnoteText"/>
      </w:pPr>
      <w:r>
        <w:rPr>
          <w:rStyle w:val="FootnoteReference"/>
        </w:rPr>
        <w:footnoteRef/>
      </w:r>
      <w:r>
        <w:t xml:space="preserve"> Cu excepția proiectelor din cadrul acestei măsuri privind generarea de energie electrică și/sau termică, precum și infrastructura aferentă de transport și distribuție, care utilizează gaze naturale, care respectă condițiile stabilite în anexa III la Orientările tehnice privind principiul „de a nu prejudicia în mod semnificativ” (2021/C58/01).</w:t>
      </w:r>
    </w:p>
  </w:footnote>
  <w:footnote w:id="21">
    <w:p>
      <w:pPr>
        <w:pStyle w:val="FootnoteText"/>
      </w:pPr>
      <w:r>
        <w:rPr>
          <w:rStyle w:val="FootnoteReference"/>
        </w:rPr>
        <w:footnoteRef/>
      </w:r>
      <w:r>
        <w:t xml:space="preserve"> În cazul în care activitatea sprijinită generează emisii de gaze cu efect de seră preconizate care nu sunt semnificativ mai scăzute decât valorile de referință relevante, ar trebui furnizată o explicație a motivelor pentru care acest lucru nu este posibil. Valorile de referință stabilite pentru alocarea cu titlu gratuit pentru activitățile care intră în domeniul de aplicare al schemei de comercializare a certificatelor de emisii, astfel cum se prevede în regulamentul de punere în aplicare (UE) 2021/447 al Comisiei.</w:t>
      </w:r>
    </w:p>
  </w:footnote>
  <w:footnote w:id="22">
    <w:p>
      <w:pPr>
        <w:pStyle w:val="FootnoteText"/>
      </w:pPr>
      <w:r>
        <w:rPr>
          <w:rStyle w:val="FootnoteReference"/>
        </w:rPr>
        <w:footnoteRef/>
      </w:r>
      <w:r>
        <w:t xml:space="preserve"> Această excludere nu se aplică acțiunilor întreprinse în cadrul acestei măsuri în instalațiile dedicate exclusiv tratării deșeurilor periculoase nereciclabile și instalațiilor existente, în cazul în care acțiunile din cadrul acestei măsuri vizează creșterea eficienței energetice, captarea gazelor de evacuare pentru depozitare sau utilizare sau recuperarea materialelor din cenușa de incinerare, cu condiția ca astfel de acțiuni din cadrul acestei măsuri să nu conducă la o creștere a capacității de prelucrare a deșeurilor a instalațiilor sau la o prelungire a duratei de viață a instalațiilor; pentru care se furnizează dovezi la nivel de uzină.</w:t>
      </w:r>
    </w:p>
  </w:footnote>
  <w:footnote w:id="23">
    <w:p>
      <w:pPr>
        <w:pStyle w:val="FootnoteText"/>
      </w:pPr>
      <w:r>
        <w:rPr>
          <w:rStyle w:val="FootnoteReference"/>
        </w:rPr>
        <w:footnoteRef/>
      </w:r>
      <w:r>
        <w:t xml:space="preserve"> Această excludere nu se aplică acțiunilor întreprinse în cadrul acestei măsuri în stațiile de tratare mecano-biologică existente, în cazul în care acțiunile din cadrul acestei măsuri vizează creșterea eficienței energetice sau readaptarea la operațiunile de reciclare a deșeurilor separate pentru compostarea deșeurilor biologice și a digestiei anaerobe a deșeurilor biologice, cu condiția ca astfel de acțiuni din cadrul acestei măsuri să nu conducă la o creștere a capacității de prelucrare a deșeurilor a instalațiilor sau la o prelungire a duratei de viață a instalațiilor; pentru care se furnizează dovezi la nivel de uzină.</w:t>
      </w:r>
    </w:p>
  </w:footnote>
  <w:footnote w:id="24">
    <w:p>
      <w:pPr>
        <w:pStyle w:val="FootnoteText"/>
      </w:pPr>
      <w:r>
        <w:rPr>
          <w:rStyle w:val="FootnoteReference"/>
        </w:rPr>
        <w:footnoteRef/>
      </w:r>
      <w:r>
        <w:t xml:space="preserve"> JO L 57, 18.2.2021, p. 17.</w:t>
      </w:r>
    </w:p>
  </w:footnote>
  <w:footnote w:id="25">
    <w:p>
      <w:pPr>
        <w:pStyle w:val="FootnoteText"/>
      </w:pPr>
      <w:r>
        <w:rPr>
          <w:rStyle w:val="FootnoteReference"/>
        </w:rPr>
        <w:footnoteRef/>
      </w:r>
      <w:r>
        <w:t xml:space="preserve"> Cu excepția proiectelor din cadrul acestei măsuri privind generarea de energie electrică și/sau termică, precum și infrastructura aferentă de transport și distribuție, care utilizează gaze naturale, care respectă condițiile stabilite în anexa III la Orientările tehnice privind principiul „de a nu prejudicia în mod semnificativ” (2021/C58/01).</w:t>
      </w:r>
    </w:p>
  </w:footnote>
  <w:footnote w:id="26">
    <w:p>
      <w:pPr>
        <w:pStyle w:val="FootnoteText"/>
      </w:pPr>
      <w:r>
        <w:rPr>
          <w:rStyle w:val="FootnoteReference"/>
        </w:rPr>
        <w:footnoteRef/>
      </w:r>
      <w:r>
        <w:t xml:space="preserve"> În cazul în care activitatea sprijinită generează emisii de gaze cu efect de seră preconizate care nu sunt semnificativ mai scăzute decât valorile de referință relevante, ar trebui furnizată o explicație a motivelor pentru care acest lucru nu este posibil. Valorile de referință stabilite pentru alocarea cu titlu gratuit pentru activitățile care intră în domeniul de aplicare al schemei de comercializare a certificatelor de emisii, astfel cum se prevede în regulamentul de punere în aplicare (UE) 2021/447 al Comisiei.</w:t>
      </w:r>
    </w:p>
  </w:footnote>
  <w:footnote w:id="27">
    <w:p>
      <w:pPr>
        <w:pStyle w:val="FootnoteText"/>
      </w:pPr>
      <w:r>
        <w:rPr>
          <w:rStyle w:val="FootnoteReference"/>
        </w:rPr>
        <w:footnoteRef/>
      </w:r>
      <w:r>
        <w:t xml:space="preserve"> Această excludere nu se aplică acțiunilor întreprinse în cadrul acestei măsuri în instalațiile dedicate exclusiv tratării deșeurilor periculoase nereciclabile și instalațiilor existente, în cazul în care acțiunile din cadrul acestei măsuri vizează creșterea eficienței energetice, captarea gazelor de evacuare pentru depozitare sau utilizare sau recuperarea materialelor din cenușa de incinerare, cu condiția ca astfel de acțiuni din cadrul acestei măsuri să nu conducă la o creștere a capacității de prelucrare a deșeurilor a instalațiilor sau la o prelungire a duratei de viață a instalațiilor; pentru care se furnizează dovezi la nivel de uzină.</w:t>
      </w:r>
    </w:p>
  </w:footnote>
  <w:footnote w:id="28">
    <w:p>
      <w:pPr>
        <w:pStyle w:val="FootnoteText"/>
      </w:pPr>
      <w:r>
        <w:rPr>
          <w:rStyle w:val="FootnoteReference"/>
        </w:rPr>
        <w:footnoteRef/>
      </w:r>
      <w:r>
        <w:t>Această excludere nu se aplică acțiunilor întreprinse în cadrul acestei măsuri în stațiile de tratare mecano-biologică existente, în cazul în care acțiunile din cadrul acestei măsuri vizează creșterea eficienței resurselor sau readaptarea la operațiunile de reciclare a deșeurilor separate pentru compostarea deșeurilor biologice și a digestiei anaerobe a deșeurilor biologice, cu condiția ca astfel de acțiuni din cadrul acestei măsuri să nu conducă la o creștere a capacității de prelucrare a deșeurilor a instalațiilor sau la o prelungire a duratei de viață a instalațiilor; pentru care se furnizează dovezi la nivel de uzină.</w:t>
      </w:r>
    </w:p>
  </w:footnote>
  <w:footnote w:id="29">
    <w:p>
      <w:pPr>
        <w:pStyle w:val="FootnoteText"/>
      </w:pPr>
      <w:r>
        <w:rPr>
          <w:rStyle w:val="FootnoteReference"/>
        </w:rPr>
        <w:footnoteRef/>
      </w:r>
      <w:r>
        <w:t xml:space="preserve"> Cu excepția proiectelor din cadrul acestei măsuri privind generarea de energie electrică și/sau termică, precum și infrastructura aferentă de transport și distribuție, care utilizează gaze naturale, care respectă condițiile stabilite în anexa III la Orientările tehnice privind principiul „de a nu prejudicia în mod semnificativ” (2021/C58/01).</w:t>
      </w:r>
    </w:p>
  </w:footnote>
  <w:footnote w:id="30">
    <w:p>
      <w:pPr>
        <w:pStyle w:val="FootnoteText"/>
      </w:pPr>
      <w:r>
        <w:rPr>
          <w:rStyle w:val="FootnoteReference"/>
        </w:rPr>
        <w:footnoteRef/>
      </w:r>
      <w:r>
        <w:t xml:space="preserve"> În cazul în care activitatea sprijinită generează emisii de gaze cu efect de seră preconizate care nu sunt semnificativ mai scăzute decât valorile de referință relevante, ar trebui furnizată o explicație a motivelor pentru care acest lucru nu este posibil. Valorile de referință stabilite pentru alocarea cu titlu gratuit pentru activitățile care intră în domeniul de aplicare al schemei de comercializare a certificatelor de emisii, astfel cum se prevede în regulamentul de punere în aplicare (UE) 2021/447 al Comisiei.</w:t>
      </w:r>
    </w:p>
  </w:footnote>
  <w:footnote w:id="31">
    <w:p>
      <w:pPr>
        <w:pStyle w:val="FootnoteText"/>
      </w:pPr>
      <w:r>
        <w:rPr>
          <w:rStyle w:val="FootnoteReference"/>
        </w:rPr>
        <w:footnoteRef/>
      </w:r>
      <w:r>
        <w:t xml:space="preserve"> Această excludere nu se aplică acțiunilor întreprinse în cadrul acestei măsuri în instalațiile dedicate exclusiv tratării deșeurilor periculoase nereciclabile și instalațiilor existente, în cazul în care acțiunile din cadrul acestei măsuri vizează creșterea eficienței energetice, captarea gazelor de evacuare pentru depozitare sau utilizare sau recuperarea materialelor din cenușa de incinerare, cu condiția ca astfel de acțiuni din cadrul acestei măsuri să nu conducă la o creștere a capacității de prelucrare a deșeurilor a instalațiilor sau la o prelungire a duratei de viață a instalațiilor; pentru care se furnizează dovezi la nivel de uzină.</w:t>
      </w:r>
    </w:p>
  </w:footnote>
  <w:footnote w:id="32">
    <w:p>
      <w:pPr>
        <w:pStyle w:val="FootnoteText"/>
      </w:pPr>
      <w:r>
        <w:rPr>
          <w:rStyle w:val="FootnoteReference"/>
        </w:rPr>
        <w:footnoteRef/>
      </w:r>
      <w:r>
        <w:t xml:space="preserve"> Această excludere nu se aplică acțiunilor întreprinse în cadrul acestei măsuri în stațiile de tratare mecano-biologică existente, în cazul în care acțiunile din cadrul acestei măsuri vizează creșterea eficienței energetice sau readaptarea la operațiunile de reciclare a deșeurilor separate pentru compostarea deșeurilor biologice și a digestiei anaerobe a deșeurilor biologice, cu condiția ca astfel de acțiuni din cadrul acestei măsuri să nu conducă la o creștere a capacității de prelucrare a deșeurilor a instalațiilor sau la o prelungire a duratei de viață a instalațiilor; pentru care se furnizează dovezi la nivel de uzină.</w:t>
      </w:r>
    </w:p>
  </w:footnote>
  <w:footnote w:id="33">
    <w:p>
      <w:pPr>
        <w:pStyle w:val="FootnoteText"/>
      </w:pPr>
      <w:r>
        <w:rPr>
          <w:rStyle w:val="FootnoteReference"/>
        </w:rPr>
        <w:footnoteRef/>
      </w:r>
      <w:r>
        <w:t xml:space="preserve"> Cu excepția proiectelor din cadrul acestei măsuri privind generarea de energie electrică și/sau termică, precum și infrastructura aferentă de transport și distribuție, care utilizează gaze naturale, care respectă condițiile stabilite în anexa III la Orientările tehnice privind principiul „de a nu prejudicia în mod semnificativ” (2021/C58/01).</w:t>
      </w:r>
    </w:p>
  </w:footnote>
  <w:footnote w:id="34">
    <w:p>
      <w:pPr>
        <w:pStyle w:val="FootnoteText"/>
      </w:pPr>
      <w:r>
        <w:rPr>
          <w:rStyle w:val="FootnoteReference"/>
        </w:rPr>
        <w:footnoteRef/>
      </w:r>
      <w:r>
        <w:t xml:space="preserve"> În cazul în care activitatea sprijinită generează emisii de gaze cu efect de seră preconizate care nu sunt semnificativ mai scăzute decât valorile de referință relevante, ar trebui furnizată o explicație a motivelor pentru care acest lucru nu este posibil. Valorile de referință stabilite pentru alocarea cu titlu gratuit pentru activitățile care intră în domeniul de aplicare al schemei de comercializare a certificatelor de emisii, astfel cum se prevede în regulamentul de punere în aplicare (UE) 2021/447 al Comisiei.</w:t>
      </w:r>
    </w:p>
  </w:footnote>
  <w:footnote w:id="35">
    <w:p>
      <w:pPr>
        <w:pStyle w:val="FootnoteText"/>
      </w:pPr>
      <w:r>
        <w:rPr>
          <w:rStyle w:val="FootnoteReference"/>
        </w:rPr>
        <w:footnoteRef/>
      </w:r>
      <w:r>
        <w:t xml:space="preserve"> Această excludere nu se aplică acțiunilor întreprinse în cadrul acestei măsuri în instalațiile dedicate exclusiv tratării deșeurilor periculoase nereciclabile și instalațiilor existente, în cazul în care acțiunile din cadrul acestei măsuri vizează creșterea eficienței energetice, captarea gazelor de evacuare pentru depozitare sau utilizare sau recuperarea materialelor din cenușa de incinerare, cu condiția ca astfel de acțiuni din cadrul acestei măsuri să nu conducă la o creștere a capacității de prelucrare a deșeurilor a instalațiilor sau la o prelungire a duratei de viață a instalațiilor; pentru care se furnizează dovezi la nivel de uzină.</w:t>
      </w:r>
    </w:p>
  </w:footnote>
  <w:footnote w:id="36">
    <w:p>
      <w:pPr>
        <w:pStyle w:val="FootnoteText"/>
      </w:pPr>
      <w:r>
        <w:rPr>
          <w:rStyle w:val="FootnoteReference"/>
        </w:rPr>
        <w:footnoteRef/>
      </w:r>
      <w:r>
        <w:t xml:space="preserve"> Această excludere nu se aplică acțiunilor întreprinse în cadrul acestei măsuri în stațiile de tratare mecano-biologică existente, în cazul în care acțiunile din cadrul acestei măsuri vizează creșterea eficienței energetice sau readaptarea la operațiunile de reciclare a deșeurilor separate pentru compostarea deșeurilor biologice și a digestiei anaerobe a deșeurilor biologice, cu condiția ca astfel de acțiuni din cadrul acestei măsuri să nu conducă la o creștere a capacității de prelucrare a deșeurilor a instalațiilor sau la o prelungire a duratei de viață a instalațiilor; pentru care se furnizează dovezi la nivel de uzină.</w:t>
      </w:r>
    </w:p>
  </w:footnote>
  <w:footnote w:id="37">
    <w:p>
      <w:pPr>
        <w:pStyle w:val="FootnoteText"/>
      </w:pPr>
      <w:r>
        <w:rPr>
          <w:rStyle w:val="FootnoteReference"/>
        </w:rPr>
        <w:footnoteRef/>
      </w:r>
      <w:r>
        <w:t xml:space="preserve"> Cu excepția proiectelor din cadrul acestei măsuri privind generarea de energie electrică și/sau termică, precum și infrastructura aferentă de transport și distribuție, care utilizează gaze naturale, care respectă condițiile stabilite în anexa III la Orientările tehnice privind principiul „de a nu prejudicia în mod semnificativ” (2021/C58/01).</w:t>
      </w:r>
    </w:p>
  </w:footnote>
  <w:footnote w:id="38">
    <w:p>
      <w:pPr>
        <w:pStyle w:val="FootnoteText"/>
      </w:pPr>
      <w:r>
        <w:rPr>
          <w:rStyle w:val="FootnoteReference"/>
        </w:rPr>
        <w:footnoteRef/>
      </w:r>
      <w:r>
        <w:t xml:space="preserve"> În cazul în care activitatea sprijinită generează emisii de gaze cu efect de seră preconizate care nu sunt semnificativ mai scăzute decât valorile de referință relevante, ar trebui furnizată o explicație a motivelor pentru care acest lucru nu este posibil. Valorile de referință stabilite pentru alocarea cu titlu gratuit pentru activitățile care intră în domeniul de aplicare al schemei de comercializare a certificatelor de emisii, astfel cum se prevede în regulamentul de punere în aplicare (UE) 2021/447 al Comisiei.</w:t>
      </w:r>
    </w:p>
  </w:footnote>
  <w:footnote w:id="39">
    <w:p>
      <w:pPr>
        <w:pStyle w:val="FootnoteText"/>
      </w:pPr>
      <w:r>
        <w:rPr>
          <w:rStyle w:val="FootnoteReference"/>
        </w:rPr>
        <w:footnoteRef/>
      </w:r>
      <w:r>
        <w:t xml:space="preserve"> Această excludere nu se aplică acțiunilor întreprinse în cadrul acestei măsuri în instalațiile dedicate exclusiv tratării deșeurilor periculoase nereciclabile și instalațiilor existente, în cazul în care acțiunile din cadrul acestei măsuri vizează creșterea eficienței energetice, captarea gazelor de evacuare pentru depozitare sau utilizare sau recuperarea materialelor din cenușa de incinerare, cu condiția ca astfel de acțiuni din cadrul acestei măsuri să nu conducă la o creștere a capacității de prelucrare a deșeurilor a instalațiilor sau la o prelungire a duratei de viață a instalațiilor; pentru care se furnizează dovezi la nivel de uzină.</w:t>
      </w:r>
    </w:p>
  </w:footnote>
  <w:footnote w:id="40">
    <w:p>
      <w:pPr>
        <w:pStyle w:val="FootnoteText"/>
      </w:pPr>
      <w:r>
        <w:rPr>
          <w:rStyle w:val="FootnoteReference"/>
        </w:rPr>
        <w:footnoteRef/>
      </w:r>
      <w:r>
        <w:t xml:space="preserve"> Această excludere nu se aplică acțiunilor întreprinse în cadrul acestei măsuri în stațiile de tratare mecano-biologică existente, în cazul în care acțiunile din cadrul acestei măsuri vizează creșterea eficienței energetice sau readaptarea la operațiunile de reciclare a deșeurilor separate pentru compostarea deșeurilor biologice și a digestiei anaerobe a deșeurilor biologice, cu condiția ca astfel de acțiuni din cadrul acestei măsuri să nu conducă la o creștere a capacității de prelucrare a deșeurilor a instalațiilor sau la o prelungire a duratei de viață a instalațiilor; pentru care se furnizează dovezi la nivel de uzină.</w:t>
      </w:r>
    </w:p>
  </w:footnote>
  <w:footnote w:id="41">
    <w:p>
      <w:pPr>
        <w:pStyle w:val="FootnoteText"/>
      </w:pPr>
      <w:r>
        <w:rPr>
          <w:rStyle w:val="FootnoteReference"/>
        </w:rPr>
        <w:footnoteRef/>
      </w:r>
      <w:r>
        <w:t xml:space="preserve"> Cu excepția proiectelor din cadrul acestei măsuri privind generarea de energie electrică și/sau termică, precum și infrastructura aferentă de transport și distribuție, care utilizează gaze naturale, care respectă condițiile stabilite în anexa III la Orientările tehnice privind principiul „de a nu prejudicia în mod semnificativ” (2021/C58/01).</w:t>
      </w:r>
    </w:p>
  </w:footnote>
  <w:footnote w:id="42">
    <w:p>
      <w:pPr>
        <w:pStyle w:val="FootnoteText"/>
      </w:pPr>
      <w:r>
        <w:rPr>
          <w:rStyle w:val="FootnoteReference"/>
        </w:rPr>
        <w:footnoteRef/>
      </w:r>
      <w:r>
        <w:t xml:space="preserve"> În cazul în care activitatea sprijinită generează emisii de gaze cu efect de seră preconizate care nu sunt semnificativ mai scăzute decât valorile de referință relevante, ar trebui furnizată o explicație a motivelor pentru care acest lucru nu este posibil. Valorile de referință stabilite pentru alocarea cu titlu gratuit pentru activitățile care intră în domeniul de aplicare al schemei de comercializare a certificatelor de emisii, astfel cum se prevede în regulamentul de punere în aplicare (UE) 2021/447 al Comisiei.</w:t>
      </w:r>
    </w:p>
  </w:footnote>
  <w:footnote w:id="43">
    <w:p>
      <w:pPr>
        <w:pStyle w:val="FootnoteText"/>
      </w:pPr>
      <w:r>
        <w:rPr>
          <w:rStyle w:val="FootnoteReference"/>
        </w:rPr>
        <w:footnoteRef/>
      </w:r>
      <w:r>
        <w:t xml:space="preserve"> Această excludere nu se aplică acțiunilor întreprinse în cadrul acestei măsuri în instalațiile dedicate exclusiv tratării deșeurilor periculoase nereciclabile și instalațiilor existente, în cazul în care acțiunile din cadrul acestei măsuri vizează creșterea eficienței energetice, captarea gazelor de evacuare pentru depozitare sau utilizare sau recuperarea materialelor din cenușa de incinerare, cu condiția ca astfel de acțiuni din cadrul acestei măsuri să nu conducă la o creștere a capacității de prelucrare a deșeurilor a instalațiilor sau la o prelungire a duratei de viață a instalațiilor; pentru care se furnizează dovezi la nivel de uzină.</w:t>
      </w:r>
    </w:p>
  </w:footnote>
  <w:footnote w:id="44">
    <w:p>
      <w:pPr>
        <w:pStyle w:val="FootnoteText"/>
      </w:pPr>
      <w:r>
        <w:rPr>
          <w:rStyle w:val="FootnoteReference"/>
        </w:rPr>
        <w:footnoteRef/>
      </w:r>
      <w:r>
        <w:t xml:space="preserve"> Această excludere nu se aplică acțiunilor întreprinse în cadrul acestei măsuri în stațiile de tratare mecano-biologică existente, în cazul în care acțiunile din cadrul acestei măsuri vizează creșterea eficienței energetice sau readaptarea la operațiunile de reciclare a deșeurilor separate pentru compostarea deșeurilor biologice și a digestiei anaerobe a deșeurilor biologice, cu condiția ca astfel de acțiuni din cadrul acestei măsuri să nu conducă la o creștere a capacității de prelucrare a deșeurilor a instalațiilor sau la o prelungire a duratei de viață a instalațiilor; pentru care se furnizează dovezi la nivel de uzină.</w:t>
      </w:r>
    </w:p>
  </w:footnote>
  <w:footnote w:id="45">
    <w:p>
      <w:pPr>
        <w:pStyle w:val="FootnoteText"/>
      </w:pPr>
      <w:r>
        <w:rPr>
          <w:rStyle w:val="FootnoteReference"/>
        </w:rPr>
        <w:footnoteRef/>
      </w:r>
      <w:r>
        <w:t xml:space="preserve"> Cu excepția proiectelor din cadrul acestei măsuri privind generarea de energie electrică și/sau termică, precum și infrastructura aferentă de transport și distribuție, care utilizează gaze naturale, care respectă condițiile stabilite în anexa III la Orientările tehnice privind principiul „de a nu prejudicia în mod semnificativ” (2021/C58/01).</w:t>
      </w:r>
    </w:p>
  </w:footnote>
  <w:footnote w:id="46">
    <w:p>
      <w:pPr>
        <w:pStyle w:val="FootnoteText"/>
      </w:pPr>
      <w:r>
        <w:rPr>
          <w:rStyle w:val="FootnoteReference"/>
        </w:rPr>
        <w:footnoteRef/>
      </w:r>
      <w:r>
        <w:t xml:space="preserve"> În cazul în care activitatea sprijinită generează emisii de gaze cu efect de seră preconizate care nu sunt semnificativ mai scăzute decât valorile de referință relevante, ar trebui furnizată o explicație a motivelor pentru care acest lucru nu este posibil. Valorile de referință stabilite pentru alocarea cu titlu gratuit pentru activitățile care intră în domeniul de aplicare al schemei de comercializare a certificatelor de emisii, astfel cum se prevede în regulamentul de punere în aplicare (UE) 2021/447 al Comisiei.</w:t>
      </w:r>
    </w:p>
  </w:footnote>
  <w:footnote w:id="47">
    <w:p>
      <w:pPr>
        <w:pStyle w:val="FootnoteText"/>
      </w:pPr>
      <w:r>
        <w:rPr>
          <w:rStyle w:val="FootnoteReference"/>
        </w:rPr>
        <w:footnoteRef/>
      </w:r>
      <w:r>
        <w:t xml:space="preserve"> Această excludere nu se aplică acțiunilor întreprinse în cadrul acestei măsuri în instalațiile dedicate exclusiv tratării deșeurilor periculoase nereciclabile și instalațiilor existente, în cazul în care acțiunile din cadrul acestei măsuri vizează creșterea eficienței energetice, captarea gazelor de evacuare pentru depozitare sau utilizare sau recuperarea materialelor din cenușa de incinerare, cu condiția ca astfel de acțiuni din cadrul acestei măsuri să nu conducă la o creștere a capacității de prelucrare a deșeurilor a instalațiilor sau la o prelungire a duratei de viață a instalațiilor; pentru care se furnizează dovezi la nivel de uzină.</w:t>
      </w:r>
    </w:p>
  </w:footnote>
  <w:footnote w:id="48">
    <w:p>
      <w:pPr>
        <w:pStyle w:val="FootnoteText"/>
      </w:pPr>
      <w:r>
        <w:rPr>
          <w:rStyle w:val="FootnoteReference"/>
        </w:rPr>
        <w:footnoteRef/>
      </w:r>
      <w:r>
        <w:t xml:space="preserve"> Această excludere nu se aplică acțiunilor întreprinse în cadrul acestei măsuri în stațiile de tratare mecano-biologică existente, în cazul în care acțiunile din cadrul acestei măsuri vizează creșterea eficienței energetice sau readaptarea la operațiunile de reciclare a deșeurilor separate pentru compostarea deșeurilor biologice și a digestiei anaerobe a deșeurilor biologice, cu condiția ca astfel de acțiuni din cadrul acestei măsuri să nu conducă la o creștere a capacității de prelucrare a deșeurilor a instalațiilor sau la o prelungire a duratei de viață a instalațiilor; pentru care se furnizează dovezi la nivel de uzină.</w:t>
      </w:r>
    </w:p>
  </w:footnote>
  <w:footnote w:id="49">
    <w:p>
      <w:pPr>
        <w:pStyle w:val="FootnoteText"/>
      </w:pPr>
      <w:r>
        <w:rPr>
          <w:rStyle w:val="FootnoteReference"/>
        </w:rPr>
        <w:footnoteRef/>
      </w:r>
      <w:r>
        <w:t xml:space="preserve"> Cu excepția proiectelor din cadrul acestei măsuri privind generarea de energie electrică și/sau termică, precum și infrastructura aferentă de transport și distribuție, care utilizează gaze naturale, care respectă condițiile stabilite în anexa III la Orientările tehnice privind principiul „de a nu prejudicia în mod semnificativ” (2021/C58/01).</w:t>
      </w:r>
    </w:p>
  </w:footnote>
  <w:footnote w:id="50">
    <w:p>
      <w:pPr>
        <w:pStyle w:val="FootnoteText"/>
      </w:pPr>
      <w:r>
        <w:rPr>
          <w:rStyle w:val="FootnoteReference"/>
        </w:rPr>
        <w:footnoteRef/>
      </w:r>
      <w:r>
        <w:t xml:space="preserve"> În cazul în care activitatea sprijinită generează emisii de gaze cu efect de seră preconizate care nu sunt semnificativ mai scăzute decât valorile de referință relevante, ar trebui furnizată o explicație a motivelor pentru care acest lucru nu este posibil. Valorile de referință stabilite pentru alocarea cu titlu gratuit pentru activitățile care intră în domeniul de aplicare al schemei de comercializare a certificatelor de emisii, astfel cum se prevede în regulamentul de punere în aplicare (UE) 2021/447 al Comisiei.</w:t>
      </w:r>
    </w:p>
  </w:footnote>
  <w:footnote w:id="51">
    <w:p>
      <w:pPr>
        <w:pStyle w:val="FootnoteText"/>
      </w:pPr>
      <w:r>
        <w:rPr>
          <w:rStyle w:val="FootnoteReference"/>
        </w:rPr>
        <w:footnoteRef/>
      </w:r>
      <w:r>
        <w:t xml:space="preserve"> Această excludere nu se aplică acțiunilor întreprinse în cadrul acestei măsuri în instalațiile dedicate exclusiv tratării deșeurilor periculoase nereciclabile și instalațiilor existente, în cazul în care acțiunile din cadrul acestei măsuri vizează creșterea eficienței energetice, captarea gazelor de evacuare pentru depozitare sau utilizare sau recuperarea materialelor din cenușa de incinerare, cu condiția ca astfel de acțiuni din cadrul acestei măsuri să nu conducă la o creștere a capacității de prelucrare a deșeurilor a instalațiilor sau la o prelungire a duratei de viață a instalațiilor; pentru care se furnizează dovezi la nivel de uzină.</w:t>
      </w:r>
    </w:p>
  </w:footnote>
  <w:footnote w:id="52">
    <w:p>
      <w:pPr>
        <w:pStyle w:val="FootnoteText"/>
      </w:pPr>
      <w:r>
        <w:rPr>
          <w:rStyle w:val="FootnoteReference"/>
        </w:rPr>
        <w:footnoteRef/>
      </w:r>
      <w:r>
        <w:t xml:space="preserve"> Această excludere nu se aplică acțiunilor întreprinse în cadrul acestei măsuri în stațiile de tratare mecano-biologică existente, în cazul în care acțiunile din cadrul acestei măsuri vizează creșterea eficienței energetice sau readaptarea la operațiunile de reciclare a deșeurilor separate pentru compostarea deșeurilor biologice și a digestiei anaerobe a deșeurilor biologice, cu condiția ca astfel de acțiuni din cadrul acestei măsuri să nu conducă la o creștere a capacității de prelucrare a deșeurilor a instalațiilor sau la o prelungire a duratei de viață a instalațiilor; pentru care se furnizează dovezi la nivel de uzină.</w:t>
      </w:r>
    </w:p>
  </w:footnote>
  <w:footnote w:id="53">
    <w:p>
      <w:pPr>
        <w:pStyle w:val="FootnoteText"/>
      </w:pPr>
      <w:r>
        <w:rPr>
          <w:rStyle w:val="FootnoteReference"/>
        </w:rPr>
        <w:footnoteRef/>
      </w:r>
      <w:r>
        <w:t xml:space="preserve"> Cu excepția proiectelor din cadrul acestei măsuri privind generarea de energie electrică și/sau termică, precum și infrastructura aferentă de transport și distribuție, care utilizează gaze naturale, care respectă condițiile stabilite în anexa III la Orientările tehnice privind principiul „de a nu prejudicia în mod semnificativ” (2021/C58/01).</w:t>
      </w:r>
    </w:p>
  </w:footnote>
  <w:footnote w:id="54">
    <w:p>
      <w:pPr>
        <w:pStyle w:val="FootnoteText"/>
      </w:pPr>
      <w:r>
        <w:rPr>
          <w:rStyle w:val="FootnoteReference"/>
        </w:rPr>
        <w:footnoteRef/>
      </w:r>
      <w:r>
        <w:t xml:space="preserve"> În cazul în care activitatea sprijinită generează emisii de gaze cu efect de seră preconizate care nu sunt semnificativ mai scăzute decât valorile de referință relevante, ar trebui furnizată o explicație a motivelor pentru care acest lucru nu este posibil. Valorile de referință stabilite pentru alocarea cu titlu gratuit pentru activitățile care intră în domeniul de aplicare al schemei de comercializare a certificatelor de emisii, astfel cum se prevede în regulamentul de punere în aplicare (UE) 2021/447 al Comisiei.</w:t>
      </w:r>
    </w:p>
  </w:footnote>
  <w:footnote w:id="55">
    <w:p>
      <w:pPr>
        <w:pStyle w:val="FootnoteText"/>
      </w:pPr>
      <w:r>
        <w:rPr>
          <w:rStyle w:val="FootnoteReference"/>
        </w:rPr>
        <w:footnoteRef/>
      </w:r>
      <w:r>
        <w:t xml:space="preserve"> Această excludere nu se aplică acțiunilor întreprinse în cadrul acestei măsuri în instalațiile dedicate exclusiv tratării deșeurilor periculoase nereciclabile și instalațiilor existente, în cazul în care acțiunile din cadrul acestei măsuri vizează creșterea eficienței energetice, captarea gazelor de evacuare pentru depozitare sau utilizare sau recuperarea materialelor din cenușa de incinerare, cu condiția ca astfel de acțiuni din cadrul acestei măsuri să nu conducă la o creștere a capacității de prelucrare a deșeurilor a instalațiilor sau la o prelungire a duratei de viață a instalațiilor; pentru care se furnizează dovezi la nivel de uzină.</w:t>
      </w:r>
    </w:p>
  </w:footnote>
  <w:footnote w:id="56">
    <w:p>
      <w:pPr>
        <w:pStyle w:val="FootnoteText"/>
      </w:pPr>
      <w:r>
        <w:rPr>
          <w:rStyle w:val="FootnoteReference"/>
        </w:rPr>
        <w:footnoteRef/>
      </w:r>
      <w:r>
        <w:t xml:space="preserve"> Această excludere nu se aplică acțiunilor întreprinse în cadrul acestei măsuri în stațiile de tratare mecano-biologică existente, în cazul în care acțiunile din cadrul acestei măsuri vizează creșterea eficienței energetice sau readaptarea la operațiunile de reciclare a deșeurilor separate pentru compostarea deșeurilor biologice și a digestiei anaerobe a deșeurilor biologice, cu condiția ca astfel de acțiuni din cadrul acestei măsuri să nu conducă la o creștere a capacității de prelucrare a deșeurilor a instalațiilor sau la o prelungire a duratei de viață a instalațiilor; pentru care se furnizează dovezi la nivel de uzină.</w:t>
      </w:r>
    </w:p>
  </w:footnote>
  <w:footnote w:id="57">
    <w:p>
      <w:pPr>
        <w:pStyle w:val="FootnoteText"/>
      </w:pPr>
      <w:r>
        <w:rPr>
          <w:rStyle w:val="FootnoteReference"/>
        </w:rPr>
        <w:footnoteRef/>
      </w:r>
      <w:r>
        <w:t xml:space="preserve"> Cu excepția proiectelor din cadrul acestei măsuri privind generarea de energie electrică și/sau termică, precum și infrastructura aferentă de transport și distribuție, care utilizează gaze naturale, care respectă condițiile stabilite în anexa III la Orientările tehnice privind principiul „de a nu prejudicia în mod semnificativ” (2021/C58/01).</w:t>
      </w:r>
    </w:p>
  </w:footnote>
  <w:footnote w:id="58">
    <w:p>
      <w:pPr>
        <w:pStyle w:val="FootnoteText"/>
      </w:pPr>
      <w:r>
        <w:rPr>
          <w:rStyle w:val="FootnoteReference"/>
        </w:rPr>
        <w:footnoteRef/>
      </w:r>
      <w:r>
        <w:t xml:space="preserve"> În cazul în care activitatea sprijinită generează emisii de gaze cu efect de seră preconizate care nu sunt semnificativ mai scăzute decât valorile de referință relevante, ar trebui furnizată o explicație a motivelor pentru care acest lucru nu este posibil. Valorile de referință stabilite pentru alocarea cu titlu gratuit pentru activitățile care intră în domeniul de aplicare al schemei de comercializare a certificatelor de emisii, astfel cum se prevede în regulamentul de punere în aplicare (UE) 2021/447 al Comisiei.</w:t>
      </w:r>
    </w:p>
  </w:footnote>
  <w:footnote w:id="59">
    <w:p>
      <w:pPr>
        <w:pStyle w:val="FootnoteText"/>
      </w:pPr>
      <w:r>
        <w:rPr>
          <w:rStyle w:val="FootnoteReference"/>
        </w:rPr>
        <w:footnoteRef/>
      </w:r>
      <w:r>
        <w:t xml:space="preserve"> Această excludere nu se aplică acțiunilor întreprinse în cadrul acestei măsuri în instalațiile dedicate exclusiv tratării deșeurilor periculoase nereciclabile și instalațiilor existente, în cazul în care acțiunile din cadrul acestei măsuri vizează creșterea eficienței energetice, captarea gazelor de evacuare pentru depozitare sau utilizare sau recuperarea materialelor din cenușa de incinerare, cu condiția ca astfel de acțiuni din cadrul acestei măsuri să nu conducă la o creștere a capacității de prelucrare a deșeurilor a instalațiilor sau la o prelungire a duratei de viață a instalațiilor; pentru care se furnizează dovezi la nivel de uzină.</w:t>
      </w:r>
    </w:p>
  </w:footnote>
  <w:footnote w:id="60">
    <w:p>
      <w:pPr>
        <w:pStyle w:val="FootnoteText"/>
      </w:pPr>
      <w:r>
        <w:rPr>
          <w:rStyle w:val="FootnoteReference"/>
        </w:rPr>
        <w:footnoteRef/>
      </w:r>
      <w:r>
        <w:t xml:space="preserve"> Această excludere nu se aplică acțiunilor întreprinse în cadrul acestei măsuri în stațiile de tratare mecano-biologică existente, în cazul în care acțiunile din cadrul acestei măsuri vizează creșterea eficienței energetice sau readaptarea la operațiunile de reciclare a deșeurilor separate pentru compostarea deșeurilor biologice și a digestiei anaerobe a deșeurilor biologice, cu condiția ca astfel de acțiuni din cadrul acestei măsuri să nu conducă la o creștere a capacității de prelucrare a deșeurilor a instalațiilor sau la o prelungire a duratei de viață a instalațiilor; pentru care se furnizează dovezi la nivel de uzină.</w:t>
      </w:r>
    </w:p>
  </w:footnote>
  <w:footnote w:id="61">
    <w:p>
      <w:pPr>
        <w:pStyle w:val="FootnoteText"/>
      </w:pPr>
      <w:r>
        <w:rPr>
          <w:rStyle w:val="FootnoteReference"/>
        </w:rPr>
        <w:footnoteRef/>
      </w:r>
      <w:r>
        <w:t xml:space="preserve"> Cu excepția proiectelor din cadrul acestei măsuri privind generarea de energie electrică și/sau termică, precum și infrastructura aferentă de transport și distribuție, care utilizează gaze naturale, care respectă condițiile stabilite în anexa III la Orientările tehnice privind principiul „de a nu prejudicia în mod semnificativ” (2021/C58/01).</w:t>
      </w:r>
    </w:p>
  </w:footnote>
  <w:footnote w:id="62">
    <w:p>
      <w:pPr>
        <w:pStyle w:val="FootnoteText"/>
      </w:pPr>
      <w:r>
        <w:rPr>
          <w:rStyle w:val="FootnoteReference"/>
        </w:rPr>
        <w:footnoteRef/>
      </w:r>
      <w:r>
        <w:t xml:space="preserve"> În cazul în care activitatea sprijinită generează emisii de gaze cu efect de seră preconizate care nu sunt semnificativ mai scăzute decât valorile de referință relevante, ar trebui furnizată o explicație a motivelor pentru care acest lucru nu este posibil. Valorile de referință stabilite pentru alocarea cu titlu gratuit pentru activitățile care intră în domeniul de aplicare al schemei de comercializare a certificatelor de emisii, astfel cum se prevede în regulamentul de punere în aplicare (UE) 2021/447 al Comisiei.</w:t>
      </w:r>
    </w:p>
  </w:footnote>
  <w:footnote w:id="63">
    <w:p>
      <w:pPr>
        <w:pStyle w:val="FootnoteText"/>
      </w:pPr>
      <w:r>
        <w:rPr>
          <w:rStyle w:val="FootnoteReference"/>
        </w:rPr>
        <w:footnoteRef/>
      </w:r>
      <w:r>
        <w:t xml:space="preserve"> Această excludere nu se aplică acțiunilor întreprinse în cadrul acestei măsuri în instalațiile dedicate exclusiv tratării deșeurilor periculoase nereciclabile și instalațiilor existente, în cazul în care acțiunile din cadrul acestei măsuri vizează creșterea eficienței energetice, captarea gazelor de evacuare pentru depozitare sau utilizare sau recuperarea materialelor din cenușa de incinerare, cu condiția ca astfel de acțiuni din cadrul acestei măsuri să nu conducă la o creștere a capacității de prelucrare a deșeurilor a instalațiilor sau la o prelungire a duratei de viață a instalațiilor; pentru care se furnizează dovezi la nivel de uzină.</w:t>
      </w:r>
    </w:p>
  </w:footnote>
  <w:footnote w:id="64">
    <w:p>
      <w:pPr>
        <w:pStyle w:val="FootnoteText"/>
      </w:pPr>
      <w:r>
        <w:rPr>
          <w:rStyle w:val="FootnoteReference"/>
        </w:rPr>
        <w:footnoteRef/>
      </w:r>
      <w:r>
        <w:t xml:space="preserve"> Această excludere nu se aplică acțiunilor întreprinse în cadrul acestei măsuri în stațiile de tratare mecano-biologică existente, în cazul în care acțiunile din cadrul acestei măsuri vizează creșterea eficienței energetice sau readaptarea la operațiunile de reciclare a deșeurilor separate pentru compostarea deșeurilor biologice și a digestiei anaerobe a deșeurilor biologice, cu condiția ca astfel de acțiuni din cadrul acestei măsuri să nu conducă la o creștere a capacității de prelucrare a deșeurilor a instalațiilor sau la o prelungire a duratei de viață a instalațiilor; pentru care se furnizează dovezi la nivel de uzină.</w:t>
      </w:r>
    </w:p>
  </w:footnote>
  <w:footnote w:id="65">
    <w:p>
      <w:pPr>
        <w:pStyle w:val="FootnoteText"/>
      </w:pPr>
      <w:r>
        <w:rPr>
          <w:rStyle w:val="FootnoteReference"/>
        </w:rPr>
        <w:footnoteRef/>
      </w:r>
      <w:r>
        <w:t xml:space="preserve"> Cu excepția proiectelor din cadrul acestei măsuri privind generarea de energie electrică și/sau termică, precum și infrastructura aferentă de transport și distribuție, care utilizează gaze naturale, care respectă condițiile stabilite în anexa III la Orientările tehnice privind principiul „de a nu prejudicia în mod semnificativ” (2021/C58/01).</w:t>
      </w:r>
    </w:p>
  </w:footnote>
  <w:footnote w:id="66">
    <w:p>
      <w:pPr>
        <w:pStyle w:val="FootnoteText"/>
      </w:pPr>
      <w:r>
        <w:rPr>
          <w:rStyle w:val="FootnoteReference"/>
        </w:rPr>
        <w:footnoteRef/>
      </w:r>
      <w:r>
        <w:t xml:space="preserve"> În cazul în care activitatea sprijinită generează emisii de gaze cu efect de seră preconizate care nu sunt semnificativ mai scăzute decât valorile de referință relevante, ar trebui furnizată o explicație a motivelor pentru care acest lucru nu este posibil. Valorile de referință stabilite pentru alocarea cu titlu gratuit pentru activitățile care intră în domeniul de aplicare al schemei de comercializare a certificatelor de emisii, astfel cum se prevede în regulamentul de punere în aplicare (UE) 2021/447 al Comisiei.</w:t>
      </w:r>
    </w:p>
  </w:footnote>
  <w:footnote w:id="67">
    <w:p>
      <w:pPr>
        <w:pStyle w:val="FootnoteText"/>
      </w:pPr>
      <w:r>
        <w:rPr>
          <w:rStyle w:val="FootnoteReference"/>
        </w:rPr>
        <w:footnoteRef/>
      </w:r>
      <w:r>
        <w:t xml:space="preserve"> Această excludere nu se aplică acțiunilor întreprinse în cadrul acestei măsuri în instalațiile dedicate exclusiv tratării deșeurilor periculoase nereciclabile și instalațiilor existente, în cazul în care acțiunile din cadrul acestei măsuri vizează creșterea eficienței energetice, captarea gazelor de evacuare pentru depozitare sau utilizare sau recuperarea materialelor din cenușa de incinerare, cu condiția ca astfel de acțiuni din cadrul acestei măsuri să nu conducă la o creștere a capacității de prelucrare a deșeurilor a instalațiilor sau la o prelungire a duratei de viață a instalațiilor; pentru care se furnizează dovezi la nivel de uzină.</w:t>
      </w:r>
    </w:p>
  </w:footnote>
  <w:footnote w:id="68">
    <w:p>
      <w:pPr>
        <w:pStyle w:val="FootnoteText"/>
      </w:pPr>
      <w:r>
        <w:rPr>
          <w:rStyle w:val="FootnoteReference"/>
        </w:rPr>
        <w:footnoteRef/>
      </w:r>
      <w:r>
        <w:t xml:space="preserve"> Această excludere nu se aplică acțiunilor întreprinse în cadrul acestei măsuri în stațiile de tratare mecano-biologică existente, în cazul în care acțiunile din cadrul acestei măsuri vizează creșterea eficienței energetice sau readaptarea la operațiunile de reciclare a deșeurilor separate pentru compostarea deșeurilor biologice și a digestiei anaerobe a deșeurilor biologice, cu condiția ca astfel de acțiuni din cadrul acestei măsuri să nu conducă la o creștere a capacității de prelucrare a deșeurilor a instalațiilor sau la o prelungire a duratei de viață a instalațiilor; pentru care se furnizează dovezi la nivel de uzină.</w:t>
      </w:r>
    </w:p>
  </w:footnote>
  <w:footnote w:id="69">
    <w:p>
      <w:pPr>
        <w:pStyle w:val="FootnoteText"/>
      </w:pPr>
      <w:r>
        <w:rPr>
          <w:rStyle w:val="FootnoteReference"/>
        </w:rPr>
        <w:footnoteRef/>
      </w:r>
      <w:r>
        <w:t xml:space="preserve"> Cu excepția proiectelor din cadrul acestei măsuri privind generarea de energie electrică și/sau termică, precum și infrastructura aferentă de transport și distribuție, care utilizează gaze naturale, care respectă condițiile stabilite în anexa III la Orientările tehnice privind principiul „de a nu prejudicia în mod semnificativ” (2021/C58/01).</w:t>
      </w:r>
    </w:p>
  </w:footnote>
  <w:footnote w:id="70">
    <w:p>
      <w:pPr>
        <w:pStyle w:val="FootnoteText"/>
      </w:pPr>
      <w:r>
        <w:rPr>
          <w:rStyle w:val="FootnoteReference"/>
        </w:rPr>
        <w:footnoteRef/>
      </w:r>
      <w:r>
        <w:t xml:space="preserve"> În cazul în care activitatea sprijinită generează emisii de gaze cu efect de seră preconizate care nu sunt semnificativ mai scăzute decât valorile de referință relevante, ar trebui furnizată o explicație a motivelor pentru care acest lucru nu este posibil. Valorile de referință stabilite pentru alocarea cu titlu gratuit pentru activitățile care intră în domeniul de aplicare al schemei de comercializare a certificatelor de emisii, astfel cum se prevede în regulamentul de punere în aplicare (UE) 2021/447 al Comisiei.</w:t>
      </w:r>
    </w:p>
  </w:footnote>
  <w:footnote w:id="71">
    <w:p>
      <w:pPr>
        <w:pStyle w:val="FootnoteText"/>
      </w:pPr>
      <w:r>
        <w:rPr>
          <w:rStyle w:val="FootnoteReference"/>
        </w:rPr>
        <w:footnoteRef/>
      </w:r>
      <w:r>
        <w:t xml:space="preserve"> Această excludere nu se aplică acțiunilor întreprinse în cadrul acestei măsuri în instalațiile dedicate exclusiv tratării deșeurilor periculoase nereciclabile și instalațiilor existente, în cazul în care acțiunile din cadrul acestei măsuri vizează creșterea eficienței energetice, captarea gazelor de evacuare pentru depozitare sau utilizare sau recuperarea materialelor din cenușa de incinerare, cu condiția ca astfel de acțiuni din cadrul acestei măsuri să nu conducă la o creștere a capacității de prelucrare a deșeurilor a instalațiilor sau la o prelungire a duratei de viață a instalațiilor; pentru care se furnizează dovezi la nivel de uzină.</w:t>
      </w:r>
    </w:p>
  </w:footnote>
  <w:footnote w:id="72">
    <w:p>
      <w:pPr>
        <w:pStyle w:val="FootnoteText"/>
      </w:pPr>
      <w:r>
        <w:rPr>
          <w:rStyle w:val="FootnoteReference"/>
        </w:rPr>
        <w:footnoteRef/>
      </w:r>
      <w:r>
        <w:t xml:space="preserve"> Această excludere nu se aplică acțiunilor întreprinse în cadrul acestei măsuri în stațiile de tratare mecano-biologică existente, în cazul în care acțiunile din cadrul acestei măsuri vizează creșterea eficienței energetice sau readaptarea la operațiunile de reciclare a deșeurilor separate pentru compostarea deșeurilor biologice și a digestiei anaerobe a deșeurilor biologice, cu condiția ca astfel de acțiuni din cadrul acestei măsuri să nu conducă la o creștere a capacității de prelucrare a deșeurilor a instalațiilor sau la o prelungire a duratei de viață a instalațiilor; pentru care se furnizează dovezi la nivel de uzină.</w:t>
      </w:r>
    </w:p>
  </w:footnote>
  <w:footnote w:id="73">
    <w:p>
      <w:pPr>
        <w:pStyle w:val="FootnoteText"/>
      </w:pPr>
      <w:r>
        <w:rPr>
          <w:rStyle w:val="FootnoteReference"/>
        </w:rPr>
        <w:footnoteRef/>
      </w:r>
      <w:r>
        <w:t xml:space="preserve"> Cu excepția proiectelor din cadrul acestei măsuri privind generarea de energie electrică și/sau termică, precum și infrastructura aferentă de transport și distribuție, care utilizează gaze naturale, care respectă condițiile stabilite în anexa III la Orientările tehnice privind principiul „de a nu prejudicia în mod semnificativ” (2021/C58/01).</w:t>
      </w:r>
    </w:p>
  </w:footnote>
  <w:footnote w:id="74">
    <w:p>
      <w:pPr>
        <w:pStyle w:val="FootnoteText"/>
      </w:pPr>
      <w:r>
        <w:rPr>
          <w:rStyle w:val="FootnoteReference"/>
        </w:rPr>
        <w:footnoteRef/>
      </w:r>
      <w:r>
        <w:t xml:space="preserve"> În cazul în care activitatea sprijinită generează emisii de gaze cu efect de seră preconizate care nu sunt semnificativ mai scăzute decât valorile de referință relevante, ar trebui furnizată o explicație a motivelor pentru care acest lucru nu este posibil. Valorile de referință stabilite pentru alocarea cu titlu gratuit pentru activitățile care intră în domeniul de aplicare al schemei de comercializare a certificatelor de emisii, astfel cum se prevede în regulamentul de punere în aplicare (UE) 2021/447 al Comisiei.</w:t>
      </w:r>
    </w:p>
  </w:footnote>
  <w:footnote w:id="75">
    <w:p>
      <w:pPr>
        <w:pStyle w:val="FootnoteText"/>
      </w:pPr>
      <w:r>
        <w:rPr>
          <w:rStyle w:val="FootnoteReference"/>
        </w:rPr>
        <w:footnoteRef/>
      </w:r>
      <w:r>
        <w:t xml:space="preserve"> Această excludere nu se aplică acțiunilor întreprinse în cadrul acestei măsuri în instalațiile dedicate exclusiv tratării deșeurilor periculoase nereciclabile și instalațiilor existente, în cazul în care acțiunile din cadrul acestei măsuri vizează creșterea eficienței energetice, captarea gazelor de evacuare pentru depozitare sau utilizare sau recuperarea materialelor din cenușa de incinerare, cu condiția ca astfel de acțiuni din cadrul acestei măsuri să nu conducă la o creștere a capacității de prelucrare a deșeurilor a instalațiilor sau la o prelungire a duratei de viață a instalațiilor; pentru care se furnizează dovezi la nivel de uzină.</w:t>
      </w:r>
    </w:p>
  </w:footnote>
  <w:footnote w:id="76">
    <w:p>
      <w:pPr>
        <w:pStyle w:val="FootnoteText"/>
      </w:pPr>
      <w:r>
        <w:rPr>
          <w:rStyle w:val="FootnoteReference"/>
        </w:rPr>
        <w:footnoteRef/>
      </w:r>
      <w:r>
        <w:t xml:space="preserve"> Această excludere nu se aplică acțiunilor întreprinse în cadrul acestei măsuri în stațiile de tratare mecano-biologică existente, în cazul în care acțiunile din cadrul acestei măsuri vizează creșterea eficienței energetice sau readaptarea la operațiunile de reciclare a deșeurilor separate pentru compostarea deșeurilor biologice și a digestiei anaerobe a deșeurilor biologice, cu condiția ca astfel de acțiuni din cadrul acestei măsuri să nu conducă la o creștere a capacității de prelucrare a deșeurilor a instalațiilor sau la o prelungire a duratei de viață a instalațiilor; pentru care se furnizează dovezi la nivel de uzină.</w:t>
      </w:r>
    </w:p>
  </w:footnote>
  <w:footnote w:id="77">
    <w:p>
      <w:pPr>
        <w:pStyle w:val="FootnoteText"/>
        <w:rPr>
          <w:sz w:val="18"/>
          <w:szCs w:val="18"/>
        </w:rPr>
      </w:pPr>
      <w:r>
        <w:rPr>
          <w:rStyle w:val="FootnoteReference"/>
          <w:sz w:val="18"/>
          <w:szCs w:val="18"/>
        </w:rPr>
        <w:footnoteRef/>
      </w:r>
      <w:r>
        <w:rPr>
          <w:sz w:val="18"/>
          <w:szCs w:val="18"/>
        </w:rPr>
        <w:t xml:space="preserve"> </w:t>
      </w:r>
      <w:r>
        <w:t>În cazul în care activitatea sprijinită generează emisii de gaze cu efect de seră preconizate care nu sunt semnificativ mai scăzute decât valorile de referință relevante, ar trebui furnizată o explicație a motivelor pentru care acest lucru nu este posibil. Valorile de referință stabilite pentru alocarea cu titlu gratuit pentru activitățile și instalațiile care intră în domeniul de aplicare al schemei de comercializare a certificatelor de emisii, astfel cum se prevede în regulamentul de punere în aplicare (UE) 2021/447 al Comisiei.</w:t>
      </w:r>
    </w:p>
  </w:footnote>
  <w:footnote w:id="78">
    <w:p>
      <w:pPr>
        <w:pStyle w:val="FootnoteText"/>
      </w:pPr>
      <w:r>
        <w:rPr>
          <w:rStyle w:val="FootnoteReference"/>
        </w:rPr>
        <w:footnoteRef/>
      </w:r>
      <w:r>
        <w:t xml:space="preserve"> Cu excepția proiectelor din cadrul acestei măsuri privind generarea de energie electrică și/sau termică, precum și infrastructura aferentă de transport și distribuție, care utilizează gaze naturale, care respectă condițiile stabilite în anexa III la Orientările tehnice privind principiul „de a nu prejudicia în mod semnificativ” (2021/C58/01).</w:t>
      </w:r>
    </w:p>
  </w:footnote>
  <w:footnote w:id="79">
    <w:p>
      <w:pPr>
        <w:pStyle w:val="FootnoteText"/>
      </w:pPr>
      <w:r>
        <w:rPr>
          <w:rStyle w:val="FootnoteReference"/>
        </w:rPr>
        <w:footnoteRef/>
      </w:r>
      <w:r>
        <w:t xml:space="preserve"> Cu excepția proiectelor din cadrul acestei măsuri privind generarea de energie electrică și/sau termică, precum și infrastructura aferentă de transport și distribuție, care utilizează gaze naturale, care respectă condițiile stabilite în anexa III la Orientările tehnice privind principiul „de a nu prejudicia în mod semnificativ” (2021/C58/01).</w:t>
      </w:r>
    </w:p>
  </w:footnote>
  <w:footnote w:id="80">
    <w:p>
      <w:pPr>
        <w:pStyle w:val="FootnoteText"/>
      </w:pPr>
      <w:r>
        <w:rPr>
          <w:rStyle w:val="FootnoteReference"/>
        </w:rPr>
        <w:footnoteRef/>
      </w:r>
      <w:r>
        <w:t xml:space="preserve"> În cazul în care activitatea sprijinită generează emisii de gaze cu efect de seră preconizate care nu sunt semnificativ mai scăzute decât valorile de referință relevante, ar trebui furnizată o explicație a motivelor pentru care acest lucru nu este posibil. Valorile de referință stabilite pentru alocarea cu titlu gratuit pentru activitățile care intră în domeniul de aplicare al schemei de comercializare a certificatelor de emisii, astfel cum se prevede în regulamentul de punere în aplicare (UE) 2021/447 al Comisiei.</w:t>
      </w:r>
    </w:p>
  </w:footnote>
  <w:footnote w:id="81">
    <w:p>
      <w:pPr>
        <w:pStyle w:val="FootnoteText"/>
      </w:pPr>
      <w:r>
        <w:rPr>
          <w:rStyle w:val="FootnoteReference"/>
        </w:rPr>
        <w:footnoteRef/>
      </w:r>
      <w:r>
        <w:t xml:space="preserve"> Această excludere nu se aplică acțiunilor întreprinse în cadrul acestei măsuri în instalațiile dedicate exclusiv tratării deșeurilor periculoase nereciclabile și instalațiilor existente, în cazul în care acțiunile din cadrul acestei măsuri vizează creșterea eficienței energetice, captarea gazelor de evacuare pentru depozitare sau utilizare sau recuperarea materialelor din cenușa de incinerare, cu condiția ca astfel de acțiuni din cadrul acestei măsuri să nu conducă la o creștere a capacității de prelucrare a deșeurilor a instalațiilor sau la o prelungire a duratei de viață a instalațiilor; pentru care se furnizează dovezi la nivel de uzină.</w:t>
      </w:r>
    </w:p>
  </w:footnote>
  <w:footnote w:id="82">
    <w:p>
      <w:pPr>
        <w:pStyle w:val="FootnoteText"/>
      </w:pPr>
      <w:r>
        <w:rPr>
          <w:rStyle w:val="FootnoteReference"/>
        </w:rPr>
        <w:footnoteRef/>
      </w:r>
      <w:r>
        <w:t xml:space="preserve"> Această excludere nu se aplică acțiunilor întreprinse în cadrul acestei măsuri în stațiile de tratare mecano-biologică existente, în cazul în care acțiunile din cadrul acestei măsuri vizează creșterea eficienței energetice sau readaptarea la operațiunile de reciclare a deșeurilor separate pentru compostarea deșeurilor biologice și a digestiei anaerobe a deșeurilor biologice, cu condiția ca astfel de acțiuni din cadrul acestei măsuri să nu conducă la o creștere a capacității de prelucrare a deșeurilor a instalațiilor sau la o prelungire a duratei de viață a instalațiilor; pentru care se furnizează dovezi la nivel de uzină.</w:t>
      </w:r>
    </w:p>
  </w:footnote>
  <w:footnote w:id="83">
    <w:p>
      <w:pPr>
        <w:pStyle w:val="FootnoteText"/>
      </w:pPr>
      <w:r>
        <w:rPr>
          <w:rStyle w:val="FootnoteReference"/>
        </w:rPr>
        <w:footnoteRef/>
      </w:r>
      <w:r>
        <w:t xml:space="preserve"> Cu excepția proiectelor din cadrul acestei măsuri privind generarea de energie electrică și/sau termică, precum și infrastructura aferentă de transport și distribuție, care utilizează gaze naturale, care respectă condițiile stabilite în anexa III la Orientările tehnice privind principiul „de a nu prejudicia în mod semnificativ” (2021/C58/01).</w:t>
      </w:r>
    </w:p>
  </w:footnote>
  <w:footnote w:id="84">
    <w:p>
      <w:pPr>
        <w:pStyle w:val="FootnoteText"/>
      </w:pPr>
      <w:r>
        <w:rPr>
          <w:rStyle w:val="FootnoteReference"/>
        </w:rPr>
        <w:footnoteRef/>
      </w:r>
      <w:r>
        <w:t xml:space="preserve"> În cazul în care activitatea sprijinită generează emisii de gaze cu efect de seră preconizate care nu sunt semnificativ mai scăzute decât valorile de referință relevante, ar trebui furnizată o explicație a motivelor pentru care acest lucru nu este posibil. Valorile de referință stabilite pentru alocarea cu titlu gratuit pentru activitățile care intră în domeniul de aplicare al schemei de comercializare a certificatelor de emisii, astfel cum se prevede în regulamentul de punere în aplicare (UE) 2021/447 al Comisiei.</w:t>
      </w:r>
    </w:p>
  </w:footnote>
  <w:footnote w:id="85">
    <w:p>
      <w:pPr>
        <w:pStyle w:val="FootnoteText"/>
      </w:pPr>
      <w:r>
        <w:rPr>
          <w:rStyle w:val="FootnoteReference"/>
        </w:rPr>
        <w:footnoteRef/>
      </w:r>
      <w:r>
        <w:t xml:space="preserve"> Această excludere nu se aplică acțiunilor întreprinse în cadrul acestei măsuri în instalațiile dedicate exclusiv tratării deșeurilor periculoase nereciclabile și instalațiilor existente, în cazul în care acțiunile din cadrul acestei măsuri vizează creșterea eficienței energetice, captarea gazelor de evacuare pentru depozitare sau utilizare sau recuperarea materialelor din cenușa de incinerare, cu condiția ca astfel de acțiuni din cadrul acestei măsuri să nu conducă la o creștere a capacității de prelucrare a deșeurilor a instalațiilor sau la o prelungire a duratei de viață a instalațiilor; pentru care se furnizează dovezi la nivel de uzină.</w:t>
      </w:r>
    </w:p>
  </w:footnote>
  <w:footnote w:id="86">
    <w:p>
      <w:pPr>
        <w:pStyle w:val="FootnoteText"/>
      </w:pPr>
      <w:r>
        <w:rPr>
          <w:rStyle w:val="FootnoteReference"/>
        </w:rPr>
        <w:footnoteRef/>
      </w:r>
      <w:r>
        <w:t xml:space="preserve"> Această excludere nu se aplică acțiunilor întreprinse în cadrul acestei măsuri în stațiile de tratare mecano-biologică existente, în cazul în care acțiunile din cadrul acestei măsuri vizează creșterea eficienței energetice sau readaptarea la operațiunile de reciclare a deșeurilor separate pentru compostarea deșeurilor biologice și a digestiei anaerobe a deșeurilor biologice, cu condiția ca astfel de acțiuni din cadrul acestei măsuri să nu conducă la o creștere a capacității de prelucrare a deșeurilor a instalațiilor sau la o prelungire a duratei de viață a instalațiilor; pentru care se furnizează dovezi la nivel de uzină.</w:t>
      </w:r>
    </w:p>
  </w:footnote>
  <w:footnote w:id="87">
    <w:p>
      <w:pPr>
        <w:pStyle w:val="FootnoteText"/>
      </w:pPr>
      <w:r>
        <w:rPr>
          <w:rStyle w:val="FootnoteReference"/>
        </w:rPr>
        <w:footnoteRef/>
      </w:r>
      <w:r>
        <w:t xml:space="preserve"> Cu excepția proiectelor din cadrul acestei măsuri privind generarea de energie electrică și/sau termică, precum și infrastructura aferentă de transport și distribuție, care utilizează gaze naturale, care respectă condițiile stabilite în anexa III la Orientările tehnice privind principiul „de a nu prejudicia în mod semnificativ” (2021/C58/01).</w:t>
      </w:r>
    </w:p>
  </w:footnote>
  <w:footnote w:id="88">
    <w:p>
      <w:pPr>
        <w:pStyle w:val="FootnoteText"/>
      </w:pPr>
      <w:r>
        <w:rPr>
          <w:rStyle w:val="FootnoteReference"/>
        </w:rPr>
        <w:footnoteRef/>
      </w:r>
      <w:r>
        <w:t xml:space="preserve"> În cazul în care activitatea sprijinită generează emisii de gaze cu efect de seră preconizate care nu sunt semnificativ mai scăzute decât valorile de referință relevante, ar trebui furnizată o explicație a motivelor pentru care acest lucru nu este posibil. Valorile de referință stabilite pentru alocarea cu titlu gratuit pentru activitățile care intră în domeniul de aplicare al schemei de comercializare a certificatelor de emisii, astfel cum se prevede în regulamentul de punere în aplicare (UE) 2021/447 al Comisiei.</w:t>
      </w:r>
    </w:p>
  </w:footnote>
  <w:footnote w:id="89">
    <w:p>
      <w:pPr>
        <w:pStyle w:val="FootnoteText"/>
      </w:pPr>
      <w:r>
        <w:rPr>
          <w:rStyle w:val="FootnoteReference"/>
        </w:rPr>
        <w:footnoteRef/>
      </w:r>
      <w:r>
        <w:t xml:space="preserve"> Această excludere nu se aplică acțiunilor întreprinse în cadrul acestei măsuri în instalațiile dedicate exclusiv tratării deșeurilor periculoase nereciclabile și instalațiilor existente, în cazul în care acțiunile din cadrul acestei măsuri vizează creșterea eficienței energetice, captarea gazelor de evacuare pentru depozitare sau utilizare sau recuperarea materialelor din cenușa de incinerare, cu condiția ca astfel de acțiuni din cadrul acestei măsuri să nu conducă la o creștere a capacității de prelucrare a deșeurilor a instalațiilor sau la o prelungire a duratei de viață a instalațiilor; pentru care se furnizează dovezi la nivel de uzină.</w:t>
      </w:r>
    </w:p>
  </w:footnote>
  <w:footnote w:id="90">
    <w:p>
      <w:pPr>
        <w:pStyle w:val="FootnoteText"/>
      </w:pPr>
      <w:r>
        <w:rPr>
          <w:rStyle w:val="FootnoteReference"/>
        </w:rPr>
        <w:footnoteRef/>
      </w:r>
      <w:r>
        <w:t xml:space="preserve"> Această excludere nu se aplică acțiunilor întreprinse în cadrul acestei măsuri în stațiile de tratare mecano-biologică existente, în cazul în care acțiunile din cadrul acestei măsuri vizează creșterea eficienței energetice sau readaptarea la operațiunile de reciclare a deșeurilor separate pentru compostarea deșeurilor biologice și a digestiei anaerobe a deșeurilor biologice, cu condiția ca astfel de acțiuni din cadrul acestei măsuri să nu conducă la o creștere a capacității de prelucrare a deșeurilor a instalațiilor sau la o prelungire a duratei de viață a instalațiilor; pentru care se furnizează dovezi la nivel de uzină.</w:t>
      </w:r>
    </w:p>
  </w:footnote>
  <w:footnote w:id="91">
    <w:p>
      <w:pPr>
        <w:pStyle w:val="FootnoteText"/>
      </w:pPr>
      <w:r>
        <w:rPr>
          <w:rStyle w:val="FootnoteReference"/>
        </w:rPr>
        <w:footnoteRef/>
      </w:r>
      <w:r>
        <w:t xml:space="preserve"> Cu excepția proiectelor din cadrul acestei măsuri privind generarea de energie electrică și/sau termică, precum și infrastructura aferentă de transport și distribuție, care utilizează gaze naturale, care respectă condițiile stabilite în anexa III la Orientările tehnice privind principiul „de a nu prejudicia în mod semnificativ” (2021/C58/01).</w:t>
      </w:r>
    </w:p>
  </w:footnote>
  <w:footnote w:id="92">
    <w:p>
      <w:pPr>
        <w:pStyle w:val="FootnoteText"/>
      </w:pPr>
      <w:r>
        <w:rPr>
          <w:rStyle w:val="FootnoteReference"/>
        </w:rPr>
        <w:footnoteRef/>
      </w:r>
      <w:r>
        <w:t xml:space="preserve"> În cazul în care activitatea sprijinită generează emisii de gaze cu efect de seră preconizate care nu sunt semnificativ mai scăzute decât valorile de referință relevante, ar trebui furnizată o explicație a motivelor pentru care acest lucru nu este posibil. Valorile de referință stabilite pentru alocarea cu titlu gratuit pentru activitățile care intră în domeniul de aplicare al schemei de comercializare a certificatelor de emisii, astfel cum se prevede în regulamentul de punere în aplicare (UE) 2021/447 al Comisiei.</w:t>
      </w:r>
    </w:p>
  </w:footnote>
  <w:footnote w:id="93">
    <w:p>
      <w:pPr>
        <w:pStyle w:val="FootnoteText"/>
      </w:pPr>
      <w:r>
        <w:rPr>
          <w:rStyle w:val="FootnoteReference"/>
        </w:rPr>
        <w:footnoteRef/>
      </w:r>
      <w:r>
        <w:t xml:space="preserve"> Această excludere nu se aplică acțiunilor întreprinse în cadrul acestei măsuri în instalațiile dedicate exclusiv tratării deșeurilor periculoase nereciclabile și instalațiilor existente, în cazul în care acțiunile din cadrul acestei măsuri vizează creșterea eficienței energetice, captarea gazelor de evacuare pentru depozitare sau utilizare sau recuperarea materialelor din cenușa de incinerare, cu condiția ca astfel de acțiuni din cadrul acestei măsuri să nu conducă la o creștere a capacității de prelucrare a deșeurilor a instalațiilor sau la o prelungire a duratei de viață a instalațiilor; pentru care se furnizează dovezi la nivel de uzină.</w:t>
      </w:r>
    </w:p>
  </w:footnote>
  <w:footnote w:id="94">
    <w:p>
      <w:pPr>
        <w:pStyle w:val="FootnoteText"/>
      </w:pPr>
      <w:r>
        <w:rPr>
          <w:rStyle w:val="FootnoteReference"/>
        </w:rPr>
        <w:footnoteRef/>
      </w:r>
      <w:r>
        <w:t xml:space="preserve"> Această excludere nu se aplică acțiunilor întreprinse în cadrul acestei măsuri în stațiile de tratare mecano-biologică existente, în cazul în care acțiunile din cadrul acestei măsuri vizează creșterea eficienței energetice sau readaptarea la operațiunile de reciclare a deșeurilor separate pentru compostarea deșeurilor biologice și a digestiei anaerobe a deșeurilor biologice, cu condiția ca astfel de acțiuni din cadrul acestei măsuri să nu conducă la o creștere a capacității de prelucrare a deșeurilor a instalațiilor sau la o prelungire a duratei de viață a instalațiilor; pentru care se furnizează dovezi la nivel de uzină.</w:t>
      </w:r>
    </w:p>
  </w:footnote>
  <w:footnote w:id="95">
    <w:p>
      <w:pPr>
        <w:pStyle w:val="FootnoteText"/>
      </w:pPr>
      <w:r>
        <w:rPr>
          <w:rStyle w:val="FootnoteReference"/>
        </w:rPr>
        <w:footnoteRef/>
      </w:r>
      <w:r>
        <w:t xml:space="preserve"> Cu excepția proiectelor din cadrul acestei măsuri privind generarea de energie electrică și/sau termică, precum și infrastructura aferentă de transport și distribuție, care utilizează gaze naturale, care respectă condițiile stabilite în anexa III la Orientările tehnice privind principiul „de a nu prejudicia în mod semnificativ” (2021/C58/01).</w:t>
      </w:r>
    </w:p>
  </w:footnote>
  <w:footnote w:id="96">
    <w:p>
      <w:pPr>
        <w:pStyle w:val="FootnoteText"/>
      </w:pPr>
      <w:r>
        <w:rPr>
          <w:rStyle w:val="FootnoteReference"/>
        </w:rPr>
        <w:footnoteRef/>
      </w:r>
      <w:r>
        <w:t xml:space="preserve"> În cazul în care activitatea sprijinită generează emisii de gaze cu efect de seră preconizate care nu sunt semnificativ mai scăzute decât valorile de referință relevante, ar trebui furnizată o explicație a motivelor pentru care acest lucru nu este posibil. Valorile de referință stabilite pentru alocarea cu titlu gratuit pentru activitățile care intră în domeniul de aplicare al schemei de comercializare a certificatelor de emisii, astfel cum se prevede în regulamentul de punere în aplicare (UE) 2021/447 al Comisiei.</w:t>
      </w:r>
    </w:p>
  </w:footnote>
  <w:footnote w:id="97">
    <w:p>
      <w:pPr>
        <w:pStyle w:val="FootnoteText"/>
      </w:pPr>
      <w:r>
        <w:rPr>
          <w:rStyle w:val="FootnoteReference"/>
        </w:rPr>
        <w:footnoteRef/>
      </w:r>
      <w:r>
        <w:t xml:space="preserve"> Această excludere nu se aplică acțiunilor întreprinse în cadrul acestei măsuri în instalațiile dedicate exclusiv tratării deșeurilor periculoase nereciclabile și instalațiilor existente, în cazul în care acțiunile din cadrul acestei măsuri vizează creșterea eficienței energetice, captarea gazelor de evacuare pentru depozitare sau utilizare sau recuperarea materialelor din cenușa de incinerare, cu condiția ca astfel de acțiuni din cadrul acestei măsuri să nu conducă la o creștere a capacității de prelucrare a deșeurilor a instalațiilor sau la o prelungire a duratei de viață a instalațiilor; pentru care se furnizează dovezi la nivel de uzină.</w:t>
      </w:r>
    </w:p>
  </w:footnote>
  <w:footnote w:id="98">
    <w:p>
      <w:pPr>
        <w:pStyle w:val="FootnoteText"/>
      </w:pPr>
      <w:r>
        <w:rPr>
          <w:rStyle w:val="FootnoteReference"/>
        </w:rPr>
        <w:footnoteRef/>
      </w:r>
      <w:r>
        <w:t xml:space="preserve"> Această excludere nu se aplică acțiunilor întreprinse în cadrul acestei măsuri în stațiile de tratare mecano-biologică existente, în cazul în care acțiunile din cadrul acestei măsuri vizează creșterea eficienței energetice sau readaptarea la operațiunile de reciclare a deșeurilor separate pentru compostarea deșeurilor biologice și a digestiei anaerobe a deșeurilor biologice, cu condiția ca astfel de acțiuni din cadrul acestei măsuri să nu conducă la o creștere a capacității de prelucrare a deșeurilor a instalațiilor sau la o prelungire a duratei de viață a instalațiilor; pentru care se furnizează dovezi la nivel de uzină.</w:t>
      </w:r>
    </w:p>
  </w:footnote>
  <w:footnote w:id="99">
    <w:p>
      <w:pPr>
        <w:pStyle w:val="FootnoteText"/>
      </w:pPr>
      <w:r>
        <w:rPr>
          <w:rStyle w:val="FootnoteReference"/>
        </w:rPr>
        <w:footnoteRef/>
      </w:r>
      <w:r>
        <w:t xml:space="preserve"> Cu excepția proiectelor din cadrul acestei măsuri privind generarea de energie electrică și/sau termică, precum și infrastructura aferentă de transport și distribuție, care utilizează gaze naturale, care respectă condițiile stabilite în anexa III la Orientările tehnice privind principiul „de a nu prejudicia în mod semnificativ” (2021/C58/01).</w:t>
      </w:r>
    </w:p>
  </w:footnote>
  <w:footnote w:id="100">
    <w:p>
      <w:pPr>
        <w:pStyle w:val="FootnoteText"/>
      </w:pPr>
      <w:r>
        <w:rPr>
          <w:rStyle w:val="FootnoteReference"/>
        </w:rPr>
        <w:footnoteRef/>
      </w:r>
      <w:r>
        <w:t xml:space="preserve"> În cazul în care activitatea sprijinită generează emisii de gaze cu efect de seră preconizate care nu sunt semnificativ mai scăzute decât valorile de referință relevante, ar trebui furnizată o explicație a motivelor pentru care acest lucru nu este posibil. Valorile de referință stabilite pentru alocarea cu titlu gratuit pentru activitățile care intră în domeniul de aplicare al schemei de comercializare a certificatelor de emisii, astfel cum se prevede în regulamentul de punere în aplicare (UE) 2021/447 al Comisiei.</w:t>
      </w:r>
    </w:p>
  </w:footnote>
  <w:footnote w:id="101">
    <w:p>
      <w:pPr>
        <w:pStyle w:val="FootnoteText"/>
      </w:pPr>
      <w:r>
        <w:rPr>
          <w:rStyle w:val="FootnoteReference"/>
        </w:rPr>
        <w:footnoteRef/>
      </w:r>
      <w:r>
        <w:t xml:space="preserve"> Această excludere nu se aplică acțiunilor întreprinse în cadrul acestei măsuri în instalațiile dedicate exclusiv tratării deșeurilor periculoase nereciclabile și instalațiilor existente, în cazul în care acțiunile din cadrul acestei măsuri vizează creșterea eficienței energetice, captarea gazelor de evacuare pentru depozitare sau utilizare sau recuperarea materialelor din cenușa de incinerare, cu condiția ca astfel de acțiuni din cadrul acestei măsuri să nu conducă la o creștere a capacității de prelucrare a deșeurilor a instalațiilor sau la o prelungire a duratei de viață a instalațiilor; pentru care se furnizează dovezi la nivel de uzină.</w:t>
      </w:r>
    </w:p>
  </w:footnote>
  <w:footnote w:id="102">
    <w:p>
      <w:pPr>
        <w:pStyle w:val="FootnoteText"/>
      </w:pPr>
      <w:r>
        <w:rPr>
          <w:rStyle w:val="FootnoteReference"/>
        </w:rPr>
        <w:footnoteRef/>
      </w:r>
      <w:r>
        <w:t xml:space="preserve"> Această excludere nu se aplică acțiunilor întreprinse în cadrul acestei măsuri în stațiile de tratare mecano-biologică existente, în cazul în care acțiunile din cadrul acestei măsuri vizează creșterea eficienței energetice sau readaptarea la operațiunile de reciclare a deșeurilor separate pentru compostarea deșeurilor biologice și a digestiei anaerobe a deșeurilor biologice, cu condiția ca astfel de acțiuni din cadrul acestei măsuri să nu conducă la o creștere a capacității de prelucrare a deșeurilor a instalațiilor sau la o prelungire a duratei de viață a instalațiilor; pentru care se furnizează dovezi la nivel de uzină.</w:t>
      </w:r>
    </w:p>
  </w:footnote>
  <w:footnote w:id="103">
    <w:p>
      <w:pPr>
        <w:pStyle w:val="FootnoteText"/>
      </w:pPr>
      <w:r>
        <w:rPr>
          <w:rStyle w:val="FootnoteReference"/>
        </w:rPr>
        <w:footnoteRef/>
      </w:r>
      <w:r>
        <w:tab/>
        <w:t>JO L 153, 18.6.2010.</w:t>
      </w:r>
    </w:p>
  </w:footnote>
  <w:footnote w:id="104">
    <w:p>
      <w:pPr>
        <w:pStyle w:val="FootnoteText"/>
      </w:pPr>
      <w:r>
        <w:rPr>
          <w:rStyle w:val="FootnoteReference"/>
        </w:rPr>
        <w:footnoteRef/>
      </w:r>
      <w:r>
        <w:t xml:space="preserve"> Recomandările Pactului Toledo au fost publicate în Jurnalul Oficial la 10 noiembrie 2020: </w:t>
      </w:r>
      <w:hyperlink r:id="rId1" w:history="1">
        <w:r>
          <w:rPr>
            <w:rStyle w:val="Hyperlink"/>
          </w:rPr>
          <w:t>https://www.congreso.es/public_oficiales/L14/CONG/BOCG/D/BOCG-14-D-175.PDF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p>
    <w:pPr>
      <w:pStyle w:val="HeaderSensitivityRight"/>
    </w:pP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hdr>
</file>

<file path=word/header1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p/>
</w:hdr>
</file>

<file path=word/header1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hdr>
</file>

<file path=word/header1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p/>
</w:hdr>
</file>

<file path=word/header1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71682140"/>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BBC045FC"/>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B4EC6180"/>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8"/>
    <w:multiLevelType w:val="singleLevel"/>
    <w:tmpl w:val="AD788A4A"/>
    <w:lvl w:ilvl="0">
      <w:start w:val="1"/>
      <w:numFmt w:val="decimal"/>
      <w:pStyle w:val="ListNumber"/>
      <w:lvlText w:val="%1."/>
      <w:lvlJc w:val="left"/>
      <w:pPr>
        <w:tabs>
          <w:tab w:val="num" w:pos="360"/>
        </w:tabs>
        <w:ind w:left="360" w:hanging="360"/>
      </w:pPr>
    </w:lvl>
  </w:abstractNum>
  <w:abstractNum w:abstractNumId="4">
    <w:nsid w:val="FFFFFF89"/>
    <w:multiLevelType w:val="singleLevel"/>
    <w:tmpl w:val="D31E9FD2"/>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0417A79"/>
    <w:multiLevelType w:val="hybridMultilevel"/>
    <w:tmpl w:val="B1C8EDC6"/>
    <w:lvl w:ilvl="0" w:tplc="0809001B">
      <w:start w:val="1"/>
      <w:numFmt w:val="lowerRoman"/>
      <w:lvlText w:val="%1."/>
      <w:lvlJc w:val="righ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01E15330"/>
    <w:multiLevelType w:val="hybridMultilevel"/>
    <w:tmpl w:val="85F45C06"/>
    <w:lvl w:ilvl="0" w:tplc="0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23E2662"/>
    <w:multiLevelType w:val="hybridMultilevel"/>
    <w:tmpl w:val="8A30D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32A12F1"/>
    <w:multiLevelType w:val="hybridMultilevel"/>
    <w:tmpl w:val="6C52FE32"/>
    <w:lvl w:ilvl="0" w:tplc="0816001B">
      <w:start w:val="1"/>
      <w:numFmt w:val="lowerRoman"/>
      <w:lvlText w:val="%1."/>
      <w:lvlJc w:val="right"/>
      <w:pPr>
        <w:ind w:left="785" w:hanging="360"/>
      </w:pPr>
    </w:lvl>
    <w:lvl w:ilvl="1" w:tplc="08160019" w:tentative="1">
      <w:start w:val="1"/>
      <w:numFmt w:val="lowerLetter"/>
      <w:lvlText w:val="%2."/>
      <w:lvlJc w:val="left"/>
      <w:pPr>
        <w:ind w:left="1505" w:hanging="360"/>
      </w:pPr>
    </w:lvl>
    <w:lvl w:ilvl="2" w:tplc="0816001B" w:tentative="1">
      <w:start w:val="1"/>
      <w:numFmt w:val="lowerRoman"/>
      <w:lvlText w:val="%3."/>
      <w:lvlJc w:val="right"/>
      <w:pPr>
        <w:ind w:left="2225" w:hanging="180"/>
      </w:pPr>
    </w:lvl>
    <w:lvl w:ilvl="3" w:tplc="0816000F" w:tentative="1">
      <w:start w:val="1"/>
      <w:numFmt w:val="decimal"/>
      <w:lvlText w:val="%4."/>
      <w:lvlJc w:val="left"/>
      <w:pPr>
        <w:ind w:left="2945" w:hanging="360"/>
      </w:pPr>
    </w:lvl>
    <w:lvl w:ilvl="4" w:tplc="08160019" w:tentative="1">
      <w:start w:val="1"/>
      <w:numFmt w:val="lowerLetter"/>
      <w:lvlText w:val="%5."/>
      <w:lvlJc w:val="left"/>
      <w:pPr>
        <w:ind w:left="3665" w:hanging="360"/>
      </w:pPr>
    </w:lvl>
    <w:lvl w:ilvl="5" w:tplc="0816001B" w:tentative="1">
      <w:start w:val="1"/>
      <w:numFmt w:val="lowerRoman"/>
      <w:lvlText w:val="%6."/>
      <w:lvlJc w:val="right"/>
      <w:pPr>
        <w:ind w:left="4385" w:hanging="180"/>
      </w:pPr>
    </w:lvl>
    <w:lvl w:ilvl="6" w:tplc="0816000F" w:tentative="1">
      <w:start w:val="1"/>
      <w:numFmt w:val="decimal"/>
      <w:lvlText w:val="%7."/>
      <w:lvlJc w:val="left"/>
      <w:pPr>
        <w:ind w:left="5105" w:hanging="360"/>
      </w:pPr>
    </w:lvl>
    <w:lvl w:ilvl="7" w:tplc="08160019" w:tentative="1">
      <w:start w:val="1"/>
      <w:numFmt w:val="lowerLetter"/>
      <w:lvlText w:val="%8."/>
      <w:lvlJc w:val="left"/>
      <w:pPr>
        <w:ind w:left="5825" w:hanging="360"/>
      </w:pPr>
    </w:lvl>
    <w:lvl w:ilvl="8" w:tplc="0816001B" w:tentative="1">
      <w:start w:val="1"/>
      <w:numFmt w:val="lowerRoman"/>
      <w:lvlText w:val="%9."/>
      <w:lvlJc w:val="right"/>
      <w:pPr>
        <w:ind w:left="6545" w:hanging="180"/>
      </w:pPr>
    </w:lvl>
  </w:abstractNum>
  <w:abstractNum w:abstractNumId="9">
    <w:nsid w:val="03406DD5"/>
    <w:multiLevelType w:val="hybridMultilevel"/>
    <w:tmpl w:val="89087F68"/>
    <w:lvl w:ilvl="0" w:tplc="08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04463084"/>
    <w:multiLevelType w:val="multilevel"/>
    <w:tmpl w:val="EC587F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04C64932"/>
    <w:multiLevelType w:val="hybridMultilevel"/>
    <w:tmpl w:val="85F45C06"/>
    <w:lvl w:ilvl="0" w:tplc="0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50E1257"/>
    <w:multiLevelType w:val="hybridMultilevel"/>
    <w:tmpl w:val="C87E44E6"/>
    <w:lvl w:ilvl="0" w:tplc="08090017">
      <w:start w:val="1"/>
      <w:numFmt w:val="lowerLetter"/>
      <w:lvlText w:val="%1)"/>
      <w:lvlJc w:val="left"/>
      <w:pPr>
        <w:ind w:left="1080" w:hanging="360"/>
      </w:pPr>
    </w:lvl>
    <w:lvl w:ilvl="1" w:tplc="7C460208">
      <w:start w:val="1"/>
      <w:numFmt w:val="decimal"/>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05826CD4"/>
    <w:multiLevelType w:val="hybridMultilevel"/>
    <w:tmpl w:val="A2A079AE"/>
    <w:lvl w:ilvl="0" w:tplc="224AE4E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14">
    <w:nsid w:val="05BC1A19"/>
    <w:multiLevelType w:val="hybridMultilevel"/>
    <w:tmpl w:val="AF3AB1D0"/>
    <w:lvl w:ilvl="0" w:tplc="08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07FB552C"/>
    <w:multiLevelType w:val="hybridMultilevel"/>
    <w:tmpl w:val="653062C2"/>
    <w:lvl w:ilvl="0" w:tplc="08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nsid w:val="08915652"/>
    <w:multiLevelType w:val="hybridMultilevel"/>
    <w:tmpl w:val="B1C8EDC6"/>
    <w:lvl w:ilvl="0" w:tplc="0809001B">
      <w:start w:val="1"/>
      <w:numFmt w:val="lowerRoman"/>
      <w:lvlText w:val="%1."/>
      <w:lvlJc w:val="righ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09F123B6"/>
    <w:multiLevelType w:val="hybridMultilevel"/>
    <w:tmpl w:val="4A8E832E"/>
    <w:lvl w:ilvl="0" w:tplc="D8C0D6EA">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0A7E4021"/>
    <w:multiLevelType w:val="hybridMultilevel"/>
    <w:tmpl w:val="EA1CB52C"/>
    <w:lvl w:ilvl="0" w:tplc="08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nsid w:val="0B533329"/>
    <w:multiLevelType w:val="hybridMultilevel"/>
    <w:tmpl w:val="C34275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0BF72E00"/>
    <w:multiLevelType w:val="hybridMultilevel"/>
    <w:tmpl w:val="DD2CA332"/>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DE41DAE"/>
    <w:multiLevelType w:val="hybridMultilevel"/>
    <w:tmpl w:val="C97C37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0E3B2876"/>
    <w:multiLevelType w:val="hybridMultilevel"/>
    <w:tmpl w:val="ED267130"/>
    <w:lvl w:ilvl="0" w:tplc="08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0E67283E"/>
    <w:multiLevelType w:val="hybridMultilevel"/>
    <w:tmpl w:val="37AAE84C"/>
    <w:lvl w:ilvl="0" w:tplc="F2F660E2">
      <w:numFmt w:val="bullet"/>
      <w:lvlText w:val="•"/>
      <w:lvlJc w:val="left"/>
      <w:pPr>
        <w:ind w:left="360" w:hanging="360"/>
      </w:pPr>
      <w:rPr>
        <w:rFonts w:ascii="Times New Roman" w:eastAsiaTheme="minorHAnsi" w:hAnsi="Times New Roman"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4">
    <w:nsid w:val="0FC4125E"/>
    <w:multiLevelType w:val="hybridMultilevel"/>
    <w:tmpl w:val="954E7970"/>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FCD64C0"/>
    <w:multiLevelType w:val="hybridMultilevel"/>
    <w:tmpl w:val="115409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10DD1C07"/>
    <w:multiLevelType w:val="hybridMultilevel"/>
    <w:tmpl w:val="C852AC98"/>
    <w:lvl w:ilvl="0" w:tplc="08090001">
      <w:start w:val="1"/>
      <w:numFmt w:val="bullet"/>
      <w:lvlText w:val=""/>
      <w:lvlJc w:val="left"/>
      <w:pPr>
        <w:ind w:left="1429" w:hanging="360"/>
      </w:pPr>
      <w:rPr>
        <w:rFonts w:ascii="Symbol" w:hAnsi="Symbo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nsid w:val="11743401"/>
    <w:multiLevelType w:val="hybridMultilevel"/>
    <w:tmpl w:val="CDDADF36"/>
    <w:lvl w:ilvl="0" w:tplc="04100017">
      <w:start w:val="1"/>
      <w:numFmt w:val="lowerLetter"/>
      <w:lvlText w:val="%1)"/>
      <w:lvlJc w:val="left"/>
      <w:pPr>
        <w:ind w:left="1444" w:hanging="735"/>
      </w:pPr>
      <w:rPr>
        <w:rFonts w:hint="default"/>
      </w:rPr>
    </w:lvl>
    <w:lvl w:ilvl="1" w:tplc="9820750A">
      <w:numFmt w:val="bullet"/>
      <w:lvlText w:val="•"/>
      <w:lvlJc w:val="left"/>
      <w:pPr>
        <w:ind w:left="1815" w:hanging="735"/>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132D68F1"/>
    <w:multiLevelType w:val="hybridMultilevel"/>
    <w:tmpl w:val="72546D48"/>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9">
    <w:nsid w:val="143D2CF2"/>
    <w:multiLevelType w:val="hybridMultilevel"/>
    <w:tmpl w:val="E5E082A8"/>
    <w:lvl w:ilvl="0" w:tplc="08090017">
      <w:start w:val="1"/>
      <w:numFmt w:val="lowerLetter"/>
      <w:lvlText w:val="%1)"/>
      <w:lvlJc w:val="left"/>
      <w:pPr>
        <w:ind w:left="360" w:hanging="360"/>
      </w:pPr>
    </w:lvl>
    <w:lvl w:ilvl="1" w:tplc="0410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156B6A43"/>
    <w:multiLevelType w:val="hybridMultilevel"/>
    <w:tmpl w:val="C820240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nsid w:val="1697510B"/>
    <w:multiLevelType w:val="hybridMultilevel"/>
    <w:tmpl w:val="FD88D5BA"/>
    <w:lvl w:ilvl="0" w:tplc="08090017">
      <w:start w:val="1"/>
      <w:numFmt w:val="lowerLetter"/>
      <w:lvlText w:val="%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2">
    <w:nsid w:val="175C52A5"/>
    <w:multiLevelType w:val="multilevel"/>
    <w:tmpl w:val="7F880D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192607B3"/>
    <w:multiLevelType w:val="hybridMultilevel"/>
    <w:tmpl w:val="812E4DBA"/>
    <w:lvl w:ilvl="0" w:tplc="0B90F794">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5">
    <w:nsid w:val="1D0F04A0"/>
    <w:multiLevelType w:val="hybridMultilevel"/>
    <w:tmpl w:val="89BC98DE"/>
    <w:lvl w:ilvl="0" w:tplc="0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nsid w:val="1EAA26B3"/>
    <w:multiLevelType w:val="hybridMultilevel"/>
    <w:tmpl w:val="AFC2569C"/>
    <w:lvl w:ilvl="0" w:tplc="0C0A0011">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nsid w:val="1F867D0D"/>
    <w:multiLevelType w:val="hybridMultilevel"/>
    <w:tmpl w:val="AF5A99A4"/>
    <w:lvl w:ilvl="0" w:tplc="892E0A2C">
      <w:start w:val="1"/>
      <w:numFmt w:val="low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nsid w:val="1FC57EB4"/>
    <w:multiLevelType w:val="hybridMultilevel"/>
    <w:tmpl w:val="82DCD27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nsid w:val="20661B2B"/>
    <w:multiLevelType w:val="hybridMultilevel"/>
    <w:tmpl w:val="B1C8EDC6"/>
    <w:lvl w:ilvl="0" w:tplc="0809001B">
      <w:start w:val="1"/>
      <w:numFmt w:val="lowerRoman"/>
      <w:lvlText w:val="%1."/>
      <w:lvlJc w:val="righ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nsid w:val="20CA250E"/>
    <w:multiLevelType w:val="hybridMultilevel"/>
    <w:tmpl w:val="89BC98DE"/>
    <w:lvl w:ilvl="0" w:tplc="0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nsid w:val="22E44180"/>
    <w:multiLevelType w:val="multilevel"/>
    <w:tmpl w:val="4B16EF00"/>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23ED68BB"/>
    <w:multiLevelType w:val="hybridMultilevel"/>
    <w:tmpl w:val="46C2EA6C"/>
    <w:lvl w:ilvl="0" w:tplc="F29E19D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nsid w:val="25404E49"/>
    <w:multiLevelType w:val="hybridMultilevel"/>
    <w:tmpl w:val="19064A7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nsid w:val="27A17326"/>
    <w:multiLevelType w:val="multilevel"/>
    <w:tmpl w:val="974855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nsid w:val="2872466F"/>
    <w:multiLevelType w:val="hybridMultilevel"/>
    <w:tmpl w:val="9A66D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28AD3912"/>
    <w:multiLevelType w:val="hybridMultilevel"/>
    <w:tmpl w:val="AFC2569C"/>
    <w:lvl w:ilvl="0" w:tplc="0C0A0011">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7">
    <w:nsid w:val="28FB5300"/>
    <w:multiLevelType w:val="hybridMultilevel"/>
    <w:tmpl w:val="ED683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9AA1EDE"/>
    <w:multiLevelType w:val="hybridMultilevel"/>
    <w:tmpl w:val="B1C8EDC6"/>
    <w:lvl w:ilvl="0" w:tplc="0809001B">
      <w:start w:val="1"/>
      <w:numFmt w:val="lowerRoman"/>
      <w:lvlText w:val="%1."/>
      <w:lvlJc w:val="righ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nsid w:val="2A9A0C23"/>
    <w:multiLevelType w:val="hybridMultilevel"/>
    <w:tmpl w:val="87DA39CC"/>
    <w:lvl w:ilvl="0" w:tplc="08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0">
    <w:nsid w:val="2AC454D0"/>
    <w:multiLevelType w:val="hybridMultilevel"/>
    <w:tmpl w:val="D1F2D384"/>
    <w:lvl w:ilvl="0" w:tplc="08090019">
      <w:start w:val="1"/>
      <w:numFmt w:val="lowerLetter"/>
      <w:lvlText w:val="%1."/>
      <w:lvlJc w:val="left"/>
      <w:pPr>
        <w:ind w:left="1429" w:hanging="360"/>
      </w:pPr>
    </w:lvl>
    <w:lvl w:ilvl="1" w:tplc="0809001B">
      <w:start w:val="1"/>
      <w:numFmt w:val="lowerRoman"/>
      <w:lvlText w:val="%2."/>
      <w:lvlJc w:val="righ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1">
    <w:nsid w:val="2B021AF9"/>
    <w:multiLevelType w:val="hybridMultilevel"/>
    <w:tmpl w:val="E93E7FEC"/>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nsid w:val="2B9E0268"/>
    <w:multiLevelType w:val="hybridMultilevel"/>
    <w:tmpl w:val="007AB2AA"/>
    <w:lvl w:ilvl="0" w:tplc="0C0A001B">
      <w:start w:val="1"/>
      <w:numFmt w:val="low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3">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54">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55">
    <w:nsid w:val="2D7B7DD8"/>
    <w:multiLevelType w:val="hybridMultilevel"/>
    <w:tmpl w:val="B1C8EDC6"/>
    <w:lvl w:ilvl="0" w:tplc="0809001B">
      <w:start w:val="1"/>
      <w:numFmt w:val="lowerRoman"/>
      <w:lvlText w:val="%1."/>
      <w:lvlJc w:val="righ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nsid w:val="2D972AD3"/>
    <w:multiLevelType w:val="hybridMultilevel"/>
    <w:tmpl w:val="5CC689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2E360B7E"/>
    <w:multiLevelType w:val="hybridMultilevel"/>
    <w:tmpl w:val="2356F738"/>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08B074D"/>
    <w:multiLevelType w:val="hybridMultilevel"/>
    <w:tmpl w:val="7DF0D0F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44E692C8">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322A42BD"/>
    <w:multiLevelType w:val="hybridMultilevel"/>
    <w:tmpl w:val="23D63790"/>
    <w:lvl w:ilvl="0" w:tplc="08090001">
      <w:start w:val="1"/>
      <w:numFmt w:val="bullet"/>
      <w:lvlText w:val=""/>
      <w:lvlJc w:val="left"/>
      <w:pPr>
        <w:ind w:left="1429" w:hanging="360"/>
      </w:pPr>
      <w:rPr>
        <w:rFonts w:ascii="Symbol" w:hAnsi="Symbo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0">
    <w:nsid w:val="32CA2E3B"/>
    <w:multiLevelType w:val="hybridMultilevel"/>
    <w:tmpl w:val="8D208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nsid w:val="33E63B41"/>
    <w:multiLevelType w:val="hybridMultilevel"/>
    <w:tmpl w:val="D05616CC"/>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4B83759"/>
    <w:multiLevelType w:val="hybridMultilevel"/>
    <w:tmpl w:val="582E430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nsid w:val="35345A99"/>
    <w:multiLevelType w:val="hybridMultilevel"/>
    <w:tmpl w:val="CCAC8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3553699C"/>
    <w:multiLevelType w:val="hybridMultilevel"/>
    <w:tmpl w:val="B24C8EE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nsid w:val="35B64F34"/>
    <w:multiLevelType w:val="hybridMultilevel"/>
    <w:tmpl w:val="681EA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37557CCC"/>
    <w:multiLevelType w:val="hybridMultilevel"/>
    <w:tmpl w:val="F43AF2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nsid w:val="382D639E"/>
    <w:multiLevelType w:val="hybridMultilevel"/>
    <w:tmpl w:val="FC70E278"/>
    <w:lvl w:ilvl="0" w:tplc="08090017">
      <w:start w:val="1"/>
      <w:numFmt w:val="lowerLetter"/>
      <w:lvlText w:val="%1)"/>
      <w:lvlJc w:val="left"/>
      <w:pPr>
        <w:ind w:left="720" w:hanging="360"/>
      </w:pPr>
    </w:lvl>
    <w:lvl w:ilvl="1" w:tplc="040A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nsid w:val="39A82B28"/>
    <w:multiLevelType w:val="hybridMultilevel"/>
    <w:tmpl w:val="8CF89BE6"/>
    <w:lvl w:ilvl="0" w:tplc="08090017">
      <w:start w:val="1"/>
      <w:numFmt w:val="lowerLetter"/>
      <w:lvlText w:val="%1)"/>
      <w:lvlJc w:val="left"/>
      <w:pPr>
        <w:ind w:left="2704" w:hanging="360"/>
      </w:pPr>
    </w:lvl>
    <w:lvl w:ilvl="1" w:tplc="04090019" w:tentative="1">
      <w:start w:val="1"/>
      <w:numFmt w:val="lowerLetter"/>
      <w:lvlText w:val="%2."/>
      <w:lvlJc w:val="left"/>
      <w:pPr>
        <w:ind w:left="3424" w:hanging="360"/>
      </w:pPr>
    </w:lvl>
    <w:lvl w:ilvl="2" w:tplc="0409001B" w:tentative="1">
      <w:start w:val="1"/>
      <w:numFmt w:val="lowerRoman"/>
      <w:lvlText w:val="%3."/>
      <w:lvlJc w:val="right"/>
      <w:pPr>
        <w:ind w:left="4144" w:hanging="180"/>
      </w:pPr>
    </w:lvl>
    <w:lvl w:ilvl="3" w:tplc="0409000F" w:tentative="1">
      <w:start w:val="1"/>
      <w:numFmt w:val="decimal"/>
      <w:lvlText w:val="%4."/>
      <w:lvlJc w:val="left"/>
      <w:pPr>
        <w:ind w:left="4864" w:hanging="360"/>
      </w:pPr>
    </w:lvl>
    <w:lvl w:ilvl="4" w:tplc="04090019" w:tentative="1">
      <w:start w:val="1"/>
      <w:numFmt w:val="lowerLetter"/>
      <w:lvlText w:val="%5."/>
      <w:lvlJc w:val="left"/>
      <w:pPr>
        <w:ind w:left="5584" w:hanging="360"/>
      </w:pPr>
    </w:lvl>
    <w:lvl w:ilvl="5" w:tplc="0409001B" w:tentative="1">
      <w:start w:val="1"/>
      <w:numFmt w:val="lowerRoman"/>
      <w:lvlText w:val="%6."/>
      <w:lvlJc w:val="right"/>
      <w:pPr>
        <w:ind w:left="6304" w:hanging="180"/>
      </w:pPr>
    </w:lvl>
    <w:lvl w:ilvl="6" w:tplc="0409000F" w:tentative="1">
      <w:start w:val="1"/>
      <w:numFmt w:val="decimal"/>
      <w:lvlText w:val="%7."/>
      <w:lvlJc w:val="left"/>
      <w:pPr>
        <w:ind w:left="7024" w:hanging="360"/>
      </w:pPr>
    </w:lvl>
    <w:lvl w:ilvl="7" w:tplc="04090019" w:tentative="1">
      <w:start w:val="1"/>
      <w:numFmt w:val="lowerLetter"/>
      <w:lvlText w:val="%8."/>
      <w:lvlJc w:val="left"/>
      <w:pPr>
        <w:ind w:left="7744" w:hanging="360"/>
      </w:pPr>
    </w:lvl>
    <w:lvl w:ilvl="8" w:tplc="0409001B" w:tentative="1">
      <w:start w:val="1"/>
      <w:numFmt w:val="lowerRoman"/>
      <w:lvlText w:val="%9."/>
      <w:lvlJc w:val="right"/>
      <w:pPr>
        <w:ind w:left="8464" w:hanging="180"/>
      </w:pPr>
    </w:lvl>
  </w:abstractNum>
  <w:abstractNum w:abstractNumId="69">
    <w:nsid w:val="3AB60FF4"/>
    <w:multiLevelType w:val="hybridMultilevel"/>
    <w:tmpl w:val="81EE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3B3B0D0E"/>
    <w:multiLevelType w:val="hybridMultilevel"/>
    <w:tmpl w:val="0B4EEFA4"/>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1">
    <w:nsid w:val="3D3C77D2"/>
    <w:multiLevelType w:val="hybridMultilevel"/>
    <w:tmpl w:val="F8D25CF6"/>
    <w:lvl w:ilvl="0" w:tplc="08090019">
      <w:start w:val="1"/>
      <w:numFmt w:val="lowerLetter"/>
      <w:lvlText w:val="%1."/>
      <w:lvlJc w:val="lef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2">
    <w:nsid w:val="3E267AD6"/>
    <w:multiLevelType w:val="hybridMultilevel"/>
    <w:tmpl w:val="923A1DD2"/>
    <w:lvl w:ilvl="0" w:tplc="0809000F">
      <w:start w:val="1"/>
      <w:numFmt w:val="decimal"/>
      <w:lvlText w:val="%1."/>
      <w:lvlJc w:val="lef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3">
    <w:nsid w:val="40280D20"/>
    <w:multiLevelType w:val="hybridMultilevel"/>
    <w:tmpl w:val="8AE4D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5">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76">
    <w:nsid w:val="43F42D98"/>
    <w:multiLevelType w:val="hybridMultilevel"/>
    <w:tmpl w:val="89BC98DE"/>
    <w:lvl w:ilvl="0" w:tplc="0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7">
    <w:nsid w:val="442C7C07"/>
    <w:multiLevelType w:val="hybridMultilevel"/>
    <w:tmpl w:val="CBDC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46F0980"/>
    <w:multiLevelType w:val="hybridMultilevel"/>
    <w:tmpl w:val="E91EE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nsid w:val="44746AF7"/>
    <w:multiLevelType w:val="hybridMultilevel"/>
    <w:tmpl w:val="8BA6069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0">
    <w:nsid w:val="447A3124"/>
    <w:multiLevelType w:val="hybridMultilevel"/>
    <w:tmpl w:val="8BF001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4F10CD8"/>
    <w:multiLevelType w:val="hybridMultilevel"/>
    <w:tmpl w:val="85F45C06"/>
    <w:lvl w:ilvl="0" w:tplc="0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454654C8"/>
    <w:multiLevelType w:val="hybridMultilevel"/>
    <w:tmpl w:val="8F7E77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84">
    <w:nsid w:val="45615454"/>
    <w:multiLevelType w:val="hybridMultilevel"/>
    <w:tmpl w:val="D714C75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5">
    <w:nsid w:val="45BC00BD"/>
    <w:multiLevelType w:val="hybridMultilevel"/>
    <w:tmpl w:val="2DC2D88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6">
    <w:nsid w:val="471D56DD"/>
    <w:multiLevelType w:val="hybridMultilevel"/>
    <w:tmpl w:val="26D88BDE"/>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78F718B"/>
    <w:multiLevelType w:val="hybridMultilevel"/>
    <w:tmpl w:val="59AEE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nsid w:val="48C90469"/>
    <w:multiLevelType w:val="hybridMultilevel"/>
    <w:tmpl w:val="A83C9AC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9">
    <w:nsid w:val="495C0E24"/>
    <w:multiLevelType w:val="hybridMultilevel"/>
    <w:tmpl w:val="D68A0C9A"/>
    <w:lvl w:ilvl="0" w:tplc="04090011">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0">
    <w:nsid w:val="4DA4525B"/>
    <w:multiLevelType w:val="hybridMultilevel"/>
    <w:tmpl w:val="8DEC0CF8"/>
    <w:lvl w:ilvl="0" w:tplc="94AC1BB0">
      <w:start w:val="1"/>
      <w:numFmt w:val="lowerRoman"/>
      <w:lvlText w:val="%1."/>
      <w:lvlJc w:val="right"/>
      <w:pPr>
        <w:ind w:left="1080" w:hanging="360"/>
      </w:pPr>
      <w:rPr>
        <w:rFonts w:ascii="Times New Roman" w:hAnsi="Times New Roman" w:cs="Times New Roman" w:hint="default"/>
        <w:sz w:val="24"/>
        <w:szCs w:val="24"/>
      </w:rPr>
    </w:lvl>
    <w:lvl w:ilvl="1" w:tplc="040A0019">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91">
    <w:nsid w:val="4F5E055F"/>
    <w:multiLevelType w:val="hybridMultilevel"/>
    <w:tmpl w:val="F2FEC466"/>
    <w:lvl w:ilvl="0" w:tplc="EB329A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nsid w:val="4F913A25"/>
    <w:multiLevelType w:val="hybridMultilevel"/>
    <w:tmpl w:val="D68A0C9A"/>
    <w:lvl w:ilvl="0" w:tplc="04090011">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3">
    <w:nsid w:val="506330B7"/>
    <w:multiLevelType w:val="hybridMultilevel"/>
    <w:tmpl w:val="43AC80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nsid w:val="50A33AB2"/>
    <w:multiLevelType w:val="hybridMultilevel"/>
    <w:tmpl w:val="F2CC1CD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5">
    <w:nsid w:val="514A3B46"/>
    <w:multiLevelType w:val="hybridMultilevel"/>
    <w:tmpl w:val="4560C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nsid w:val="51667B89"/>
    <w:multiLevelType w:val="hybridMultilevel"/>
    <w:tmpl w:val="2B222B1C"/>
    <w:lvl w:ilvl="0" w:tplc="0C0A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nsid w:val="5173633C"/>
    <w:multiLevelType w:val="hybridMultilevel"/>
    <w:tmpl w:val="ED580A56"/>
    <w:lvl w:ilvl="0" w:tplc="312A5F28">
      <w:start w:val="1"/>
      <w:numFmt w:val="bullet"/>
      <w:lvlText w:val="-"/>
      <w:lvlJc w:val="left"/>
      <w:pPr>
        <w:ind w:left="644" w:hanging="360"/>
      </w:pPr>
      <w:rPr>
        <w:rFonts w:ascii="Calibri" w:eastAsiaTheme="minorHAnsi" w:hAnsi="Calibri" w:cs="Calibri" w:hint="default"/>
        <w:color w:val="7030A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nsid w:val="51840DD6"/>
    <w:multiLevelType w:val="hybridMultilevel"/>
    <w:tmpl w:val="FB78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nsid w:val="518D46EC"/>
    <w:multiLevelType w:val="hybridMultilevel"/>
    <w:tmpl w:val="09AA04B4"/>
    <w:lvl w:ilvl="0" w:tplc="08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0">
    <w:nsid w:val="52A67588"/>
    <w:multiLevelType w:val="hybridMultilevel"/>
    <w:tmpl w:val="339EC5E2"/>
    <w:lvl w:ilvl="0" w:tplc="ED7E88AA">
      <w:start w:val="1"/>
      <w:numFmt w:val="decimal"/>
      <w:lvlText w:val="%1."/>
      <w:lvlJc w:val="left"/>
      <w:pPr>
        <w:ind w:left="720" w:hanging="360"/>
      </w:pPr>
      <w:rPr>
        <w:rFonts w:ascii="Times New Roman" w:hAnsi="Times New Roman"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1">
    <w:nsid w:val="536649EB"/>
    <w:multiLevelType w:val="hybridMultilevel"/>
    <w:tmpl w:val="96666F38"/>
    <w:lvl w:ilvl="0" w:tplc="EEEA2380">
      <w:start w:val="1"/>
      <w:numFmt w:val="bullet"/>
      <w:lvlText w:val=""/>
      <w:lvlJc w:val="left"/>
      <w:pPr>
        <w:ind w:left="720" w:hanging="360"/>
      </w:pPr>
      <w:rPr>
        <w:rFonts w:ascii="Symbol" w:hAnsi="Symbol" w:hint="default"/>
      </w:rPr>
    </w:lvl>
    <w:lvl w:ilvl="1" w:tplc="D13A51C6">
      <w:numFmt w:val="bullet"/>
      <w:pStyle w:val="bullet2"/>
      <w:lvlText w:val="-"/>
      <w:lvlJc w:val="left"/>
      <w:pPr>
        <w:ind w:left="1440" w:hanging="360"/>
      </w:pPr>
      <w:rPr>
        <w:rFonts w:ascii="Calibri" w:eastAsiaTheme="minorHAnsi" w:hAnsi="Calibri" w:cs="Calibri" w:hint="default"/>
      </w:rPr>
    </w:lvl>
    <w:lvl w:ilvl="2" w:tplc="CE645904">
      <w:start w:val="1"/>
      <w:numFmt w:val="lowerLetter"/>
      <w:lvlText w:val="%3)"/>
      <w:lvlJc w:val="left"/>
      <w:pPr>
        <w:ind w:left="2160" w:hanging="360"/>
      </w:pPr>
      <w:rPr>
        <w:rFonts w:asciiTheme="minorHAnsi" w:eastAsia="Arial" w:hAnsiTheme="minorHAnsi" w:cstheme="minorHAnsi"/>
      </w:rPr>
    </w:lvl>
    <w:lvl w:ilvl="3" w:tplc="9E2A1D18">
      <w:start w:val="1"/>
      <w:numFmt w:val="bullet"/>
      <w:lvlText w:val=""/>
      <w:lvlJc w:val="left"/>
      <w:pPr>
        <w:ind w:left="2880" w:hanging="360"/>
      </w:pPr>
      <w:rPr>
        <w:rFonts w:ascii="Symbol" w:hAnsi="Symbol" w:hint="default"/>
      </w:rPr>
    </w:lvl>
    <w:lvl w:ilvl="4" w:tplc="93E06754">
      <w:start w:val="1"/>
      <w:numFmt w:val="bullet"/>
      <w:lvlText w:val="o"/>
      <w:lvlJc w:val="left"/>
      <w:pPr>
        <w:ind w:left="3600" w:hanging="360"/>
      </w:pPr>
      <w:rPr>
        <w:rFonts w:ascii="Courier New" w:hAnsi="Courier New" w:hint="default"/>
      </w:rPr>
    </w:lvl>
    <w:lvl w:ilvl="5" w:tplc="66403156">
      <w:start w:val="1"/>
      <w:numFmt w:val="bullet"/>
      <w:lvlText w:val=""/>
      <w:lvlJc w:val="left"/>
      <w:pPr>
        <w:ind w:left="4320" w:hanging="360"/>
      </w:pPr>
      <w:rPr>
        <w:rFonts w:ascii="Wingdings" w:hAnsi="Wingdings" w:hint="default"/>
      </w:rPr>
    </w:lvl>
    <w:lvl w:ilvl="6" w:tplc="302ED93E">
      <w:start w:val="1"/>
      <w:numFmt w:val="bullet"/>
      <w:lvlText w:val=""/>
      <w:lvlJc w:val="left"/>
      <w:pPr>
        <w:ind w:left="5040" w:hanging="360"/>
      </w:pPr>
      <w:rPr>
        <w:rFonts w:ascii="Symbol" w:hAnsi="Symbol" w:hint="default"/>
      </w:rPr>
    </w:lvl>
    <w:lvl w:ilvl="7" w:tplc="9FCA7C0C">
      <w:start w:val="1"/>
      <w:numFmt w:val="bullet"/>
      <w:lvlText w:val="o"/>
      <w:lvlJc w:val="left"/>
      <w:pPr>
        <w:ind w:left="5760" w:hanging="360"/>
      </w:pPr>
      <w:rPr>
        <w:rFonts w:ascii="Courier New" w:hAnsi="Courier New" w:hint="default"/>
      </w:rPr>
    </w:lvl>
    <w:lvl w:ilvl="8" w:tplc="3CDAD1D2">
      <w:start w:val="1"/>
      <w:numFmt w:val="bullet"/>
      <w:lvlText w:val=""/>
      <w:lvlJc w:val="left"/>
      <w:pPr>
        <w:ind w:left="6480" w:hanging="360"/>
      </w:pPr>
      <w:rPr>
        <w:rFonts w:ascii="Wingdings" w:hAnsi="Wingdings" w:hint="default"/>
      </w:rPr>
    </w:lvl>
  </w:abstractNum>
  <w:abstractNum w:abstractNumId="102">
    <w:nsid w:val="55666125"/>
    <w:multiLevelType w:val="hybridMultilevel"/>
    <w:tmpl w:val="34BC7C10"/>
    <w:lvl w:ilvl="0" w:tplc="3F2A7D3A">
      <w:start w:val="1"/>
      <w:numFmt w:val="lowerLetter"/>
      <w:lvlText w:val="%1)"/>
      <w:lvlJc w:val="left"/>
      <w:pPr>
        <w:ind w:left="1444" w:hanging="7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04">
    <w:nsid w:val="557C33CE"/>
    <w:multiLevelType w:val="hybridMultilevel"/>
    <w:tmpl w:val="4372D5B0"/>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60C4BE4"/>
    <w:multiLevelType w:val="hybridMultilevel"/>
    <w:tmpl w:val="AE5A2B4A"/>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6">
    <w:nsid w:val="57F812D0"/>
    <w:multiLevelType w:val="hybridMultilevel"/>
    <w:tmpl w:val="B34E6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58E57F62"/>
    <w:multiLevelType w:val="hybridMultilevel"/>
    <w:tmpl w:val="6B367C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8">
    <w:nsid w:val="59067F31"/>
    <w:multiLevelType w:val="hybridMultilevel"/>
    <w:tmpl w:val="A800B374"/>
    <w:lvl w:ilvl="0" w:tplc="040A0001">
      <w:start w:val="1"/>
      <w:numFmt w:val="bullet"/>
      <w:lvlText w:val=""/>
      <w:lvlJc w:val="left"/>
      <w:pPr>
        <w:ind w:left="1690" w:hanging="360"/>
      </w:pPr>
      <w:rPr>
        <w:rFonts w:ascii="Symbol" w:hAnsi="Symbol" w:hint="default"/>
      </w:rPr>
    </w:lvl>
    <w:lvl w:ilvl="1" w:tplc="040A0003" w:tentative="1">
      <w:start w:val="1"/>
      <w:numFmt w:val="bullet"/>
      <w:lvlText w:val="o"/>
      <w:lvlJc w:val="left"/>
      <w:pPr>
        <w:ind w:left="2410" w:hanging="360"/>
      </w:pPr>
      <w:rPr>
        <w:rFonts w:ascii="Courier New" w:hAnsi="Courier New" w:cs="Courier New" w:hint="default"/>
      </w:rPr>
    </w:lvl>
    <w:lvl w:ilvl="2" w:tplc="040A0005" w:tentative="1">
      <w:start w:val="1"/>
      <w:numFmt w:val="bullet"/>
      <w:lvlText w:val=""/>
      <w:lvlJc w:val="left"/>
      <w:pPr>
        <w:ind w:left="3130" w:hanging="360"/>
      </w:pPr>
      <w:rPr>
        <w:rFonts w:ascii="Wingdings" w:hAnsi="Wingdings" w:hint="default"/>
      </w:rPr>
    </w:lvl>
    <w:lvl w:ilvl="3" w:tplc="040A0001" w:tentative="1">
      <w:start w:val="1"/>
      <w:numFmt w:val="bullet"/>
      <w:lvlText w:val=""/>
      <w:lvlJc w:val="left"/>
      <w:pPr>
        <w:ind w:left="3850" w:hanging="360"/>
      </w:pPr>
      <w:rPr>
        <w:rFonts w:ascii="Symbol" w:hAnsi="Symbol" w:hint="default"/>
      </w:rPr>
    </w:lvl>
    <w:lvl w:ilvl="4" w:tplc="040A0003" w:tentative="1">
      <w:start w:val="1"/>
      <w:numFmt w:val="bullet"/>
      <w:lvlText w:val="o"/>
      <w:lvlJc w:val="left"/>
      <w:pPr>
        <w:ind w:left="4570" w:hanging="360"/>
      </w:pPr>
      <w:rPr>
        <w:rFonts w:ascii="Courier New" w:hAnsi="Courier New" w:cs="Courier New" w:hint="default"/>
      </w:rPr>
    </w:lvl>
    <w:lvl w:ilvl="5" w:tplc="040A0005" w:tentative="1">
      <w:start w:val="1"/>
      <w:numFmt w:val="bullet"/>
      <w:lvlText w:val=""/>
      <w:lvlJc w:val="left"/>
      <w:pPr>
        <w:ind w:left="5290" w:hanging="360"/>
      </w:pPr>
      <w:rPr>
        <w:rFonts w:ascii="Wingdings" w:hAnsi="Wingdings" w:hint="default"/>
      </w:rPr>
    </w:lvl>
    <w:lvl w:ilvl="6" w:tplc="040A0001" w:tentative="1">
      <w:start w:val="1"/>
      <w:numFmt w:val="bullet"/>
      <w:lvlText w:val=""/>
      <w:lvlJc w:val="left"/>
      <w:pPr>
        <w:ind w:left="6010" w:hanging="360"/>
      </w:pPr>
      <w:rPr>
        <w:rFonts w:ascii="Symbol" w:hAnsi="Symbol" w:hint="default"/>
      </w:rPr>
    </w:lvl>
    <w:lvl w:ilvl="7" w:tplc="040A0003" w:tentative="1">
      <w:start w:val="1"/>
      <w:numFmt w:val="bullet"/>
      <w:lvlText w:val="o"/>
      <w:lvlJc w:val="left"/>
      <w:pPr>
        <w:ind w:left="6730" w:hanging="360"/>
      </w:pPr>
      <w:rPr>
        <w:rFonts w:ascii="Courier New" w:hAnsi="Courier New" w:cs="Courier New" w:hint="default"/>
      </w:rPr>
    </w:lvl>
    <w:lvl w:ilvl="8" w:tplc="040A0005" w:tentative="1">
      <w:start w:val="1"/>
      <w:numFmt w:val="bullet"/>
      <w:lvlText w:val=""/>
      <w:lvlJc w:val="left"/>
      <w:pPr>
        <w:ind w:left="7450" w:hanging="360"/>
      </w:pPr>
      <w:rPr>
        <w:rFonts w:ascii="Wingdings" w:hAnsi="Wingdings" w:hint="default"/>
      </w:rPr>
    </w:lvl>
  </w:abstractNum>
  <w:abstractNum w:abstractNumId="109">
    <w:nsid w:val="59F96ABB"/>
    <w:multiLevelType w:val="hybridMultilevel"/>
    <w:tmpl w:val="85F45C06"/>
    <w:lvl w:ilvl="0" w:tplc="08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0">
    <w:nsid w:val="5A165091"/>
    <w:multiLevelType w:val="hybridMultilevel"/>
    <w:tmpl w:val="A9803D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nsid w:val="5A984617"/>
    <w:multiLevelType w:val="hybridMultilevel"/>
    <w:tmpl w:val="1D0E0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5B0F1134"/>
    <w:multiLevelType w:val="hybridMultilevel"/>
    <w:tmpl w:val="38F0B88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3">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4">
    <w:nsid w:val="5C056EE5"/>
    <w:multiLevelType w:val="singleLevel"/>
    <w:tmpl w:val="3378D27C"/>
    <w:name w:val="Bullet 2"/>
    <w:lvl w:ilvl="0">
      <w:start w:val="1"/>
      <w:numFmt w:val="bullet"/>
      <w:lvlRestart w:val="0"/>
      <w:pStyle w:val="Bullet20"/>
      <w:lvlText w:val=""/>
      <w:lvlJc w:val="left"/>
      <w:pPr>
        <w:tabs>
          <w:tab w:val="num" w:pos="1984"/>
        </w:tabs>
        <w:ind w:left="1984" w:hanging="567"/>
      </w:pPr>
      <w:rPr>
        <w:rFonts w:ascii="Symbol" w:hAnsi="Symbol" w:hint="default"/>
      </w:rPr>
    </w:lvl>
  </w:abstractNum>
  <w:abstractNum w:abstractNumId="11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16">
    <w:nsid w:val="5CA57E7E"/>
    <w:multiLevelType w:val="hybridMultilevel"/>
    <w:tmpl w:val="DEA84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5D060240"/>
    <w:multiLevelType w:val="hybridMultilevel"/>
    <w:tmpl w:val="1006120C"/>
    <w:lvl w:ilvl="0" w:tplc="08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8">
    <w:nsid w:val="5ECC7FFE"/>
    <w:multiLevelType w:val="hybridMultilevel"/>
    <w:tmpl w:val="AFC2569C"/>
    <w:lvl w:ilvl="0" w:tplc="0C0A0011">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9">
    <w:nsid w:val="60B41314"/>
    <w:multiLevelType w:val="hybridMultilevel"/>
    <w:tmpl w:val="B1C8EDC6"/>
    <w:lvl w:ilvl="0" w:tplc="0809001B">
      <w:start w:val="1"/>
      <w:numFmt w:val="lowerRoman"/>
      <w:lvlText w:val="%1."/>
      <w:lvlJc w:val="righ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0">
    <w:nsid w:val="621768EE"/>
    <w:multiLevelType w:val="hybridMultilevel"/>
    <w:tmpl w:val="5E20883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nsid w:val="64A12FA4"/>
    <w:multiLevelType w:val="multilevel"/>
    <w:tmpl w:val="BC1C158C"/>
    <w:name w:val="Heading"/>
    <w:lvl w:ilvl="0">
      <w:start w:val="1"/>
      <w:numFmt w:val="decimal"/>
      <w:lvlRestart w:val="0"/>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nsid w:val="652A3F9F"/>
    <w:multiLevelType w:val="hybridMultilevel"/>
    <w:tmpl w:val="E91EE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nsid w:val="65344370"/>
    <w:multiLevelType w:val="hybridMultilevel"/>
    <w:tmpl w:val="DD82871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4">
    <w:nsid w:val="656B771A"/>
    <w:multiLevelType w:val="hybridMultilevel"/>
    <w:tmpl w:val="0B4EEFA4"/>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5">
    <w:nsid w:val="669B0B48"/>
    <w:multiLevelType w:val="hybridMultilevel"/>
    <w:tmpl w:val="F5741058"/>
    <w:lvl w:ilvl="0" w:tplc="08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6">
    <w:nsid w:val="669F3250"/>
    <w:multiLevelType w:val="hybridMultilevel"/>
    <w:tmpl w:val="BD0AC6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28">
    <w:nsid w:val="67CA10CF"/>
    <w:multiLevelType w:val="hybridMultilevel"/>
    <w:tmpl w:val="1F24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nsid w:val="68735CA3"/>
    <w:multiLevelType w:val="hybridMultilevel"/>
    <w:tmpl w:val="FF96D2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nsid w:val="6A0172F0"/>
    <w:multiLevelType w:val="hybridMultilevel"/>
    <w:tmpl w:val="888CFB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nsid w:val="6A563A2D"/>
    <w:multiLevelType w:val="hybridMultilevel"/>
    <w:tmpl w:val="FC5A9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nsid w:val="6B8345B1"/>
    <w:multiLevelType w:val="hybridMultilevel"/>
    <w:tmpl w:val="A26EC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6BB9719F"/>
    <w:multiLevelType w:val="hybridMultilevel"/>
    <w:tmpl w:val="66F09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nsid w:val="6C7D3549"/>
    <w:multiLevelType w:val="hybridMultilevel"/>
    <w:tmpl w:val="FDD6BEBC"/>
    <w:lvl w:ilvl="0" w:tplc="6272088A">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5">
    <w:nsid w:val="6EF03967"/>
    <w:multiLevelType w:val="hybridMultilevel"/>
    <w:tmpl w:val="8F7E77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nsid w:val="6F9C0D1B"/>
    <w:multiLevelType w:val="hybridMultilevel"/>
    <w:tmpl w:val="E91EE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nsid w:val="739B483A"/>
    <w:multiLevelType w:val="hybridMultilevel"/>
    <w:tmpl w:val="1FF204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nsid w:val="74F64C9D"/>
    <w:multiLevelType w:val="hybridMultilevel"/>
    <w:tmpl w:val="B7C6D544"/>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53C5BA9"/>
    <w:multiLevelType w:val="hybridMultilevel"/>
    <w:tmpl w:val="99C0C08E"/>
    <w:lvl w:ilvl="0" w:tplc="0409000F">
      <w:start w:val="1"/>
      <w:numFmt w:val="decimal"/>
      <w:lvlText w:val="%1."/>
      <w:lvlJc w:val="left"/>
      <w:pPr>
        <w:ind w:left="-3872" w:hanging="360"/>
      </w:pPr>
    </w:lvl>
    <w:lvl w:ilvl="1" w:tplc="04090019" w:tentative="1">
      <w:start w:val="1"/>
      <w:numFmt w:val="lowerLetter"/>
      <w:lvlText w:val="%2."/>
      <w:lvlJc w:val="left"/>
      <w:pPr>
        <w:ind w:left="-315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1712" w:hanging="360"/>
      </w:pPr>
    </w:lvl>
    <w:lvl w:ilvl="4" w:tplc="04090019" w:tentative="1">
      <w:start w:val="1"/>
      <w:numFmt w:val="lowerLetter"/>
      <w:lvlText w:val="%5."/>
      <w:lvlJc w:val="left"/>
      <w:pPr>
        <w:ind w:left="-992" w:hanging="360"/>
      </w:pPr>
    </w:lvl>
    <w:lvl w:ilvl="5" w:tplc="0409001B" w:tentative="1">
      <w:start w:val="1"/>
      <w:numFmt w:val="lowerRoman"/>
      <w:lvlText w:val="%6."/>
      <w:lvlJc w:val="right"/>
      <w:pPr>
        <w:ind w:left="-272" w:hanging="180"/>
      </w:pPr>
    </w:lvl>
    <w:lvl w:ilvl="6" w:tplc="0409000F" w:tentative="1">
      <w:start w:val="1"/>
      <w:numFmt w:val="decimal"/>
      <w:lvlText w:val="%7."/>
      <w:lvlJc w:val="left"/>
      <w:pPr>
        <w:ind w:left="448" w:hanging="360"/>
      </w:pPr>
    </w:lvl>
    <w:lvl w:ilvl="7" w:tplc="04090019" w:tentative="1">
      <w:start w:val="1"/>
      <w:numFmt w:val="lowerLetter"/>
      <w:lvlText w:val="%8."/>
      <w:lvlJc w:val="left"/>
      <w:pPr>
        <w:ind w:left="1168" w:hanging="360"/>
      </w:pPr>
    </w:lvl>
    <w:lvl w:ilvl="8" w:tplc="0409001B" w:tentative="1">
      <w:start w:val="1"/>
      <w:numFmt w:val="lowerRoman"/>
      <w:lvlText w:val="%9."/>
      <w:lvlJc w:val="right"/>
      <w:pPr>
        <w:ind w:left="1888" w:hanging="180"/>
      </w:pPr>
    </w:lvl>
  </w:abstractNum>
  <w:abstractNum w:abstractNumId="140">
    <w:nsid w:val="753D6644"/>
    <w:multiLevelType w:val="hybridMultilevel"/>
    <w:tmpl w:val="0F8E2B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1">
    <w:nsid w:val="75644865"/>
    <w:multiLevelType w:val="hybridMultilevel"/>
    <w:tmpl w:val="2698E8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nsid w:val="75A46586"/>
    <w:multiLevelType w:val="hybridMultilevel"/>
    <w:tmpl w:val="3EC8F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769F7C97"/>
    <w:multiLevelType w:val="hybridMultilevel"/>
    <w:tmpl w:val="E7E01118"/>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7D4553C"/>
    <w:multiLevelType w:val="hybridMultilevel"/>
    <w:tmpl w:val="6BF8647A"/>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5">
    <w:nsid w:val="783F5EBD"/>
    <w:multiLevelType w:val="hybridMultilevel"/>
    <w:tmpl w:val="D68A0C9A"/>
    <w:lvl w:ilvl="0" w:tplc="04090011">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6">
    <w:nsid w:val="78A407C3"/>
    <w:multiLevelType w:val="hybridMultilevel"/>
    <w:tmpl w:val="E52A0778"/>
    <w:lvl w:ilvl="0" w:tplc="CC82451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nsid w:val="7B314C45"/>
    <w:multiLevelType w:val="hybridMultilevel"/>
    <w:tmpl w:val="60C62A94"/>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7C4709B9"/>
    <w:multiLevelType w:val="hybridMultilevel"/>
    <w:tmpl w:val="D68A0C9A"/>
    <w:lvl w:ilvl="0" w:tplc="04090011">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150">
    <w:nsid w:val="7E9A2E6F"/>
    <w:multiLevelType w:val="hybridMultilevel"/>
    <w:tmpl w:val="8AD48A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7ECA4CEB"/>
    <w:multiLevelType w:val="hybridMultilevel"/>
    <w:tmpl w:val="E706756C"/>
    <w:lvl w:ilvl="0" w:tplc="224AE4EC">
      <w:start w:val="1"/>
      <w:numFmt w:val="bullet"/>
      <w:lvlText w:val="•"/>
      <w:lvlJc w:val="left"/>
      <w:pPr>
        <w:ind w:left="1069" w:hanging="360"/>
      </w:pPr>
      <w:rPr>
        <w:rFonts w:ascii="Times New Roman" w:eastAsiaTheme="minorHAns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abstractNumId w:val="115"/>
  </w:num>
  <w:num w:numId="2">
    <w:abstractNumId w:val="74"/>
  </w:num>
  <w:num w:numId="3">
    <w:abstractNumId w:val="127"/>
  </w:num>
  <w:num w:numId="4">
    <w:abstractNumId w:val="54"/>
  </w:num>
  <w:num w:numId="5">
    <w:abstractNumId w:val="75"/>
  </w:num>
  <w:num w:numId="6">
    <w:abstractNumId w:val="41"/>
  </w:num>
  <w:num w:numId="7">
    <w:abstractNumId w:val="121"/>
  </w:num>
  <w:num w:numId="8">
    <w:abstractNumId w:val="34"/>
  </w:num>
  <w:num w:numId="9">
    <w:abstractNumId w:val="83"/>
  </w:num>
  <w:num w:numId="10">
    <w:abstractNumId w:val="113"/>
  </w:num>
  <w:num w:numId="11">
    <w:abstractNumId w:val="114"/>
  </w:num>
  <w:num w:numId="12">
    <w:abstractNumId w:val="53"/>
  </w:num>
  <w:num w:numId="13">
    <w:abstractNumId w:val="103"/>
  </w:num>
  <w:num w:numId="14">
    <w:abstractNumId w:val="149"/>
  </w:num>
  <w:num w:numId="15">
    <w:abstractNumId w:val="4"/>
  </w:num>
  <w:num w:numId="16">
    <w:abstractNumId w:val="2"/>
  </w:num>
  <w:num w:numId="17">
    <w:abstractNumId w:val="1"/>
  </w:num>
  <w:num w:numId="18">
    <w:abstractNumId w:val="0"/>
  </w:num>
  <w:num w:numId="19">
    <w:abstractNumId w:val="126"/>
  </w:num>
  <w:num w:numId="20">
    <w:abstractNumId w:val="97"/>
  </w:num>
  <w:num w:numId="21">
    <w:abstractNumId w:val="98"/>
  </w:num>
  <w:num w:numId="22">
    <w:abstractNumId w:val="101"/>
  </w:num>
  <w:num w:numId="23">
    <w:abstractNumId w:val="7"/>
  </w:num>
  <w:num w:numId="24">
    <w:abstractNumId w:val="40"/>
  </w:num>
  <w:num w:numId="25">
    <w:abstractNumId w:val="35"/>
  </w:num>
  <w:num w:numId="26">
    <w:abstractNumId w:val="76"/>
  </w:num>
  <w:num w:numId="27">
    <w:abstractNumId w:val="19"/>
  </w:num>
  <w:num w:numId="28">
    <w:abstractNumId w:val="66"/>
  </w:num>
  <w:num w:numId="29">
    <w:abstractNumId w:val="68"/>
  </w:num>
  <w:num w:numId="30">
    <w:abstractNumId w:val="9"/>
  </w:num>
  <w:num w:numId="31">
    <w:abstractNumId w:val="49"/>
  </w:num>
  <w:num w:numId="32">
    <w:abstractNumId w:val="14"/>
  </w:num>
  <w:num w:numId="33">
    <w:abstractNumId w:val="125"/>
  </w:num>
  <w:num w:numId="34">
    <w:abstractNumId w:val="117"/>
  </w:num>
  <w:num w:numId="35">
    <w:abstractNumId w:val="99"/>
  </w:num>
  <w:num w:numId="36">
    <w:abstractNumId w:val="15"/>
  </w:num>
  <w:num w:numId="37">
    <w:abstractNumId w:val="109"/>
  </w:num>
  <w:num w:numId="38">
    <w:abstractNumId w:val="18"/>
  </w:num>
  <w:num w:numId="39">
    <w:abstractNumId w:val="11"/>
  </w:num>
  <w:num w:numId="40">
    <w:abstractNumId w:val="6"/>
  </w:num>
  <w:num w:numId="41">
    <w:abstractNumId w:val="81"/>
  </w:num>
  <w:num w:numId="42">
    <w:abstractNumId w:val="100"/>
  </w:num>
  <w:num w:numId="43">
    <w:abstractNumId w:val="92"/>
  </w:num>
  <w:num w:numId="44">
    <w:abstractNumId w:val="79"/>
  </w:num>
  <w:num w:numId="45">
    <w:abstractNumId w:val="43"/>
  </w:num>
  <w:num w:numId="46">
    <w:abstractNumId w:val="130"/>
  </w:num>
  <w:num w:numId="47">
    <w:abstractNumId w:val="118"/>
  </w:num>
  <w:num w:numId="48">
    <w:abstractNumId w:val="36"/>
  </w:num>
  <w:num w:numId="49">
    <w:abstractNumId w:val="46"/>
  </w:num>
  <w:num w:numId="50">
    <w:abstractNumId w:val="27"/>
  </w:num>
  <w:num w:numId="51">
    <w:abstractNumId w:val="12"/>
  </w:num>
  <w:num w:numId="52">
    <w:abstractNumId w:val="70"/>
  </w:num>
  <w:num w:numId="53">
    <w:abstractNumId w:val="124"/>
  </w:num>
  <w:num w:numId="54">
    <w:abstractNumId w:val="102"/>
  </w:num>
  <w:num w:numId="55">
    <w:abstractNumId w:val="105"/>
  </w:num>
  <w:num w:numId="56">
    <w:abstractNumId w:val="129"/>
  </w:num>
  <w:num w:numId="57">
    <w:abstractNumId w:val="104"/>
  </w:num>
  <w:num w:numId="58">
    <w:abstractNumId w:val="143"/>
  </w:num>
  <w:num w:numId="59">
    <w:abstractNumId w:val="17"/>
  </w:num>
  <w:num w:numId="60">
    <w:abstractNumId w:val="52"/>
  </w:num>
  <w:num w:numId="61">
    <w:abstractNumId w:val="62"/>
  </w:num>
  <w:num w:numId="62">
    <w:abstractNumId w:val="38"/>
  </w:num>
  <w:num w:numId="63">
    <w:abstractNumId w:val="85"/>
  </w:num>
  <w:num w:numId="64">
    <w:abstractNumId w:val="144"/>
  </w:num>
  <w:num w:numId="65">
    <w:abstractNumId w:val="134"/>
  </w:num>
  <w:num w:numId="66">
    <w:abstractNumId w:val="64"/>
  </w:num>
  <w:num w:numId="67">
    <w:abstractNumId w:val="29"/>
  </w:num>
  <w:num w:numId="68">
    <w:abstractNumId w:val="84"/>
  </w:num>
  <w:num w:numId="69">
    <w:abstractNumId w:val="60"/>
  </w:num>
  <w:num w:numId="70">
    <w:abstractNumId w:val="72"/>
  </w:num>
  <w:num w:numId="71">
    <w:abstractNumId w:val="95"/>
  </w:num>
  <w:num w:numId="72">
    <w:abstractNumId w:val="71"/>
  </w:num>
  <w:num w:numId="73">
    <w:abstractNumId w:val="50"/>
  </w:num>
  <w:num w:numId="74">
    <w:abstractNumId w:val="73"/>
  </w:num>
  <w:num w:numId="75">
    <w:abstractNumId w:val="133"/>
  </w:num>
  <w:num w:numId="76">
    <w:abstractNumId w:val="151"/>
  </w:num>
  <w:num w:numId="77">
    <w:abstractNumId w:val="13"/>
  </w:num>
  <w:num w:numId="78">
    <w:abstractNumId w:val="146"/>
  </w:num>
  <w:num w:numId="79">
    <w:abstractNumId w:val="26"/>
  </w:num>
  <w:num w:numId="80">
    <w:abstractNumId w:val="31"/>
  </w:num>
  <w:num w:numId="81">
    <w:abstractNumId w:val="59"/>
  </w:num>
  <w:num w:numId="82">
    <w:abstractNumId w:val="22"/>
  </w:num>
  <w:num w:numId="83">
    <w:abstractNumId w:val="86"/>
  </w:num>
  <w:num w:numId="84">
    <w:abstractNumId w:val="88"/>
  </w:num>
  <w:num w:numId="85">
    <w:abstractNumId w:val="150"/>
  </w:num>
  <w:num w:numId="86">
    <w:abstractNumId w:val="139"/>
  </w:num>
  <w:num w:numId="87">
    <w:abstractNumId w:val="116"/>
  </w:num>
  <w:num w:numId="88">
    <w:abstractNumId w:val="47"/>
  </w:num>
  <w:num w:numId="89">
    <w:abstractNumId w:val="63"/>
  </w:num>
  <w:num w:numId="90">
    <w:abstractNumId w:val="111"/>
  </w:num>
  <w:num w:numId="91">
    <w:abstractNumId w:val="21"/>
  </w:num>
  <w:num w:numId="92">
    <w:abstractNumId w:val="93"/>
  </w:num>
  <w:num w:numId="93">
    <w:abstractNumId w:val="82"/>
  </w:num>
  <w:num w:numId="94">
    <w:abstractNumId w:val="137"/>
  </w:num>
  <w:num w:numId="95">
    <w:abstractNumId w:val="56"/>
  </w:num>
  <w:num w:numId="96">
    <w:abstractNumId w:val="140"/>
  </w:num>
  <w:num w:numId="97">
    <w:abstractNumId w:val="51"/>
  </w:num>
  <w:num w:numId="98">
    <w:abstractNumId w:val="20"/>
  </w:num>
  <w:num w:numId="99">
    <w:abstractNumId w:val="87"/>
  </w:num>
  <w:num w:numId="100">
    <w:abstractNumId w:val="128"/>
  </w:num>
  <w:num w:numId="101">
    <w:abstractNumId w:val="58"/>
  </w:num>
  <w:num w:numId="102">
    <w:abstractNumId w:val="67"/>
  </w:num>
  <w:num w:numId="103">
    <w:abstractNumId w:val="131"/>
  </w:num>
  <w:num w:numId="104">
    <w:abstractNumId w:val="141"/>
  </w:num>
  <w:num w:numId="105">
    <w:abstractNumId w:val="45"/>
  </w:num>
  <w:num w:numId="106">
    <w:abstractNumId w:val="122"/>
  </w:num>
  <w:num w:numId="107">
    <w:abstractNumId w:val="78"/>
  </w:num>
  <w:num w:numId="108">
    <w:abstractNumId w:val="136"/>
  </w:num>
  <w:num w:numId="109">
    <w:abstractNumId w:val="110"/>
  </w:num>
  <w:num w:numId="110">
    <w:abstractNumId w:val="65"/>
  </w:num>
  <w:num w:numId="111">
    <w:abstractNumId w:val="147"/>
  </w:num>
  <w:num w:numId="112">
    <w:abstractNumId w:val="57"/>
  </w:num>
  <w:num w:numId="113">
    <w:abstractNumId w:val="138"/>
  </w:num>
  <w:num w:numId="114">
    <w:abstractNumId w:val="24"/>
  </w:num>
  <w:num w:numId="115">
    <w:abstractNumId w:val="61"/>
  </w:num>
  <w:num w:numId="116">
    <w:abstractNumId w:val="142"/>
  </w:num>
  <w:num w:numId="117">
    <w:abstractNumId w:val="28"/>
  </w:num>
  <w:num w:numId="118">
    <w:abstractNumId w:val="106"/>
  </w:num>
  <w:num w:numId="119">
    <w:abstractNumId w:val="77"/>
  </w:num>
  <w:num w:numId="120">
    <w:abstractNumId w:val="69"/>
  </w:num>
  <w:num w:numId="121">
    <w:abstractNumId w:val="132"/>
  </w:num>
  <w:num w:numId="122">
    <w:abstractNumId w:val="80"/>
  </w:num>
  <w:num w:numId="123">
    <w:abstractNumId w:val="90"/>
  </w:num>
  <w:num w:numId="124">
    <w:abstractNumId w:val="96"/>
  </w:num>
  <w:num w:numId="125">
    <w:abstractNumId w:val="135"/>
  </w:num>
  <w:num w:numId="126">
    <w:abstractNumId w:val="91"/>
  </w:num>
  <w:num w:numId="1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7"/>
    <w:lvlOverride w:ilvl="0">
      <w:startOverride w:val="1"/>
    </w:lvlOverride>
    <w:lvlOverride w:ilvl="1"/>
    <w:lvlOverride w:ilvl="2"/>
    <w:lvlOverride w:ilvl="3"/>
    <w:lvlOverride w:ilvl="4"/>
    <w:lvlOverride w:ilvl="5"/>
    <w:lvlOverride w:ilvl="6"/>
    <w:lvlOverride w:ilvl="7"/>
    <w:lvlOverride w:ilvl="8"/>
  </w:num>
  <w:num w:numId="13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7"/>
    <w:lvlOverride w:ilvl="0">
      <w:startOverride w:val="1"/>
    </w:lvlOverride>
    <w:lvlOverride w:ilvl="1"/>
    <w:lvlOverride w:ilvl="2"/>
    <w:lvlOverride w:ilvl="3"/>
    <w:lvlOverride w:ilvl="4"/>
    <w:lvlOverride w:ilvl="5"/>
    <w:lvlOverride w:ilvl="6"/>
    <w:lvlOverride w:ilvl="7"/>
    <w:lvlOverride w:ilvl="8"/>
  </w:num>
  <w:num w:numId="1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5"/>
  </w:num>
  <w:num w:numId="138">
    <w:abstractNumId w:val="120"/>
  </w:num>
  <w:num w:numId="139">
    <w:abstractNumId w:val="123"/>
  </w:num>
  <w:num w:numId="140">
    <w:abstractNumId w:val="94"/>
  </w:num>
  <w:num w:numId="141">
    <w:abstractNumId w:val="30"/>
  </w:num>
  <w:num w:numId="142">
    <w:abstractNumId w:val="112"/>
  </w:num>
  <w:num w:numId="143">
    <w:abstractNumId w:val="151"/>
  </w:num>
  <w:num w:numId="144">
    <w:abstractNumId w:val="13"/>
  </w:num>
  <w:num w:numId="145">
    <w:abstractNumId w:val="146"/>
  </w:num>
  <w:num w:numId="146">
    <w:abstractNumId w:val="23"/>
  </w:num>
  <w:num w:numId="1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3"/>
  </w:num>
  <w:num w:numId="1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55"/>
  </w:num>
  <w:num w:numId="152">
    <w:abstractNumId w:val="119"/>
  </w:num>
  <w:num w:numId="153">
    <w:abstractNumId w:val="5"/>
  </w:num>
  <w:num w:numId="154">
    <w:abstractNumId w:val="39"/>
  </w:num>
  <w:num w:numId="155">
    <w:abstractNumId w:val="48"/>
  </w:num>
  <w:num w:numId="156">
    <w:abstractNumId w:val="44"/>
  </w:num>
  <w:num w:numId="1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32"/>
  </w:num>
  <w:num w:numId="1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0"/>
  </w:num>
  <w:num w:numId="176">
    <w:abstractNumId w:val="108"/>
  </w:num>
  <w:num w:numId="177">
    <w:abstractNumId w:val="16"/>
  </w:num>
  <w:num w:numId="178">
    <w:abstractNumId w:val="37"/>
  </w:num>
  <w:num w:numId="179">
    <w:abstractNumId w:val="8"/>
  </w:num>
  <w:num w:numId="180">
    <w:abstractNumId w:val="107"/>
  </w:num>
  <w:num w:numId="181">
    <w:abstractNumId w:val="42"/>
  </w:num>
  <w:num w:numId="182">
    <w:abstractNumId w:val="89"/>
  </w:num>
  <w:num w:numId="183">
    <w:abstractNumId w:val="145"/>
  </w:num>
  <w:num w:numId="184">
    <w:abstractNumId w:val="148"/>
  </w:num>
  <w:num w:numId="185">
    <w:abstractNumId w:val="33"/>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s-ES"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it-IT" w:vendorID="64" w:dllVersion="131078" w:nlCheck="1" w:checkStyle="0"/>
  <w:activeWritingStyle w:appName="MSWord" w:lang="es-ES_tradnl" w:vendorID="64" w:dllVersion="131078" w:nlCheck="1" w:checkStyle="0"/>
  <w:activeWritingStyle w:appName="MSWord" w:lang="fr-BE" w:vendorID="64" w:dllVersion="131078" w:nlCheck="1" w:checkStyle="0"/>
  <w:activeWritingStyle w:appName="MSWord" w:lang="pt-PT" w:vendorID="64" w:dllVersion="131078" w:nlCheck="1" w:checkStyle="0"/>
  <w:activeWritingStyle w:appName="MSWord" w:lang="da-DK" w:vendorID="64" w:dllVersion="131078" w:nlCheck="1" w:checkStyle="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la "/>
    <w:docVar w:name="LW_ANNEX_NBR_FIRST" w:val="1"/>
    <w:docVar w:name="LW_ANNEX_NBR_LAST" w:val="1"/>
    <w:docVar w:name="LW_ANNEX_UNIQUE" w:val="1"/>
    <w:docVar w:name="LW_CORRIGENDUM" w:val="&lt;UNUSED&gt;"/>
    <w:docVar w:name="LW_COVERPAGE_EXISTS" w:val="True"/>
    <w:docVar w:name="LW_COVERPAGE_GUID" w:val="C51DA15C-3223-4CBF-9123-0B1478949D8D"/>
    <w:docVar w:name="LW_COVERPAGE_TYPE" w:val="1"/>
    <w:docVar w:name="LW_CROSSREFERENCE" w:val="{SWD(2021) 147 final}"/>
    <w:docVar w:name="LW_DocType" w:val="NORMAL"/>
    <w:docVar w:name="LW_EMISSION" w:val="16.6.2021"/>
    <w:docVar w:name="LW_EMISSION_ISODATE" w:val="2021-06-16"/>
    <w:docVar w:name="LW_EMISSION_LOCATION" w:val="BRX"/>
    <w:docVar w:name="LW_EMISSION_PREFIX" w:val="Bruxelles, "/>
    <w:docVar w:name="LW_EMISSION_SUFFIX" w:val=" "/>
    <w:docVar w:name="LW_ID_DOCTYPE_NONLW" w:val="CP-036"/>
    <w:docVar w:name="LW_LANGUE" w:val="RO"/>
    <w:docVar w:name="LW_LEVEL_OF_SENSITIVITY" w:val="Standard treatment"/>
    <w:docVar w:name="LW_NOM.INST" w:val="COMISIA EUROPEAN\u258?"/>
    <w:docVar w:name="LW_NOM.INST_JOINTDOC" w:val="&lt;EMPTY&gt;"/>
    <w:docVar w:name="LW_OBJETACTEPRINCIPAL.CP" w:val="privind aprobarea evalu\u259?rii planului de redresare \u537?i de rezilien\u539?\u259? al Spaniei"/>
    <w:docVar w:name="LW_PART_NBR" w:val="1"/>
    <w:docVar w:name="LW_PART_NBR_TOTAL" w:val="1"/>
    <w:docVar w:name="LW_REF.INST.NEW" w:val="COM"/>
    <w:docVar w:name="LW_REF.INST.NEW_ADOPTED" w:val="final"/>
    <w:docVar w:name="LW_REF.INST.NEW_TEXT" w:val="(2021) 32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EX\u258?_x000b_"/>
    <w:docVar w:name="LW_TYPEACTEPRINCIPAL.CP" w:val="Propunerea de Decizie de punere în aplicare a Consiliului"/>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spacing w:before="360" w:after="360" w:line="240" w:lineRule="auto"/>
      <w:jc w:val="center"/>
      <w:outlineLvl w:val="0"/>
    </w:pPr>
    <w:rPr>
      <w:rFonts w:ascii="Times New Roman" w:hAnsi="Times New Roman" w:cs="Times New Roman"/>
      <w:b/>
      <w:smallCaps/>
      <w:sz w:val="28"/>
    </w:rPr>
  </w:style>
  <w:style w:type="paragraph" w:styleId="Heading2">
    <w:name w:val="heading 2"/>
    <w:basedOn w:val="Normal"/>
    <w:next w:val="Text1"/>
    <w:link w:val="Heading2Char"/>
    <w:uiPriority w:val="9"/>
    <w:unhideWhenUsed/>
    <w:qFormat/>
    <w:pPr>
      <w:keepNext/>
      <w:numPr>
        <w:ilvl w:val="1"/>
        <w:numId w:val="7"/>
      </w:numPr>
      <w:spacing w:before="120" w:after="120" w:line="240" w:lineRule="auto"/>
      <w:jc w:val="both"/>
      <w:outlineLvl w:val="1"/>
    </w:pPr>
    <w:rPr>
      <w:rFonts w:ascii="Times New Roman" w:eastAsiaTheme="majorEastAsia" w:hAnsi="Times New Roman" w:cs="Times New Roman"/>
      <w:b/>
      <w:bCs/>
      <w:sz w:val="24"/>
      <w:szCs w:val="26"/>
    </w:rPr>
  </w:style>
  <w:style w:type="paragraph" w:styleId="Heading3">
    <w:name w:val="heading 3"/>
    <w:basedOn w:val="Normal"/>
    <w:next w:val="Text1"/>
    <w:link w:val="Heading3Char"/>
    <w:uiPriority w:val="9"/>
    <w:unhideWhenUsed/>
    <w:qFormat/>
    <w:pPr>
      <w:keepNext/>
      <w:numPr>
        <w:ilvl w:val="2"/>
        <w:numId w:val="7"/>
      </w:numPr>
      <w:spacing w:before="120" w:after="120" w:line="240" w:lineRule="auto"/>
      <w:jc w:val="both"/>
      <w:outlineLvl w:val="2"/>
    </w:pPr>
    <w:rPr>
      <w:rFonts w:ascii="Times New Roman" w:eastAsiaTheme="majorEastAsia" w:hAnsi="Times New Roman" w:cs="Times New Roman"/>
      <w:bCs/>
      <w:i/>
      <w:sz w:val="24"/>
    </w:rPr>
  </w:style>
  <w:style w:type="paragraph" w:styleId="Heading4">
    <w:name w:val="heading 4"/>
    <w:basedOn w:val="Normal"/>
    <w:next w:val="Text1"/>
    <w:link w:val="Heading4Char"/>
    <w:uiPriority w:val="9"/>
    <w:unhideWhenUsed/>
    <w:qFormat/>
    <w:pPr>
      <w:keepNext/>
      <w:numPr>
        <w:ilvl w:val="3"/>
        <w:numId w:val="7"/>
      </w:numPr>
      <w:spacing w:before="120" w:after="120" w:line="240" w:lineRule="auto"/>
      <w:jc w:val="both"/>
      <w:outlineLvl w:val="3"/>
    </w:pPr>
    <w:rPr>
      <w:rFonts w:ascii="Times New Roman" w:eastAsiaTheme="majorEastAsia" w:hAnsi="Times New Roman" w:cs="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smallCaps/>
      <w:sz w:val="28"/>
      <w:lang w:val="ro-RO"/>
    </w:rPr>
  </w:style>
  <w:style w:type="character" w:customStyle="1" w:styleId="Heading2Char">
    <w:name w:val="Heading 2 Char"/>
    <w:basedOn w:val="DefaultParagraphFont"/>
    <w:link w:val="Heading2"/>
    <w:uiPriority w:val="9"/>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rPr>
      <w:rFonts w:ascii="Times New Roman" w:eastAsiaTheme="majorEastAsia" w:hAnsi="Times New Roman" w:cs="Times New Roman"/>
      <w:bCs/>
      <w:iCs/>
      <w:sz w:val="24"/>
    </w:rPr>
  </w:style>
  <w:style w:type="numbering" w:customStyle="1" w:styleId="NoList1">
    <w:name w:val="No List1"/>
    <w:next w:val="NoList"/>
    <w:uiPriority w:val="99"/>
    <w:semiHidden/>
    <w:unhideWhenUsed/>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basedOn w:val="Normal"/>
    <w:link w:val="FootnoteTextChar"/>
    <w:uiPriority w:val="99"/>
    <w:unhideWhenUsed/>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rPr>
  </w:style>
  <w:style w:type="paragraph" w:styleId="TOCHeading">
    <w:name w:val="TOC Heading"/>
    <w:basedOn w:val="Normal"/>
    <w:next w:val="Normal"/>
    <w:uiPriority w:val="39"/>
    <w:semiHidden/>
    <w:unhideWhenUsed/>
    <w:qFormat/>
    <w:pPr>
      <w:spacing w:before="120" w:after="240" w:line="240" w:lineRule="auto"/>
      <w:jc w:val="center"/>
    </w:pPr>
    <w:rPr>
      <w:rFonts w:ascii="Times New Roman" w:hAnsi="Times New Roman" w:cs="Times New Roman"/>
      <w:b/>
      <w:sz w:val="28"/>
    </w:rPr>
  </w:style>
  <w:style w:type="paragraph" w:styleId="TOC1">
    <w:name w:val="toc 1"/>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2">
    <w:name w:val="toc 2"/>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3">
    <w:name w:val="toc 3"/>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4">
    <w:name w:val="toc 4"/>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5">
    <w:name w:val="toc 5"/>
    <w:basedOn w:val="Normal"/>
    <w:next w:val="Normal"/>
    <w:uiPriority w:val="39"/>
    <w:semiHidden/>
    <w:unhideWhenUsed/>
    <w:pPr>
      <w:tabs>
        <w:tab w:val="right" w:leader="dot" w:pos="9071"/>
      </w:tabs>
      <w:spacing w:before="300" w:after="120" w:line="240" w:lineRule="auto"/>
    </w:pPr>
    <w:rPr>
      <w:rFonts w:ascii="Times New Roman" w:hAnsi="Times New Roman" w:cs="Times New Roman"/>
      <w:sz w:val="24"/>
    </w:rPr>
  </w:style>
  <w:style w:type="paragraph" w:styleId="TOC6">
    <w:name w:val="toc 6"/>
    <w:basedOn w:val="Normal"/>
    <w:next w:val="Normal"/>
    <w:uiPriority w:val="39"/>
    <w:semiHidden/>
    <w:unhideWhenUsed/>
    <w:pPr>
      <w:tabs>
        <w:tab w:val="right" w:leader="dot" w:pos="9071"/>
      </w:tabs>
      <w:spacing w:before="240" w:after="120" w:line="240" w:lineRule="auto"/>
    </w:pPr>
    <w:rPr>
      <w:rFonts w:ascii="Times New Roman" w:hAnsi="Times New Roman" w:cs="Times New Roman"/>
      <w:sz w:val="24"/>
    </w:rPr>
  </w:style>
  <w:style w:type="paragraph" w:styleId="TOC7">
    <w:name w:val="toc 7"/>
    <w:basedOn w:val="Normal"/>
    <w:next w:val="Normal"/>
    <w:uiPriority w:val="39"/>
    <w:semiHidden/>
    <w:unhideWhenUsed/>
    <w:pPr>
      <w:tabs>
        <w:tab w:val="right" w:leader="dot" w:pos="9071"/>
      </w:tabs>
      <w:spacing w:before="180" w:after="120" w:line="240" w:lineRule="auto"/>
    </w:pPr>
    <w:rPr>
      <w:rFonts w:ascii="Times New Roman" w:hAnsi="Times New Roman" w:cs="Times New Roman"/>
      <w:sz w:val="24"/>
    </w:rPr>
  </w:style>
  <w:style w:type="paragraph" w:styleId="TOC8">
    <w:name w:val="toc 8"/>
    <w:basedOn w:val="Normal"/>
    <w:next w:val="Normal"/>
    <w:uiPriority w:val="39"/>
    <w:semiHidden/>
    <w:unhideWhenUsed/>
    <w:pPr>
      <w:tabs>
        <w:tab w:val="right" w:leader="dot" w:pos="9071"/>
      </w:tabs>
      <w:spacing w:before="120" w:after="120" w:line="240" w:lineRule="auto"/>
    </w:pPr>
    <w:rPr>
      <w:rFonts w:ascii="Times New Roman" w:hAnsi="Times New Roman" w:cs="Times New Roman"/>
      <w:sz w:val="24"/>
    </w:rPr>
  </w:style>
  <w:style w:type="paragraph" w:styleId="TOC9">
    <w:name w:val="toc 9"/>
    <w:basedOn w:val="Normal"/>
    <w:next w:val="Normal"/>
    <w:uiPriority w:val="39"/>
    <w:semiHidden/>
    <w:unhideWhenUsed/>
    <w:pPr>
      <w:tabs>
        <w:tab w:val="right" w:leader="dot" w:pos="9071"/>
      </w:tabs>
      <w:spacing w:before="120" w:after="12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Text1">
    <w:name w:val="Text 1"/>
    <w:basedOn w:val="Normal"/>
    <w:pPr>
      <w:spacing w:before="120" w:after="120" w:line="240" w:lineRule="auto"/>
      <w:ind w:left="850"/>
      <w:jc w:val="both"/>
    </w:pPr>
    <w:rPr>
      <w:rFonts w:ascii="Times New Roman" w:hAnsi="Times New Roman" w:cs="Times New Roman"/>
      <w:sz w:val="24"/>
    </w:rPr>
  </w:style>
  <w:style w:type="paragraph" w:customStyle="1" w:styleId="Text2">
    <w:name w:val="Text 2"/>
    <w:basedOn w:val="Normal"/>
    <w:pPr>
      <w:spacing w:before="120" w:after="120" w:line="240" w:lineRule="auto"/>
      <w:ind w:left="1417"/>
      <w:jc w:val="both"/>
    </w:pPr>
    <w:rPr>
      <w:rFonts w:ascii="Times New Roman" w:hAnsi="Times New Roman" w:cs="Times New Roman"/>
      <w:sz w:val="24"/>
    </w:rPr>
  </w:style>
  <w:style w:type="paragraph" w:customStyle="1" w:styleId="Text3">
    <w:name w:val="Text 3"/>
    <w:basedOn w:val="Normal"/>
    <w:pPr>
      <w:spacing w:before="120" w:after="120" w:line="240" w:lineRule="auto"/>
      <w:ind w:left="1984"/>
      <w:jc w:val="both"/>
    </w:pPr>
    <w:rPr>
      <w:rFonts w:ascii="Times New Roman" w:hAnsi="Times New Roman" w:cs="Times New Roman"/>
      <w:sz w:val="24"/>
    </w:rPr>
  </w:style>
  <w:style w:type="paragraph" w:customStyle="1" w:styleId="Text4">
    <w:name w:val="Text 4"/>
    <w:basedOn w:val="Normal"/>
    <w:pPr>
      <w:spacing w:before="120" w:after="120" w:line="240" w:lineRule="auto"/>
      <w:ind w:left="2551"/>
      <w:jc w:val="both"/>
    </w:pPr>
    <w:rPr>
      <w:rFonts w:ascii="Times New Roman" w:hAnsi="Times New Roman" w:cs="Times New Roman"/>
      <w:sz w:val="24"/>
    </w:rPr>
  </w:style>
  <w:style w:type="paragraph" w:customStyle="1" w:styleId="NormalCentered">
    <w:name w:val="Normal Centered"/>
    <w:basedOn w:val="Normal"/>
    <w:pPr>
      <w:spacing w:before="120" w:after="120" w:line="240" w:lineRule="auto"/>
      <w:jc w:val="center"/>
    </w:pPr>
    <w:rPr>
      <w:rFonts w:ascii="Times New Roman" w:hAnsi="Times New Roman" w:cs="Times New Roman"/>
      <w:sz w:val="24"/>
    </w:rPr>
  </w:style>
  <w:style w:type="paragraph" w:customStyle="1" w:styleId="NormalLeft">
    <w:name w:val="Normal Left"/>
    <w:basedOn w:val="Normal"/>
    <w:pPr>
      <w:spacing w:before="120" w:after="120" w:line="240" w:lineRule="auto"/>
    </w:pPr>
    <w:rPr>
      <w:rFonts w:ascii="Times New Roman" w:hAnsi="Times New Roman" w:cs="Times New Roman"/>
      <w:sz w:val="24"/>
    </w:rPr>
  </w:style>
  <w:style w:type="paragraph" w:customStyle="1" w:styleId="NormalRight">
    <w:name w:val="Normal Right"/>
    <w:basedOn w:val="Normal"/>
    <w:pPr>
      <w:spacing w:before="120" w:after="120" w:line="240" w:lineRule="auto"/>
      <w:jc w:val="right"/>
    </w:pPr>
    <w:rPr>
      <w:rFonts w:ascii="Times New Roman" w:hAnsi="Times New Roman" w:cs="Times New Roman"/>
      <w:sz w:val="24"/>
    </w:rPr>
  </w:style>
  <w:style w:type="paragraph" w:customStyle="1" w:styleId="QuotedText">
    <w:name w:val="Quoted Text"/>
    <w:basedOn w:val="Normal"/>
    <w:pPr>
      <w:spacing w:before="120" w:after="120" w:line="240" w:lineRule="auto"/>
      <w:ind w:left="1417"/>
      <w:jc w:val="both"/>
    </w:pPr>
    <w:rPr>
      <w:rFonts w:ascii="Times New Roman" w:hAnsi="Times New Roman" w:cs="Times New Roman"/>
      <w:sz w:val="24"/>
    </w:rPr>
  </w:style>
  <w:style w:type="paragraph" w:customStyle="1" w:styleId="Point0">
    <w:name w:val="Point 0"/>
    <w:basedOn w:val="Normal"/>
    <w:pPr>
      <w:spacing w:before="120" w:after="120" w:line="240" w:lineRule="auto"/>
      <w:ind w:left="850" w:hanging="850"/>
      <w:jc w:val="both"/>
    </w:pPr>
    <w:rPr>
      <w:rFonts w:ascii="Times New Roman" w:hAnsi="Times New Roman" w:cs="Times New Roman"/>
      <w:sz w:val="24"/>
    </w:rPr>
  </w:style>
  <w:style w:type="paragraph" w:customStyle="1" w:styleId="Point1">
    <w:name w:val="Point 1"/>
    <w:basedOn w:val="Normal"/>
    <w:pPr>
      <w:spacing w:before="120" w:after="120" w:line="240" w:lineRule="auto"/>
      <w:ind w:left="1417" w:hanging="567"/>
      <w:jc w:val="both"/>
    </w:pPr>
    <w:rPr>
      <w:rFonts w:ascii="Times New Roman" w:hAnsi="Times New Roman" w:cs="Times New Roman"/>
      <w:sz w:val="24"/>
    </w:rPr>
  </w:style>
  <w:style w:type="paragraph" w:customStyle="1" w:styleId="Point2">
    <w:name w:val="Point 2"/>
    <w:basedOn w:val="Normal"/>
    <w:pPr>
      <w:spacing w:before="120" w:after="120" w:line="240" w:lineRule="auto"/>
      <w:ind w:left="1984" w:hanging="567"/>
      <w:jc w:val="both"/>
    </w:pPr>
    <w:rPr>
      <w:rFonts w:ascii="Times New Roman" w:hAnsi="Times New Roman" w:cs="Times New Roman"/>
      <w:sz w:val="24"/>
    </w:rPr>
  </w:style>
  <w:style w:type="paragraph" w:customStyle="1" w:styleId="Point3">
    <w:name w:val="Point 3"/>
    <w:basedOn w:val="Normal"/>
    <w:pPr>
      <w:spacing w:before="120" w:after="120" w:line="240" w:lineRule="auto"/>
      <w:ind w:left="2551" w:hanging="567"/>
      <w:jc w:val="both"/>
    </w:pPr>
    <w:rPr>
      <w:rFonts w:ascii="Times New Roman" w:hAnsi="Times New Roman" w:cs="Times New Roman"/>
      <w:sz w:val="24"/>
    </w:rPr>
  </w:style>
  <w:style w:type="paragraph" w:customStyle="1" w:styleId="Point4">
    <w:name w:val="Point 4"/>
    <w:basedOn w:val="Normal"/>
    <w:pPr>
      <w:spacing w:before="120" w:after="120" w:line="240" w:lineRule="auto"/>
      <w:ind w:left="3118" w:hanging="567"/>
      <w:jc w:val="both"/>
    </w:pPr>
    <w:rPr>
      <w:rFonts w:ascii="Times New Roman" w:hAnsi="Times New Roman" w:cs="Times New Roman"/>
      <w:sz w:val="24"/>
    </w:rPr>
  </w:style>
  <w:style w:type="paragraph" w:customStyle="1" w:styleId="Tiret0">
    <w:name w:val="Tiret 0"/>
    <w:basedOn w:val="Point0"/>
    <w:pPr>
      <w:numPr>
        <w:numId w:val="1"/>
      </w:numPr>
    </w:pPr>
  </w:style>
  <w:style w:type="paragraph" w:customStyle="1" w:styleId="Tiret1">
    <w:name w:val="Tiret 1"/>
    <w:basedOn w:val="Point1"/>
    <w:pPr>
      <w:numPr>
        <w:numId w:val="2"/>
      </w:numPr>
    </w:pPr>
  </w:style>
  <w:style w:type="paragraph" w:customStyle="1" w:styleId="Tiret2">
    <w:name w:val="Tiret 2"/>
    <w:basedOn w:val="Point2"/>
    <w:pPr>
      <w:numPr>
        <w:numId w:val="3"/>
      </w:numPr>
    </w:pPr>
  </w:style>
  <w:style w:type="paragraph" w:customStyle="1" w:styleId="Tiret3">
    <w:name w:val="Tiret 3"/>
    <w:basedOn w:val="Point3"/>
    <w:pPr>
      <w:numPr>
        <w:numId w:val="4"/>
      </w:numPr>
    </w:pPr>
  </w:style>
  <w:style w:type="paragraph" w:customStyle="1" w:styleId="Tiret4">
    <w:name w:val="Tiret 4"/>
    <w:basedOn w:val="Point4"/>
    <w:pPr>
      <w:numPr>
        <w:numId w:val="5"/>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hAnsi="Times New Roman" w:cs="Times New Roman"/>
      <w:sz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hAnsi="Times New Roman" w:cs="Times New Roman"/>
      <w:sz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hAnsi="Times New Roman" w:cs="Times New Roman"/>
      <w:sz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hAnsi="Times New Roman" w:cs="Times New Roman"/>
      <w:sz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hAnsi="Times New Roman" w:cs="Times New Roman"/>
      <w:sz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hAnsi="Times New Roman" w:cs="Times New Roman"/>
      <w:sz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hAnsi="Times New Roman" w:cs="Times New Roman"/>
      <w:sz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hAnsi="Times New Roman" w:cs="Times New Roman"/>
      <w:sz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hAnsi="Times New Roman" w:cs="Times New Roman"/>
      <w:sz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hAnsi="Times New Roman" w:cs="Times New Roman"/>
      <w:sz w:val="24"/>
    </w:rPr>
  </w:style>
  <w:style w:type="paragraph" w:customStyle="1" w:styleId="NumPar1">
    <w:name w:val="NumPar 1"/>
    <w:basedOn w:val="Normal"/>
    <w:next w:val="Text1"/>
    <w:pPr>
      <w:numPr>
        <w:numId w:val="6"/>
      </w:numPr>
      <w:spacing w:before="120" w:after="120" w:line="240" w:lineRule="auto"/>
      <w:jc w:val="both"/>
    </w:pPr>
    <w:rPr>
      <w:rFonts w:ascii="Times New Roman" w:hAnsi="Times New Roman" w:cs="Times New Roman"/>
      <w:sz w:val="24"/>
    </w:rPr>
  </w:style>
  <w:style w:type="paragraph" w:customStyle="1" w:styleId="NumPar2">
    <w:name w:val="NumPar 2"/>
    <w:basedOn w:val="Normal"/>
    <w:next w:val="Text1"/>
    <w:pPr>
      <w:numPr>
        <w:ilvl w:val="1"/>
        <w:numId w:val="6"/>
      </w:numPr>
      <w:spacing w:before="120" w:after="120" w:line="240" w:lineRule="auto"/>
      <w:jc w:val="both"/>
    </w:pPr>
    <w:rPr>
      <w:rFonts w:ascii="Times New Roman" w:hAnsi="Times New Roman" w:cs="Times New Roman"/>
      <w:sz w:val="24"/>
    </w:rPr>
  </w:style>
  <w:style w:type="paragraph" w:customStyle="1" w:styleId="NumPar3">
    <w:name w:val="NumPar 3"/>
    <w:basedOn w:val="Normal"/>
    <w:next w:val="Text1"/>
    <w:pPr>
      <w:numPr>
        <w:ilvl w:val="2"/>
        <w:numId w:val="6"/>
      </w:numPr>
      <w:spacing w:before="120" w:after="120" w:line="240" w:lineRule="auto"/>
      <w:jc w:val="both"/>
    </w:pPr>
    <w:rPr>
      <w:rFonts w:ascii="Times New Roman" w:hAnsi="Times New Roman" w:cs="Times New Roman"/>
      <w:sz w:val="24"/>
    </w:rPr>
  </w:style>
  <w:style w:type="paragraph" w:customStyle="1" w:styleId="NumPar4">
    <w:name w:val="NumPar 4"/>
    <w:basedOn w:val="Normal"/>
    <w:next w:val="Text1"/>
    <w:pPr>
      <w:numPr>
        <w:ilvl w:val="3"/>
        <w:numId w:val="6"/>
      </w:numPr>
      <w:spacing w:before="120" w:after="120" w:line="240" w:lineRule="auto"/>
      <w:jc w:val="both"/>
    </w:pPr>
    <w:rPr>
      <w:rFonts w:ascii="Times New Roman" w:hAnsi="Times New Roman" w:cs="Times New Roman"/>
      <w:sz w:val="24"/>
    </w:rPr>
  </w:style>
  <w:style w:type="paragraph" w:customStyle="1" w:styleId="ManualNumPar1">
    <w:name w:val="Manual NumPar 1"/>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ManualNumPar2">
    <w:name w:val="Manual NumPar 2"/>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ManualNumPar3">
    <w:name w:val="Manual NumPar 3"/>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ManualNumPar4">
    <w:name w:val="Manual NumPar 4"/>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QuotedNumPar">
    <w:name w:val="Quoted NumPar"/>
    <w:basedOn w:val="Normal"/>
    <w:pPr>
      <w:spacing w:before="120" w:after="120" w:line="240" w:lineRule="auto"/>
      <w:ind w:left="1417" w:hanging="567"/>
      <w:jc w:val="both"/>
    </w:pPr>
    <w:rPr>
      <w:rFonts w:ascii="Times New Roman" w:hAnsi="Times New Roman" w:cs="Times New Roman"/>
      <w:sz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hAnsi="Times New Roman" w:cs="Times New Roman"/>
      <w:b/>
      <w:sz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hAnsi="Times New Roman" w:cs="Times New Roman"/>
      <w:i/>
      <w:sz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hAnsi="Times New Roman" w:cs="Times New Roman"/>
      <w:sz w:val="24"/>
    </w:rPr>
  </w:style>
  <w:style w:type="paragraph" w:customStyle="1" w:styleId="ChapterTitle">
    <w:name w:val="ChapterTitle"/>
    <w:basedOn w:val="Normal"/>
    <w:next w:val="Normal"/>
    <w:pPr>
      <w:keepNext/>
      <w:spacing w:before="120" w:after="360" w:line="240" w:lineRule="auto"/>
      <w:jc w:val="center"/>
    </w:pPr>
    <w:rPr>
      <w:rFonts w:ascii="Times New Roman" w:hAnsi="Times New Roman" w:cs="Times New Roman"/>
      <w:b/>
      <w:sz w:val="32"/>
    </w:rPr>
  </w:style>
  <w:style w:type="paragraph" w:customStyle="1" w:styleId="PartTitle">
    <w:name w:val="PartTitle"/>
    <w:basedOn w:val="Normal"/>
    <w:next w:val="ChapterTitle"/>
    <w:pPr>
      <w:keepNext/>
      <w:pageBreakBefore/>
      <w:spacing w:before="120" w:after="360" w:line="240" w:lineRule="auto"/>
      <w:jc w:val="center"/>
    </w:pPr>
    <w:rPr>
      <w:rFonts w:ascii="Times New Roman" w:hAnsi="Times New Roman" w:cs="Times New Roman"/>
      <w:b/>
      <w:sz w:val="36"/>
    </w:rPr>
  </w:style>
  <w:style w:type="paragraph" w:customStyle="1" w:styleId="SectionTitle">
    <w:name w:val="SectionTitle"/>
    <w:basedOn w:val="Normal"/>
    <w:next w:val="Heading1"/>
    <w:pPr>
      <w:keepNext/>
      <w:spacing w:before="120" w:after="360" w:line="240" w:lineRule="auto"/>
      <w:jc w:val="center"/>
    </w:pPr>
    <w:rPr>
      <w:rFonts w:ascii="Times New Roman" w:hAnsi="Times New Roman" w:cs="Times New Roman"/>
      <w:b/>
      <w:smallCaps/>
      <w:sz w:val="28"/>
    </w:rPr>
  </w:style>
  <w:style w:type="paragraph" w:customStyle="1" w:styleId="TableTitle">
    <w:name w:val="Table Title"/>
    <w:basedOn w:val="Normal"/>
    <w:next w:val="Normal"/>
    <w:pPr>
      <w:spacing w:before="120" w:after="120" w:line="240" w:lineRule="auto"/>
      <w:jc w:val="center"/>
    </w:pPr>
    <w:rPr>
      <w:rFonts w:ascii="Times New Roman" w:hAnsi="Times New Roman" w:cs="Times New Roman"/>
      <w:b/>
      <w:sz w:val="24"/>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8"/>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pPr>
      <w:numPr>
        <w:ilvl w:val="2"/>
        <w:numId w:val="8"/>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pPr>
      <w:numPr>
        <w:ilvl w:val="4"/>
        <w:numId w:val="8"/>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pPr>
      <w:numPr>
        <w:ilvl w:val="6"/>
        <w:numId w:val="8"/>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pPr>
      <w:numPr>
        <w:ilvl w:val="1"/>
        <w:numId w:val="8"/>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pPr>
      <w:numPr>
        <w:ilvl w:val="3"/>
        <w:numId w:val="8"/>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pPr>
      <w:numPr>
        <w:ilvl w:val="5"/>
        <w:numId w:val="8"/>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pPr>
      <w:numPr>
        <w:ilvl w:val="7"/>
        <w:numId w:val="8"/>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pPr>
      <w:numPr>
        <w:ilvl w:val="8"/>
        <w:numId w:val="8"/>
      </w:numPr>
      <w:spacing w:before="120" w:after="120" w:line="240" w:lineRule="auto"/>
      <w:jc w:val="both"/>
    </w:pPr>
    <w:rPr>
      <w:rFonts w:ascii="Times New Roman" w:hAnsi="Times New Roman" w:cs="Times New Roman"/>
      <w:sz w:val="24"/>
    </w:rPr>
  </w:style>
  <w:style w:type="paragraph" w:customStyle="1" w:styleId="Bullet0">
    <w:name w:val="Bullet 0"/>
    <w:basedOn w:val="Normal"/>
    <w:pPr>
      <w:numPr>
        <w:numId w:val="9"/>
      </w:numPr>
      <w:spacing w:before="120" w:after="120" w:line="240" w:lineRule="auto"/>
      <w:jc w:val="both"/>
    </w:pPr>
    <w:rPr>
      <w:rFonts w:ascii="Times New Roman" w:hAnsi="Times New Roman" w:cs="Times New Roman"/>
      <w:sz w:val="24"/>
    </w:rPr>
  </w:style>
  <w:style w:type="paragraph" w:customStyle="1" w:styleId="Bullet1">
    <w:name w:val="Bullet 1"/>
    <w:basedOn w:val="Normal"/>
    <w:link w:val="Bullet1Char"/>
    <w:qFormat/>
    <w:pPr>
      <w:numPr>
        <w:numId w:val="10"/>
      </w:numPr>
      <w:spacing w:before="120" w:after="120" w:line="240" w:lineRule="auto"/>
      <w:jc w:val="both"/>
    </w:pPr>
    <w:rPr>
      <w:rFonts w:ascii="Times New Roman" w:hAnsi="Times New Roman" w:cs="Times New Roman"/>
      <w:sz w:val="24"/>
    </w:rPr>
  </w:style>
  <w:style w:type="paragraph" w:customStyle="1" w:styleId="Bullet20">
    <w:name w:val="Bullet 2"/>
    <w:basedOn w:val="Normal"/>
    <w:pPr>
      <w:numPr>
        <w:numId w:val="11"/>
      </w:numPr>
      <w:spacing w:before="120" w:after="120" w:line="240" w:lineRule="auto"/>
      <w:jc w:val="both"/>
    </w:pPr>
    <w:rPr>
      <w:rFonts w:ascii="Times New Roman" w:hAnsi="Times New Roman" w:cs="Times New Roman"/>
      <w:sz w:val="24"/>
    </w:rPr>
  </w:style>
  <w:style w:type="paragraph" w:customStyle="1" w:styleId="Bullet3">
    <w:name w:val="Bullet 3"/>
    <w:basedOn w:val="Normal"/>
    <w:pPr>
      <w:numPr>
        <w:numId w:val="12"/>
      </w:numPr>
      <w:spacing w:before="120" w:after="120" w:line="240" w:lineRule="auto"/>
      <w:jc w:val="both"/>
    </w:pPr>
    <w:rPr>
      <w:rFonts w:ascii="Times New Roman" w:hAnsi="Times New Roman" w:cs="Times New Roman"/>
      <w:sz w:val="24"/>
    </w:rPr>
  </w:style>
  <w:style w:type="paragraph" w:customStyle="1" w:styleId="Bullet4">
    <w:name w:val="Bullet 4"/>
    <w:basedOn w:val="Normal"/>
    <w:pPr>
      <w:numPr>
        <w:numId w:val="13"/>
      </w:numPr>
      <w:spacing w:before="120" w:after="120" w:line="240" w:lineRule="auto"/>
      <w:jc w:val="both"/>
    </w:pPr>
    <w:rPr>
      <w:rFonts w:ascii="Times New Roman" w:hAnsi="Times New Roman" w:cs="Times New Roman"/>
      <w:sz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hAnsi="Times New Roman" w:cs="Times New Roman"/>
      <w:b/>
      <w:caps/>
      <w:sz w:val="24"/>
    </w:rPr>
  </w:style>
  <w:style w:type="paragraph" w:customStyle="1" w:styleId="Nomdelinstitution">
    <w:name w:val="Nom de l'institution"/>
    <w:basedOn w:val="Normal"/>
    <w:next w:val="Emission"/>
    <w:pPr>
      <w:spacing w:after="0" w:line="240" w:lineRule="auto"/>
    </w:pPr>
    <w:rPr>
      <w:rFonts w:ascii="Arial" w:hAnsi="Arial" w:cs="Arial"/>
      <w:sz w:val="24"/>
    </w:rPr>
  </w:style>
  <w:style w:type="paragraph" w:customStyle="1" w:styleId="Emission">
    <w:name w:val="Emission"/>
    <w:basedOn w:val="Normal"/>
    <w:next w:val="Rfrenceinstitutionnelle"/>
    <w:pPr>
      <w:spacing w:after="0" w:line="240" w:lineRule="auto"/>
      <w:ind w:left="5103"/>
    </w:pPr>
    <w:rPr>
      <w:rFonts w:ascii="Times New Roman" w:hAnsi="Times New Roman" w:cs="Times New Roman"/>
      <w:sz w:val="24"/>
    </w:rPr>
  </w:style>
  <w:style w:type="paragraph" w:customStyle="1" w:styleId="Rfrenceinstitutionnelle">
    <w:name w:val="Référence institutionnelle"/>
    <w:basedOn w:val="Normal"/>
    <w:next w:val="Confidentialit"/>
    <w:pPr>
      <w:spacing w:after="240" w:line="240" w:lineRule="auto"/>
      <w:ind w:left="5103"/>
    </w:pPr>
    <w:rPr>
      <w:rFonts w:ascii="Times New Roman" w:hAnsi="Times New Roman" w:cs="Times New Roman"/>
      <w:sz w:val="24"/>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Annexetitreexpos">
    <w:name w:val="Annexe titre (exposé)"/>
    <w:basedOn w:val="Normal"/>
    <w:next w:val="Normal"/>
    <w:pPr>
      <w:spacing w:before="120" w:after="120" w:line="240" w:lineRule="auto"/>
      <w:jc w:val="center"/>
    </w:pPr>
    <w:rPr>
      <w:rFonts w:ascii="Times New Roman" w:hAnsi="Times New Roman" w:cs="Times New Roman"/>
      <w:b/>
      <w:sz w:val="24"/>
      <w:u w:val="single"/>
    </w:rPr>
  </w:style>
  <w:style w:type="paragraph" w:customStyle="1" w:styleId="Annexetitre">
    <w:name w:val="Annexe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hAnsi="Times New Roman" w:cs="Times New Roman"/>
      <w:b/>
      <w:sz w:val="24"/>
      <w:u w:val="single"/>
    </w:rPr>
  </w:style>
  <w:style w:type="paragraph" w:customStyle="1" w:styleId="Applicationdirecte">
    <w:name w:val="Application directe"/>
    <w:basedOn w:val="Normal"/>
    <w:next w:val="Fait"/>
    <w:pPr>
      <w:spacing w:before="480" w:after="120" w:line="240" w:lineRule="auto"/>
      <w:jc w:val="both"/>
    </w:pPr>
    <w:rPr>
      <w:rFonts w:ascii="Times New Roman" w:hAnsi="Times New Roman" w:cs="Times New Roman"/>
      <w:sz w:val="24"/>
    </w:rPr>
  </w:style>
  <w:style w:type="paragraph" w:customStyle="1" w:styleId="Avertissementtitre">
    <w:name w:val="Avertissement titre"/>
    <w:basedOn w:val="Normal"/>
    <w:next w:val="Normal"/>
    <w:pPr>
      <w:keepNext/>
      <w:spacing w:before="480" w:after="120" w:line="240" w:lineRule="auto"/>
      <w:jc w:val="both"/>
    </w:pPr>
    <w:rPr>
      <w:rFonts w:ascii="Times New Roman" w:hAnsi="Times New Roman" w:cs="Times New Roman"/>
      <w:sz w:val="24"/>
      <w:u w:val="single"/>
    </w:rPr>
  </w:style>
  <w:style w:type="paragraph" w:customStyle="1" w:styleId="Confidence">
    <w:name w:val="Confidence"/>
    <w:basedOn w:val="Normal"/>
    <w:next w:val="Normal"/>
    <w:pPr>
      <w:spacing w:before="360" w:after="120" w:line="240" w:lineRule="auto"/>
      <w:jc w:val="center"/>
    </w:pPr>
    <w:rPr>
      <w:rFonts w:ascii="Times New Roman" w:hAnsi="Times New Roman" w:cs="Times New Roman"/>
      <w:sz w:val="24"/>
    </w:rPr>
  </w:style>
  <w:style w:type="paragraph" w:customStyle="1" w:styleId="Confidentialit">
    <w:name w:val="Confidentialité"/>
    <w:basedOn w:val="Normal"/>
    <w:next w:val="TypedudocumentPagedecouverture"/>
    <w:pPr>
      <w:spacing w:before="240" w:after="240" w:line="240" w:lineRule="auto"/>
      <w:ind w:left="5103"/>
    </w:pPr>
    <w:rPr>
      <w:rFonts w:ascii="Times New Roman" w:hAnsi="Times New Roman" w:cs="Times New Roman"/>
      <w:i/>
      <w:sz w:val="32"/>
    </w:rPr>
  </w:style>
  <w:style w:type="paragraph" w:customStyle="1" w:styleId="Considrant">
    <w:name w:val="Considérant"/>
    <w:basedOn w:val="Normal"/>
    <w:pPr>
      <w:numPr>
        <w:numId w:val="14"/>
      </w:numPr>
      <w:spacing w:before="120" w:after="120" w:line="240" w:lineRule="auto"/>
      <w:jc w:val="both"/>
    </w:pPr>
    <w:rPr>
      <w:rFonts w:ascii="Times New Roman" w:hAnsi="Times New Roman" w:cs="Times New Roman"/>
      <w:sz w:val="24"/>
    </w:rPr>
  </w:style>
  <w:style w:type="paragraph" w:customStyle="1" w:styleId="Corrigendum">
    <w:name w:val="Corrigendum"/>
    <w:basedOn w:val="Normal"/>
    <w:next w:val="Normal"/>
    <w:pPr>
      <w:spacing w:after="240" w:line="240" w:lineRule="auto"/>
    </w:pPr>
    <w:rPr>
      <w:rFonts w:ascii="Times New Roman" w:hAnsi="Times New Roman" w:cs="Times New Roman"/>
      <w:sz w:val="24"/>
    </w:rPr>
  </w:style>
  <w:style w:type="paragraph" w:customStyle="1" w:styleId="Datedadoption">
    <w:name w:val="Date d'adoption"/>
    <w:basedOn w:val="Normal"/>
    <w:next w:val="IntrtEEE"/>
    <w:pPr>
      <w:spacing w:before="360" w:after="0" w:line="240" w:lineRule="auto"/>
      <w:jc w:val="center"/>
    </w:pPr>
    <w:rPr>
      <w:rFonts w:ascii="Times New Roman" w:hAnsi="Times New Roman" w:cs="Times New Roman"/>
      <w:b/>
      <w:sz w:val="24"/>
    </w:rPr>
  </w:style>
  <w:style w:type="paragraph" w:customStyle="1" w:styleId="Exposdesmotifstitre">
    <w:name w:val="Exposé des motifs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Fait">
    <w:name w:val="Fait à"/>
    <w:basedOn w:val="Normal"/>
    <w:next w:val="Institutionquisigne"/>
    <w:pPr>
      <w:keepNext/>
      <w:spacing w:before="120" w:after="0" w:line="240" w:lineRule="auto"/>
      <w:jc w:val="both"/>
    </w:pPr>
    <w:rPr>
      <w:rFonts w:ascii="Times New Roman" w:hAnsi="Times New Roman" w:cs="Times New Roman"/>
      <w:sz w:val="24"/>
    </w:rPr>
  </w:style>
  <w:style w:type="paragraph" w:customStyle="1" w:styleId="Formuledadoption">
    <w:name w:val="Formule d'adoption"/>
    <w:basedOn w:val="Normal"/>
    <w:next w:val="Titrearticle"/>
    <w:pPr>
      <w:keepNext/>
      <w:spacing w:before="120" w:after="120" w:line="240" w:lineRule="auto"/>
      <w:jc w:val="both"/>
    </w:pPr>
    <w:rPr>
      <w:rFonts w:ascii="Times New Roman" w:hAnsi="Times New Roman" w:cs="Times New Roman"/>
      <w:sz w:val="24"/>
    </w:rPr>
  </w:style>
  <w:style w:type="paragraph" w:customStyle="1" w:styleId="Institutionquiagit">
    <w:name w:val="Institution qui agit"/>
    <w:basedOn w:val="Normal"/>
    <w:next w:val="Normal"/>
    <w:pPr>
      <w:keepNext/>
      <w:spacing w:before="600" w:after="120" w:line="240" w:lineRule="auto"/>
      <w:jc w:val="both"/>
    </w:pPr>
    <w:rPr>
      <w:rFonts w:ascii="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hAnsi="Times New Roman" w:cs="Times New Roman"/>
      <w:i/>
      <w:sz w:val="24"/>
    </w:rPr>
  </w:style>
  <w:style w:type="paragraph" w:customStyle="1" w:styleId="ManualConsidrant">
    <w:name w:val="Manual Considérant"/>
    <w:basedOn w:val="Normal"/>
    <w:pPr>
      <w:spacing w:before="120" w:after="120" w:line="240" w:lineRule="auto"/>
      <w:ind w:left="709" w:hanging="709"/>
      <w:jc w:val="both"/>
    </w:pPr>
    <w:rPr>
      <w:rFonts w:ascii="Times New Roman" w:hAnsi="Times New Roman" w:cs="Times New Roman"/>
      <w:sz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hAnsi="Times New Roman" w:cs="Times New Roman"/>
      <w:i/>
      <w:sz w:val="24"/>
    </w:rPr>
  </w:style>
  <w:style w:type="paragraph" w:customStyle="1" w:styleId="Rfrenceinterinstitutionnelle">
    <w:name w:val="Référence interinstitutionnelle"/>
    <w:basedOn w:val="Normal"/>
    <w:next w:val="Statut"/>
    <w:pPr>
      <w:spacing w:after="0" w:line="240" w:lineRule="auto"/>
      <w:ind w:left="5103"/>
    </w:pPr>
    <w:rPr>
      <w:rFonts w:ascii="Times New Roman" w:hAnsi="Times New Roman" w:cs="Times New Roman"/>
      <w:sz w:val="24"/>
    </w:rPr>
  </w:style>
  <w:style w:type="paragraph" w:customStyle="1" w:styleId="Rfrenceinterne">
    <w:name w:val="Référence interne"/>
    <w:basedOn w:val="Normal"/>
    <w:next w:val="Rfrenceinterinstitutionnelle"/>
    <w:pPr>
      <w:spacing w:after="0" w:line="240" w:lineRule="auto"/>
      <w:ind w:left="5103"/>
    </w:pPr>
    <w:rPr>
      <w:rFonts w:ascii="Times New Roman" w:hAnsi="Times New Roman" w:cs="Times New Roman"/>
      <w:sz w:val="24"/>
    </w:rPr>
  </w:style>
  <w:style w:type="paragraph" w:customStyle="1" w:styleId="Statut">
    <w:name w:val="Statut"/>
    <w:basedOn w:val="Normal"/>
    <w:next w:val="Typedudocument"/>
    <w:pPr>
      <w:spacing w:after="240" w:line="240" w:lineRule="auto"/>
      <w:jc w:val="center"/>
    </w:pPr>
    <w:rPr>
      <w:rFonts w:ascii="Times New Roman" w:hAnsi="Times New Roman" w:cs="Times New Roman"/>
      <w:sz w:val="24"/>
    </w:rPr>
  </w:style>
  <w:style w:type="paragraph" w:customStyle="1" w:styleId="Titrearticle">
    <w:name w:val="Titre article"/>
    <w:basedOn w:val="Normal"/>
    <w:next w:val="Normal"/>
    <w:pPr>
      <w:keepNext/>
      <w:spacing w:before="360" w:after="120" w:line="240" w:lineRule="auto"/>
      <w:jc w:val="center"/>
    </w:pPr>
    <w:rPr>
      <w:rFonts w:ascii="Times New Roman" w:hAnsi="Times New Roman" w:cs="Times New Roman"/>
      <w:i/>
      <w:sz w:val="24"/>
    </w:rPr>
  </w:style>
  <w:style w:type="paragraph" w:customStyle="1" w:styleId="Typedudocument">
    <w:name w:val="Type du document"/>
    <w:basedOn w:val="Normal"/>
    <w:next w:val="Accompagnant"/>
    <w:pPr>
      <w:spacing w:before="360" w:after="180" w:line="240" w:lineRule="auto"/>
      <w:jc w:val="center"/>
    </w:pPr>
    <w:rPr>
      <w:rFonts w:ascii="Times New Roman" w:hAnsi="Times New Roman" w:cs="Times New Roman"/>
      <w:b/>
      <w:sz w:val="24"/>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hAnsi="Times New Roman" w:cs="Times New Roman"/>
      <w:sz w:val="24"/>
    </w:rPr>
  </w:style>
  <w:style w:type="paragraph" w:customStyle="1" w:styleId="Objetexterne">
    <w:name w:val="Objet externe"/>
    <w:basedOn w:val="Normal"/>
    <w:next w:val="Normal"/>
    <w:pPr>
      <w:spacing w:before="120" w:after="120" w:line="240" w:lineRule="auto"/>
      <w:jc w:val="both"/>
    </w:pPr>
    <w:rPr>
      <w:rFonts w:ascii="Times New Roman" w:hAnsi="Times New Roman" w:cs="Times New Roman"/>
      <w:i/>
      <w:caps/>
      <w:sz w:val="24"/>
    </w:rPr>
  </w:style>
  <w:style w:type="paragraph" w:customStyle="1" w:styleId="Supertitre">
    <w:name w:val="Supertitre"/>
    <w:basedOn w:val="Normal"/>
    <w:next w:val="Normal"/>
    <w:pPr>
      <w:spacing w:after="600" w:line="240" w:lineRule="auto"/>
      <w:jc w:val="center"/>
    </w:pPr>
    <w:rPr>
      <w:rFonts w:ascii="Times New Roman" w:hAnsi="Times New Roman" w:cs="Times New Roman"/>
      <w:b/>
      <w:sz w:val="24"/>
    </w:rPr>
  </w:style>
  <w:style w:type="paragraph" w:customStyle="1" w:styleId="Languesfaisantfoi">
    <w:name w:val="Langues faisant foi"/>
    <w:basedOn w:val="Normal"/>
    <w:next w:val="Normal"/>
    <w:pPr>
      <w:spacing w:before="360" w:after="0" w:line="240" w:lineRule="auto"/>
      <w:jc w:val="center"/>
    </w:pPr>
    <w:rPr>
      <w:rFonts w:ascii="Times New Roman" w:hAnsi="Times New Roman" w:cs="Times New Roman"/>
      <w:sz w:val="24"/>
    </w:rPr>
  </w:style>
  <w:style w:type="paragraph" w:customStyle="1" w:styleId="Rfrencecroise">
    <w:name w:val="Référence croisée"/>
    <w:basedOn w:val="Normal"/>
    <w:pPr>
      <w:spacing w:after="0" w:line="240" w:lineRule="auto"/>
      <w:jc w:val="center"/>
    </w:pPr>
    <w:rPr>
      <w:rFonts w:ascii="Times New Roman" w:hAnsi="Times New Roman" w:cs="Times New Roman"/>
      <w:sz w:val="24"/>
    </w:rPr>
  </w:style>
  <w:style w:type="paragraph" w:customStyle="1" w:styleId="Fichefinanciretitre">
    <w:name w:val="Fiche financière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after="240" w:line="240" w:lineRule="auto"/>
      <w:ind w:left="5103"/>
    </w:pPr>
    <w:rPr>
      <w:rFonts w:ascii="Times New Roman" w:hAnsi="Times New Roman" w:cs="Times New Roman"/>
      <w:sz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line="240" w:lineRule="auto"/>
      <w:jc w:val="center"/>
    </w:pPr>
    <w:rPr>
      <w:rFonts w:ascii="Times New Roman" w:hAnsi="Times New Roman" w:cs="Times New Roman"/>
      <w:b/>
      <w:sz w:val="24"/>
    </w:rPr>
  </w:style>
  <w:style w:type="paragraph" w:customStyle="1" w:styleId="Typeacteprincipal">
    <w:name w:val="Type acte principal"/>
    <w:basedOn w:val="Normal"/>
    <w:next w:val="Objetacteprincipal"/>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
    <w:next w:val="Titrearticle"/>
    <w:pPr>
      <w:spacing w:after="360" w:line="240" w:lineRule="auto"/>
      <w:jc w:val="center"/>
    </w:pPr>
    <w:rPr>
      <w:rFonts w:ascii="Times New Roman" w:hAnsi="Times New Roman" w:cs="Times New Roman"/>
      <w:b/>
      <w:sz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hAnsi="Times New Roman" w:cs="Times New Roman"/>
      <w:sz w:val="24"/>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before="120" w:after="12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pPr>
      <w:spacing w:after="160" w:line="259" w:lineRule="auto"/>
      <w:ind w:left="720"/>
      <w:contextualSpacing/>
    </w:p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basedOn w:val="DefaultParagraphFont"/>
    <w:link w:val="ListParagraph"/>
    <w:uiPriority w:val="34"/>
    <w:qFormat/>
    <w:locked/>
    <w:rPr>
      <w:lang w:val="ro-RO"/>
    </w:rPr>
  </w:style>
  <w:style w:type="character" w:styleId="IntenseEmphasis">
    <w:name w:val="Intense Emphasis"/>
    <w:basedOn w:val="DefaultParagraphFont"/>
    <w:uiPriority w:val="21"/>
    <w:qFormat/>
    <w:rPr>
      <w:i/>
      <w:iCs/>
      <w:color w:val="4F81BD" w:themeColor="accent1"/>
    </w:rPr>
  </w:style>
  <w:style w:type="paragraph" w:styleId="BalloonText">
    <w:name w:val="Balloon Text"/>
    <w:basedOn w:val="Normal"/>
    <w:link w:val="BalloonTextChar"/>
    <w:uiPriority w:val="99"/>
    <w:semiHidden/>
    <w:unhideWhenUsed/>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Bullet">
    <w:name w:val="List Bullet"/>
    <w:basedOn w:val="Normal"/>
    <w:uiPriority w:val="99"/>
    <w:semiHidden/>
    <w:unhideWhenUsed/>
    <w:pPr>
      <w:numPr>
        <w:numId w:val="15"/>
      </w:numPr>
      <w:spacing w:before="120" w:after="120" w:line="240" w:lineRule="auto"/>
      <w:contextualSpacing/>
      <w:jc w:val="both"/>
    </w:pPr>
    <w:rPr>
      <w:rFonts w:ascii="Times New Roman" w:hAnsi="Times New Roman" w:cs="Times New Roman"/>
      <w:sz w:val="24"/>
    </w:rPr>
  </w:style>
  <w:style w:type="paragraph" w:styleId="ListBullet2">
    <w:name w:val="List Bullet 2"/>
    <w:basedOn w:val="Normal"/>
    <w:uiPriority w:val="99"/>
    <w:semiHidden/>
    <w:unhideWhenUsed/>
    <w:pPr>
      <w:numPr>
        <w:numId w:val="16"/>
      </w:numPr>
      <w:spacing w:before="120" w:after="120" w:line="240" w:lineRule="auto"/>
      <w:contextualSpacing/>
      <w:jc w:val="both"/>
    </w:pPr>
    <w:rPr>
      <w:rFonts w:ascii="Times New Roman" w:hAnsi="Times New Roman" w:cs="Times New Roman"/>
      <w:sz w:val="24"/>
    </w:rPr>
  </w:style>
  <w:style w:type="paragraph" w:styleId="ListBullet3">
    <w:name w:val="List Bullet 3"/>
    <w:basedOn w:val="Normal"/>
    <w:uiPriority w:val="99"/>
    <w:semiHidden/>
    <w:unhideWhenUsed/>
    <w:pPr>
      <w:numPr>
        <w:numId w:val="17"/>
      </w:numPr>
      <w:spacing w:before="120" w:after="120" w:line="240" w:lineRule="auto"/>
      <w:contextualSpacing/>
      <w:jc w:val="both"/>
    </w:pPr>
    <w:rPr>
      <w:rFonts w:ascii="Times New Roman" w:hAnsi="Times New Roman" w:cs="Times New Roman"/>
      <w:sz w:val="24"/>
    </w:rPr>
  </w:style>
  <w:style w:type="paragraph" w:styleId="ListBullet4">
    <w:name w:val="List Bullet 4"/>
    <w:basedOn w:val="Normal"/>
    <w:uiPriority w:val="99"/>
    <w:semiHidden/>
    <w:unhideWhenUsed/>
    <w:pPr>
      <w:numPr>
        <w:numId w:val="18"/>
      </w:numPr>
      <w:spacing w:before="120" w:after="120" w:line="240" w:lineRule="auto"/>
      <w:contextualSpacing/>
      <w:jc w:val="both"/>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Bullet1Char">
    <w:name w:val="Bullet 1 Char"/>
    <w:basedOn w:val="DefaultParagraphFont"/>
    <w:link w:val="Bullet1"/>
    <w:rPr>
      <w:rFonts w:ascii="Times New Roman" w:hAnsi="Times New Roman" w:cs="Times New Roman"/>
      <w:sz w:val="24"/>
    </w:rPr>
  </w:style>
  <w:style w:type="paragraph" w:customStyle="1" w:styleId="bullet2">
    <w:name w:val="bullet 2"/>
    <w:basedOn w:val="Normal"/>
    <w:link w:val="bullet2Char"/>
    <w:qFormat/>
    <w:pPr>
      <w:numPr>
        <w:ilvl w:val="1"/>
        <w:numId w:val="22"/>
      </w:numPr>
      <w:spacing w:before="120" w:after="120" w:line="240" w:lineRule="auto"/>
    </w:pPr>
    <w:rPr>
      <w:rFonts w:eastAsia="Arial" w:cstheme="minorHAnsi"/>
      <w:color w:val="000000" w:themeColor="text1"/>
      <w:sz w:val="24"/>
      <w:szCs w:val="24"/>
    </w:rPr>
  </w:style>
  <w:style w:type="character" w:customStyle="1" w:styleId="bullet2Char">
    <w:name w:val="bullet 2 Char"/>
    <w:basedOn w:val="DefaultParagraphFont"/>
    <w:link w:val="bullet2"/>
    <w:rPr>
      <w:rFonts w:eastAsia="Arial" w:cstheme="minorHAnsi"/>
      <w:color w:val="000000" w:themeColor="text1"/>
      <w:sz w:val="24"/>
      <w:szCs w:val="24"/>
      <w:lang w:val="ro-RO"/>
    </w:rPr>
  </w:style>
  <w:style w:type="character" w:styleId="Hyperlink">
    <w:name w:val="Hyperlink"/>
    <w:basedOn w:val="DefaultParagraphFont"/>
    <w:uiPriority w:val="99"/>
    <w:unhideWhenUsed/>
    <w:rPr>
      <w:color w:val="0563C1"/>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op">
    <w:name w:val="eop"/>
    <w:basedOn w:val="DefaultParagraphFont"/>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itreobjet">
    <w:name w:val="Titre objet"/>
    <w:basedOn w:val="Normal"/>
    <w:next w:val="IntrtEEE"/>
    <w:pPr>
      <w:spacing w:before="360" w:after="360" w:line="240" w:lineRule="auto"/>
      <w:jc w:val="center"/>
    </w:pPr>
    <w:rPr>
      <w:rFonts w:ascii="Times New Roman" w:hAnsi="Times New Roman" w:cs="Times New Roman"/>
      <w:b/>
      <w:sz w:val="24"/>
    </w:rPr>
  </w:style>
  <w:style w:type="paragraph" w:customStyle="1" w:styleId="TitreobjetPagedecouverture">
    <w:name w:val="Titre objet (Page de couverture)"/>
    <w:basedOn w:val="Titreobjet"/>
    <w:next w:val="IntrtEEEPagedecouverture"/>
  </w:style>
  <w:style w:type="paragraph" w:customStyle="1" w:styleId="FooterCoverPage">
    <w:name w:val="Footer Cover Page"/>
    <w:basedOn w:val="Normal"/>
    <w:link w:val="FooterCoverPageChar"/>
    <w:pPr>
      <w:keepNext/>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keepNext/>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val="ro-RO"/>
    </w:rPr>
  </w:style>
  <w:style w:type="character" w:customStyle="1" w:styleId="y2iqfc">
    <w:name w:val="y2iqfc"/>
    <w:basedOn w:val="DefaultParagraphFont"/>
  </w:style>
  <w:style w:type="paragraph" w:styleId="ListNumber">
    <w:name w:val="List Number"/>
    <w:basedOn w:val="Normal"/>
    <w:uiPriority w:val="99"/>
    <w:semiHidden/>
    <w:unhideWhenUsed/>
    <w:pPr>
      <w:numPr>
        <w:numId w:val="148"/>
      </w:numPr>
      <w:spacing w:before="120" w:after="120" w:line="240" w:lineRule="auto"/>
      <w:contextualSpacing/>
      <w:jc w:val="both"/>
    </w:pPr>
    <w:rPr>
      <w:rFonts w:ascii="Times New Roman" w:hAnsi="Times New Roman" w:cs="Times New Roman"/>
      <w:sz w:val="24"/>
    </w:rPr>
  </w:style>
  <w:style w:type="character" w:customStyle="1" w:styleId="oj-super">
    <w:name w:val="oj-super"/>
    <w:basedOn w:val="DefaultParagraphFont"/>
  </w:style>
  <w:style w:type="paragraph" w:customStyle="1" w:styleId="xmsonormal">
    <w:name w:val="x_msonormal"/>
    <w:basedOn w:val="Normal"/>
    <w:pPr>
      <w:spacing w:after="0" w:line="240" w:lineRule="auto"/>
    </w:pPr>
    <w:rPr>
      <w:rFonts w:ascii="Calibri" w:hAnsi="Calibri" w:cs="Calibri"/>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spacing w:before="360" w:after="360" w:line="240" w:lineRule="auto"/>
      <w:jc w:val="center"/>
      <w:outlineLvl w:val="0"/>
    </w:pPr>
    <w:rPr>
      <w:rFonts w:ascii="Times New Roman" w:hAnsi="Times New Roman" w:cs="Times New Roman"/>
      <w:b/>
      <w:smallCaps/>
      <w:sz w:val="28"/>
    </w:rPr>
  </w:style>
  <w:style w:type="paragraph" w:styleId="Heading2">
    <w:name w:val="heading 2"/>
    <w:basedOn w:val="Normal"/>
    <w:next w:val="Text1"/>
    <w:link w:val="Heading2Char"/>
    <w:uiPriority w:val="9"/>
    <w:unhideWhenUsed/>
    <w:qFormat/>
    <w:pPr>
      <w:keepNext/>
      <w:numPr>
        <w:ilvl w:val="1"/>
        <w:numId w:val="7"/>
      </w:numPr>
      <w:spacing w:before="120" w:after="120" w:line="240" w:lineRule="auto"/>
      <w:jc w:val="both"/>
      <w:outlineLvl w:val="1"/>
    </w:pPr>
    <w:rPr>
      <w:rFonts w:ascii="Times New Roman" w:eastAsiaTheme="majorEastAsia" w:hAnsi="Times New Roman" w:cs="Times New Roman"/>
      <w:b/>
      <w:bCs/>
      <w:sz w:val="24"/>
      <w:szCs w:val="26"/>
    </w:rPr>
  </w:style>
  <w:style w:type="paragraph" w:styleId="Heading3">
    <w:name w:val="heading 3"/>
    <w:basedOn w:val="Normal"/>
    <w:next w:val="Text1"/>
    <w:link w:val="Heading3Char"/>
    <w:uiPriority w:val="9"/>
    <w:unhideWhenUsed/>
    <w:qFormat/>
    <w:pPr>
      <w:keepNext/>
      <w:numPr>
        <w:ilvl w:val="2"/>
        <w:numId w:val="7"/>
      </w:numPr>
      <w:spacing w:before="120" w:after="120" w:line="240" w:lineRule="auto"/>
      <w:jc w:val="both"/>
      <w:outlineLvl w:val="2"/>
    </w:pPr>
    <w:rPr>
      <w:rFonts w:ascii="Times New Roman" w:eastAsiaTheme="majorEastAsia" w:hAnsi="Times New Roman" w:cs="Times New Roman"/>
      <w:bCs/>
      <w:i/>
      <w:sz w:val="24"/>
    </w:rPr>
  </w:style>
  <w:style w:type="paragraph" w:styleId="Heading4">
    <w:name w:val="heading 4"/>
    <w:basedOn w:val="Normal"/>
    <w:next w:val="Text1"/>
    <w:link w:val="Heading4Char"/>
    <w:uiPriority w:val="9"/>
    <w:unhideWhenUsed/>
    <w:qFormat/>
    <w:pPr>
      <w:keepNext/>
      <w:numPr>
        <w:ilvl w:val="3"/>
        <w:numId w:val="7"/>
      </w:numPr>
      <w:spacing w:before="120" w:after="120" w:line="240" w:lineRule="auto"/>
      <w:jc w:val="both"/>
      <w:outlineLvl w:val="3"/>
    </w:pPr>
    <w:rPr>
      <w:rFonts w:ascii="Times New Roman" w:eastAsiaTheme="majorEastAsia" w:hAnsi="Times New Roman" w:cs="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smallCaps/>
      <w:sz w:val="28"/>
      <w:lang w:val="ro-RO"/>
    </w:rPr>
  </w:style>
  <w:style w:type="character" w:customStyle="1" w:styleId="Heading2Char">
    <w:name w:val="Heading 2 Char"/>
    <w:basedOn w:val="DefaultParagraphFont"/>
    <w:link w:val="Heading2"/>
    <w:uiPriority w:val="9"/>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rPr>
      <w:rFonts w:ascii="Times New Roman" w:eastAsiaTheme="majorEastAsia" w:hAnsi="Times New Roman" w:cs="Times New Roman"/>
      <w:bCs/>
      <w:iCs/>
      <w:sz w:val="24"/>
    </w:rPr>
  </w:style>
  <w:style w:type="numbering" w:customStyle="1" w:styleId="NoList1">
    <w:name w:val="No List1"/>
    <w:next w:val="NoList"/>
    <w:uiPriority w:val="99"/>
    <w:semiHidden/>
    <w:unhideWhenUsed/>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basedOn w:val="Normal"/>
    <w:link w:val="FootnoteTextChar"/>
    <w:uiPriority w:val="99"/>
    <w:unhideWhenUsed/>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rPr>
  </w:style>
  <w:style w:type="paragraph" w:styleId="TOCHeading">
    <w:name w:val="TOC Heading"/>
    <w:basedOn w:val="Normal"/>
    <w:next w:val="Normal"/>
    <w:uiPriority w:val="39"/>
    <w:semiHidden/>
    <w:unhideWhenUsed/>
    <w:qFormat/>
    <w:pPr>
      <w:spacing w:before="120" w:after="240" w:line="240" w:lineRule="auto"/>
      <w:jc w:val="center"/>
    </w:pPr>
    <w:rPr>
      <w:rFonts w:ascii="Times New Roman" w:hAnsi="Times New Roman" w:cs="Times New Roman"/>
      <w:b/>
      <w:sz w:val="28"/>
    </w:rPr>
  </w:style>
  <w:style w:type="paragraph" w:styleId="TOC1">
    <w:name w:val="toc 1"/>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2">
    <w:name w:val="toc 2"/>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3">
    <w:name w:val="toc 3"/>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4">
    <w:name w:val="toc 4"/>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5">
    <w:name w:val="toc 5"/>
    <w:basedOn w:val="Normal"/>
    <w:next w:val="Normal"/>
    <w:uiPriority w:val="39"/>
    <w:semiHidden/>
    <w:unhideWhenUsed/>
    <w:pPr>
      <w:tabs>
        <w:tab w:val="right" w:leader="dot" w:pos="9071"/>
      </w:tabs>
      <w:spacing w:before="300" w:after="120" w:line="240" w:lineRule="auto"/>
    </w:pPr>
    <w:rPr>
      <w:rFonts w:ascii="Times New Roman" w:hAnsi="Times New Roman" w:cs="Times New Roman"/>
      <w:sz w:val="24"/>
    </w:rPr>
  </w:style>
  <w:style w:type="paragraph" w:styleId="TOC6">
    <w:name w:val="toc 6"/>
    <w:basedOn w:val="Normal"/>
    <w:next w:val="Normal"/>
    <w:uiPriority w:val="39"/>
    <w:semiHidden/>
    <w:unhideWhenUsed/>
    <w:pPr>
      <w:tabs>
        <w:tab w:val="right" w:leader="dot" w:pos="9071"/>
      </w:tabs>
      <w:spacing w:before="240" w:after="120" w:line="240" w:lineRule="auto"/>
    </w:pPr>
    <w:rPr>
      <w:rFonts w:ascii="Times New Roman" w:hAnsi="Times New Roman" w:cs="Times New Roman"/>
      <w:sz w:val="24"/>
    </w:rPr>
  </w:style>
  <w:style w:type="paragraph" w:styleId="TOC7">
    <w:name w:val="toc 7"/>
    <w:basedOn w:val="Normal"/>
    <w:next w:val="Normal"/>
    <w:uiPriority w:val="39"/>
    <w:semiHidden/>
    <w:unhideWhenUsed/>
    <w:pPr>
      <w:tabs>
        <w:tab w:val="right" w:leader="dot" w:pos="9071"/>
      </w:tabs>
      <w:spacing w:before="180" w:after="120" w:line="240" w:lineRule="auto"/>
    </w:pPr>
    <w:rPr>
      <w:rFonts w:ascii="Times New Roman" w:hAnsi="Times New Roman" w:cs="Times New Roman"/>
      <w:sz w:val="24"/>
    </w:rPr>
  </w:style>
  <w:style w:type="paragraph" w:styleId="TOC8">
    <w:name w:val="toc 8"/>
    <w:basedOn w:val="Normal"/>
    <w:next w:val="Normal"/>
    <w:uiPriority w:val="39"/>
    <w:semiHidden/>
    <w:unhideWhenUsed/>
    <w:pPr>
      <w:tabs>
        <w:tab w:val="right" w:leader="dot" w:pos="9071"/>
      </w:tabs>
      <w:spacing w:before="120" w:after="120" w:line="240" w:lineRule="auto"/>
    </w:pPr>
    <w:rPr>
      <w:rFonts w:ascii="Times New Roman" w:hAnsi="Times New Roman" w:cs="Times New Roman"/>
      <w:sz w:val="24"/>
    </w:rPr>
  </w:style>
  <w:style w:type="paragraph" w:styleId="TOC9">
    <w:name w:val="toc 9"/>
    <w:basedOn w:val="Normal"/>
    <w:next w:val="Normal"/>
    <w:uiPriority w:val="39"/>
    <w:semiHidden/>
    <w:unhideWhenUsed/>
    <w:pPr>
      <w:tabs>
        <w:tab w:val="right" w:leader="dot" w:pos="9071"/>
      </w:tabs>
      <w:spacing w:before="120" w:after="12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Text1">
    <w:name w:val="Text 1"/>
    <w:basedOn w:val="Normal"/>
    <w:pPr>
      <w:spacing w:before="120" w:after="120" w:line="240" w:lineRule="auto"/>
      <w:ind w:left="850"/>
      <w:jc w:val="both"/>
    </w:pPr>
    <w:rPr>
      <w:rFonts w:ascii="Times New Roman" w:hAnsi="Times New Roman" w:cs="Times New Roman"/>
      <w:sz w:val="24"/>
    </w:rPr>
  </w:style>
  <w:style w:type="paragraph" w:customStyle="1" w:styleId="Text2">
    <w:name w:val="Text 2"/>
    <w:basedOn w:val="Normal"/>
    <w:pPr>
      <w:spacing w:before="120" w:after="120" w:line="240" w:lineRule="auto"/>
      <w:ind w:left="1417"/>
      <w:jc w:val="both"/>
    </w:pPr>
    <w:rPr>
      <w:rFonts w:ascii="Times New Roman" w:hAnsi="Times New Roman" w:cs="Times New Roman"/>
      <w:sz w:val="24"/>
    </w:rPr>
  </w:style>
  <w:style w:type="paragraph" w:customStyle="1" w:styleId="Text3">
    <w:name w:val="Text 3"/>
    <w:basedOn w:val="Normal"/>
    <w:pPr>
      <w:spacing w:before="120" w:after="120" w:line="240" w:lineRule="auto"/>
      <w:ind w:left="1984"/>
      <w:jc w:val="both"/>
    </w:pPr>
    <w:rPr>
      <w:rFonts w:ascii="Times New Roman" w:hAnsi="Times New Roman" w:cs="Times New Roman"/>
      <w:sz w:val="24"/>
    </w:rPr>
  </w:style>
  <w:style w:type="paragraph" w:customStyle="1" w:styleId="Text4">
    <w:name w:val="Text 4"/>
    <w:basedOn w:val="Normal"/>
    <w:pPr>
      <w:spacing w:before="120" w:after="120" w:line="240" w:lineRule="auto"/>
      <w:ind w:left="2551"/>
      <w:jc w:val="both"/>
    </w:pPr>
    <w:rPr>
      <w:rFonts w:ascii="Times New Roman" w:hAnsi="Times New Roman" w:cs="Times New Roman"/>
      <w:sz w:val="24"/>
    </w:rPr>
  </w:style>
  <w:style w:type="paragraph" w:customStyle="1" w:styleId="NormalCentered">
    <w:name w:val="Normal Centered"/>
    <w:basedOn w:val="Normal"/>
    <w:pPr>
      <w:spacing w:before="120" w:after="120" w:line="240" w:lineRule="auto"/>
      <w:jc w:val="center"/>
    </w:pPr>
    <w:rPr>
      <w:rFonts w:ascii="Times New Roman" w:hAnsi="Times New Roman" w:cs="Times New Roman"/>
      <w:sz w:val="24"/>
    </w:rPr>
  </w:style>
  <w:style w:type="paragraph" w:customStyle="1" w:styleId="NormalLeft">
    <w:name w:val="Normal Left"/>
    <w:basedOn w:val="Normal"/>
    <w:pPr>
      <w:spacing w:before="120" w:after="120" w:line="240" w:lineRule="auto"/>
    </w:pPr>
    <w:rPr>
      <w:rFonts w:ascii="Times New Roman" w:hAnsi="Times New Roman" w:cs="Times New Roman"/>
      <w:sz w:val="24"/>
    </w:rPr>
  </w:style>
  <w:style w:type="paragraph" w:customStyle="1" w:styleId="NormalRight">
    <w:name w:val="Normal Right"/>
    <w:basedOn w:val="Normal"/>
    <w:pPr>
      <w:spacing w:before="120" w:after="120" w:line="240" w:lineRule="auto"/>
      <w:jc w:val="right"/>
    </w:pPr>
    <w:rPr>
      <w:rFonts w:ascii="Times New Roman" w:hAnsi="Times New Roman" w:cs="Times New Roman"/>
      <w:sz w:val="24"/>
    </w:rPr>
  </w:style>
  <w:style w:type="paragraph" w:customStyle="1" w:styleId="QuotedText">
    <w:name w:val="Quoted Text"/>
    <w:basedOn w:val="Normal"/>
    <w:pPr>
      <w:spacing w:before="120" w:after="120" w:line="240" w:lineRule="auto"/>
      <w:ind w:left="1417"/>
      <w:jc w:val="both"/>
    </w:pPr>
    <w:rPr>
      <w:rFonts w:ascii="Times New Roman" w:hAnsi="Times New Roman" w:cs="Times New Roman"/>
      <w:sz w:val="24"/>
    </w:rPr>
  </w:style>
  <w:style w:type="paragraph" w:customStyle="1" w:styleId="Point0">
    <w:name w:val="Point 0"/>
    <w:basedOn w:val="Normal"/>
    <w:pPr>
      <w:spacing w:before="120" w:after="120" w:line="240" w:lineRule="auto"/>
      <w:ind w:left="850" w:hanging="850"/>
      <w:jc w:val="both"/>
    </w:pPr>
    <w:rPr>
      <w:rFonts w:ascii="Times New Roman" w:hAnsi="Times New Roman" w:cs="Times New Roman"/>
      <w:sz w:val="24"/>
    </w:rPr>
  </w:style>
  <w:style w:type="paragraph" w:customStyle="1" w:styleId="Point1">
    <w:name w:val="Point 1"/>
    <w:basedOn w:val="Normal"/>
    <w:pPr>
      <w:spacing w:before="120" w:after="120" w:line="240" w:lineRule="auto"/>
      <w:ind w:left="1417" w:hanging="567"/>
      <w:jc w:val="both"/>
    </w:pPr>
    <w:rPr>
      <w:rFonts w:ascii="Times New Roman" w:hAnsi="Times New Roman" w:cs="Times New Roman"/>
      <w:sz w:val="24"/>
    </w:rPr>
  </w:style>
  <w:style w:type="paragraph" w:customStyle="1" w:styleId="Point2">
    <w:name w:val="Point 2"/>
    <w:basedOn w:val="Normal"/>
    <w:pPr>
      <w:spacing w:before="120" w:after="120" w:line="240" w:lineRule="auto"/>
      <w:ind w:left="1984" w:hanging="567"/>
      <w:jc w:val="both"/>
    </w:pPr>
    <w:rPr>
      <w:rFonts w:ascii="Times New Roman" w:hAnsi="Times New Roman" w:cs="Times New Roman"/>
      <w:sz w:val="24"/>
    </w:rPr>
  </w:style>
  <w:style w:type="paragraph" w:customStyle="1" w:styleId="Point3">
    <w:name w:val="Point 3"/>
    <w:basedOn w:val="Normal"/>
    <w:pPr>
      <w:spacing w:before="120" w:after="120" w:line="240" w:lineRule="auto"/>
      <w:ind w:left="2551" w:hanging="567"/>
      <w:jc w:val="both"/>
    </w:pPr>
    <w:rPr>
      <w:rFonts w:ascii="Times New Roman" w:hAnsi="Times New Roman" w:cs="Times New Roman"/>
      <w:sz w:val="24"/>
    </w:rPr>
  </w:style>
  <w:style w:type="paragraph" w:customStyle="1" w:styleId="Point4">
    <w:name w:val="Point 4"/>
    <w:basedOn w:val="Normal"/>
    <w:pPr>
      <w:spacing w:before="120" w:after="120" w:line="240" w:lineRule="auto"/>
      <w:ind w:left="3118" w:hanging="567"/>
      <w:jc w:val="both"/>
    </w:pPr>
    <w:rPr>
      <w:rFonts w:ascii="Times New Roman" w:hAnsi="Times New Roman" w:cs="Times New Roman"/>
      <w:sz w:val="24"/>
    </w:rPr>
  </w:style>
  <w:style w:type="paragraph" w:customStyle="1" w:styleId="Tiret0">
    <w:name w:val="Tiret 0"/>
    <w:basedOn w:val="Point0"/>
    <w:pPr>
      <w:numPr>
        <w:numId w:val="1"/>
      </w:numPr>
    </w:pPr>
  </w:style>
  <w:style w:type="paragraph" w:customStyle="1" w:styleId="Tiret1">
    <w:name w:val="Tiret 1"/>
    <w:basedOn w:val="Point1"/>
    <w:pPr>
      <w:numPr>
        <w:numId w:val="2"/>
      </w:numPr>
    </w:pPr>
  </w:style>
  <w:style w:type="paragraph" w:customStyle="1" w:styleId="Tiret2">
    <w:name w:val="Tiret 2"/>
    <w:basedOn w:val="Point2"/>
    <w:pPr>
      <w:numPr>
        <w:numId w:val="3"/>
      </w:numPr>
    </w:pPr>
  </w:style>
  <w:style w:type="paragraph" w:customStyle="1" w:styleId="Tiret3">
    <w:name w:val="Tiret 3"/>
    <w:basedOn w:val="Point3"/>
    <w:pPr>
      <w:numPr>
        <w:numId w:val="4"/>
      </w:numPr>
    </w:pPr>
  </w:style>
  <w:style w:type="paragraph" w:customStyle="1" w:styleId="Tiret4">
    <w:name w:val="Tiret 4"/>
    <w:basedOn w:val="Point4"/>
    <w:pPr>
      <w:numPr>
        <w:numId w:val="5"/>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hAnsi="Times New Roman" w:cs="Times New Roman"/>
      <w:sz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hAnsi="Times New Roman" w:cs="Times New Roman"/>
      <w:sz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hAnsi="Times New Roman" w:cs="Times New Roman"/>
      <w:sz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hAnsi="Times New Roman" w:cs="Times New Roman"/>
      <w:sz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hAnsi="Times New Roman" w:cs="Times New Roman"/>
      <w:sz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hAnsi="Times New Roman" w:cs="Times New Roman"/>
      <w:sz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hAnsi="Times New Roman" w:cs="Times New Roman"/>
      <w:sz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hAnsi="Times New Roman" w:cs="Times New Roman"/>
      <w:sz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hAnsi="Times New Roman" w:cs="Times New Roman"/>
      <w:sz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hAnsi="Times New Roman" w:cs="Times New Roman"/>
      <w:sz w:val="24"/>
    </w:rPr>
  </w:style>
  <w:style w:type="paragraph" w:customStyle="1" w:styleId="NumPar1">
    <w:name w:val="NumPar 1"/>
    <w:basedOn w:val="Normal"/>
    <w:next w:val="Text1"/>
    <w:pPr>
      <w:numPr>
        <w:numId w:val="6"/>
      </w:numPr>
      <w:spacing w:before="120" w:after="120" w:line="240" w:lineRule="auto"/>
      <w:jc w:val="both"/>
    </w:pPr>
    <w:rPr>
      <w:rFonts w:ascii="Times New Roman" w:hAnsi="Times New Roman" w:cs="Times New Roman"/>
      <w:sz w:val="24"/>
    </w:rPr>
  </w:style>
  <w:style w:type="paragraph" w:customStyle="1" w:styleId="NumPar2">
    <w:name w:val="NumPar 2"/>
    <w:basedOn w:val="Normal"/>
    <w:next w:val="Text1"/>
    <w:pPr>
      <w:numPr>
        <w:ilvl w:val="1"/>
        <w:numId w:val="6"/>
      </w:numPr>
      <w:spacing w:before="120" w:after="120" w:line="240" w:lineRule="auto"/>
      <w:jc w:val="both"/>
    </w:pPr>
    <w:rPr>
      <w:rFonts w:ascii="Times New Roman" w:hAnsi="Times New Roman" w:cs="Times New Roman"/>
      <w:sz w:val="24"/>
    </w:rPr>
  </w:style>
  <w:style w:type="paragraph" w:customStyle="1" w:styleId="NumPar3">
    <w:name w:val="NumPar 3"/>
    <w:basedOn w:val="Normal"/>
    <w:next w:val="Text1"/>
    <w:pPr>
      <w:numPr>
        <w:ilvl w:val="2"/>
        <w:numId w:val="6"/>
      </w:numPr>
      <w:spacing w:before="120" w:after="120" w:line="240" w:lineRule="auto"/>
      <w:jc w:val="both"/>
    </w:pPr>
    <w:rPr>
      <w:rFonts w:ascii="Times New Roman" w:hAnsi="Times New Roman" w:cs="Times New Roman"/>
      <w:sz w:val="24"/>
    </w:rPr>
  </w:style>
  <w:style w:type="paragraph" w:customStyle="1" w:styleId="NumPar4">
    <w:name w:val="NumPar 4"/>
    <w:basedOn w:val="Normal"/>
    <w:next w:val="Text1"/>
    <w:pPr>
      <w:numPr>
        <w:ilvl w:val="3"/>
        <w:numId w:val="6"/>
      </w:numPr>
      <w:spacing w:before="120" w:after="120" w:line="240" w:lineRule="auto"/>
      <w:jc w:val="both"/>
    </w:pPr>
    <w:rPr>
      <w:rFonts w:ascii="Times New Roman" w:hAnsi="Times New Roman" w:cs="Times New Roman"/>
      <w:sz w:val="24"/>
    </w:rPr>
  </w:style>
  <w:style w:type="paragraph" w:customStyle="1" w:styleId="ManualNumPar1">
    <w:name w:val="Manual NumPar 1"/>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ManualNumPar2">
    <w:name w:val="Manual NumPar 2"/>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ManualNumPar3">
    <w:name w:val="Manual NumPar 3"/>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ManualNumPar4">
    <w:name w:val="Manual NumPar 4"/>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QuotedNumPar">
    <w:name w:val="Quoted NumPar"/>
    <w:basedOn w:val="Normal"/>
    <w:pPr>
      <w:spacing w:before="120" w:after="120" w:line="240" w:lineRule="auto"/>
      <w:ind w:left="1417" w:hanging="567"/>
      <w:jc w:val="both"/>
    </w:pPr>
    <w:rPr>
      <w:rFonts w:ascii="Times New Roman" w:hAnsi="Times New Roman" w:cs="Times New Roman"/>
      <w:sz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hAnsi="Times New Roman" w:cs="Times New Roman"/>
      <w:b/>
      <w:sz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hAnsi="Times New Roman" w:cs="Times New Roman"/>
      <w:i/>
      <w:sz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hAnsi="Times New Roman" w:cs="Times New Roman"/>
      <w:sz w:val="24"/>
    </w:rPr>
  </w:style>
  <w:style w:type="paragraph" w:customStyle="1" w:styleId="ChapterTitle">
    <w:name w:val="ChapterTitle"/>
    <w:basedOn w:val="Normal"/>
    <w:next w:val="Normal"/>
    <w:pPr>
      <w:keepNext/>
      <w:spacing w:before="120" w:after="360" w:line="240" w:lineRule="auto"/>
      <w:jc w:val="center"/>
    </w:pPr>
    <w:rPr>
      <w:rFonts w:ascii="Times New Roman" w:hAnsi="Times New Roman" w:cs="Times New Roman"/>
      <w:b/>
      <w:sz w:val="32"/>
    </w:rPr>
  </w:style>
  <w:style w:type="paragraph" w:customStyle="1" w:styleId="PartTitle">
    <w:name w:val="PartTitle"/>
    <w:basedOn w:val="Normal"/>
    <w:next w:val="ChapterTitle"/>
    <w:pPr>
      <w:keepNext/>
      <w:pageBreakBefore/>
      <w:spacing w:before="120" w:after="360" w:line="240" w:lineRule="auto"/>
      <w:jc w:val="center"/>
    </w:pPr>
    <w:rPr>
      <w:rFonts w:ascii="Times New Roman" w:hAnsi="Times New Roman" w:cs="Times New Roman"/>
      <w:b/>
      <w:sz w:val="36"/>
    </w:rPr>
  </w:style>
  <w:style w:type="paragraph" w:customStyle="1" w:styleId="SectionTitle">
    <w:name w:val="SectionTitle"/>
    <w:basedOn w:val="Normal"/>
    <w:next w:val="Heading1"/>
    <w:pPr>
      <w:keepNext/>
      <w:spacing w:before="120" w:after="360" w:line="240" w:lineRule="auto"/>
      <w:jc w:val="center"/>
    </w:pPr>
    <w:rPr>
      <w:rFonts w:ascii="Times New Roman" w:hAnsi="Times New Roman" w:cs="Times New Roman"/>
      <w:b/>
      <w:smallCaps/>
      <w:sz w:val="28"/>
    </w:rPr>
  </w:style>
  <w:style w:type="paragraph" w:customStyle="1" w:styleId="TableTitle">
    <w:name w:val="Table Title"/>
    <w:basedOn w:val="Normal"/>
    <w:next w:val="Normal"/>
    <w:pPr>
      <w:spacing w:before="120" w:after="120" w:line="240" w:lineRule="auto"/>
      <w:jc w:val="center"/>
    </w:pPr>
    <w:rPr>
      <w:rFonts w:ascii="Times New Roman" w:hAnsi="Times New Roman" w:cs="Times New Roman"/>
      <w:b/>
      <w:sz w:val="24"/>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8"/>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pPr>
      <w:numPr>
        <w:ilvl w:val="2"/>
        <w:numId w:val="8"/>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pPr>
      <w:numPr>
        <w:ilvl w:val="4"/>
        <w:numId w:val="8"/>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pPr>
      <w:numPr>
        <w:ilvl w:val="6"/>
        <w:numId w:val="8"/>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pPr>
      <w:numPr>
        <w:ilvl w:val="1"/>
        <w:numId w:val="8"/>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pPr>
      <w:numPr>
        <w:ilvl w:val="3"/>
        <w:numId w:val="8"/>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pPr>
      <w:numPr>
        <w:ilvl w:val="5"/>
        <w:numId w:val="8"/>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pPr>
      <w:numPr>
        <w:ilvl w:val="7"/>
        <w:numId w:val="8"/>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pPr>
      <w:numPr>
        <w:ilvl w:val="8"/>
        <w:numId w:val="8"/>
      </w:numPr>
      <w:spacing w:before="120" w:after="120" w:line="240" w:lineRule="auto"/>
      <w:jc w:val="both"/>
    </w:pPr>
    <w:rPr>
      <w:rFonts w:ascii="Times New Roman" w:hAnsi="Times New Roman" w:cs="Times New Roman"/>
      <w:sz w:val="24"/>
    </w:rPr>
  </w:style>
  <w:style w:type="paragraph" w:customStyle="1" w:styleId="Bullet0">
    <w:name w:val="Bullet 0"/>
    <w:basedOn w:val="Normal"/>
    <w:pPr>
      <w:numPr>
        <w:numId w:val="9"/>
      </w:numPr>
      <w:spacing w:before="120" w:after="120" w:line="240" w:lineRule="auto"/>
      <w:jc w:val="both"/>
    </w:pPr>
    <w:rPr>
      <w:rFonts w:ascii="Times New Roman" w:hAnsi="Times New Roman" w:cs="Times New Roman"/>
      <w:sz w:val="24"/>
    </w:rPr>
  </w:style>
  <w:style w:type="paragraph" w:customStyle="1" w:styleId="Bullet1">
    <w:name w:val="Bullet 1"/>
    <w:basedOn w:val="Normal"/>
    <w:link w:val="Bullet1Char"/>
    <w:qFormat/>
    <w:pPr>
      <w:numPr>
        <w:numId w:val="10"/>
      </w:numPr>
      <w:spacing w:before="120" w:after="120" w:line="240" w:lineRule="auto"/>
      <w:jc w:val="both"/>
    </w:pPr>
    <w:rPr>
      <w:rFonts w:ascii="Times New Roman" w:hAnsi="Times New Roman" w:cs="Times New Roman"/>
      <w:sz w:val="24"/>
    </w:rPr>
  </w:style>
  <w:style w:type="paragraph" w:customStyle="1" w:styleId="Bullet20">
    <w:name w:val="Bullet 2"/>
    <w:basedOn w:val="Normal"/>
    <w:pPr>
      <w:numPr>
        <w:numId w:val="11"/>
      </w:numPr>
      <w:spacing w:before="120" w:after="120" w:line="240" w:lineRule="auto"/>
      <w:jc w:val="both"/>
    </w:pPr>
    <w:rPr>
      <w:rFonts w:ascii="Times New Roman" w:hAnsi="Times New Roman" w:cs="Times New Roman"/>
      <w:sz w:val="24"/>
    </w:rPr>
  </w:style>
  <w:style w:type="paragraph" w:customStyle="1" w:styleId="Bullet3">
    <w:name w:val="Bullet 3"/>
    <w:basedOn w:val="Normal"/>
    <w:pPr>
      <w:numPr>
        <w:numId w:val="12"/>
      </w:numPr>
      <w:spacing w:before="120" w:after="120" w:line="240" w:lineRule="auto"/>
      <w:jc w:val="both"/>
    </w:pPr>
    <w:rPr>
      <w:rFonts w:ascii="Times New Roman" w:hAnsi="Times New Roman" w:cs="Times New Roman"/>
      <w:sz w:val="24"/>
    </w:rPr>
  </w:style>
  <w:style w:type="paragraph" w:customStyle="1" w:styleId="Bullet4">
    <w:name w:val="Bullet 4"/>
    <w:basedOn w:val="Normal"/>
    <w:pPr>
      <w:numPr>
        <w:numId w:val="13"/>
      </w:numPr>
      <w:spacing w:before="120" w:after="120" w:line="240" w:lineRule="auto"/>
      <w:jc w:val="both"/>
    </w:pPr>
    <w:rPr>
      <w:rFonts w:ascii="Times New Roman" w:hAnsi="Times New Roman" w:cs="Times New Roman"/>
      <w:sz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hAnsi="Times New Roman" w:cs="Times New Roman"/>
      <w:b/>
      <w:caps/>
      <w:sz w:val="24"/>
    </w:rPr>
  </w:style>
  <w:style w:type="paragraph" w:customStyle="1" w:styleId="Nomdelinstitution">
    <w:name w:val="Nom de l'institution"/>
    <w:basedOn w:val="Normal"/>
    <w:next w:val="Emission"/>
    <w:pPr>
      <w:spacing w:after="0" w:line="240" w:lineRule="auto"/>
    </w:pPr>
    <w:rPr>
      <w:rFonts w:ascii="Arial" w:hAnsi="Arial" w:cs="Arial"/>
      <w:sz w:val="24"/>
    </w:rPr>
  </w:style>
  <w:style w:type="paragraph" w:customStyle="1" w:styleId="Emission">
    <w:name w:val="Emission"/>
    <w:basedOn w:val="Normal"/>
    <w:next w:val="Rfrenceinstitutionnelle"/>
    <w:pPr>
      <w:spacing w:after="0" w:line="240" w:lineRule="auto"/>
      <w:ind w:left="5103"/>
    </w:pPr>
    <w:rPr>
      <w:rFonts w:ascii="Times New Roman" w:hAnsi="Times New Roman" w:cs="Times New Roman"/>
      <w:sz w:val="24"/>
    </w:rPr>
  </w:style>
  <w:style w:type="paragraph" w:customStyle="1" w:styleId="Rfrenceinstitutionnelle">
    <w:name w:val="Référence institutionnelle"/>
    <w:basedOn w:val="Normal"/>
    <w:next w:val="Confidentialit"/>
    <w:pPr>
      <w:spacing w:after="240" w:line="240" w:lineRule="auto"/>
      <w:ind w:left="5103"/>
    </w:pPr>
    <w:rPr>
      <w:rFonts w:ascii="Times New Roman" w:hAnsi="Times New Roman" w:cs="Times New Roman"/>
      <w:sz w:val="24"/>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Annexetitreexpos">
    <w:name w:val="Annexe titre (exposé)"/>
    <w:basedOn w:val="Normal"/>
    <w:next w:val="Normal"/>
    <w:pPr>
      <w:spacing w:before="120" w:after="120" w:line="240" w:lineRule="auto"/>
      <w:jc w:val="center"/>
    </w:pPr>
    <w:rPr>
      <w:rFonts w:ascii="Times New Roman" w:hAnsi="Times New Roman" w:cs="Times New Roman"/>
      <w:b/>
      <w:sz w:val="24"/>
      <w:u w:val="single"/>
    </w:rPr>
  </w:style>
  <w:style w:type="paragraph" w:customStyle="1" w:styleId="Annexetitre">
    <w:name w:val="Annexe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hAnsi="Times New Roman" w:cs="Times New Roman"/>
      <w:b/>
      <w:sz w:val="24"/>
      <w:u w:val="single"/>
    </w:rPr>
  </w:style>
  <w:style w:type="paragraph" w:customStyle="1" w:styleId="Applicationdirecte">
    <w:name w:val="Application directe"/>
    <w:basedOn w:val="Normal"/>
    <w:next w:val="Fait"/>
    <w:pPr>
      <w:spacing w:before="480" w:after="120" w:line="240" w:lineRule="auto"/>
      <w:jc w:val="both"/>
    </w:pPr>
    <w:rPr>
      <w:rFonts w:ascii="Times New Roman" w:hAnsi="Times New Roman" w:cs="Times New Roman"/>
      <w:sz w:val="24"/>
    </w:rPr>
  </w:style>
  <w:style w:type="paragraph" w:customStyle="1" w:styleId="Avertissementtitre">
    <w:name w:val="Avertissement titre"/>
    <w:basedOn w:val="Normal"/>
    <w:next w:val="Normal"/>
    <w:pPr>
      <w:keepNext/>
      <w:spacing w:before="480" w:after="120" w:line="240" w:lineRule="auto"/>
      <w:jc w:val="both"/>
    </w:pPr>
    <w:rPr>
      <w:rFonts w:ascii="Times New Roman" w:hAnsi="Times New Roman" w:cs="Times New Roman"/>
      <w:sz w:val="24"/>
      <w:u w:val="single"/>
    </w:rPr>
  </w:style>
  <w:style w:type="paragraph" w:customStyle="1" w:styleId="Confidence">
    <w:name w:val="Confidence"/>
    <w:basedOn w:val="Normal"/>
    <w:next w:val="Normal"/>
    <w:pPr>
      <w:spacing w:before="360" w:after="120" w:line="240" w:lineRule="auto"/>
      <w:jc w:val="center"/>
    </w:pPr>
    <w:rPr>
      <w:rFonts w:ascii="Times New Roman" w:hAnsi="Times New Roman" w:cs="Times New Roman"/>
      <w:sz w:val="24"/>
    </w:rPr>
  </w:style>
  <w:style w:type="paragraph" w:customStyle="1" w:styleId="Confidentialit">
    <w:name w:val="Confidentialité"/>
    <w:basedOn w:val="Normal"/>
    <w:next w:val="TypedudocumentPagedecouverture"/>
    <w:pPr>
      <w:spacing w:before="240" w:after="240" w:line="240" w:lineRule="auto"/>
      <w:ind w:left="5103"/>
    </w:pPr>
    <w:rPr>
      <w:rFonts w:ascii="Times New Roman" w:hAnsi="Times New Roman" w:cs="Times New Roman"/>
      <w:i/>
      <w:sz w:val="32"/>
    </w:rPr>
  </w:style>
  <w:style w:type="paragraph" w:customStyle="1" w:styleId="Considrant">
    <w:name w:val="Considérant"/>
    <w:basedOn w:val="Normal"/>
    <w:pPr>
      <w:numPr>
        <w:numId w:val="14"/>
      </w:numPr>
      <w:spacing w:before="120" w:after="120" w:line="240" w:lineRule="auto"/>
      <w:jc w:val="both"/>
    </w:pPr>
    <w:rPr>
      <w:rFonts w:ascii="Times New Roman" w:hAnsi="Times New Roman" w:cs="Times New Roman"/>
      <w:sz w:val="24"/>
    </w:rPr>
  </w:style>
  <w:style w:type="paragraph" w:customStyle="1" w:styleId="Corrigendum">
    <w:name w:val="Corrigendum"/>
    <w:basedOn w:val="Normal"/>
    <w:next w:val="Normal"/>
    <w:pPr>
      <w:spacing w:after="240" w:line="240" w:lineRule="auto"/>
    </w:pPr>
    <w:rPr>
      <w:rFonts w:ascii="Times New Roman" w:hAnsi="Times New Roman" w:cs="Times New Roman"/>
      <w:sz w:val="24"/>
    </w:rPr>
  </w:style>
  <w:style w:type="paragraph" w:customStyle="1" w:styleId="Datedadoption">
    <w:name w:val="Date d'adoption"/>
    <w:basedOn w:val="Normal"/>
    <w:next w:val="IntrtEEE"/>
    <w:pPr>
      <w:spacing w:before="360" w:after="0" w:line="240" w:lineRule="auto"/>
      <w:jc w:val="center"/>
    </w:pPr>
    <w:rPr>
      <w:rFonts w:ascii="Times New Roman" w:hAnsi="Times New Roman" w:cs="Times New Roman"/>
      <w:b/>
      <w:sz w:val="24"/>
    </w:rPr>
  </w:style>
  <w:style w:type="paragraph" w:customStyle="1" w:styleId="Exposdesmotifstitre">
    <w:name w:val="Exposé des motifs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Fait">
    <w:name w:val="Fait à"/>
    <w:basedOn w:val="Normal"/>
    <w:next w:val="Institutionquisigne"/>
    <w:pPr>
      <w:keepNext/>
      <w:spacing w:before="120" w:after="0" w:line="240" w:lineRule="auto"/>
      <w:jc w:val="both"/>
    </w:pPr>
    <w:rPr>
      <w:rFonts w:ascii="Times New Roman" w:hAnsi="Times New Roman" w:cs="Times New Roman"/>
      <w:sz w:val="24"/>
    </w:rPr>
  </w:style>
  <w:style w:type="paragraph" w:customStyle="1" w:styleId="Formuledadoption">
    <w:name w:val="Formule d'adoption"/>
    <w:basedOn w:val="Normal"/>
    <w:next w:val="Titrearticle"/>
    <w:pPr>
      <w:keepNext/>
      <w:spacing w:before="120" w:after="120" w:line="240" w:lineRule="auto"/>
      <w:jc w:val="both"/>
    </w:pPr>
    <w:rPr>
      <w:rFonts w:ascii="Times New Roman" w:hAnsi="Times New Roman" w:cs="Times New Roman"/>
      <w:sz w:val="24"/>
    </w:rPr>
  </w:style>
  <w:style w:type="paragraph" w:customStyle="1" w:styleId="Institutionquiagit">
    <w:name w:val="Institution qui agit"/>
    <w:basedOn w:val="Normal"/>
    <w:next w:val="Normal"/>
    <w:pPr>
      <w:keepNext/>
      <w:spacing w:before="600" w:after="120" w:line="240" w:lineRule="auto"/>
      <w:jc w:val="both"/>
    </w:pPr>
    <w:rPr>
      <w:rFonts w:ascii="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hAnsi="Times New Roman" w:cs="Times New Roman"/>
      <w:i/>
      <w:sz w:val="24"/>
    </w:rPr>
  </w:style>
  <w:style w:type="paragraph" w:customStyle="1" w:styleId="ManualConsidrant">
    <w:name w:val="Manual Considérant"/>
    <w:basedOn w:val="Normal"/>
    <w:pPr>
      <w:spacing w:before="120" w:after="120" w:line="240" w:lineRule="auto"/>
      <w:ind w:left="709" w:hanging="709"/>
      <w:jc w:val="both"/>
    </w:pPr>
    <w:rPr>
      <w:rFonts w:ascii="Times New Roman" w:hAnsi="Times New Roman" w:cs="Times New Roman"/>
      <w:sz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hAnsi="Times New Roman" w:cs="Times New Roman"/>
      <w:i/>
      <w:sz w:val="24"/>
    </w:rPr>
  </w:style>
  <w:style w:type="paragraph" w:customStyle="1" w:styleId="Rfrenceinterinstitutionnelle">
    <w:name w:val="Référence interinstitutionnelle"/>
    <w:basedOn w:val="Normal"/>
    <w:next w:val="Statut"/>
    <w:pPr>
      <w:spacing w:after="0" w:line="240" w:lineRule="auto"/>
      <w:ind w:left="5103"/>
    </w:pPr>
    <w:rPr>
      <w:rFonts w:ascii="Times New Roman" w:hAnsi="Times New Roman" w:cs="Times New Roman"/>
      <w:sz w:val="24"/>
    </w:rPr>
  </w:style>
  <w:style w:type="paragraph" w:customStyle="1" w:styleId="Rfrenceinterne">
    <w:name w:val="Référence interne"/>
    <w:basedOn w:val="Normal"/>
    <w:next w:val="Rfrenceinterinstitutionnelle"/>
    <w:pPr>
      <w:spacing w:after="0" w:line="240" w:lineRule="auto"/>
      <w:ind w:left="5103"/>
    </w:pPr>
    <w:rPr>
      <w:rFonts w:ascii="Times New Roman" w:hAnsi="Times New Roman" w:cs="Times New Roman"/>
      <w:sz w:val="24"/>
    </w:rPr>
  </w:style>
  <w:style w:type="paragraph" w:customStyle="1" w:styleId="Statut">
    <w:name w:val="Statut"/>
    <w:basedOn w:val="Normal"/>
    <w:next w:val="Typedudocument"/>
    <w:pPr>
      <w:spacing w:after="240" w:line="240" w:lineRule="auto"/>
      <w:jc w:val="center"/>
    </w:pPr>
    <w:rPr>
      <w:rFonts w:ascii="Times New Roman" w:hAnsi="Times New Roman" w:cs="Times New Roman"/>
      <w:sz w:val="24"/>
    </w:rPr>
  </w:style>
  <w:style w:type="paragraph" w:customStyle="1" w:styleId="Titrearticle">
    <w:name w:val="Titre article"/>
    <w:basedOn w:val="Normal"/>
    <w:next w:val="Normal"/>
    <w:pPr>
      <w:keepNext/>
      <w:spacing w:before="360" w:after="120" w:line="240" w:lineRule="auto"/>
      <w:jc w:val="center"/>
    </w:pPr>
    <w:rPr>
      <w:rFonts w:ascii="Times New Roman" w:hAnsi="Times New Roman" w:cs="Times New Roman"/>
      <w:i/>
      <w:sz w:val="24"/>
    </w:rPr>
  </w:style>
  <w:style w:type="paragraph" w:customStyle="1" w:styleId="Typedudocument">
    <w:name w:val="Type du document"/>
    <w:basedOn w:val="Normal"/>
    <w:next w:val="Accompagnant"/>
    <w:pPr>
      <w:spacing w:before="360" w:after="180" w:line="240" w:lineRule="auto"/>
      <w:jc w:val="center"/>
    </w:pPr>
    <w:rPr>
      <w:rFonts w:ascii="Times New Roman" w:hAnsi="Times New Roman" w:cs="Times New Roman"/>
      <w:b/>
      <w:sz w:val="24"/>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hAnsi="Times New Roman" w:cs="Times New Roman"/>
      <w:sz w:val="24"/>
    </w:rPr>
  </w:style>
  <w:style w:type="paragraph" w:customStyle="1" w:styleId="Objetexterne">
    <w:name w:val="Objet externe"/>
    <w:basedOn w:val="Normal"/>
    <w:next w:val="Normal"/>
    <w:pPr>
      <w:spacing w:before="120" w:after="120" w:line="240" w:lineRule="auto"/>
      <w:jc w:val="both"/>
    </w:pPr>
    <w:rPr>
      <w:rFonts w:ascii="Times New Roman" w:hAnsi="Times New Roman" w:cs="Times New Roman"/>
      <w:i/>
      <w:caps/>
      <w:sz w:val="24"/>
    </w:rPr>
  </w:style>
  <w:style w:type="paragraph" w:customStyle="1" w:styleId="Supertitre">
    <w:name w:val="Supertitre"/>
    <w:basedOn w:val="Normal"/>
    <w:next w:val="Normal"/>
    <w:pPr>
      <w:spacing w:after="600" w:line="240" w:lineRule="auto"/>
      <w:jc w:val="center"/>
    </w:pPr>
    <w:rPr>
      <w:rFonts w:ascii="Times New Roman" w:hAnsi="Times New Roman" w:cs="Times New Roman"/>
      <w:b/>
      <w:sz w:val="24"/>
    </w:rPr>
  </w:style>
  <w:style w:type="paragraph" w:customStyle="1" w:styleId="Languesfaisantfoi">
    <w:name w:val="Langues faisant foi"/>
    <w:basedOn w:val="Normal"/>
    <w:next w:val="Normal"/>
    <w:pPr>
      <w:spacing w:before="360" w:after="0" w:line="240" w:lineRule="auto"/>
      <w:jc w:val="center"/>
    </w:pPr>
    <w:rPr>
      <w:rFonts w:ascii="Times New Roman" w:hAnsi="Times New Roman" w:cs="Times New Roman"/>
      <w:sz w:val="24"/>
    </w:rPr>
  </w:style>
  <w:style w:type="paragraph" w:customStyle="1" w:styleId="Rfrencecroise">
    <w:name w:val="Référence croisée"/>
    <w:basedOn w:val="Normal"/>
    <w:pPr>
      <w:spacing w:after="0" w:line="240" w:lineRule="auto"/>
      <w:jc w:val="center"/>
    </w:pPr>
    <w:rPr>
      <w:rFonts w:ascii="Times New Roman" w:hAnsi="Times New Roman" w:cs="Times New Roman"/>
      <w:sz w:val="24"/>
    </w:rPr>
  </w:style>
  <w:style w:type="paragraph" w:customStyle="1" w:styleId="Fichefinanciretitre">
    <w:name w:val="Fiche financière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after="240" w:line="240" w:lineRule="auto"/>
      <w:ind w:left="5103"/>
    </w:pPr>
    <w:rPr>
      <w:rFonts w:ascii="Times New Roman" w:hAnsi="Times New Roman" w:cs="Times New Roman"/>
      <w:sz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line="240" w:lineRule="auto"/>
      <w:jc w:val="center"/>
    </w:pPr>
    <w:rPr>
      <w:rFonts w:ascii="Times New Roman" w:hAnsi="Times New Roman" w:cs="Times New Roman"/>
      <w:b/>
      <w:sz w:val="24"/>
    </w:rPr>
  </w:style>
  <w:style w:type="paragraph" w:customStyle="1" w:styleId="Typeacteprincipal">
    <w:name w:val="Type acte principal"/>
    <w:basedOn w:val="Normal"/>
    <w:next w:val="Objetacteprincipal"/>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
    <w:next w:val="Titrearticle"/>
    <w:pPr>
      <w:spacing w:after="360" w:line="240" w:lineRule="auto"/>
      <w:jc w:val="center"/>
    </w:pPr>
    <w:rPr>
      <w:rFonts w:ascii="Times New Roman" w:hAnsi="Times New Roman" w:cs="Times New Roman"/>
      <w:b/>
      <w:sz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hAnsi="Times New Roman" w:cs="Times New Roman"/>
      <w:sz w:val="24"/>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before="120" w:after="12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pPr>
      <w:spacing w:after="160" w:line="259" w:lineRule="auto"/>
      <w:ind w:left="720"/>
      <w:contextualSpacing/>
    </w:p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basedOn w:val="DefaultParagraphFont"/>
    <w:link w:val="ListParagraph"/>
    <w:uiPriority w:val="34"/>
    <w:qFormat/>
    <w:locked/>
    <w:rPr>
      <w:lang w:val="ro-RO"/>
    </w:rPr>
  </w:style>
  <w:style w:type="character" w:styleId="IntenseEmphasis">
    <w:name w:val="Intense Emphasis"/>
    <w:basedOn w:val="DefaultParagraphFont"/>
    <w:uiPriority w:val="21"/>
    <w:qFormat/>
    <w:rPr>
      <w:i/>
      <w:iCs/>
      <w:color w:val="4F81BD" w:themeColor="accent1"/>
    </w:rPr>
  </w:style>
  <w:style w:type="paragraph" w:styleId="BalloonText">
    <w:name w:val="Balloon Text"/>
    <w:basedOn w:val="Normal"/>
    <w:link w:val="BalloonTextChar"/>
    <w:uiPriority w:val="99"/>
    <w:semiHidden/>
    <w:unhideWhenUsed/>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Bullet">
    <w:name w:val="List Bullet"/>
    <w:basedOn w:val="Normal"/>
    <w:uiPriority w:val="99"/>
    <w:semiHidden/>
    <w:unhideWhenUsed/>
    <w:pPr>
      <w:numPr>
        <w:numId w:val="15"/>
      </w:numPr>
      <w:spacing w:before="120" w:after="120" w:line="240" w:lineRule="auto"/>
      <w:contextualSpacing/>
      <w:jc w:val="both"/>
    </w:pPr>
    <w:rPr>
      <w:rFonts w:ascii="Times New Roman" w:hAnsi="Times New Roman" w:cs="Times New Roman"/>
      <w:sz w:val="24"/>
    </w:rPr>
  </w:style>
  <w:style w:type="paragraph" w:styleId="ListBullet2">
    <w:name w:val="List Bullet 2"/>
    <w:basedOn w:val="Normal"/>
    <w:uiPriority w:val="99"/>
    <w:semiHidden/>
    <w:unhideWhenUsed/>
    <w:pPr>
      <w:numPr>
        <w:numId w:val="16"/>
      </w:numPr>
      <w:spacing w:before="120" w:after="120" w:line="240" w:lineRule="auto"/>
      <w:contextualSpacing/>
      <w:jc w:val="both"/>
    </w:pPr>
    <w:rPr>
      <w:rFonts w:ascii="Times New Roman" w:hAnsi="Times New Roman" w:cs="Times New Roman"/>
      <w:sz w:val="24"/>
    </w:rPr>
  </w:style>
  <w:style w:type="paragraph" w:styleId="ListBullet3">
    <w:name w:val="List Bullet 3"/>
    <w:basedOn w:val="Normal"/>
    <w:uiPriority w:val="99"/>
    <w:semiHidden/>
    <w:unhideWhenUsed/>
    <w:pPr>
      <w:numPr>
        <w:numId w:val="17"/>
      </w:numPr>
      <w:spacing w:before="120" w:after="120" w:line="240" w:lineRule="auto"/>
      <w:contextualSpacing/>
      <w:jc w:val="both"/>
    </w:pPr>
    <w:rPr>
      <w:rFonts w:ascii="Times New Roman" w:hAnsi="Times New Roman" w:cs="Times New Roman"/>
      <w:sz w:val="24"/>
    </w:rPr>
  </w:style>
  <w:style w:type="paragraph" w:styleId="ListBullet4">
    <w:name w:val="List Bullet 4"/>
    <w:basedOn w:val="Normal"/>
    <w:uiPriority w:val="99"/>
    <w:semiHidden/>
    <w:unhideWhenUsed/>
    <w:pPr>
      <w:numPr>
        <w:numId w:val="18"/>
      </w:numPr>
      <w:spacing w:before="120" w:after="120" w:line="240" w:lineRule="auto"/>
      <w:contextualSpacing/>
      <w:jc w:val="both"/>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Bullet1Char">
    <w:name w:val="Bullet 1 Char"/>
    <w:basedOn w:val="DefaultParagraphFont"/>
    <w:link w:val="Bullet1"/>
    <w:rPr>
      <w:rFonts w:ascii="Times New Roman" w:hAnsi="Times New Roman" w:cs="Times New Roman"/>
      <w:sz w:val="24"/>
    </w:rPr>
  </w:style>
  <w:style w:type="paragraph" w:customStyle="1" w:styleId="bullet2">
    <w:name w:val="bullet 2"/>
    <w:basedOn w:val="Normal"/>
    <w:link w:val="bullet2Char"/>
    <w:qFormat/>
    <w:pPr>
      <w:numPr>
        <w:ilvl w:val="1"/>
        <w:numId w:val="22"/>
      </w:numPr>
      <w:spacing w:before="120" w:after="120" w:line="240" w:lineRule="auto"/>
    </w:pPr>
    <w:rPr>
      <w:rFonts w:eastAsia="Arial" w:cstheme="minorHAnsi"/>
      <w:color w:val="000000" w:themeColor="text1"/>
      <w:sz w:val="24"/>
      <w:szCs w:val="24"/>
    </w:rPr>
  </w:style>
  <w:style w:type="character" w:customStyle="1" w:styleId="bullet2Char">
    <w:name w:val="bullet 2 Char"/>
    <w:basedOn w:val="DefaultParagraphFont"/>
    <w:link w:val="bullet2"/>
    <w:rPr>
      <w:rFonts w:eastAsia="Arial" w:cstheme="minorHAnsi"/>
      <w:color w:val="000000" w:themeColor="text1"/>
      <w:sz w:val="24"/>
      <w:szCs w:val="24"/>
      <w:lang w:val="ro-RO"/>
    </w:rPr>
  </w:style>
  <w:style w:type="character" w:styleId="Hyperlink">
    <w:name w:val="Hyperlink"/>
    <w:basedOn w:val="DefaultParagraphFont"/>
    <w:uiPriority w:val="99"/>
    <w:unhideWhenUsed/>
    <w:rPr>
      <w:color w:val="0563C1"/>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op">
    <w:name w:val="eop"/>
    <w:basedOn w:val="DefaultParagraphFont"/>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itreobjet">
    <w:name w:val="Titre objet"/>
    <w:basedOn w:val="Normal"/>
    <w:next w:val="IntrtEEE"/>
    <w:pPr>
      <w:spacing w:before="360" w:after="360" w:line="240" w:lineRule="auto"/>
      <w:jc w:val="center"/>
    </w:pPr>
    <w:rPr>
      <w:rFonts w:ascii="Times New Roman" w:hAnsi="Times New Roman" w:cs="Times New Roman"/>
      <w:b/>
      <w:sz w:val="24"/>
    </w:rPr>
  </w:style>
  <w:style w:type="paragraph" w:customStyle="1" w:styleId="TitreobjetPagedecouverture">
    <w:name w:val="Titre objet (Page de couverture)"/>
    <w:basedOn w:val="Titreobjet"/>
    <w:next w:val="IntrtEEEPagedecouverture"/>
  </w:style>
  <w:style w:type="paragraph" w:customStyle="1" w:styleId="FooterCoverPage">
    <w:name w:val="Footer Cover Page"/>
    <w:basedOn w:val="Normal"/>
    <w:link w:val="FooterCoverPageChar"/>
    <w:pPr>
      <w:keepNext/>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keepNext/>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val="ro-RO"/>
    </w:rPr>
  </w:style>
  <w:style w:type="character" w:customStyle="1" w:styleId="y2iqfc">
    <w:name w:val="y2iqfc"/>
    <w:basedOn w:val="DefaultParagraphFont"/>
  </w:style>
  <w:style w:type="paragraph" w:styleId="ListNumber">
    <w:name w:val="List Number"/>
    <w:basedOn w:val="Normal"/>
    <w:uiPriority w:val="99"/>
    <w:semiHidden/>
    <w:unhideWhenUsed/>
    <w:pPr>
      <w:numPr>
        <w:numId w:val="148"/>
      </w:numPr>
      <w:spacing w:before="120" w:after="120" w:line="240" w:lineRule="auto"/>
      <w:contextualSpacing/>
      <w:jc w:val="both"/>
    </w:pPr>
    <w:rPr>
      <w:rFonts w:ascii="Times New Roman" w:hAnsi="Times New Roman" w:cs="Times New Roman"/>
      <w:sz w:val="24"/>
    </w:rPr>
  </w:style>
  <w:style w:type="character" w:customStyle="1" w:styleId="oj-super">
    <w:name w:val="oj-super"/>
    <w:basedOn w:val="DefaultParagraphFont"/>
  </w:style>
  <w:style w:type="paragraph" w:customStyle="1" w:styleId="xmsonormal">
    <w:name w:val="x_msonormal"/>
    <w:basedOn w:val="Normal"/>
    <w:pPr>
      <w:spacing w:after="0" w:line="240" w:lineRule="auto"/>
    </w:pPr>
    <w:rPr>
      <w:rFonts w:ascii="Calibri" w:hAnsi="Calibri" w:cs="Calibr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67423">
      <w:bodyDiv w:val="1"/>
      <w:marLeft w:val="0"/>
      <w:marRight w:val="0"/>
      <w:marTop w:val="0"/>
      <w:marBottom w:val="0"/>
      <w:divBdr>
        <w:top w:val="none" w:sz="0" w:space="0" w:color="auto"/>
        <w:left w:val="none" w:sz="0" w:space="0" w:color="auto"/>
        <w:bottom w:val="none" w:sz="0" w:space="0" w:color="auto"/>
        <w:right w:val="none" w:sz="0" w:space="0" w:color="auto"/>
      </w:divBdr>
    </w:div>
    <w:div w:id="264113178">
      <w:bodyDiv w:val="1"/>
      <w:marLeft w:val="0"/>
      <w:marRight w:val="0"/>
      <w:marTop w:val="0"/>
      <w:marBottom w:val="0"/>
      <w:divBdr>
        <w:top w:val="none" w:sz="0" w:space="0" w:color="auto"/>
        <w:left w:val="none" w:sz="0" w:space="0" w:color="auto"/>
        <w:bottom w:val="none" w:sz="0" w:space="0" w:color="auto"/>
        <w:right w:val="none" w:sz="0" w:space="0" w:color="auto"/>
      </w:divBdr>
    </w:div>
    <w:div w:id="276840304">
      <w:bodyDiv w:val="1"/>
      <w:marLeft w:val="0"/>
      <w:marRight w:val="0"/>
      <w:marTop w:val="0"/>
      <w:marBottom w:val="0"/>
      <w:divBdr>
        <w:top w:val="none" w:sz="0" w:space="0" w:color="auto"/>
        <w:left w:val="none" w:sz="0" w:space="0" w:color="auto"/>
        <w:bottom w:val="none" w:sz="0" w:space="0" w:color="auto"/>
        <w:right w:val="none" w:sz="0" w:space="0" w:color="auto"/>
      </w:divBdr>
    </w:div>
    <w:div w:id="443230782">
      <w:bodyDiv w:val="1"/>
      <w:marLeft w:val="0"/>
      <w:marRight w:val="0"/>
      <w:marTop w:val="0"/>
      <w:marBottom w:val="0"/>
      <w:divBdr>
        <w:top w:val="none" w:sz="0" w:space="0" w:color="auto"/>
        <w:left w:val="none" w:sz="0" w:space="0" w:color="auto"/>
        <w:bottom w:val="none" w:sz="0" w:space="0" w:color="auto"/>
        <w:right w:val="none" w:sz="0" w:space="0" w:color="auto"/>
      </w:divBdr>
    </w:div>
    <w:div w:id="454952789">
      <w:bodyDiv w:val="1"/>
      <w:marLeft w:val="0"/>
      <w:marRight w:val="0"/>
      <w:marTop w:val="0"/>
      <w:marBottom w:val="0"/>
      <w:divBdr>
        <w:top w:val="none" w:sz="0" w:space="0" w:color="auto"/>
        <w:left w:val="none" w:sz="0" w:space="0" w:color="auto"/>
        <w:bottom w:val="none" w:sz="0" w:space="0" w:color="auto"/>
        <w:right w:val="none" w:sz="0" w:space="0" w:color="auto"/>
      </w:divBdr>
    </w:div>
    <w:div w:id="467209046">
      <w:bodyDiv w:val="1"/>
      <w:marLeft w:val="0"/>
      <w:marRight w:val="0"/>
      <w:marTop w:val="0"/>
      <w:marBottom w:val="0"/>
      <w:divBdr>
        <w:top w:val="none" w:sz="0" w:space="0" w:color="auto"/>
        <w:left w:val="none" w:sz="0" w:space="0" w:color="auto"/>
        <w:bottom w:val="none" w:sz="0" w:space="0" w:color="auto"/>
        <w:right w:val="none" w:sz="0" w:space="0" w:color="auto"/>
      </w:divBdr>
    </w:div>
    <w:div w:id="679158170">
      <w:bodyDiv w:val="1"/>
      <w:marLeft w:val="0"/>
      <w:marRight w:val="0"/>
      <w:marTop w:val="0"/>
      <w:marBottom w:val="0"/>
      <w:divBdr>
        <w:top w:val="none" w:sz="0" w:space="0" w:color="auto"/>
        <w:left w:val="none" w:sz="0" w:space="0" w:color="auto"/>
        <w:bottom w:val="none" w:sz="0" w:space="0" w:color="auto"/>
        <w:right w:val="none" w:sz="0" w:space="0" w:color="auto"/>
      </w:divBdr>
    </w:div>
    <w:div w:id="717585710">
      <w:bodyDiv w:val="1"/>
      <w:marLeft w:val="0"/>
      <w:marRight w:val="0"/>
      <w:marTop w:val="0"/>
      <w:marBottom w:val="0"/>
      <w:divBdr>
        <w:top w:val="none" w:sz="0" w:space="0" w:color="auto"/>
        <w:left w:val="none" w:sz="0" w:space="0" w:color="auto"/>
        <w:bottom w:val="none" w:sz="0" w:space="0" w:color="auto"/>
        <w:right w:val="none" w:sz="0" w:space="0" w:color="auto"/>
      </w:divBdr>
    </w:div>
    <w:div w:id="751897515">
      <w:bodyDiv w:val="1"/>
      <w:marLeft w:val="0"/>
      <w:marRight w:val="0"/>
      <w:marTop w:val="0"/>
      <w:marBottom w:val="0"/>
      <w:divBdr>
        <w:top w:val="none" w:sz="0" w:space="0" w:color="auto"/>
        <w:left w:val="none" w:sz="0" w:space="0" w:color="auto"/>
        <w:bottom w:val="none" w:sz="0" w:space="0" w:color="auto"/>
        <w:right w:val="none" w:sz="0" w:space="0" w:color="auto"/>
      </w:divBdr>
    </w:div>
    <w:div w:id="864750509">
      <w:bodyDiv w:val="1"/>
      <w:marLeft w:val="0"/>
      <w:marRight w:val="0"/>
      <w:marTop w:val="0"/>
      <w:marBottom w:val="0"/>
      <w:divBdr>
        <w:top w:val="none" w:sz="0" w:space="0" w:color="auto"/>
        <w:left w:val="none" w:sz="0" w:space="0" w:color="auto"/>
        <w:bottom w:val="none" w:sz="0" w:space="0" w:color="auto"/>
        <w:right w:val="none" w:sz="0" w:space="0" w:color="auto"/>
      </w:divBdr>
    </w:div>
    <w:div w:id="898634094">
      <w:bodyDiv w:val="1"/>
      <w:marLeft w:val="0"/>
      <w:marRight w:val="0"/>
      <w:marTop w:val="0"/>
      <w:marBottom w:val="0"/>
      <w:divBdr>
        <w:top w:val="none" w:sz="0" w:space="0" w:color="auto"/>
        <w:left w:val="none" w:sz="0" w:space="0" w:color="auto"/>
        <w:bottom w:val="none" w:sz="0" w:space="0" w:color="auto"/>
        <w:right w:val="none" w:sz="0" w:space="0" w:color="auto"/>
      </w:divBdr>
    </w:div>
    <w:div w:id="931088145">
      <w:bodyDiv w:val="1"/>
      <w:marLeft w:val="0"/>
      <w:marRight w:val="0"/>
      <w:marTop w:val="0"/>
      <w:marBottom w:val="0"/>
      <w:divBdr>
        <w:top w:val="none" w:sz="0" w:space="0" w:color="auto"/>
        <w:left w:val="none" w:sz="0" w:space="0" w:color="auto"/>
        <w:bottom w:val="none" w:sz="0" w:space="0" w:color="auto"/>
        <w:right w:val="none" w:sz="0" w:space="0" w:color="auto"/>
      </w:divBdr>
    </w:div>
    <w:div w:id="988555034">
      <w:bodyDiv w:val="1"/>
      <w:marLeft w:val="0"/>
      <w:marRight w:val="0"/>
      <w:marTop w:val="0"/>
      <w:marBottom w:val="0"/>
      <w:divBdr>
        <w:top w:val="none" w:sz="0" w:space="0" w:color="auto"/>
        <w:left w:val="none" w:sz="0" w:space="0" w:color="auto"/>
        <w:bottom w:val="none" w:sz="0" w:space="0" w:color="auto"/>
        <w:right w:val="none" w:sz="0" w:space="0" w:color="auto"/>
      </w:divBdr>
    </w:div>
    <w:div w:id="1069619329">
      <w:bodyDiv w:val="1"/>
      <w:marLeft w:val="0"/>
      <w:marRight w:val="0"/>
      <w:marTop w:val="0"/>
      <w:marBottom w:val="0"/>
      <w:divBdr>
        <w:top w:val="none" w:sz="0" w:space="0" w:color="auto"/>
        <w:left w:val="none" w:sz="0" w:space="0" w:color="auto"/>
        <w:bottom w:val="none" w:sz="0" w:space="0" w:color="auto"/>
        <w:right w:val="none" w:sz="0" w:space="0" w:color="auto"/>
      </w:divBdr>
    </w:div>
    <w:div w:id="1102842384">
      <w:bodyDiv w:val="1"/>
      <w:marLeft w:val="0"/>
      <w:marRight w:val="0"/>
      <w:marTop w:val="0"/>
      <w:marBottom w:val="0"/>
      <w:divBdr>
        <w:top w:val="none" w:sz="0" w:space="0" w:color="auto"/>
        <w:left w:val="none" w:sz="0" w:space="0" w:color="auto"/>
        <w:bottom w:val="none" w:sz="0" w:space="0" w:color="auto"/>
        <w:right w:val="none" w:sz="0" w:space="0" w:color="auto"/>
      </w:divBdr>
    </w:div>
    <w:div w:id="1164247691">
      <w:bodyDiv w:val="1"/>
      <w:marLeft w:val="0"/>
      <w:marRight w:val="0"/>
      <w:marTop w:val="0"/>
      <w:marBottom w:val="0"/>
      <w:divBdr>
        <w:top w:val="none" w:sz="0" w:space="0" w:color="auto"/>
        <w:left w:val="none" w:sz="0" w:space="0" w:color="auto"/>
        <w:bottom w:val="none" w:sz="0" w:space="0" w:color="auto"/>
        <w:right w:val="none" w:sz="0" w:space="0" w:color="auto"/>
      </w:divBdr>
    </w:div>
    <w:div w:id="1173255207">
      <w:bodyDiv w:val="1"/>
      <w:marLeft w:val="0"/>
      <w:marRight w:val="0"/>
      <w:marTop w:val="0"/>
      <w:marBottom w:val="0"/>
      <w:divBdr>
        <w:top w:val="none" w:sz="0" w:space="0" w:color="auto"/>
        <w:left w:val="none" w:sz="0" w:space="0" w:color="auto"/>
        <w:bottom w:val="none" w:sz="0" w:space="0" w:color="auto"/>
        <w:right w:val="none" w:sz="0" w:space="0" w:color="auto"/>
      </w:divBdr>
    </w:div>
    <w:div w:id="1329480903">
      <w:bodyDiv w:val="1"/>
      <w:marLeft w:val="0"/>
      <w:marRight w:val="0"/>
      <w:marTop w:val="0"/>
      <w:marBottom w:val="0"/>
      <w:divBdr>
        <w:top w:val="none" w:sz="0" w:space="0" w:color="auto"/>
        <w:left w:val="none" w:sz="0" w:space="0" w:color="auto"/>
        <w:bottom w:val="none" w:sz="0" w:space="0" w:color="auto"/>
        <w:right w:val="none" w:sz="0" w:space="0" w:color="auto"/>
      </w:divBdr>
    </w:div>
    <w:div w:id="1362559755">
      <w:bodyDiv w:val="1"/>
      <w:marLeft w:val="0"/>
      <w:marRight w:val="0"/>
      <w:marTop w:val="0"/>
      <w:marBottom w:val="0"/>
      <w:divBdr>
        <w:top w:val="none" w:sz="0" w:space="0" w:color="auto"/>
        <w:left w:val="none" w:sz="0" w:space="0" w:color="auto"/>
        <w:bottom w:val="none" w:sz="0" w:space="0" w:color="auto"/>
        <w:right w:val="none" w:sz="0" w:space="0" w:color="auto"/>
      </w:divBdr>
    </w:div>
    <w:div w:id="1377312750">
      <w:bodyDiv w:val="1"/>
      <w:marLeft w:val="0"/>
      <w:marRight w:val="0"/>
      <w:marTop w:val="0"/>
      <w:marBottom w:val="0"/>
      <w:divBdr>
        <w:top w:val="none" w:sz="0" w:space="0" w:color="auto"/>
        <w:left w:val="none" w:sz="0" w:space="0" w:color="auto"/>
        <w:bottom w:val="none" w:sz="0" w:space="0" w:color="auto"/>
        <w:right w:val="none" w:sz="0" w:space="0" w:color="auto"/>
      </w:divBdr>
    </w:div>
    <w:div w:id="1392579075">
      <w:bodyDiv w:val="1"/>
      <w:marLeft w:val="0"/>
      <w:marRight w:val="0"/>
      <w:marTop w:val="0"/>
      <w:marBottom w:val="0"/>
      <w:divBdr>
        <w:top w:val="none" w:sz="0" w:space="0" w:color="auto"/>
        <w:left w:val="none" w:sz="0" w:space="0" w:color="auto"/>
        <w:bottom w:val="none" w:sz="0" w:space="0" w:color="auto"/>
        <w:right w:val="none" w:sz="0" w:space="0" w:color="auto"/>
      </w:divBdr>
    </w:div>
    <w:div w:id="1406686731">
      <w:bodyDiv w:val="1"/>
      <w:marLeft w:val="0"/>
      <w:marRight w:val="0"/>
      <w:marTop w:val="0"/>
      <w:marBottom w:val="0"/>
      <w:divBdr>
        <w:top w:val="none" w:sz="0" w:space="0" w:color="auto"/>
        <w:left w:val="none" w:sz="0" w:space="0" w:color="auto"/>
        <w:bottom w:val="none" w:sz="0" w:space="0" w:color="auto"/>
        <w:right w:val="none" w:sz="0" w:space="0" w:color="auto"/>
      </w:divBdr>
    </w:div>
    <w:div w:id="1463035405">
      <w:bodyDiv w:val="1"/>
      <w:marLeft w:val="0"/>
      <w:marRight w:val="0"/>
      <w:marTop w:val="0"/>
      <w:marBottom w:val="0"/>
      <w:divBdr>
        <w:top w:val="none" w:sz="0" w:space="0" w:color="auto"/>
        <w:left w:val="none" w:sz="0" w:space="0" w:color="auto"/>
        <w:bottom w:val="none" w:sz="0" w:space="0" w:color="auto"/>
        <w:right w:val="none" w:sz="0" w:space="0" w:color="auto"/>
      </w:divBdr>
    </w:div>
    <w:div w:id="1648590147">
      <w:bodyDiv w:val="1"/>
      <w:marLeft w:val="0"/>
      <w:marRight w:val="0"/>
      <w:marTop w:val="0"/>
      <w:marBottom w:val="0"/>
      <w:divBdr>
        <w:top w:val="none" w:sz="0" w:space="0" w:color="auto"/>
        <w:left w:val="none" w:sz="0" w:space="0" w:color="auto"/>
        <w:bottom w:val="none" w:sz="0" w:space="0" w:color="auto"/>
        <w:right w:val="none" w:sz="0" w:space="0" w:color="auto"/>
      </w:divBdr>
    </w:div>
    <w:div w:id="1814708925">
      <w:bodyDiv w:val="1"/>
      <w:marLeft w:val="0"/>
      <w:marRight w:val="0"/>
      <w:marTop w:val="0"/>
      <w:marBottom w:val="0"/>
      <w:divBdr>
        <w:top w:val="none" w:sz="0" w:space="0" w:color="auto"/>
        <w:left w:val="none" w:sz="0" w:space="0" w:color="auto"/>
        <w:bottom w:val="none" w:sz="0" w:space="0" w:color="auto"/>
        <w:right w:val="none" w:sz="0" w:space="0" w:color="auto"/>
      </w:divBdr>
    </w:div>
    <w:div w:id="1853957364">
      <w:bodyDiv w:val="1"/>
      <w:marLeft w:val="0"/>
      <w:marRight w:val="0"/>
      <w:marTop w:val="0"/>
      <w:marBottom w:val="0"/>
      <w:divBdr>
        <w:top w:val="none" w:sz="0" w:space="0" w:color="auto"/>
        <w:left w:val="none" w:sz="0" w:space="0" w:color="auto"/>
        <w:bottom w:val="none" w:sz="0" w:space="0" w:color="auto"/>
        <w:right w:val="none" w:sz="0" w:space="0" w:color="auto"/>
      </w:divBdr>
    </w:div>
    <w:div w:id="1904634433">
      <w:bodyDiv w:val="1"/>
      <w:marLeft w:val="0"/>
      <w:marRight w:val="0"/>
      <w:marTop w:val="0"/>
      <w:marBottom w:val="0"/>
      <w:divBdr>
        <w:top w:val="none" w:sz="0" w:space="0" w:color="auto"/>
        <w:left w:val="none" w:sz="0" w:space="0" w:color="auto"/>
        <w:bottom w:val="none" w:sz="0" w:space="0" w:color="auto"/>
        <w:right w:val="none" w:sz="0" w:space="0" w:color="auto"/>
      </w:divBdr>
    </w:div>
    <w:div w:id="1925989349">
      <w:bodyDiv w:val="1"/>
      <w:marLeft w:val="0"/>
      <w:marRight w:val="0"/>
      <w:marTop w:val="0"/>
      <w:marBottom w:val="0"/>
      <w:divBdr>
        <w:top w:val="none" w:sz="0" w:space="0" w:color="auto"/>
        <w:left w:val="none" w:sz="0" w:space="0" w:color="auto"/>
        <w:bottom w:val="none" w:sz="0" w:space="0" w:color="auto"/>
        <w:right w:val="none" w:sz="0" w:space="0" w:color="auto"/>
      </w:divBdr>
    </w:div>
    <w:div w:id="1950358844">
      <w:bodyDiv w:val="1"/>
      <w:marLeft w:val="0"/>
      <w:marRight w:val="0"/>
      <w:marTop w:val="0"/>
      <w:marBottom w:val="0"/>
      <w:divBdr>
        <w:top w:val="none" w:sz="0" w:space="0" w:color="auto"/>
        <w:left w:val="none" w:sz="0" w:space="0" w:color="auto"/>
        <w:bottom w:val="none" w:sz="0" w:space="0" w:color="auto"/>
        <w:right w:val="none" w:sz="0" w:space="0" w:color="auto"/>
      </w:divBdr>
    </w:div>
    <w:div w:id="2049910264">
      <w:bodyDiv w:val="1"/>
      <w:marLeft w:val="0"/>
      <w:marRight w:val="0"/>
      <w:marTop w:val="0"/>
      <w:marBottom w:val="0"/>
      <w:divBdr>
        <w:top w:val="none" w:sz="0" w:space="0" w:color="auto"/>
        <w:left w:val="none" w:sz="0" w:space="0" w:color="auto"/>
        <w:bottom w:val="none" w:sz="0" w:space="0" w:color="auto"/>
        <w:right w:val="none" w:sz="0" w:space="0" w:color="auto"/>
      </w:divBdr>
    </w:div>
    <w:div w:id="2056658042">
      <w:bodyDiv w:val="1"/>
      <w:marLeft w:val="0"/>
      <w:marRight w:val="0"/>
      <w:marTop w:val="0"/>
      <w:marBottom w:val="0"/>
      <w:divBdr>
        <w:top w:val="none" w:sz="0" w:space="0" w:color="auto"/>
        <w:left w:val="none" w:sz="0" w:space="0" w:color="auto"/>
        <w:bottom w:val="none" w:sz="0" w:space="0" w:color="auto"/>
        <w:right w:val="none" w:sz="0" w:space="0" w:color="auto"/>
      </w:divBdr>
    </w:div>
    <w:div w:id="2113743474">
      <w:bodyDiv w:val="1"/>
      <w:marLeft w:val="0"/>
      <w:marRight w:val="0"/>
      <w:marTop w:val="0"/>
      <w:marBottom w:val="0"/>
      <w:divBdr>
        <w:top w:val="none" w:sz="0" w:space="0" w:color="auto"/>
        <w:left w:val="none" w:sz="0" w:space="0" w:color="auto"/>
        <w:bottom w:val="none" w:sz="0" w:space="0" w:color="auto"/>
        <w:right w:val="none" w:sz="0" w:space="0" w:color="auto"/>
      </w:divBdr>
      <w:divsChild>
        <w:div w:id="875703359">
          <w:marLeft w:val="0"/>
          <w:marRight w:val="0"/>
          <w:marTop w:val="0"/>
          <w:marBottom w:val="0"/>
          <w:divBdr>
            <w:top w:val="none" w:sz="0" w:space="0" w:color="auto"/>
            <w:left w:val="none" w:sz="0" w:space="0" w:color="auto"/>
            <w:bottom w:val="none" w:sz="0" w:space="0" w:color="auto"/>
            <w:right w:val="none" w:sz="0" w:space="0" w:color="auto"/>
          </w:divBdr>
          <w:divsChild>
            <w:div w:id="884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185">
      <w:bodyDiv w:val="1"/>
      <w:marLeft w:val="0"/>
      <w:marRight w:val="0"/>
      <w:marTop w:val="0"/>
      <w:marBottom w:val="0"/>
      <w:divBdr>
        <w:top w:val="none" w:sz="0" w:space="0" w:color="auto"/>
        <w:left w:val="none" w:sz="0" w:space="0" w:color="auto"/>
        <w:bottom w:val="none" w:sz="0" w:space="0" w:color="auto"/>
        <w:right w:val="none" w:sz="0" w:space="0" w:color="auto"/>
      </w:divBdr>
    </w:div>
    <w:div w:id="2137212541">
      <w:bodyDiv w:val="1"/>
      <w:marLeft w:val="0"/>
      <w:marRight w:val="0"/>
      <w:marTop w:val="0"/>
      <w:marBottom w:val="0"/>
      <w:divBdr>
        <w:top w:val="none" w:sz="0" w:space="0" w:color="auto"/>
        <w:left w:val="none" w:sz="0" w:space="0" w:color="auto"/>
        <w:bottom w:val="none" w:sz="0" w:space="0" w:color="auto"/>
        <w:right w:val="none" w:sz="0" w:space="0" w:color="auto"/>
      </w:divBdr>
    </w:div>
    <w:div w:id="213937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52.xml"/><Relationship Id="rId299" Type="http://schemas.openxmlformats.org/officeDocument/2006/relationships/header" Target="header144.xml"/><Relationship Id="rId21" Type="http://schemas.openxmlformats.org/officeDocument/2006/relationships/footer" Target="footer4.xml"/><Relationship Id="rId42" Type="http://schemas.openxmlformats.org/officeDocument/2006/relationships/footer" Target="footer15.xml"/><Relationship Id="rId63" Type="http://schemas.openxmlformats.org/officeDocument/2006/relationships/footer" Target="footer25.xml"/><Relationship Id="rId84" Type="http://schemas.openxmlformats.org/officeDocument/2006/relationships/footer" Target="footer36.xml"/><Relationship Id="rId138" Type="http://schemas.openxmlformats.org/officeDocument/2006/relationships/footer" Target="footer63.xml"/><Relationship Id="rId159" Type="http://schemas.openxmlformats.org/officeDocument/2006/relationships/footer" Target="footer73.xml"/><Relationship Id="rId324" Type="http://schemas.openxmlformats.org/officeDocument/2006/relationships/footer" Target="footer156.xml"/><Relationship Id="rId345" Type="http://schemas.openxmlformats.org/officeDocument/2006/relationships/footer" Target="footer166.xml"/><Relationship Id="rId366" Type="http://schemas.openxmlformats.org/officeDocument/2006/relationships/footer" Target="footer177.xml"/><Relationship Id="rId170" Type="http://schemas.openxmlformats.org/officeDocument/2006/relationships/header" Target="header80.xml"/><Relationship Id="rId191" Type="http://schemas.openxmlformats.org/officeDocument/2006/relationships/header" Target="header90.xml"/><Relationship Id="rId205" Type="http://schemas.openxmlformats.org/officeDocument/2006/relationships/header" Target="header97.xml"/><Relationship Id="rId226" Type="http://schemas.openxmlformats.org/officeDocument/2006/relationships/footer" Target="footer107.xml"/><Relationship Id="rId247" Type="http://schemas.openxmlformats.org/officeDocument/2006/relationships/header" Target="header118.xml"/><Relationship Id="rId107" Type="http://schemas.openxmlformats.org/officeDocument/2006/relationships/header" Target="header48.xml"/><Relationship Id="rId268" Type="http://schemas.openxmlformats.org/officeDocument/2006/relationships/footer" Target="footer128.xml"/><Relationship Id="rId289" Type="http://schemas.openxmlformats.org/officeDocument/2006/relationships/header" Target="header139.xml"/><Relationship Id="rId11" Type="http://schemas.openxmlformats.org/officeDocument/2006/relationships/endnotes" Target="endnotes.xml"/><Relationship Id="rId32" Type="http://schemas.openxmlformats.org/officeDocument/2006/relationships/header" Target="header11.xml"/><Relationship Id="rId53" Type="http://schemas.openxmlformats.org/officeDocument/2006/relationships/header" Target="header21.xml"/><Relationship Id="rId74" Type="http://schemas.openxmlformats.org/officeDocument/2006/relationships/header" Target="header32.xml"/><Relationship Id="rId128" Type="http://schemas.openxmlformats.org/officeDocument/2006/relationships/header" Target="header59.xml"/><Relationship Id="rId149" Type="http://schemas.openxmlformats.org/officeDocument/2006/relationships/header" Target="header69.xml"/><Relationship Id="rId314" Type="http://schemas.openxmlformats.org/officeDocument/2006/relationships/header" Target="header152.xml"/><Relationship Id="rId335" Type="http://schemas.openxmlformats.org/officeDocument/2006/relationships/header" Target="header162.xml"/><Relationship Id="rId356" Type="http://schemas.openxmlformats.org/officeDocument/2006/relationships/header" Target="header173.xml"/><Relationship Id="rId377" Type="http://schemas.openxmlformats.org/officeDocument/2006/relationships/header" Target="header183.xml"/><Relationship Id="rId5" Type="http://schemas.openxmlformats.org/officeDocument/2006/relationships/numbering" Target="numbering.xml"/><Relationship Id="rId95" Type="http://schemas.openxmlformats.org/officeDocument/2006/relationships/header" Target="header42.xml"/><Relationship Id="rId160" Type="http://schemas.openxmlformats.org/officeDocument/2006/relationships/footer" Target="footer74.xml"/><Relationship Id="rId181" Type="http://schemas.openxmlformats.org/officeDocument/2006/relationships/header" Target="header85.xml"/><Relationship Id="rId216" Type="http://schemas.openxmlformats.org/officeDocument/2006/relationships/footer" Target="footer102.xml"/><Relationship Id="rId237" Type="http://schemas.openxmlformats.org/officeDocument/2006/relationships/footer" Target="footer112.xml"/><Relationship Id="rId258" Type="http://schemas.openxmlformats.org/officeDocument/2006/relationships/footer" Target="footer123.xml"/><Relationship Id="rId279" Type="http://schemas.openxmlformats.org/officeDocument/2006/relationships/footer" Target="footer133.xml"/><Relationship Id="rId22" Type="http://schemas.openxmlformats.org/officeDocument/2006/relationships/footer" Target="footer5.xml"/><Relationship Id="rId43" Type="http://schemas.openxmlformats.org/officeDocument/2006/relationships/header" Target="header16.xml"/><Relationship Id="rId64" Type="http://schemas.openxmlformats.org/officeDocument/2006/relationships/footer" Target="footer26.xml"/><Relationship Id="rId118" Type="http://schemas.openxmlformats.org/officeDocument/2006/relationships/footer" Target="footer53.xml"/><Relationship Id="rId139" Type="http://schemas.openxmlformats.org/officeDocument/2006/relationships/header" Target="header64.xml"/><Relationship Id="rId290" Type="http://schemas.openxmlformats.org/officeDocument/2006/relationships/header" Target="header140.xml"/><Relationship Id="rId304" Type="http://schemas.openxmlformats.org/officeDocument/2006/relationships/footer" Target="footer146.xml"/><Relationship Id="rId325" Type="http://schemas.openxmlformats.org/officeDocument/2006/relationships/header" Target="header157.xml"/><Relationship Id="rId346" Type="http://schemas.openxmlformats.org/officeDocument/2006/relationships/footer" Target="footer167.xml"/><Relationship Id="rId367" Type="http://schemas.openxmlformats.org/officeDocument/2006/relationships/header" Target="header178.xml"/><Relationship Id="rId85" Type="http://schemas.openxmlformats.org/officeDocument/2006/relationships/header" Target="header37.xml"/><Relationship Id="rId150" Type="http://schemas.openxmlformats.org/officeDocument/2006/relationships/footer" Target="footer69.xml"/><Relationship Id="rId171" Type="http://schemas.openxmlformats.org/officeDocument/2006/relationships/footer" Target="footer79.xml"/><Relationship Id="rId192" Type="http://schemas.openxmlformats.org/officeDocument/2006/relationships/footer" Target="footer90.xml"/><Relationship Id="rId206" Type="http://schemas.openxmlformats.org/officeDocument/2006/relationships/header" Target="header98.xml"/><Relationship Id="rId227" Type="http://schemas.openxmlformats.org/officeDocument/2006/relationships/header" Target="header108.xml"/><Relationship Id="rId248" Type="http://schemas.openxmlformats.org/officeDocument/2006/relationships/header" Target="header119.xml"/><Relationship Id="rId269" Type="http://schemas.openxmlformats.org/officeDocument/2006/relationships/header" Target="header129.xml"/><Relationship Id="rId12" Type="http://schemas.openxmlformats.org/officeDocument/2006/relationships/image" Target="media/image1.emf"/><Relationship Id="rId33" Type="http://schemas.openxmlformats.org/officeDocument/2006/relationships/footer" Target="footer10.xml"/><Relationship Id="rId108" Type="http://schemas.openxmlformats.org/officeDocument/2006/relationships/footer" Target="footer48.xml"/><Relationship Id="rId129" Type="http://schemas.openxmlformats.org/officeDocument/2006/relationships/footer" Target="footer58.xml"/><Relationship Id="rId280" Type="http://schemas.openxmlformats.org/officeDocument/2006/relationships/footer" Target="footer134.xml"/><Relationship Id="rId315" Type="http://schemas.openxmlformats.org/officeDocument/2006/relationships/footer" Target="footer151.xml"/><Relationship Id="rId336" Type="http://schemas.openxmlformats.org/officeDocument/2006/relationships/footer" Target="footer162.xml"/><Relationship Id="rId357" Type="http://schemas.openxmlformats.org/officeDocument/2006/relationships/footer" Target="footer172.xml"/><Relationship Id="rId54" Type="http://schemas.openxmlformats.org/officeDocument/2006/relationships/footer" Target="footer21.xml"/><Relationship Id="rId75" Type="http://schemas.openxmlformats.org/officeDocument/2006/relationships/footer" Target="footer31.xml"/><Relationship Id="rId96" Type="http://schemas.openxmlformats.org/officeDocument/2006/relationships/footer" Target="footer42.xml"/><Relationship Id="rId140" Type="http://schemas.openxmlformats.org/officeDocument/2006/relationships/header" Target="header65.xml"/><Relationship Id="rId161" Type="http://schemas.openxmlformats.org/officeDocument/2006/relationships/header" Target="header75.xml"/><Relationship Id="rId182" Type="http://schemas.openxmlformats.org/officeDocument/2006/relationships/header" Target="header86.xml"/><Relationship Id="rId217" Type="http://schemas.openxmlformats.org/officeDocument/2006/relationships/header" Target="header103.xml"/><Relationship Id="rId378" Type="http://schemas.openxmlformats.org/officeDocument/2006/relationships/footer" Target="footer183.xml"/><Relationship Id="rId6" Type="http://schemas.openxmlformats.org/officeDocument/2006/relationships/styles" Target="styles.xml"/><Relationship Id="rId238" Type="http://schemas.openxmlformats.org/officeDocument/2006/relationships/footer" Target="footer113.xml"/><Relationship Id="rId259" Type="http://schemas.openxmlformats.org/officeDocument/2006/relationships/header" Target="header124.xml"/><Relationship Id="rId23" Type="http://schemas.openxmlformats.org/officeDocument/2006/relationships/header" Target="header6.xml"/><Relationship Id="rId119" Type="http://schemas.openxmlformats.org/officeDocument/2006/relationships/header" Target="header54.xml"/><Relationship Id="rId270" Type="http://schemas.openxmlformats.org/officeDocument/2006/relationships/footer" Target="footer129.xml"/><Relationship Id="rId291" Type="http://schemas.openxmlformats.org/officeDocument/2006/relationships/footer" Target="footer139.xml"/><Relationship Id="rId305" Type="http://schemas.openxmlformats.org/officeDocument/2006/relationships/header" Target="header147.xml"/><Relationship Id="rId326" Type="http://schemas.openxmlformats.org/officeDocument/2006/relationships/header" Target="header158.xml"/><Relationship Id="rId347" Type="http://schemas.openxmlformats.org/officeDocument/2006/relationships/header" Target="header168.xml"/><Relationship Id="rId44" Type="http://schemas.openxmlformats.org/officeDocument/2006/relationships/header" Target="header17.xml"/><Relationship Id="rId65" Type="http://schemas.openxmlformats.org/officeDocument/2006/relationships/header" Target="header27.xml"/><Relationship Id="rId86" Type="http://schemas.openxmlformats.org/officeDocument/2006/relationships/header" Target="header38.xml"/><Relationship Id="rId130" Type="http://schemas.openxmlformats.org/officeDocument/2006/relationships/footer" Target="footer59.xml"/><Relationship Id="rId151" Type="http://schemas.openxmlformats.org/officeDocument/2006/relationships/header" Target="header70.xml"/><Relationship Id="rId368" Type="http://schemas.openxmlformats.org/officeDocument/2006/relationships/header" Target="header179.xml"/><Relationship Id="rId172" Type="http://schemas.openxmlformats.org/officeDocument/2006/relationships/footer" Target="footer80.xml"/><Relationship Id="rId193" Type="http://schemas.openxmlformats.org/officeDocument/2006/relationships/header" Target="header91.xml"/><Relationship Id="rId207" Type="http://schemas.openxmlformats.org/officeDocument/2006/relationships/footer" Target="footer97.xml"/><Relationship Id="rId228" Type="http://schemas.openxmlformats.org/officeDocument/2006/relationships/footer" Target="footer108.xml"/><Relationship Id="rId249" Type="http://schemas.openxmlformats.org/officeDocument/2006/relationships/footer" Target="footer118.xml"/><Relationship Id="rId13" Type="http://schemas.openxmlformats.org/officeDocument/2006/relationships/header" Target="header1.xml"/><Relationship Id="rId109" Type="http://schemas.openxmlformats.org/officeDocument/2006/relationships/header" Target="header49.xml"/><Relationship Id="rId260" Type="http://schemas.openxmlformats.org/officeDocument/2006/relationships/header" Target="header125.xml"/><Relationship Id="rId281" Type="http://schemas.openxmlformats.org/officeDocument/2006/relationships/header" Target="header135.xml"/><Relationship Id="rId316" Type="http://schemas.openxmlformats.org/officeDocument/2006/relationships/footer" Target="footer152.xml"/><Relationship Id="rId337" Type="http://schemas.openxmlformats.org/officeDocument/2006/relationships/header" Target="header163.xml"/><Relationship Id="rId34" Type="http://schemas.openxmlformats.org/officeDocument/2006/relationships/footer" Target="footer11.xml"/><Relationship Id="rId55" Type="http://schemas.openxmlformats.org/officeDocument/2006/relationships/header" Target="header22.xml"/><Relationship Id="rId76" Type="http://schemas.openxmlformats.org/officeDocument/2006/relationships/footer" Target="footer32.xml"/><Relationship Id="rId97" Type="http://schemas.openxmlformats.org/officeDocument/2006/relationships/header" Target="header43.xml"/><Relationship Id="rId120" Type="http://schemas.openxmlformats.org/officeDocument/2006/relationships/footer" Target="footer54.xml"/><Relationship Id="rId141" Type="http://schemas.openxmlformats.org/officeDocument/2006/relationships/footer" Target="footer64.xml"/><Relationship Id="rId358" Type="http://schemas.openxmlformats.org/officeDocument/2006/relationships/footer" Target="footer173.xml"/><Relationship Id="rId379" Type="http://schemas.openxmlformats.org/officeDocument/2006/relationships/header" Target="header184.xml"/><Relationship Id="rId7" Type="http://schemas.microsoft.com/office/2007/relationships/stylesWithEffects" Target="stylesWithEffects.xml"/><Relationship Id="rId162" Type="http://schemas.openxmlformats.org/officeDocument/2006/relationships/footer" Target="footer75.xml"/><Relationship Id="rId183" Type="http://schemas.openxmlformats.org/officeDocument/2006/relationships/footer" Target="footer85.xml"/><Relationship Id="rId218" Type="http://schemas.openxmlformats.org/officeDocument/2006/relationships/header" Target="header104.xml"/><Relationship Id="rId239" Type="http://schemas.openxmlformats.org/officeDocument/2006/relationships/header" Target="header114.xml"/><Relationship Id="rId250" Type="http://schemas.openxmlformats.org/officeDocument/2006/relationships/footer" Target="footer119.xml"/><Relationship Id="rId271" Type="http://schemas.openxmlformats.org/officeDocument/2006/relationships/header" Target="header130.xml"/><Relationship Id="rId292" Type="http://schemas.openxmlformats.org/officeDocument/2006/relationships/footer" Target="footer140.xml"/><Relationship Id="rId306" Type="http://schemas.openxmlformats.org/officeDocument/2006/relationships/footer" Target="footer147.xml"/><Relationship Id="rId24" Type="http://schemas.openxmlformats.org/officeDocument/2006/relationships/footer" Target="footer6.xml"/><Relationship Id="rId45" Type="http://schemas.openxmlformats.org/officeDocument/2006/relationships/footer" Target="footer16.xml"/><Relationship Id="rId66" Type="http://schemas.openxmlformats.org/officeDocument/2006/relationships/footer" Target="footer27.xml"/><Relationship Id="rId87" Type="http://schemas.openxmlformats.org/officeDocument/2006/relationships/footer" Target="footer37.xml"/><Relationship Id="rId110" Type="http://schemas.openxmlformats.org/officeDocument/2006/relationships/header" Target="header50.xml"/><Relationship Id="rId131" Type="http://schemas.openxmlformats.org/officeDocument/2006/relationships/header" Target="header60.xml"/><Relationship Id="rId327" Type="http://schemas.openxmlformats.org/officeDocument/2006/relationships/footer" Target="footer157.xml"/><Relationship Id="rId348" Type="http://schemas.openxmlformats.org/officeDocument/2006/relationships/footer" Target="footer168.xml"/><Relationship Id="rId369" Type="http://schemas.openxmlformats.org/officeDocument/2006/relationships/footer" Target="footer178.xml"/><Relationship Id="rId152" Type="http://schemas.openxmlformats.org/officeDocument/2006/relationships/header" Target="header71.xml"/><Relationship Id="rId173" Type="http://schemas.openxmlformats.org/officeDocument/2006/relationships/header" Target="header81.xml"/><Relationship Id="rId194" Type="http://schemas.openxmlformats.org/officeDocument/2006/relationships/header" Target="header92.xml"/><Relationship Id="rId208" Type="http://schemas.openxmlformats.org/officeDocument/2006/relationships/footer" Target="footer98.xml"/><Relationship Id="rId229" Type="http://schemas.openxmlformats.org/officeDocument/2006/relationships/header" Target="header109.xml"/><Relationship Id="rId380" Type="http://schemas.openxmlformats.org/officeDocument/2006/relationships/header" Target="header185.xml"/><Relationship Id="rId240" Type="http://schemas.openxmlformats.org/officeDocument/2006/relationships/footer" Target="footer114.xml"/><Relationship Id="rId261" Type="http://schemas.openxmlformats.org/officeDocument/2006/relationships/footer" Target="footer124.xml"/><Relationship Id="rId14" Type="http://schemas.openxmlformats.org/officeDocument/2006/relationships/header" Target="header2.xml"/><Relationship Id="rId35" Type="http://schemas.openxmlformats.org/officeDocument/2006/relationships/header" Target="header12.xml"/><Relationship Id="rId56" Type="http://schemas.openxmlformats.org/officeDocument/2006/relationships/header" Target="header23.xml"/><Relationship Id="rId77" Type="http://schemas.openxmlformats.org/officeDocument/2006/relationships/header" Target="header33.xml"/><Relationship Id="rId100" Type="http://schemas.openxmlformats.org/officeDocument/2006/relationships/footer" Target="footer44.xml"/><Relationship Id="rId282" Type="http://schemas.openxmlformats.org/officeDocument/2006/relationships/footer" Target="footer135.xml"/><Relationship Id="rId317" Type="http://schemas.openxmlformats.org/officeDocument/2006/relationships/header" Target="header153.xml"/><Relationship Id="rId338" Type="http://schemas.openxmlformats.org/officeDocument/2006/relationships/header" Target="header164.xml"/><Relationship Id="rId359" Type="http://schemas.openxmlformats.org/officeDocument/2006/relationships/header" Target="header174.xml"/><Relationship Id="rId8" Type="http://schemas.openxmlformats.org/officeDocument/2006/relationships/settings" Target="settings.xml"/><Relationship Id="rId98" Type="http://schemas.openxmlformats.org/officeDocument/2006/relationships/header" Target="header44.xml"/><Relationship Id="rId121" Type="http://schemas.openxmlformats.org/officeDocument/2006/relationships/header" Target="header55.xml"/><Relationship Id="rId142" Type="http://schemas.openxmlformats.org/officeDocument/2006/relationships/footer" Target="footer65.xml"/><Relationship Id="rId163" Type="http://schemas.openxmlformats.org/officeDocument/2006/relationships/header" Target="header76.xml"/><Relationship Id="rId184" Type="http://schemas.openxmlformats.org/officeDocument/2006/relationships/footer" Target="footer86.xml"/><Relationship Id="rId219" Type="http://schemas.openxmlformats.org/officeDocument/2006/relationships/footer" Target="footer103.xml"/><Relationship Id="rId370" Type="http://schemas.openxmlformats.org/officeDocument/2006/relationships/footer" Target="footer179.xml"/><Relationship Id="rId230" Type="http://schemas.openxmlformats.org/officeDocument/2006/relationships/header" Target="header110.xml"/><Relationship Id="rId251" Type="http://schemas.openxmlformats.org/officeDocument/2006/relationships/header" Target="header120.xml"/><Relationship Id="rId25" Type="http://schemas.openxmlformats.org/officeDocument/2006/relationships/header" Target="header7.xml"/><Relationship Id="rId46" Type="http://schemas.openxmlformats.org/officeDocument/2006/relationships/footer" Target="footer17.xml"/><Relationship Id="rId67" Type="http://schemas.openxmlformats.org/officeDocument/2006/relationships/header" Target="header28.xml"/><Relationship Id="rId272" Type="http://schemas.openxmlformats.org/officeDocument/2006/relationships/header" Target="header131.xml"/><Relationship Id="rId293" Type="http://schemas.openxmlformats.org/officeDocument/2006/relationships/header" Target="header141.xml"/><Relationship Id="rId307" Type="http://schemas.openxmlformats.org/officeDocument/2006/relationships/header" Target="header148.xml"/><Relationship Id="rId328" Type="http://schemas.openxmlformats.org/officeDocument/2006/relationships/footer" Target="footer158.xml"/><Relationship Id="rId349" Type="http://schemas.openxmlformats.org/officeDocument/2006/relationships/header" Target="header169.xml"/><Relationship Id="rId88" Type="http://schemas.openxmlformats.org/officeDocument/2006/relationships/footer" Target="footer38.xml"/><Relationship Id="rId111" Type="http://schemas.openxmlformats.org/officeDocument/2006/relationships/footer" Target="footer49.xml"/><Relationship Id="rId132" Type="http://schemas.openxmlformats.org/officeDocument/2006/relationships/footer" Target="footer60.xml"/><Relationship Id="rId153" Type="http://schemas.openxmlformats.org/officeDocument/2006/relationships/footer" Target="footer70.xml"/><Relationship Id="rId174" Type="http://schemas.openxmlformats.org/officeDocument/2006/relationships/footer" Target="footer81.xml"/><Relationship Id="rId195" Type="http://schemas.openxmlformats.org/officeDocument/2006/relationships/footer" Target="footer91.xml"/><Relationship Id="rId209" Type="http://schemas.openxmlformats.org/officeDocument/2006/relationships/header" Target="header99.xml"/><Relationship Id="rId360" Type="http://schemas.openxmlformats.org/officeDocument/2006/relationships/footer" Target="footer174.xml"/><Relationship Id="rId381" Type="http://schemas.openxmlformats.org/officeDocument/2006/relationships/footer" Target="footer184.xml"/><Relationship Id="rId220" Type="http://schemas.openxmlformats.org/officeDocument/2006/relationships/footer" Target="footer104.xml"/><Relationship Id="rId241" Type="http://schemas.openxmlformats.org/officeDocument/2006/relationships/header" Target="header115.xml"/><Relationship Id="rId15" Type="http://schemas.openxmlformats.org/officeDocument/2006/relationships/footer" Target="footer1.xml"/><Relationship Id="rId36" Type="http://schemas.openxmlformats.org/officeDocument/2006/relationships/footer" Target="footer12.xml"/><Relationship Id="rId57" Type="http://schemas.openxmlformats.org/officeDocument/2006/relationships/footer" Target="footer22.xml"/><Relationship Id="rId262" Type="http://schemas.openxmlformats.org/officeDocument/2006/relationships/footer" Target="footer125.xml"/><Relationship Id="rId283" Type="http://schemas.openxmlformats.org/officeDocument/2006/relationships/header" Target="header136.xml"/><Relationship Id="rId318" Type="http://schemas.openxmlformats.org/officeDocument/2006/relationships/footer" Target="footer153.xml"/><Relationship Id="rId339" Type="http://schemas.openxmlformats.org/officeDocument/2006/relationships/footer" Target="footer163.xml"/><Relationship Id="rId78" Type="http://schemas.openxmlformats.org/officeDocument/2006/relationships/footer" Target="footer33.xml"/><Relationship Id="rId99" Type="http://schemas.openxmlformats.org/officeDocument/2006/relationships/footer" Target="footer43.xml"/><Relationship Id="rId101" Type="http://schemas.openxmlformats.org/officeDocument/2006/relationships/header" Target="header45.xml"/><Relationship Id="rId122" Type="http://schemas.openxmlformats.org/officeDocument/2006/relationships/header" Target="header56.xml"/><Relationship Id="rId143" Type="http://schemas.openxmlformats.org/officeDocument/2006/relationships/header" Target="header66.xml"/><Relationship Id="rId164" Type="http://schemas.openxmlformats.org/officeDocument/2006/relationships/header" Target="header77.xml"/><Relationship Id="rId185" Type="http://schemas.openxmlformats.org/officeDocument/2006/relationships/header" Target="header87.xml"/><Relationship Id="rId350" Type="http://schemas.openxmlformats.org/officeDocument/2006/relationships/header" Target="header170.xml"/><Relationship Id="rId371" Type="http://schemas.openxmlformats.org/officeDocument/2006/relationships/header" Target="header180.xml"/><Relationship Id="rId9" Type="http://schemas.openxmlformats.org/officeDocument/2006/relationships/webSettings" Target="webSettings.xml"/><Relationship Id="rId210" Type="http://schemas.openxmlformats.org/officeDocument/2006/relationships/footer" Target="footer99.xml"/><Relationship Id="rId26" Type="http://schemas.openxmlformats.org/officeDocument/2006/relationships/header" Target="header8.xml"/><Relationship Id="rId231" Type="http://schemas.openxmlformats.org/officeDocument/2006/relationships/footer" Target="footer109.xml"/><Relationship Id="rId252" Type="http://schemas.openxmlformats.org/officeDocument/2006/relationships/footer" Target="footer120.xml"/><Relationship Id="rId273" Type="http://schemas.openxmlformats.org/officeDocument/2006/relationships/footer" Target="footer130.xml"/><Relationship Id="rId294" Type="http://schemas.openxmlformats.org/officeDocument/2006/relationships/footer" Target="footer141.xml"/><Relationship Id="rId308" Type="http://schemas.openxmlformats.org/officeDocument/2006/relationships/header" Target="header149.xml"/><Relationship Id="rId329" Type="http://schemas.openxmlformats.org/officeDocument/2006/relationships/header" Target="header159.xml"/><Relationship Id="rId47" Type="http://schemas.openxmlformats.org/officeDocument/2006/relationships/header" Target="header18.xml"/><Relationship Id="rId68" Type="http://schemas.openxmlformats.org/officeDocument/2006/relationships/header" Target="header29.xml"/><Relationship Id="rId89" Type="http://schemas.openxmlformats.org/officeDocument/2006/relationships/header" Target="header39.xml"/><Relationship Id="rId112" Type="http://schemas.openxmlformats.org/officeDocument/2006/relationships/footer" Target="footer50.xml"/><Relationship Id="rId133" Type="http://schemas.openxmlformats.org/officeDocument/2006/relationships/header" Target="header61.xml"/><Relationship Id="rId154" Type="http://schemas.openxmlformats.org/officeDocument/2006/relationships/footer" Target="footer71.xml"/><Relationship Id="rId175" Type="http://schemas.openxmlformats.org/officeDocument/2006/relationships/header" Target="header82.xml"/><Relationship Id="rId340" Type="http://schemas.openxmlformats.org/officeDocument/2006/relationships/footer" Target="footer164.xml"/><Relationship Id="rId361" Type="http://schemas.openxmlformats.org/officeDocument/2006/relationships/header" Target="header175.xml"/><Relationship Id="rId196" Type="http://schemas.openxmlformats.org/officeDocument/2006/relationships/footer" Target="footer92.xml"/><Relationship Id="rId200" Type="http://schemas.openxmlformats.org/officeDocument/2006/relationships/header" Target="header95.xml"/><Relationship Id="rId382" Type="http://schemas.openxmlformats.org/officeDocument/2006/relationships/footer" Target="footer185.xml"/><Relationship Id="rId16" Type="http://schemas.openxmlformats.org/officeDocument/2006/relationships/footer" Target="footer2.xml"/><Relationship Id="rId221" Type="http://schemas.openxmlformats.org/officeDocument/2006/relationships/header" Target="header105.xml"/><Relationship Id="rId242" Type="http://schemas.openxmlformats.org/officeDocument/2006/relationships/header" Target="header116.xml"/><Relationship Id="rId263" Type="http://schemas.openxmlformats.org/officeDocument/2006/relationships/header" Target="header126.xml"/><Relationship Id="rId284" Type="http://schemas.openxmlformats.org/officeDocument/2006/relationships/header" Target="header137.xml"/><Relationship Id="rId319" Type="http://schemas.openxmlformats.org/officeDocument/2006/relationships/header" Target="header154.xml"/><Relationship Id="rId37" Type="http://schemas.openxmlformats.org/officeDocument/2006/relationships/header" Target="header13.xml"/><Relationship Id="rId58" Type="http://schemas.openxmlformats.org/officeDocument/2006/relationships/footer" Target="footer23.xml"/><Relationship Id="rId79" Type="http://schemas.openxmlformats.org/officeDocument/2006/relationships/header" Target="header34.xml"/><Relationship Id="rId102" Type="http://schemas.openxmlformats.org/officeDocument/2006/relationships/footer" Target="footer45.xml"/><Relationship Id="rId123" Type="http://schemas.openxmlformats.org/officeDocument/2006/relationships/footer" Target="footer55.xml"/><Relationship Id="rId144" Type="http://schemas.openxmlformats.org/officeDocument/2006/relationships/footer" Target="footer66.xml"/><Relationship Id="rId330" Type="http://schemas.openxmlformats.org/officeDocument/2006/relationships/footer" Target="footer159.xml"/><Relationship Id="rId90" Type="http://schemas.openxmlformats.org/officeDocument/2006/relationships/footer" Target="footer39.xml"/><Relationship Id="rId165" Type="http://schemas.openxmlformats.org/officeDocument/2006/relationships/footer" Target="footer76.xml"/><Relationship Id="rId186" Type="http://schemas.openxmlformats.org/officeDocument/2006/relationships/footer" Target="footer87.xml"/><Relationship Id="rId351" Type="http://schemas.openxmlformats.org/officeDocument/2006/relationships/footer" Target="footer169.xml"/><Relationship Id="rId372" Type="http://schemas.openxmlformats.org/officeDocument/2006/relationships/footer" Target="footer180.xml"/><Relationship Id="rId211" Type="http://schemas.openxmlformats.org/officeDocument/2006/relationships/header" Target="header100.xml"/><Relationship Id="rId232" Type="http://schemas.openxmlformats.org/officeDocument/2006/relationships/footer" Target="footer110.xml"/><Relationship Id="rId253" Type="http://schemas.openxmlformats.org/officeDocument/2006/relationships/header" Target="header121.xml"/><Relationship Id="rId274" Type="http://schemas.openxmlformats.org/officeDocument/2006/relationships/footer" Target="footer131.xml"/><Relationship Id="rId295" Type="http://schemas.openxmlformats.org/officeDocument/2006/relationships/header" Target="header142.xml"/><Relationship Id="rId309" Type="http://schemas.openxmlformats.org/officeDocument/2006/relationships/footer" Target="footer148.xml"/><Relationship Id="rId27" Type="http://schemas.openxmlformats.org/officeDocument/2006/relationships/footer" Target="footer7.xml"/><Relationship Id="rId48" Type="http://schemas.openxmlformats.org/officeDocument/2006/relationships/footer" Target="footer18.xml"/><Relationship Id="rId69" Type="http://schemas.openxmlformats.org/officeDocument/2006/relationships/footer" Target="footer28.xml"/><Relationship Id="rId113" Type="http://schemas.openxmlformats.org/officeDocument/2006/relationships/header" Target="header51.xml"/><Relationship Id="rId134" Type="http://schemas.openxmlformats.org/officeDocument/2006/relationships/header" Target="header62.xml"/><Relationship Id="rId320" Type="http://schemas.openxmlformats.org/officeDocument/2006/relationships/header" Target="header155.xml"/><Relationship Id="rId80" Type="http://schemas.openxmlformats.org/officeDocument/2006/relationships/header" Target="header35.xml"/><Relationship Id="rId155" Type="http://schemas.openxmlformats.org/officeDocument/2006/relationships/header" Target="header72.xml"/><Relationship Id="rId176" Type="http://schemas.openxmlformats.org/officeDocument/2006/relationships/header" Target="header83.xml"/><Relationship Id="rId197" Type="http://schemas.openxmlformats.org/officeDocument/2006/relationships/header" Target="header93.xml"/><Relationship Id="rId341" Type="http://schemas.openxmlformats.org/officeDocument/2006/relationships/header" Target="header165.xml"/><Relationship Id="rId362" Type="http://schemas.openxmlformats.org/officeDocument/2006/relationships/header" Target="header176.xml"/><Relationship Id="rId383" Type="http://schemas.openxmlformats.org/officeDocument/2006/relationships/header" Target="header186.xml"/><Relationship Id="rId201" Type="http://schemas.openxmlformats.org/officeDocument/2006/relationships/footer" Target="footer94.xml"/><Relationship Id="rId222" Type="http://schemas.openxmlformats.org/officeDocument/2006/relationships/footer" Target="footer105.xml"/><Relationship Id="rId243" Type="http://schemas.openxmlformats.org/officeDocument/2006/relationships/footer" Target="footer115.xml"/><Relationship Id="rId264" Type="http://schemas.openxmlformats.org/officeDocument/2006/relationships/footer" Target="footer126.xml"/><Relationship Id="rId285" Type="http://schemas.openxmlformats.org/officeDocument/2006/relationships/footer" Target="footer136.xml"/><Relationship Id="rId17" Type="http://schemas.openxmlformats.org/officeDocument/2006/relationships/header" Target="header3.xml"/><Relationship Id="rId38" Type="http://schemas.openxmlformats.org/officeDocument/2006/relationships/header" Target="header14.xml"/><Relationship Id="rId59" Type="http://schemas.openxmlformats.org/officeDocument/2006/relationships/header" Target="header24.xml"/><Relationship Id="rId103" Type="http://schemas.openxmlformats.org/officeDocument/2006/relationships/header" Target="header46.xml"/><Relationship Id="rId124" Type="http://schemas.openxmlformats.org/officeDocument/2006/relationships/footer" Target="footer56.xml"/><Relationship Id="rId310" Type="http://schemas.openxmlformats.org/officeDocument/2006/relationships/footer" Target="footer149.xml"/><Relationship Id="rId70" Type="http://schemas.openxmlformats.org/officeDocument/2006/relationships/footer" Target="footer29.xml"/><Relationship Id="rId91" Type="http://schemas.openxmlformats.org/officeDocument/2006/relationships/header" Target="header40.xml"/><Relationship Id="rId145" Type="http://schemas.openxmlformats.org/officeDocument/2006/relationships/header" Target="header67.xml"/><Relationship Id="rId166" Type="http://schemas.openxmlformats.org/officeDocument/2006/relationships/footer" Target="footer77.xml"/><Relationship Id="rId187" Type="http://schemas.openxmlformats.org/officeDocument/2006/relationships/header" Target="header88.xml"/><Relationship Id="rId331" Type="http://schemas.openxmlformats.org/officeDocument/2006/relationships/header" Target="header160.xml"/><Relationship Id="rId352" Type="http://schemas.openxmlformats.org/officeDocument/2006/relationships/footer" Target="footer170.xml"/><Relationship Id="rId373" Type="http://schemas.openxmlformats.org/officeDocument/2006/relationships/header" Target="header181.xml"/><Relationship Id="rId1" Type="http://schemas.openxmlformats.org/officeDocument/2006/relationships/customXml" Target="../customXml/item1.xml"/><Relationship Id="rId212" Type="http://schemas.openxmlformats.org/officeDocument/2006/relationships/header" Target="header101.xml"/><Relationship Id="rId233" Type="http://schemas.openxmlformats.org/officeDocument/2006/relationships/header" Target="header111.xml"/><Relationship Id="rId254" Type="http://schemas.openxmlformats.org/officeDocument/2006/relationships/header" Target="header122.xml"/><Relationship Id="rId28" Type="http://schemas.openxmlformats.org/officeDocument/2006/relationships/footer" Target="footer8.xml"/><Relationship Id="rId49" Type="http://schemas.openxmlformats.org/officeDocument/2006/relationships/header" Target="header19.xml"/><Relationship Id="rId114" Type="http://schemas.openxmlformats.org/officeDocument/2006/relationships/footer" Target="footer51.xml"/><Relationship Id="rId275" Type="http://schemas.openxmlformats.org/officeDocument/2006/relationships/header" Target="header132.xml"/><Relationship Id="rId296" Type="http://schemas.openxmlformats.org/officeDocument/2006/relationships/header" Target="header143.xml"/><Relationship Id="rId300" Type="http://schemas.openxmlformats.org/officeDocument/2006/relationships/footer" Target="footer144.xml"/><Relationship Id="rId60" Type="http://schemas.openxmlformats.org/officeDocument/2006/relationships/footer" Target="footer24.xml"/><Relationship Id="rId81" Type="http://schemas.openxmlformats.org/officeDocument/2006/relationships/footer" Target="footer34.xml"/><Relationship Id="rId135" Type="http://schemas.openxmlformats.org/officeDocument/2006/relationships/footer" Target="footer61.xml"/><Relationship Id="rId156" Type="http://schemas.openxmlformats.org/officeDocument/2006/relationships/footer" Target="footer72.xml"/><Relationship Id="rId177" Type="http://schemas.openxmlformats.org/officeDocument/2006/relationships/footer" Target="footer82.xml"/><Relationship Id="rId198" Type="http://schemas.openxmlformats.org/officeDocument/2006/relationships/footer" Target="footer93.xml"/><Relationship Id="rId321" Type="http://schemas.openxmlformats.org/officeDocument/2006/relationships/footer" Target="footer154.xml"/><Relationship Id="rId342" Type="http://schemas.openxmlformats.org/officeDocument/2006/relationships/footer" Target="footer165.xml"/><Relationship Id="rId363" Type="http://schemas.openxmlformats.org/officeDocument/2006/relationships/footer" Target="footer175.xml"/><Relationship Id="rId384" Type="http://schemas.openxmlformats.org/officeDocument/2006/relationships/footer" Target="footer186.xml"/><Relationship Id="rId202" Type="http://schemas.openxmlformats.org/officeDocument/2006/relationships/footer" Target="footer95.xml"/><Relationship Id="rId223" Type="http://schemas.openxmlformats.org/officeDocument/2006/relationships/header" Target="header106.xml"/><Relationship Id="rId244" Type="http://schemas.openxmlformats.org/officeDocument/2006/relationships/footer" Target="footer116.xml"/><Relationship Id="rId18" Type="http://schemas.openxmlformats.org/officeDocument/2006/relationships/footer" Target="footer3.xml"/><Relationship Id="rId39" Type="http://schemas.openxmlformats.org/officeDocument/2006/relationships/footer" Target="footer13.xml"/><Relationship Id="rId265" Type="http://schemas.openxmlformats.org/officeDocument/2006/relationships/header" Target="header127.xml"/><Relationship Id="rId286" Type="http://schemas.openxmlformats.org/officeDocument/2006/relationships/footer" Target="footer137.xml"/><Relationship Id="rId50" Type="http://schemas.openxmlformats.org/officeDocument/2006/relationships/header" Target="header20.xml"/><Relationship Id="rId104" Type="http://schemas.openxmlformats.org/officeDocument/2006/relationships/header" Target="header47.xml"/><Relationship Id="rId125" Type="http://schemas.openxmlformats.org/officeDocument/2006/relationships/header" Target="header57.xml"/><Relationship Id="rId146" Type="http://schemas.openxmlformats.org/officeDocument/2006/relationships/header" Target="header68.xml"/><Relationship Id="rId167" Type="http://schemas.openxmlformats.org/officeDocument/2006/relationships/header" Target="header78.xml"/><Relationship Id="rId188" Type="http://schemas.openxmlformats.org/officeDocument/2006/relationships/header" Target="header89.xml"/><Relationship Id="rId311" Type="http://schemas.openxmlformats.org/officeDocument/2006/relationships/header" Target="header150.xml"/><Relationship Id="rId332" Type="http://schemas.openxmlformats.org/officeDocument/2006/relationships/header" Target="header161.xml"/><Relationship Id="rId353" Type="http://schemas.openxmlformats.org/officeDocument/2006/relationships/header" Target="header171.xml"/><Relationship Id="rId374" Type="http://schemas.openxmlformats.org/officeDocument/2006/relationships/header" Target="header182.xml"/><Relationship Id="rId71" Type="http://schemas.openxmlformats.org/officeDocument/2006/relationships/header" Target="header30.xml"/><Relationship Id="rId92" Type="http://schemas.openxmlformats.org/officeDocument/2006/relationships/header" Target="header41.xml"/><Relationship Id="rId213" Type="http://schemas.openxmlformats.org/officeDocument/2006/relationships/footer" Target="footer100.xml"/><Relationship Id="rId234" Type="http://schemas.openxmlformats.org/officeDocument/2006/relationships/footer" Target="footer111.xml"/><Relationship Id="rId2" Type="http://schemas.openxmlformats.org/officeDocument/2006/relationships/customXml" Target="../customXml/item2.xml"/><Relationship Id="rId29" Type="http://schemas.openxmlformats.org/officeDocument/2006/relationships/header" Target="header9.xml"/><Relationship Id="rId255" Type="http://schemas.openxmlformats.org/officeDocument/2006/relationships/footer" Target="footer121.xml"/><Relationship Id="rId276" Type="http://schemas.openxmlformats.org/officeDocument/2006/relationships/footer" Target="footer132.xml"/><Relationship Id="rId297" Type="http://schemas.openxmlformats.org/officeDocument/2006/relationships/footer" Target="footer142.xml"/><Relationship Id="rId40" Type="http://schemas.openxmlformats.org/officeDocument/2006/relationships/footer" Target="footer14.xml"/><Relationship Id="rId115" Type="http://schemas.openxmlformats.org/officeDocument/2006/relationships/header" Target="header52.xml"/><Relationship Id="rId136" Type="http://schemas.openxmlformats.org/officeDocument/2006/relationships/footer" Target="footer62.xml"/><Relationship Id="rId157" Type="http://schemas.openxmlformats.org/officeDocument/2006/relationships/header" Target="header73.xml"/><Relationship Id="rId178" Type="http://schemas.openxmlformats.org/officeDocument/2006/relationships/footer" Target="footer83.xml"/><Relationship Id="rId301" Type="http://schemas.openxmlformats.org/officeDocument/2006/relationships/header" Target="header145.xml"/><Relationship Id="rId322" Type="http://schemas.openxmlformats.org/officeDocument/2006/relationships/footer" Target="footer155.xml"/><Relationship Id="rId343" Type="http://schemas.openxmlformats.org/officeDocument/2006/relationships/header" Target="header166.xml"/><Relationship Id="rId364" Type="http://schemas.openxmlformats.org/officeDocument/2006/relationships/footer" Target="footer176.xml"/><Relationship Id="rId61" Type="http://schemas.openxmlformats.org/officeDocument/2006/relationships/header" Target="header25.xml"/><Relationship Id="rId82" Type="http://schemas.openxmlformats.org/officeDocument/2006/relationships/footer" Target="footer35.xml"/><Relationship Id="rId199" Type="http://schemas.openxmlformats.org/officeDocument/2006/relationships/header" Target="header94.xml"/><Relationship Id="rId203" Type="http://schemas.openxmlformats.org/officeDocument/2006/relationships/header" Target="header96.xml"/><Relationship Id="rId385" Type="http://schemas.openxmlformats.org/officeDocument/2006/relationships/fontTable" Target="fontTable.xml"/><Relationship Id="rId19" Type="http://schemas.openxmlformats.org/officeDocument/2006/relationships/header" Target="header4.xml"/><Relationship Id="rId224" Type="http://schemas.openxmlformats.org/officeDocument/2006/relationships/header" Target="header107.xml"/><Relationship Id="rId245" Type="http://schemas.openxmlformats.org/officeDocument/2006/relationships/header" Target="header117.xml"/><Relationship Id="rId266" Type="http://schemas.openxmlformats.org/officeDocument/2006/relationships/header" Target="header128.xml"/><Relationship Id="rId287" Type="http://schemas.openxmlformats.org/officeDocument/2006/relationships/header" Target="header138.xml"/><Relationship Id="rId30" Type="http://schemas.openxmlformats.org/officeDocument/2006/relationships/footer" Target="footer9.xml"/><Relationship Id="rId105" Type="http://schemas.openxmlformats.org/officeDocument/2006/relationships/footer" Target="footer46.xml"/><Relationship Id="rId126" Type="http://schemas.openxmlformats.org/officeDocument/2006/relationships/footer" Target="footer57.xml"/><Relationship Id="rId147" Type="http://schemas.openxmlformats.org/officeDocument/2006/relationships/footer" Target="footer67.xml"/><Relationship Id="rId168" Type="http://schemas.openxmlformats.org/officeDocument/2006/relationships/footer" Target="footer78.xml"/><Relationship Id="rId312" Type="http://schemas.openxmlformats.org/officeDocument/2006/relationships/footer" Target="footer150.xml"/><Relationship Id="rId333" Type="http://schemas.openxmlformats.org/officeDocument/2006/relationships/footer" Target="footer160.xml"/><Relationship Id="rId354" Type="http://schemas.openxmlformats.org/officeDocument/2006/relationships/footer" Target="footer171.xml"/><Relationship Id="rId51" Type="http://schemas.openxmlformats.org/officeDocument/2006/relationships/footer" Target="footer19.xml"/><Relationship Id="rId72" Type="http://schemas.openxmlformats.org/officeDocument/2006/relationships/footer" Target="footer30.xml"/><Relationship Id="rId93" Type="http://schemas.openxmlformats.org/officeDocument/2006/relationships/footer" Target="footer40.xml"/><Relationship Id="rId189" Type="http://schemas.openxmlformats.org/officeDocument/2006/relationships/footer" Target="footer88.xml"/><Relationship Id="rId375" Type="http://schemas.openxmlformats.org/officeDocument/2006/relationships/footer" Target="footer181.xml"/><Relationship Id="rId3" Type="http://schemas.openxmlformats.org/officeDocument/2006/relationships/customXml" Target="../customXml/item3.xml"/><Relationship Id="rId214" Type="http://schemas.openxmlformats.org/officeDocument/2006/relationships/footer" Target="footer101.xml"/><Relationship Id="rId235" Type="http://schemas.openxmlformats.org/officeDocument/2006/relationships/header" Target="header112.xml"/><Relationship Id="rId256" Type="http://schemas.openxmlformats.org/officeDocument/2006/relationships/footer" Target="footer122.xml"/><Relationship Id="rId277" Type="http://schemas.openxmlformats.org/officeDocument/2006/relationships/header" Target="header133.xml"/><Relationship Id="rId298" Type="http://schemas.openxmlformats.org/officeDocument/2006/relationships/footer" Target="footer143.xml"/><Relationship Id="rId116" Type="http://schemas.openxmlformats.org/officeDocument/2006/relationships/header" Target="header53.xml"/><Relationship Id="rId137" Type="http://schemas.openxmlformats.org/officeDocument/2006/relationships/header" Target="header63.xml"/><Relationship Id="rId158" Type="http://schemas.openxmlformats.org/officeDocument/2006/relationships/header" Target="header74.xml"/><Relationship Id="rId302" Type="http://schemas.openxmlformats.org/officeDocument/2006/relationships/header" Target="header146.xml"/><Relationship Id="rId323" Type="http://schemas.openxmlformats.org/officeDocument/2006/relationships/header" Target="header156.xml"/><Relationship Id="rId344" Type="http://schemas.openxmlformats.org/officeDocument/2006/relationships/header" Target="header167.xml"/><Relationship Id="rId20" Type="http://schemas.openxmlformats.org/officeDocument/2006/relationships/header" Target="header5.xml"/><Relationship Id="rId41" Type="http://schemas.openxmlformats.org/officeDocument/2006/relationships/header" Target="header15.xml"/><Relationship Id="rId62" Type="http://schemas.openxmlformats.org/officeDocument/2006/relationships/header" Target="header26.xml"/><Relationship Id="rId83" Type="http://schemas.openxmlformats.org/officeDocument/2006/relationships/header" Target="header36.xml"/><Relationship Id="rId179" Type="http://schemas.openxmlformats.org/officeDocument/2006/relationships/header" Target="header84.xml"/><Relationship Id="rId365" Type="http://schemas.openxmlformats.org/officeDocument/2006/relationships/header" Target="header177.xml"/><Relationship Id="rId386" Type="http://schemas.openxmlformats.org/officeDocument/2006/relationships/theme" Target="theme/theme1.xml"/><Relationship Id="rId190" Type="http://schemas.openxmlformats.org/officeDocument/2006/relationships/footer" Target="footer89.xml"/><Relationship Id="rId204" Type="http://schemas.openxmlformats.org/officeDocument/2006/relationships/footer" Target="footer96.xml"/><Relationship Id="rId225" Type="http://schemas.openxmlformats.org/officeDocument/2006/relationships/footer" Target="footer106.xml"/><Relationship Id="rId246" Type="http://schemas.openxmlformats.org/officeDocument/2006/relationships/footer" Target="footer117.xml"/><Relationship Id="rId267" Type="http://schemas.openxmlformats.org/officeDocument/2006/relationships/footer" Target="footer127.xml"/><Relationship Id="rId288" Type="http://schemas.openxmlformats.org/officeDocument/2006/relationships/footer" Target="footer138.xml"/><Relationship Id="rId106" Type="http://schemas.openxmlformats.org/officeDocument/2006/relationships/footer" Target="footer47.xml"/><Relationship Id="rId127" Type="http://schemas.openxmlformats.org/officeDocument/2006/relationships/header" Target="header58.xml"/><Relationship Id="rId313" Type="http://schemas.openxmlformats.org/officeDocument/2006/relationships/header" Target="header151.xml"/><Relationship Id="rId10" Type="http://schemas.openxmlformats.org/officeDocument/2006/relationships/footnotes" Target="footnotes.xml"/><Relationship Id="rId31" Type="http://schemas.openxmlformats.org/officeDocument/2006/relationships/header" Target="header10.xml"/><Relationship Id="rId52" Type="http://schemas.openxmlformats.org/officeDocument/2006/relationships/footer" Target="footer20.xml"/><Relationship Id="rId73" Type="http://schemas.openxmlformats.org/officeDocument/2006/relationships/header" Target="header31.xml"/><Relationship Id="rId94" Type="http://schemas.openxmlformats.org/officeDocument/2006/relationships/footer" Target="footer41.xml"/><Relationship Id="rId148" Type="http://schemas.openxmlformats.org/officeDocument/2006/relationships/footer" Target="footer68.xml"/><Relationship Id="rId169" Type="http://schemas.openxmlformats.org/officeDocument/2006/relationships/header" Target="header79.xml"/><Relationship Id="rId334" Type="http://schemas.openxmlformats.org/officeDocument/2006/relationships/footer" Target="footer161.xml"/><Relationship Id="rId355" Type="http://schemas.openxmlformats.org/officeDocument/2006/relationships/header" Target="header172.xml"/><Relationship Id="rId376" Type="http://schemas.openxmlformats.org/officeDocument/2006/relationships/footer" Target="footer182.xml"/><Relationship Id="rId4" Type="http://schemas.openxmlformats.org/officeDocument/2006/relationships/customXml" Target="../customXml/item4.xml"/><Relationship Id="rId180" Type="http://schemas.openxmlformats.org/officeDocument/2006/relationships/footer" Target="footer84.xml"/><Relationship Id="rId215" Type="http://schemas.openxmlformats.org/officeDocument/2006/relationships/header" Target="header102.xml"/><Relationship Id="rId236" Type="http://schemas.openxmlformats.org/officeDocument/2006/relationships/header" Target="header113.xml"/><Relationship Id="rId257" Type="http://schemas.openxmlformats.org/officeDocument/2006/relationships/header" Target="header123.xml"/><Relationship Id="rId278" Type="http://schemas.openxmlformats.org/officeDocument/2006/relationships/header" Target="header134.xml"/><Relationship Id="rId303" Type="http://schemas.openxmlformats.org/officeDocument/2006/relationships/footer" Target="footer145.xml"/></Relationships>
</file>

<file path=word/_rels/footnotes.xml.rels><?xml version="1.0" encoding="UTF-8" standalone="yes"?>
<Relationships xmlns="http://schemas.openxmlformats.org/package/2006/relationships"><Relationship Id="rId1" Type="http://schemas.openxmlformats.org/officeDocument/2006/relationships/hyperlink" Target="https://www.congreso.es/public_oficiales/L14/CONG/BOCG/D/BOCG-14-D-17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3A96FF36B9FA2B41AA2F50B89189C74B" ma:contentTypeVersion="0" ma:contentTypeDescription="Create a new document in this library." ma:contentTypeScope="" ma:versionID="c6b6a606a38a5c44f8045c336b924c34">
  <xsd:schema xmlns:xsd="http://www.w3.org/2001/XMLSchema" xmlns:xs="http://www.w3.org/2001/XMLSchema" xmlns:p="http://schemas.microsoft.com/office/2006/metadata/properties" xmlns:ns2="http://schemas.microsoft.com/sharepoint/v3/fields" xmlns:ns3="5488CD5B-2965-4A0D-A275-D2BEA814A65F" targetNamespace="http://schemas.microsoft.com/office/2006/metadata/properties" ma:root="true" ma:fieldsID="ed81ab3d4118e02137b32136d077e0c3" ns2:_="" ns3:_="">
    <xsd:import namespace="http://schemas.microsoft.com/sharepoint/v3/fields"/>
    <xsd:import namespace="5488CD5B-2965-4A0D-A275-D2BEA814A65F"/>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488CD5B-2965-4A0D-A275-D2BEA814A65F"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format="Dropdow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format="Dropdown"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6"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7" nillable="true" ma:displayName="Transferred to Ares" ma:format="DateTime" ma:hidden="true" ma:internalName="EC_ARES_DATE_TRANSFERRED">
      <xsd:simpleType>
        <xsd:restriction base="dms:DateTime"/>
      </xsd:simpleType>
    </xsd:element>
    <xsd:element name="EC_ARES_TRANSFERRED_BY" ma:index="18"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Reference xmlns="5488CD5B-2965-4A0D-A275-D2BEA814A65F" xsi:nil="true"/>
    <EC_Collab_DocumentLanguage xmlns="5488CD5B-2965-4A0D-A275-D2BEA814A65F">EN</EC_Collab_DocumentLanguage>
    <EC_Collab_Status xmlns="5488CD5B-2965-4A0D-A275-D2BEA814A65F">Not Started</EC_Collab_Status>
    <_Status xmlns="http://schemas.microsoft.com/sharepoint/v3/fields">Not Started</_Status>
    <EC_ARES_TRANSFERRED_BY xmlns="5488CD5B-2965-4A0D-A275-D2BEA814A65F" xsi:nil="true"/>
    <EC_ARES_NUMBER xmlns="5488CD5B-2965-4A0D-A275-D2BEA814A65F">
      <Url xsi:nil="true"/>
      <Description xsi:nil="true"/>
    </EC_ARES_NUMBER>
    <EC_ARES_DATE_TRANSFERRED xmlns="5488CD5B-2965-4A0D-A275-D2BEA814A65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CF920-8DED-44EE-B536-2E6F9F2BC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5488CD5B-2965-4A0D-A275-D2BEA814A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61947C-E72A-4854-BFE2-635764EB9AED}">
  <ds:schemaRefs>
    <ds:schemaRef ds:uri="http://schemas.microsoft.com/sharepoint/v3/contenttype/forms"/>
  </ds:schemaRefs>
</ds:datastoreItem>
</file>

<file path=customXml/itemProps3.xml><?xml version="1.0" encoding="utf-8"?>
<ds:datastoreItem xmlns:ds="http://schemas.openxmlformats.org/officeDocument/2006/customXml" ds:itemID="{CD8C315D-7536-49D2-B370-DBB8B05589E0}">
  <ds:schemaRefs>
    <ds:schemaRef ds:uri="http://schemas.microsoft.com/office/2006/metadata/properties"/>
    <ds:schemaRef ds:uri="http://schemas.microsoft.com/office/infopath/2007/PartnerControls"/>
    <ds:schemaRef ds:uri="5488CD5B-2965-4A0D-A275-D2BEA814A65F"/>
    <ds:schemaRef ds:uri="http://schemas.microsoft.com/sharepoint/v3/fields"/>
  </ds:schemaRefs>
</ds:datastoreItem>
</file>

<file path=customXml/itemProps4.xml><?xml version="1.0" encoding="utf-8"?>
<ds:datastoreItem xmlns:ds="http://schemas.openxmlformats.org/officeDocument/2006/customXml" ds:itemID="{89263F9F-FE19-441E-A8BE-534FC74E3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9</Pages>
  <Words>122694</Words>
  <Characters>699360</Characters>
  <Application>Microsoft Office Word</Application>
  <DocSecurity>0</DocSecurity>
  <Lines>5828</Lines>
  <Paragraphs>1640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820414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DUBUSSE Christine (TAXUD)</dc:creator>
  <cp:keywords/>
  <dc:description/>
  <cp:lastModifiedBy>WES PDFC Administrator</cp:lastModifiedBy>
  <cp:revision>23</cp:revision>
  <dcterms:created xsi:type="dcterms:W3CDTF">2021-06-16T11:00:00Z</dcterms:created>
  <dcterms:modified xsi:type="dcterms:W3CDTF">2021-06-16T14:21:00Z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1</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CP-036</vt:lpwstr>
  </property>
  <property fmtid="{D5CDD505-2E9C-101B-9397-08002B2CF9AE}" pid="10" name="Created using">
    <vt:lpwstr>LW 7.0.1, Build 20190916</vt:lpwstr>
  </property>
  <property fmtid="{D5CDD505-2E9C-101B-9397-08002B2CF9AE}" pid="11" name="Last edited using">
    <vt:lpwstr>LW 7.0.1, Build 20200226</vt:lpwstr>
  </property>
  <property fmtid="{D5CDD505-2E9C-101B-9397-08002B2CF9AE}" pid="12" name="_LW_INVALIDATED__LW_INVALIDATED__LW_INVALIDATED__LW_INVALIDATED__LW_INVALIDATED_ContentTypeId">
    <vt:lpwstr>0x010100258AA79CEB83498886A3A08681123250003A96FF36B9FA2B41AA2F50B89189C74B</vt:lpwstr>
  </property>
  <property fmtid="{D5CDD505-2E9C-101B-9397-08002B2CF9AE}" pid="13" name="_LW_INVALIDATED__LW_INVALIDATED__LW_INVALIDATED_ContentTypeId">
    <vt:lpwstr>0x010100258AA79CEB83498886A3A08681123250003A96FF36B9FA2B41AA2F50B89189C74B</vt:lpwstr>
  </property>
</Properties>
</file>