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63B1E577-63B4-4620-A3EA-D3BF3AE56BD9" style="width:455.25pt;height:401.25pt">
            <v:imagedata r:id="rId12" o:title=""/>
          </v:shape>
        </w:pict>
      </w:r>
    </w:p>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ANNEXE I </w:t>
      </w:r>
    </w:p>
    <w:p>
      <w:pPr>
        <w:pStyle w:val="NormalCentered"/>
        <w:rPr>
          <w:noProof/>
        </w:rPr>
      </w:pPr>
      <w:r>
        <w:rPr>
          <w:noProof/>
        </w:rPr>
        <w:t>MÉTHODOLOGIE POUR ÉTABLIR LA LIMITATION DE L’INTENSITÉ DES ÉMISSIONS DE GAZ À EFFET DE SERRE DE L’ÉNERGIE UTILISÉE À BORD D’UN NAVIRE</w:t>
      </w:r>
    </w:p>
    <w:p>
      <w:pPr>
        <w:rPr>
          <w:noProof/>
        </w:rPr>
      </w:pPr>
      <w:r>
        <w:rPr>
          <w:noProof/>
        </w:rPr>
        <w:t>Aux fins du calcul de la limitation de l’intensité des émissions de gaz à effet de serre de l’énergie utilisée à bord d’un navire, la formule suivante, dénommée «Équation (1)», s’applique:</w:t>
      </w:r>
    </w:p>
    <w:tbl>
      <w:tblPr>
        <w:tblpPr w:leftFromText="180" w:rightFromText="180" w:vertAnchor="text" w:horzAnchor="margin" w:tblpXSpec="center" w:tblpY="211"/>
        <w:tblW w:w="9889"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42"/>
        <w:gridCol w:w="3119"/>
        <w:gridCol w:w="5528"/>
      </w:tblGrid>
      <w:tr>
        <w:tc>
          <w:tcPr>
            <w:tcW w:w="1242" w:type="dxa"/>
            <w:tcBorders>
              <w:left w:val="single" w:sz="4" w:space="0" w:color="auto"/>
            </w:tcBorders>
            <w:vAlign w:val="center"/>
          </w:tcPr>
          <w:p>
            <w:pPr>
              <w:ind w:right="-111"/>
              <w:jc w:val="center"/>
              <w:rPr>
                <w:rFonts w:ascii="Cambria" w:eastAsia="Calibri" w:hAnsi="Cambria" w:cs="Cambria"/>
                <w:noProof/>
                <w:sz w:val="12"/>
                <w:szCs w:val="12"/>
              </w:rPr>
            </w:pPr>
            <w:r>
              <w:rPr>
                <w:rFonts w:ascii="Cambria" w:hAnsi="Cambria"/>
                <w:noProof/>
                <w:sz w:val="12"/>
                <w:szCs w:val="12"/>
              </w:rPr>
              <w:t>Indice d’intensité des émissions de GES</w:t>
            </w:r>
          </w:p>
        </w:tc>
        <w:tc>
          <w:tcPr>
            <w:tcW w:w="3119" w:type="dxa"/>
            <w:vAlign w:val="center"/>
          </w:tcPr>
          <w:p>
            <w:pPr>
              <w:ind w:left="-105" w:right="-106"/>
              <w:jc w:val="center"/>
              <w:rPr>
                <w:rFonts w:eastAsia="Calibri"/>
                <w:noProof/>
                <w:sz w:val="12"/>
                <w:szCs w:val="12"/>
              </w:rPr>
            </w:pPr>
            <w:r>
              <w:rPr>
                <w:noProof/>
                <w:sz w:val="12"/>
                <w:szCs w:val="12"/>
              </w:rPr>
              <w:t>WtT</w:t>
            </w:r>
          </w:p>
        </w:tc>
        <w:tc>
          <w:tcPr>
            <w:tcW w:w="5528" w:type="dxa"/>
            <w:vAlign w:val="center"/>
          </w:tcPr>
          <w:p>
            <w:pPr>
              <w:ind w:left="-107" w:right="-109"/>
              <w:jc w:val="center"/>
              <w:rPr>
                <w:rFonts w:eastAsia="Calibri"/>
                <w:noProof/>
                <w:sz w:val="12"/>
                <w:szCs w:val="12"/>
              </w:rPr>
            </w:pPr>
            <w:r>
              <w:rPr>
                <w:noProof/>
                <w:sz w:val="12"/>
                <w:szCs w:val="12"/>
              </w:rPr>
              <w:t>TtW</w:t>
            </w:r>
          </w:p>
        </w:tc>
      </w:tr>
      <w:tr>
        <w:tc>
          <w:tcPr>
            <w:tcW w:w="1242" w:type="dxa"/>
            <w:tcBorders>
              <w:left w:val="single" w:sz="4" w:space="0" w:color="auto"/>
            </w:tcBorders>
            <w:vAlign w:val="center"/>
          </w:tcPr>
          <w:p>
            <w:pPr>
              <w:ind w:right="-111"/>
              <w:rPr>
                <w:rFonts w:eastAsiaTheme="minorEastAsia"/>
                <w:noProof/>
                <w:sz w:val="12"/>
                <w:szCs w:val="12"/>
              </w:rPr>
            </w:pPr>
            <m:oMathPara>
              <m:oMath>
                <m:r>
                  <w:rPr>
                    <w:rFonts w:ascii="Cambria Math" w:eastAsiaTheme="minorEastAsia" w:hAnsi="Cambria Math"/>
                    <w:noProof/>
                    <w:sz w:val="12"/>
                    <w:szCs w:val="12"/>
                  </w:rPr>
                  <m:t>GHG intensity</m:t>
                </m:r>
              </m:oMath>
            </m:oMathPara>
          </w:p>
          <w:p>
            <w:pPr>
              <w:ind w:right="-111"/>
              <w:rPr>
                <w:noProof/>
                <w:sz w:val="12"/>
                <w:szCs w:val="12"/>
              </w:rPr>
            </w:pPr>
            <m:oMath>
              <m:r>
                <w:rPr>
                  <w:rFonts w:ascii="Cambria Math" w:eastAsiaTheme="minorEastAsia" w:hAnsi="Cambria Math"/>
                  <w:noProof/>
                  <w:sz w:val="12"/>
                  <w:szCs w:val="12"/>
                </w:rPr>
                <m:t xml:space="preserve">index </m:t>
              </m:r>
              <m:d>
                <m:dPr>
                  <m:begChr m:val="["/>
                  <m:endChr m:val="]"/>
                  <m:ctrlPr>
                    <w:rPr>
                      <w:rFonts w:ascii="Cambria Math" w:eastAsia="Cambria Math" w:hAnsi="Cambria Math" w:cs="Arial"/>
                      <w:noProof/>
                      <w:sz w:val="12"/>
                      <w:szCs w:val="12"/>
                    </w:rPr>
                  </m:ctrlPr>
                </m:dPr>
                <m:e>
                  <m:f>
                    <m:fPr>
                      <m:ctrlPr>
                        <w:rPr>
                          <w:rFonts w:ascii="Cambria Math" w:eastAsia="Cambria Math" w:hAnsi="Cambria Math" w:cs="Arial"/>
                          <w:noProof/>
                          <w:sz w:val="12"/>
                          <w:szCs w:val="12"/>
                        </w:rPr>
                      </m:ctrlPr>
                    </m:fPr>
                    <m:num>
                      <m:r>
                        <w:rPr>
                          <w:rFonts w:ascii="Cambria Math" w:eastAsia="Cambria Math" w:hAnsi="Cambria Math" w:cs="Arial"/>
                          <w:noProof/>
                          <w:sz w:val="12"/>
                          <w:szCs w:val="12"/>
                        </w:rPr>
                        <m:t>gCO2eq</m:t>
                      </m:r>
                    </m:num>
                    <m:den>
                      <m:r>
                        <w:rPr>
                          <w:rFonts w:ascii="Cambria Math" w:eastAsia="Cambria Math" w:hAnsi="Cambria Math" w:cs="Arial"/>
                          <w:noProof/>
                          <w:sz w:val="12"/>
                          <w:szCs w:val="12"/>
                        </w:rPr>
                        <m:t>MJ</m:t>
                      </m:r>
                    </m:den>
                  </m:f>
                </m:e>
              </m:d>
            </m:oMath>
            <w:r>
              <w:rPr>
                <w:noProof/>
                <w:sz w:val="12"/>
                <w:szCs w:val="12"/>
              </w:rPr>
              <w:t xml:space="preserve"> </w:t>
            </w:r>
            <w:r>
              <w:rPr>
                <w:iCs/>
                <w:noProof/>
                <w:sz w:val="12"/>
                <w:szCs w:val="12"/>
              </w:rPr>
              <w:t>=</w:t>
            </w:r>
          </w:p>
        </w:tc>
        <w:tc>
          <w:tcPr>
            <w:tcW w:w="3119" w:type="dxa"/>
            <w:vAlign w:val="center"/>
          </w:tcPr>
          <w:p>
            <w:pPr>
              <w:ind w:left="-105" w:right="-106"/>
              <w:rPr>
                <w:noProof/>
                <w:sz w:val="12"/>
                <w:szCs w:val="12"/>
              </w:rPr>
            </w:pPr>
            <m:oMathPara>
              <m:oMath>
                <m:f>
                  <m:fPr>
                    <m:ctrlPr>
                      <w:rPr>
                        <w:rFonts w:ascii="Cambria Math" w:hAnsi="Cambria Math"/>
                        <w:i/>
                        <w:noProof/>
                        <w:sz w:val="12"/>
                        <w:szCs w:val="12"/>
                      </w:rPr>
                    </m:ctrlPr>
                  </m:fPr>
                  <m:num>
                    <m:nary>
                      <m:naryPr>
                        <m:chr m:val="∑"/>
                        <m:limLoc m:val="undOvr"/>
                        <m:ctrlPr>
                          <w:rPr>
                            <w:rFonts w:ascii="Cambria Math" w:hAnsi="Cambria Math"/>
                            <w:i/>
                            <w:noProof/>
                            <w:sz w:val="12"/>
                            <w:szCs w:val="12"/>
                          </w:rPr>
                        </m:ctrlPr>
                      </m:naryPr>
                      <m:sub>
                        <m:r>
                          <w:rPr>
                            <w:rFonts w:ascii="Cambria Math" w:hAnsi="Cambria Math"/>
                            <w:noProof/>
                            <w:sz w:val="12"/>
                            <w:szCs w:val="12"/>
                          </w:rPr>
                          <m:t xml:space="preserve">i </m:t>
                        </m:r>
                      </m:sub>
                      <m:sup>
                        <m:r>
                          <m:rPr>
                            <m:sty m:val="bi"/>
                          </m:rPr>
                          <w:rPr>
                            <w:rFonts w:ascii="Cambria Math" w:hAnsi="Cambria Math"/>
                            <w:noProof/>
                            <w:sz w:val="12"/>
                            <w:szCs w:val="12"/>
                          </w:rPr>
                          <m:t>n</m:t>
                        </m:r>
                        <m:r>
                          <w:rPr>
                            <w:rFonts w:ascii="Cambria Math" w:hAnsi="Cambria Math"/>
                            <w:noProof/>
                            <w:sz w:val="12"/>
                            <w:szCs w:val="12"/>
                          </w:rPr>
                          <m:t xml:space="preserve"> fuel</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 xml:space="preserve">i </m:t>
                            </m:r>
                          </m:sub>
                        </m:sSub>
                        <m:r>
                          <w:rPr>
                            <w:rFonts w:ascii="Cambria Math" w:hAnsi="Cambria Math"/>
                            <w:noProof/>
                            <w:sz w:val="12"/>
                            <w:szCs w:val="12"/>
                          </w:rPr>
                          <m:t xml:space="preserve"> ×</m:t>
                        </m:r>
                      </m:e>
                    </m:nary>
                    <m:sSub>
                      <m:sSubPr>
                        <m:ctrlPr>
                          <w:rPr>
                            <w:rFonts w:ascii="Cambria Math" w:hAnsi="Cambria Math"/>
                            <w:i/>
                            <w:noProof/>
                            <w:sz w:val="12"/>
                            <w:szCs w:val="12"/>
                          </w:rPr>
                        </m:ctrlPr>
                      </m:sSubPr>
                      <m:e>
                        <m:r>
                          <w:rPr>
                            <w:rFonts w:ascii="Cambria Math" w:hAnsi="Cambria Math"/>
                            <w:noProof/>
                            <w:sz w:val="12"/>
                            <w:szCs w:val="12"/>
                          </w:rPr>
                          <m:t>CO</m:t>
                        </m:r>
                      </m:e>
                      <m:sub>
                        <m:r>
                          <w:rPr>
                            <w:rFonts w:ascii="Cambria Math" w:hAnsi="Cambria Math"/>
                            <w:noProof/>
                            <w:sz w:val="12"/>
                            <w:szCs w:val="12"/>
                          </w:rPr>
                          <m:t>2eq WtT, i</m:t>
                        </m:r>
                      </m:sub>
                    </m:sSub>
                    <m:r>
                      <w:rPr>
                        <w:rFonts w:ascii="Cambria Math" w:hAnsi="Cambria Math"/>
                        <w:noProof/>
                        <w:sz w:val="12"/>
                        <w:szCs w:val="12"/>
                      </w:rPr>
                      <m:t xml:space="preserve"> ×</m:t>
                    </m:r>
                    <m:sSub>
                      <m:sSubPr>
                        <m:ctrlPr>
                          <w:rPr>
                            <w:rFonts w:ascii="Cambria Math" w:hAnsi="Cambria Math"/>
                            <w:i/>
                            <w:noProof/>
                            <w:sz w:val="12"/>
                            <w:szCs w:val="12"/>
                          </w:rPr>
                        </m:ctrlPr>
                      </m:sSubPr>
                      <m:e>
                        <m:r>
                          <w:rPr>
                            <w:rFonts w:ascii="Cambria Math" w:hAnsi="Cambria Math"/>
                            <w:noProof/>
                            <w:sz w:val="12"/>
                            <w:szCs w:val="12"/>
                          </w:rPr>
                          <m:t>LCV</m:t>
                        </m:r>
                      </m:e>
                      <m:sub>
                        <m:r>
                          <w:rPr>
                            <w:rFonts w:ascii="Cambria Math" w:hAnsi="Cambria Math"/>
                            <w:noProof/>
                            <w:sz w:val="12"/>
                            <w:szCs w:val="12"/>
                          </w:rPr>
                          <m:t>i</m:t>
                        </m:r>
                      </m:sub>
                    </m:sSub>
                    <m:r>
                      <w:rPr>
                        <w:rFonts w:ascii="Cambria Math" w:eastAsia="Cambria Math" w:hAnsi="Cambria Math" w:cs="Arial"/>
                        <w:noProof/>
                        <w:sz w:val="12"/>
                        <w:szCs w:val="12"/>
                      </w:rPr>
                      <m:t>+</m:t>
                    </m:r>
                    <m:nary>
                      <m:naryPr>
                        <m:chr m:val="∑"/>
                        <m:ctrlPr>
                          <w:rPr>
                            <w:rFonts w:ascii="Cambria Math" w:eastAsia="Cambria Math" w:hAnsi="Cambria Math" w:cs="Arial"/>
                            <w:noProof/>
                            <w:sz w:val="12"/>
                            <w:szCs w:val="12"/>
                          </w:rPr>
                        </m:ctrlPr>
                      </m:naryPr>
                      <m:sub>
                        <m:r>
                          <w:rPr>
                            <w:rFonts w:ascii="Cambria Math" w:eastAsia="Cambria Math" w:hAnsi="Cambria Math" w:cs="Arial"/>
                            <w:noProof/>
                            <w:sz w:val="12"/>
                            <w:szCs w:val="12"/>
                          </w:rPr>
                          <m:t>k</m:t>
                        </m:r>
                      </m:sub>
                      <m:sup>
                        <m:r>
                          <m:rPr>
                            <m:sty m:val="bi"/>
                          </m:rPr>
                          <w:rPr>
                            <w:rFonts w:ascii="Cambria Math" w:eastAsia="Cambria Math" w:hAnsi="Cambria Math" w:cs="Arial"/>
                            <w:noProof/>
                            <w:sz w:val="12"/>
                            <w:szCs w:val="12"/>
                          </w:rPr>
                          <m:t>c</m:t>
                        </m:r>
                      </m:sup>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r>
                          <w:rPr>
                            <w:rFonts w:ascii="Cambria Math" w:eastAsia="Cambria Math" w:hAnsi="Cambria Math" w:cs="Arial"/>
                            <w:noProof/>
                            <w:sz w:val="12"/>
                            <w:szCs w:val="12"/>
                          </w:rPr>
                          <m:t xml:space="preserve"> ×</m:t>
                        </m:r>
                        <m:sSub>
                          <m:sSubPr>
                            <m:ctrlPr>
                              <w:rPr>
                                <w:rFonts w:ascii="Cambria Math" w:eastAsia="Cambria Math" w:hAnsi="Cambria Math" w:cs="Arial"/>
                                <w:noProof/>
                                <w:sz w:val="12"/>
                                <w:szCs w:val="12"/>
                              </w:rPr>
                            </m:ctrlPr>
                          </m:sSub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m:t>
                                </m:r>
                              </m:sub>
                            </m:sSub>
                          </m:e>
                          <m:sub>
                            <m:r>
                              <w:rPr>
                                <w:rFonts w:ascii="Cambria Math" w:eastAsia="Cambria Math" w:hAnsi="Cambria Math" w:cs="Arial"/>
                                <w:noProof/>
                                <w:sz w:val="12"/>
                                <w:szCs w:val="12"/>
                              </w:rPr>
                              <m:t xml:space="preserve"> electricity,k</m:t>
                            </m:r>
                          </m:sub>
                        </m:sSub>
                      </m:e>
                    </m:nary>
                  </m:num>
                  <m:den>
                    <m:nary>
                      <m:naryPr>
                        <m:chr m:val="∑"/>
                        <m:limLoc m:val="undOvr"/>
                        <m:ctrlPr>
                          <w:rPr>
                            <w:rFonts w:ascii="Cambria Math" w:hAnsi="Cambria Math"/>
                            <w:i/>
                            <w:noProof/>
                            <w:sz w:val="12"/>
                            <w:szCs w:val="12"/>
                          </w:rPr>
                        </m:ctrlPr>
                      </m:naryPr>
                      <m:sub>
                        <m:r>
                          <w:rPr>
                            <w:rFonts w:ascii="Cambria Math" w:hAnsi="Cambria Math"/>
                            <w:noProof/>
                            <w:sz w:val="12"/>
                            <w:szCs w:val="12"/>
                          </w:rPr>
                          <m:t xml:space="preserve">i </m:t>
                        </m:r>
                      </m:sub>
                      <m:sup>
                        <m:r>
                          <m:rPr>
                            <m:sty m:val="bi"/>
                          </m:rPr>
                          <w:rPr>
                            <w:rFonts w:ascii="Cambria Math" w:hAnsi="Cambria Math"/>
                            <w:noProof/>
                            <w:sz w:val="12"/>
                            <w:szCs w:val="12"/>
                          </w:rPr>
                          <m:t>n</m:t>
                        </m:r>
                        <m:r>
                          <w:rPr>
                            <w:rFonts w:ascii="Cambria Math" w:hAnsi="Cambria Math"/>
                            <w:noProof/>
                            <w:sz w:val="12"/>
                            <w:szCs w:val="12"/>
                          </w:rPr>
                          <m:t xml:space="preserve"> fuel</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 xml:space="preserve">i </m:t>
                            </m:r>
                          </m:sub>
                        </m:sSub>
                        <m:r>
                          <w:rPr>
                            <w:rFonts w:ascii="Cambria Math" w:hAnsi="Cambria Math"/>
                            <w:noProof/>
                            <w:sz w:val="12"/>
                            <w:szCs w:val="12"/>
                          </w:rPr>
                          <m:t xml:space="preserve"> ×</m:t>
                        </m:r>
                      </m:e>
                    </m:nary>
                    <m:sSub>
                      <m:sSubPr>
                        <m:ctrlPr>
                          <w:rPr>
                            <w:rFonts w:ascii="Cambria Math" w:hAnsi="Cambria Math"/>
                            <w:i/>
                            <w:noProof/>
                            <w:sz w:val="12"/>
                            <w:szCs w:val="12"/>
                          </w:rPr>
                        </m:ctrlPr>
                      </m:sSubPr>
                      <m:e>
                        <m:r>
                          <w:rPr>
                            <w:rFonts w:ascii="Cambria Math" w:hAnsi="Cambria Math"/>
                            <w:noProof/>
                            <w:sz w:val="12"/>
                            <w:szCs w:val="12"/>
                          </w:rPr>
                          <m:t>LCV</m:t>
                        </m:r>
                      </m:e>
                      <m:sub>
                        <m:r>
                          <w:rPr>
                            <w:rFonts w:ascii="Cambria Math" w:hAnsi="Cambria Math"/>
                            <w:noProof/>
                            <w:sz w:val="12"/>
                            <w:szCs w:val="12"/>
                          </w:rPr>
                          <m:t>i</m:t>
                        </m:r>
                      </m:sub>
                    </m:sSub>
                    <m:r>
                      <w:rPr>
                        <w:rFonts w:ascii="Cambria Math" w:hAnsi="Cambria Math"/>
                        <w:noProof/>
                        <w:sz w:val="12"/>
                        <w:szCs w:val="12"/>
                      </w:rPr>
                      <m:t xml:space="preserve">+ </m:t>
                    </m:r>
                    <m:nary>
                      <m:naryPr>
                        <m:chr m:val="∑"/>
                        <m:ctrlPr>
                          <w:rPr>
                            <w:rFonts w:ascii="Cambria Math" w:eastAsia="Cambria Math" w:hAnsi="Cambria Math" w:cs="Arial"/>
                            <w:noProof/>
                            <w:sz w:val="12"/>
                            <w:szCs w:val="12"/>
                          </w:rPr>
                        </m:ctrlPr>
                      </m:naryPr>
                      <m:sub>
                        <m:r>
                          <w:rPr>
                            <w:rFonts w:ascii="Cambria Math" w:eastAsia="Cambria Math" w:hAnsi="Cambria Math" w:cs="Arial"/>
                            <w:noProof/>
                            <w:sz w:val="12"/>
                            <w:szCs w:val="12"/>
                          </w:rPr>
                          <m:t>k</m:t>
                        </m:r>
                      </m:sub>
                      <m:sup>
                        <m:r>
                          <m:rPr>
                            <m:sty m:val="bi"/>
                          </m:rPr>
                          <w:rPr>
                            <w:rFonts w:ascii="Cambria Math" w:eastAsia="Cambria Math" w:hAnsi="Cambria Math" w:cs="Arial"/>
                            <w:noProof/>
                            <w:sz w:val="12"/>
                            <w:szCs w:val="12"/>
                          </w:rPr>
                          <m:t>c</m:t>
                        </m:r>
                      </m:sup>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e>
                    </m:nary>
                  </m:den>
                </m:f>
              </m:oMath>
            </m:oMathPara>
          </w:p>
        </w:tc>
        <w:tc>
          <w:tcPr>
            <w:tcW w:w="5528" w:type="dxa"/>
            <w:vAlign w:val="center"/>
          </w:tcPr>
          <w:p>
            <w:pPr>
              <w:ind w:left="-107" w:right="-109"/>
              <w:jc w:val="center"/>
              <w:rPr>
                <w:noProof/>
                <w:sz w:val="12"/>
                <w:szCs w:val="12"/>
              </w:rPr>
            </w:pPr>
            <m:oMathPara>
              <m:oMath>
                <m:r>
                  <w:rPr>
                    <w:rFonts w:ascii="Cambria Math" w:hAnsi="Cambria Math"/>
                    <w:noProof/>
                    <w:sz w:val="12"/>
                    <w:szCs w:val="12"/>
                  </w:rPr>
                  <m:t>+</m:t>
                </m:r>
                <m:f>
                  <m:fPr>
                    <m:ctrlPr>
                      <w:rPr>
                        <w:rFonts w:ascii="Cambria Math" w:hAnsi="Cambria Math"/>
                        <w:i/>
                        <w:noProof/>
                        <w:sz w:val="12"/>
                        <w:szCs w:val="12"/>
                      </w:rPr>
                    </m:ctrlPr>
                  </m:fPr>
                  <m:num>
                    <m:nary>
                      <m:naryPr>
                        <m:chr m:val="∑"/>
                        <m:limLoc m:val="undOvr"/>
                        <m:ctrlPr>
                          <w:rPr>
                            <w:rFonts w:ascii="Cambria Math" w:hAnsi="Cambria Math"/>
                            <w:i/>
                            <w:noProof/>
                            <w:sz w:val="12"/>
                            <w:szCs w:val="12"/>
                          </w:rPr>
                        </m:ctrlPr>
                      </m:naryPr>
                      <m:sub>
                        <m:r>
                          <w:rPr>
                            <w:rFonts w:ascii="Cambria Math" w:hAnsi="Cambria Math"/>
                            <w:noProof/>
                            <w:sz w:val="12"/>
                            <w:szCs w:val="12"/>
                          </w:rPr>
                          <m:t>i</m:t>
                        </m:r>
                      </m:sub>
                      <m:sup>
                        <m:r>
                          <m:rPr>
                            <m:sty m:val="bi"/>
                          </m:rPr>
                          <w:rPr>
                            <w:rFonts w:ascii="Cambria Math" w:hAnsi="Cambria Math"/>
                            <w:noProof/>
                            <w:sz w:val="12"/>
                            <w:szCs w:val="12"/>
                          </w:rPr>
                          <m:t>n</m:t>
                        </m:r>
                        <m:r>
                          <w:rPr>
                            <w:rFonts w:ascii="Cambria Math" w:hAnsi="Cambria Math"/>
                            <w:noProof/>
                            <w:sz w:val="12"/>
                            <w:szCs w:val="12"/>
                          </w:rPr>
                          <m:t xml:space="preserve"> fuel</m:t>
                        </m:r>
                      </m:sup>
                      <m:e>
                        <m:nary>
                          <m:naryPr>
                            <m:chr m:val="∑"/>
                            <m:limLoc m:val="undOvr"/>
                            <m:ctrlPr>
                              <w:rPr>
                                <w:rFonts w:ascii="Cambria Math" w:hAnsi="Cambria Math"/>
                                <w:i/>
                                <w:noProof/>
                                <w:sz w:val="12"/>
                                <w:szCs w:val="12"/>
                              </w:rPr>
                            </m:ctrlPr>
                          </m:naryPr>
                          <m:sub>
                            <m:r>
                              <w:rPr>
                                <w:rFonts w:ascii="Cambria Math" w:hAnsi="Cambria Math"/>
                                <w:noProof/>
                                <w:sz w:val="12"/>
                                <w:szCs w:val="12"/>
                              </w:rPr>
                              <m:t>j</m:t>
                            </m:r>
                          </m:sub>
                          <m:sup>
                            <m:r>
                              <m:rPr>
                                <m:sty m:val="bi"/>
                              </m:rPr>
                              <w:rPr>
                                <w:rFonts w:ascii="Cambria Math" w:hAnsi="Cambria Math"/>
                                <w:noProof/>
                                <w:sz w:val="12"/>
                                <w:szCs w:val="12"/>
                              </w:rPr>
                              <m:t>m</m:t>
                            </m:r>
                            <m:r>
                              <w:rPr>
                                <w:rFonts w:ascii="Cambria Math" w:hAnsi="Cambria Math"/>
                                <w:noProof/>
                                <w:sz w:val="12"/>
                                <w:szCs w:val="12"/>
                              </w:rPr>
                              <m:t xml:space="preserve"> engine</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i,j</m:t>
                                </m:r>
                              </m:sub>
                            </m:sSub>
                          </m:e>
                        </m:nary>
                        <m:r>
                          <w:rPr>
                            <w:rFonts w:ascii="Cambria Math" w:hAnsi="Cambria Math"/>
                            <w:noProof/>
                            <w:sz w:val="12"/>
                            <w:szCs w:val="12"/>
                          </w:rPr>
                          <m:t xml:space="preserve"> ×</m:t>
                        </m:r>
                      </m:e>
                    </m:nary>
                    <m:r>
                      <w:rPr>
                        <w:rFonts w:ascii="Cambria Math" w:hAnsi="Cambria Math"/>
                        <w:noProof/>
                        <w:sz w:val="12"/>
                        <w:szCs w:val="12"/>
                      </w:rPr>
                      <m:t xml:space="preserve"> [ </m:t>
                    </m:r>
                    <m:d>
                      <m:dPr>
                        <m:ctrlPr>
                          <w:rPr>
                            <w:rFonts w:ascii="Cambria Math" w:eastAsia="Arial" w:hAnsi="Cambria Math" w:cs="Arial"/>
                            <w:noProof/>
                            <w:sz w:val="12"/>
                            <w:szCs w:val="12"/>
                          </w:rPr>
                        </m:ctrlPr>
                      </m:dPr>
                      <m:e>
                        <m:r>
                          <m:rPr>
                            <m:sty m:val="p"/>
                          </m:rPr>
                          <w:rPr>
                            <w:rFonts w:ascii="Cambria Math" w:eastAsia="Arial" w:hAnsi="Cambria Math" w:cs="Arial"/>
                            <w:noProof/>
                            <w:sz w:val="12"/>
                            <w:szCs w:val="12"/>
                          </w:rPr>
                          <m:t>1 –</m:t>
                        </m:r>
                        <m:sSub>
                          <m:sSubPr>
                            <m:ctrlPr>
                              <w:rPr>
                                <w:rFonts w:ascii="Cambria Math" w:eastAsia="Cambria Math" w:hAnsi="Cambria Math" w:cs="Arial"/>
                                <w:i/>
                                <w:noProof/>
                                <w:sz w:val="12"/>
                                <w:szCs w:val="12"/>
                              </w:rPr>
                            </m:ctrlPr>
                          </m:sSubPr>
                          <m:e>
                            <m:f>
                              <m:fPr>
                                <m:ctrlPr>
                                  <w:rPr>
                                    <w:rFonts w:ascii="Cambria Math" w:eastAsia="Cambria Math" w:hAnsi="Cambria Math" w:cs="Arial"/>
                                    <w:i/>
                                    <w:noProof/>
                                    <w:sz w:val="12"/>
                                    <w:szCs w:val="12"/>
                                  </w:rPr>
                                </m:ctrlPr>
                              </m:fPr>
                              <m:num>
                                <m:r>
                                  <w:rPr>
                                    <w:rFonts w:ascii="Cambria Math" w:eastAsia="Cambria Math" w:hAnsi="Cambria Math" w:cs="Arial"/>
                                    <w:noProof/>
                                    <w:sz w:val="12"/>
                                    <w:szCs w:val="12"/>
                                  </w:rPr>
                                  <m:t>1</m:t>
                                </m:r>
                              </m:num>
                              <m:den>
                                <m:r>
                                  <w:rPr>
                                    <w:rFonts w:ascii="Cambria Math" w:eastAsia="Cambria Math" w:hAnsi="Cambria Math" w:cs="Arial"/>
                                    <w:noProof/>
                                    <w:sz w:val="12"/>
                                    <w:szCs w:val="12"/>
                                  </w:rPr>
                                  <m:t>100</m:t>
                                </m:r>
                              </m:den>
                            </m:f>
                            <m:r>
                              <w:rPr>
                                <w:rFonts w:ascii="Cambria Math" w:eastAsia="Cambria Math" w:hAnsi="Cambria Math" w:cs="Arial"/>
                                <w:noProof/>
                                <w:sz w:val="12"/>
                                <w:szCs w:val="12"/>
                              </w:rPr>
                              <m:t>C</m:t>
                            </m:r>
                          </m:e>
                          <m:sub>
                            <m:r>
                              <w:rPr>
                                <w:rFonts w:ascii="Cambria Math" w:eastAsia="Cambria Math" w:hAnsi="Cambria Math" w:cs="Arial"/>
                                <w:noProof/>
                                <w:sz w:val="12"/>
                                <w:szCs w:val="12"/>
                              </w:rPr>
                              <m:t>engine slip j</m:t>
                            </m:r>
                          </m:sub>
                        </m:sSub>
                      </m:e>
                    </m:d>
                    <m:r>
                      <m:rPr>
                        <m:sty m:val="p"/>
                      </m:rPr>
                      <w:rPr>
                        <w:rFonts w:ascii="Cambria Math" w:eastAsia="Arial" w:hAnsi="Cambria Math" w:cs="Arial"/>
                        <w:noProof/>
                        <w:sz w:val="12"/>
                        <w:szCs w:val="12"/>
                      </w:rPr>
                      <m:t xml:space="preserve">× </m:t>
                    </m:r>
                    <m:d>
                      <m:dPr>
                        <m:ctrlPr>
                          <w:rPr>
                            <w:rFonts w:ascii="Cambria Math" w:eastAsia="Arial" w:hAnsi="Cambria Math" w:cs="Arial"/>
                            <w:noProof/>
                            <w:sz w:val="12"/>
                            <w:szCs w:val="12"/>
                          </w:rPr>
                        </m:ctrlPr>
                      </m:dPr>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e>
                    </m:d>
                    <m:r>
                      <m:rPr>
                        <m:sty m:val="p"/>
                      </m:rPr>
                      <w:rPr>
                        <w:rFonts w:ascii="Cambria Math" w:eastAsiaTheme="minorEastAsia" w:hAnsi="Cambria Math"/>
                        <w:noProof/>
                        <w:sz w:val="12"/>
                        <w:szCs w:val="12"/>
                      </w:rPr>
                      <m:t xml:space="preserve">+ </m:t>
                    </m:r>
                    <m:r>
                      <w:rPr>
                        <w:rFonts w:ascii="Cambria Math" w:eastAsiaTheme="minorEastAsia" w:hAnsi="Cambria Math"/>
                        <w:noProof/>
                        <w:sz w:val="12"/>
                        <w:szCs w:val="12"/>
                      </w:rPr>
                      <m:t>(</m:t>
                    </m:r>
                    <m:f>
                      <m:fPr>
                        <m:ctrlPr>
                          <w:rPr>
                            <w:rFonts w:ascii="Cambria Math" w:eastAsiaTheme="minorEastAsia" w:hAnsi="Cambria Math"/>
                            <w:i/>
                            <w:noProof/>
                            <w:sz w:val="12"/>
                            <w:szCs w:val="12"/>
                          </w:rPr>
                        </m:ctrlPr>
                      </m:fPr>
                      <m:num>
                        <m:r>
                          <w:rPr>
                            <w:rFonts w:ascii="Cambria Math" w:eastAsiaTheme="minorEastAsia" w:hAnsi="Cambria Math"/>
                            <w:noProof/>
                            <w:sz w:val="12"/>
                            <w:szCs w:val="12"/>
                          </w:rPr>
                          <m:t>1</m:t>
                        </m:r>
                      </m:num>
                      <m:den>
                        <m:r>
                          <w:rPr>
                            <w:rFonts w:ascii="Cambria Math" w:eastAsiaTheme="minorEastAsia" w:hAnsi="Cambria Math"/>
                            <w:noProof/>
                            <w:sz w:val="12"/>
                            <w:szCs w:val="12"/>
                          </w:rPr>
                          <m:t>100</m:t>
                        </m:r>
                      </m:den>
                    </m:f>
                    <m:sSub>
                      <m:sSubPr>
                        <m:ctrlPr>
                          <w:rPr>
                            <w:rFonts w:ascii="Cambria Math" w:eastAsia="Cambria Math" w:hAnsi="Cambria Math" w:cs="Arial"/>
                            <w:noProof/>
                            <w:sz w:val="12"/>
                            <w:szCs w:val="12"/>
                          </w:rPr>
                        </m:ctrlPr>
                      </m:sSub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engine slip j</m:t>
                            </m:r>
                          </m:sub>
                        </m:sSub>
                        <m:r>
                          <w:rPr>
                            <w:rFonts w:ascii="Cambria Math" w:eastAsia="Cambria Math" w:hAnsi="Cambria Math" w:cs="Arial"/>
                            <w:noProof/>
                            <w:sz w:val="12"/>
                            <w:szCs w:val="12"/>
                          </w:rPr>
                          <m:t xml:space="preserve"> × CO</m:t>
                        </m:r>
                      </m:e>
                      <m:sub>
                        <m:r>
                          <w:rPr>
                            <w:rFonts w:ascii="Cambria Math" w:eastAsia="Cambria Math" w:hAnsi="Cambria Math" w:cs="Arial"/>
                            <w:noProof/>
                            <w:sz w:val="12"/>
                            <w:szCs w:val="12"/>
                          </w:rPr>
                          <m:t>2eqTtW, slippage, j</m:t>
                        </m:r>
                      </m:sub>
                    </m:sSub>
                    <m:r>
                      <w:rPr>
                        <w:rFonts w:ascii="Cambria Math" w:eastAsia="Cambria Math" w:hAnsi="Cambria Math" w:cs="Arial"/>
                        <w:noProof/>
                        <w:sz w:val="12"/>
                        <w:szCs w:val="12"/>
                      </w:rPr>
                      <m:t>)</m:t>
                    </m:r>
                    <m:r>
                      <m:rPr>
                        <m:sty m:val="p"/>
                      </m:rPr>
                      <w:rPr>
                        <w:rFonts w:ascii="Cambria Math" w:eastAsiaTheme="minorEastAsia" w:hAnsi="Cambria Math"/>
                        <w:noProof/>
                        <w:sz w:val="12"/>
                        <w:szCs w:val="12"/>
                      </w:rPr>
                      <m:t xml:space="preserve"> ]</m:t>
                    </m:r>
                  </m:num>
                  <m:den>
                    <m:nary>
                      <m:naryPr>
                        <m:chr m:val="∑"/>
                        <m:limLoc m:val="undOvr"/>
                        <m:ctrlPr>
                          <w:rPr>
                            <w:rFonts w:ascii="Cambria Math" w:hAnsi="Cambria Math"/>
                            <w:i/>
                            <w:noProof/>
                            <w:sz w:val="12"/>
                            <w:szCs w:val="12"/>
                          </w:rPr>
                        </m:ctrlPr>
                      </m:naryPr>
                      <m:sub>
                        <m:r>
                          <w:rPr>
                            <w:rFonts w:ascii="Cambria Math" w:hAnsi="Cambria Math"/>
                            <w:noProof/>
                            <w:sz w:val="12"/>
                            <w:szCs w:val="12"/>
                          </w:rPr>
                          <m:t xml:space="preserve">i </m:t>
                        </m:r>
                      </m:sub>
                      <m:sup>
                        <m:r>
                          <m:rPr>
                            <m:sty m:val="bi"/>
                          </m:rPr>
                          <w:rPr>
                            <w:rFonts w:ascii="Cambria Math" w:hAnsi="Cambria Math"/>
                            <w:noProof/>
                            <w:sz w:val="12"/>
                            <w:szCs w:val="12"/>
                          </w:rPr>
                          <m:t>n</m:t>
                        </m:r>
                        <m:r>
                          <w:rPr>
                            <w:rFonts w:ascii="Cambria Math" w:hAnsi="Cambria Math"/>
                            <w:noProof/>
                            <w:sz w:val="12"/>
                            <w:szCs w:val="12"/>
                          </w:rPr>
                          <m:t xml:space="preserve"> fuel</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 xml:space="preserve">i </m:t>
                            </m:r>
                          </m:sub>
                        </m:sSub>
                        <m:r>
                          <w:rPr>
                            <w:rFonts w:ascii="Cambria Math" w:hAnsi="Cambria Math"/>
                            <w:noProof/>
                            <w:sz w:val="12"/>
                            <w:szCs w:val="12"/>
                          </w:rPr>
                          <m:t xml:space="preserve"> ×</m:t>
                        </m:r>
                      </m:e>
                    </m:nary>
                    <m:sSub>
                      <m:sSubPr>
                        <m:ctrlPr>
                          <w:rPr>
                            <w:rFonts w:ascii="Cambria Math" w:hAnsi="Cambria Math"/>
                            <w:i/>
                            <w:noProof/>
                            <w:sz w:val="12"/>
                            <w:szCs w:val="12"/>
                          </w:rPr>
                        </m:ctrlPr>
                      </m:sSubPr>
                      <m:e>
                        <m:r>
                          <w:rPr>
                            <w:rFonts w:ascii="Cambria Math" w:hAnsi="Cambria Math"/>
                            <w:noProof/>
                            <w:sz w:val="12"/>
                            <w:szCs w:val="12"/>
                          </w:rPr>
                          <m:t>LCV</m:t>
                        </m:r>
                      </m:e>
                      <m:sub>
                        <m:r>
                          <w:rPr>
                            <w:rFonts w:ascii="Cambria Math" w:hAnsi="Cambria Math"/>
                            <w:noProof/>
                            <w:sz w:val="12"/>
                            <w:szCs w:val="12"/>
                          </w:rPr>
                          <m:t>i</m:t>
                        </m:r>
                      </m:sub>
                    </m:sSub>
                    <m:r>
                      <w:rPr>
                        <w:rFonts w:ascii="Cambria Math" w:hAnsi="Cambria Math"/>
                        <w:noProof/>
                        <w:sz w:val="12"/>
                        <w:szCs w:val="12"/>
                      </w:rPr>
                      <m:t xml:space="preserve">+ </m:t>
                    </m:r>
                    <m:nary>
                      <m:naryPr>
                        <m:chr m:val="∑"/>
                        <m:ctrlPr>
                          <w:rPr>
                            <w:rFonts w:ascii="Cambria Math" w:eastAsia="Cambria Math" w:hAnsi="Cambria Math" w:cs="Arial"/>
                            <w:noProof/>
                            <w:sz w:val="12"/>
                            <w:szCs w:val="12"/>
                          </w:rPr>
                        </m:ctrlPr>
                      </m:naryPr>
                      <m:sub>
                        <m:r>
                          <w:rPr>
                            <w:rFonts w:ascii="Cambria Math" w:eastAsia="Cambria Math" w:hAnsi="Cambria Math" w:cs="Arial"/>
                            <w:noProof/>
                            <w:sz w:val="12"/>
                            <w:szCs w:val="12"/>
                          </w:rPr>
                          <m:t>k</m:t>
                        </m:r>
                      </m:sub>
                      <m:sup>
                        <m:r>
                          <m:rPr>
                            <m:sty m:val="bi"/>
                          </m:rPr>
                          <w:rPr>
                            <w:rFonts w:ascii="Cambria Math" w:eastAsia="Cambria Math" w:hAnsi="Cambria Math" w:cs="Arial"/>
                            <w:noProof/>
                            <w:sz w:val="12"/>
                            <w:szCs w:val="12"/>
                          </w:rPr>
                          <m:t>l</m:t>
                        </m:r>
                      </m:sup>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e>
                    </m:nary>
                  </m:den>
                </m:f>
              </m:oMath>
            </m:oMathPara>
          </w:p>
        </w:tc>
      </w:tr>
    </w:tbl>
    <w:p>
      <w:pPr>
        <w:jc w:val="center"/>
        <w:rPr>
          <w:noProof/>
          <w:sz w:val="16"/>
          <w:szCs w:val="16"/>
        </w:rPr>
      </w:pPr>
      <w:r>
        <w:rPr>
          <w:noProof/>
          <w:sz w:val="16"/>
          <w:szCs w:val="16"/>
        </w:rPr>
        <w:t>Équation (1)</w:t>
      </w:r>
    </w:p>
    <w:p>
      <w:pPr>
        <w:jc w:val="left"/>
        <w:rPr>
          <w:noProof/>
          <w:szCs w:val="16"/>
        </w:rPr>
      </w:pPr>
      <w:r>
        <w:rPr>
          <w:noProof/>
        </w:rPr>
        <w:t>où la formule suivante est dénommée «Équation (2)»:</w:t>
      </w:r>
    </w:p>
    <w:p>
      <w:pPr>
        <w:jc w:val="left"/>
        <w:rPr>
          <w:noProof/>
          <w:sz w:val="16"/>
          <w:szCs w:val="16"/>
        </w:rPr>
      </w:pPr>
    </w:p>
    <w:p>
      <w:pPr>
        <w:rPr>
          <w:noProof/>
          <w:sz w:val="16"/>
          <w:szCs w:val="16"/>
        </w:rPr>
      </w:pPr>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d>
              <m:dPr>
                <m:ctrlPr>
                  <w:rPr>
                    <w:rFonts w:ascii="Cambria Math" w:eastAsia="Cambria Math" w:hAnsi="Cambria Math" w:cs="Arial"/>
                    <w:i/>
                    <w:noProof/>
                    <w:sz w:val="12"/>
                    <w:szCs w:val="12"/>
                  </w:rPr>
                </m:ctrlPr>
              </m:d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f</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f</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f</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e>
            </m:d>
          </m:e>
          <m:sub>
            <m:r>
              <w:rPr>
                <w:rFonts w:ascii="Cambria Math" w:eastAsia="Cambria Math" w:hAnsi="Cambria Math" w:cs="Arial"/>
                <w:noProof/>
                <w:sz w:val="12"/>
                <w:szCs w:val="12"/>
              </w:rPr>
              <m:t>i</m:t>
            </m:r>
          </m:sub>
        </m:sSub>
      </m:oMath>
      <w:r>
        <w:rPr>
          <w:noProof/>
        </w:rPr>
        <w:tab/>
      </w:r>
      <w:r>
        <w:rPr>
          <w:noProof/>
          <w:sz w:val="16"/>
          <w:szCs w:val="16"/>
        </w:rPr>
        <w:t>Équation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624"/>
      </w:tblGrid>
      <w:tr>
        <w:trPr>
          <w:jc w:val="center"/>
        </w:trPr>
        <w:tc>
          <w:tcPr>
            <w:tcW w:w="1665" w:type="dxa"/>
          </w:tcPr>
          <w:p>
            <w:pPr>
              <w:jc w:val="center"/>
              <w:rPr>
                <w:b/>
                <w:noProof/>
                <w:sz w:val="16"/>
                <w:szCs w:val="16"/>
              </w:rPr>
            </w:pPr>
            <w:r>
              <w:rPr>
                <w:b/>
                <w:noProof/>
                <w:sz w:val="16"/>
                <w:szCs w:val="16"/>
              </w:rPr>
              <w:t>Terme</w:t>
            </w:r>
          </w:p>
        </w:tc>
        <w:tc>
          <w:tcPr>
            <w:tcW w:w="7624" w:type="dxa"/>
          </w:tcPr>
          <w:p>
            <w:pPr>
              <w:jc w:val="center"/>
              <w:rPr>
                <w:b/>
                <w:noProof/>
                <w:sz w:val="16"/>
                <w:szCs w:val="16"/>
              </w:rPr>
            </w:pPr>
            <w:r>
              <w:rPr>
                <w:b/>
                <w:noProof/>
                <w:sz w:val="16"/>
                <w:szCs w:val="16"/>
              </w:rPr>
              <w:t>Explication</w:t>
            </w:r>
          </w:p>
        </w:tc>
      </w:tr>
      <w:tr>
        <w:trPr>
          <w:jc w:val="center"/>
        </w:trPr>
        <w:tc>
          <w:tcPr>
            <w:tcW w:w="1665" w:type="dxa"/>
          </w:tcPr>
          <w:p>
            <w:pPr>
              <w:jc w:val="left"/>
              <w:rPr>
                <w:i/>
                <w:noProof/>
                <w:sz w:val="16"/>
                <w:szCs w:val="16"/>
              </w:rPr>
            </w:pPr>
            <w:r>
              <w:rPr>
                <w:i/>
                <w:noProof/>
                <w:sz w:val="16"/>
                <w:szCs w:val="16"/>
              </w:rPr>
              <w:t>i</w:t>
            </w:r>
          </w:p>
        </w:tc>
        <w:tc>
          <w:tcPr>
            <w:tcW w:w="7624" w:type="dxa"/>
          </w:tcPr>
          <w:p>
            <w:pPr>
              <w:rPr>
                <w:noProof/>
                <w:sz w:val="16"/>
                <w:szCs w:val="16"/>
              </w:rPr>
            </w:pPr>
            <w:r>
              <w:rPr>
                <w:noProof/>
                <w:sz w:val="16"/>
                <w:szCs w:val="16"/>
              </w:rPr>
              <w:t>Indice correspondant aux carburants livrés au navire au cours de la période de référence.</w:t>
            </w:r>
          </w:p>
        </w:tc>
      </w:tr>
      <w:tr>
        <w:trPr>
          <w:jc w:val="center"/>
        </w:trPr>
        <w:tc>
          <w:tcPr>
            <w:tcW w:w="1665" w:type="dxa"/>
          </w:tcPr>
          <w:p>
            <w:pPr>
              <w:jc w:val="left"/>
              <w:rPr>
                <w:i/>
                <w:noProof/>
                <w:sz w:val="16"/>
                <w:szCs w:val="16"/>
              </w:rPr>
            </w:pPr>
            <w:r>
              <w:rPr>
                <w:i/>
                <w:noProof/>
                <w:sz w:val="16"/>
                <w:szCs w:val="16"/>
              </w:rPr>
              <w:t>j</w:t>
            </w:r>
          </w:p>
        </w:tc>
        <w:tc>
          <w:tcPr>
            <w:tcW w:w="7624" w:type="dxa"/>
          </w:tcPr>
          <w:p>
            <w:pPr>
              <w:rPr>
                <w:noProof/>
                <w:sz w:val="16"/>
                <w:szCs w:val="16"/>
              </w:rPr>
            </w:pPr>
            <w:r>
              <w:rPr>
                <w:noProof/>
                <w:sz w:val="16"/>
                <w:szCs w:val="16"/>
              </w:rPr>
              <w:t>Indice correspondant aux unités de combustion de carburants à bord du navire. Aux fins du présent règlement, les unités considérées sont le ou les moteurs principaux, le ou les moteurs auxiliaires et les chaudières au fioul.</w:t>
            </w:r>
          </w:p>
        </w:tc>
      </w:tr>
      <w:tr>
        <w:trPr>
          <w:jc w:val="center"/>
        </w:trPr>
        <w:tc>
          <w:tcPr>
            <w:tcW w:w="1665" w:type="dxa"/>
          </w:tcPr>
          <w:p>
            <w:pPr>
              <w:jc w:val="left"/>
              <w:rPr>
                <w:i/>
                <w:noProof/>
                <w:sz w:val="16"/>
                <w:szCs w:val="16"/>
              </w:rPr>
            </w:pPr>
            <w:r>
              <w:rPr>
                <w:i/>
                <w:noProof/>
                <w:sz w:val="16"/>
                <w:szCs w:val="16"/>
              </w:rPr>
              <w:t>k</w:t>
            </w:r>
          </w:p>
        </w:tc>
        <w:tc>
          <w:tcPr>
            <w:tcW w:w="7624" w:type="dxa"/>
          </w:tcPr>
          <w:p>
            <w:pPr>
              <w:rPr>
                <w:noProof/>
                <w:sz w:val="16"/>
                <w:szCs w:val="16"/>
              </w:rPr>
            </w:pPr>
            <w:r>
              <w:rPr>
                <w:noProof/>
                <w:sz w:val="16"/>
                <w:szCs w:val="16"/>
              </w:rPr>
              <w:t>Indice correspondant aux points de raccordement (</w:t>
            </w:r>
            <w:r>
              <w:rPr>
                <w:i/>
                <w:noProof/>
                <w:sz w:val="16"/>
                <w:szCs w:val="16"/>
              </w:rPr>
              <w:t>c</w:t>
            </w:r>
            <w:r>
              <w:rPr>
                <w:noProof/>
                <w:sz w:val="16"/>
                <w:szCs w:val="16"/>
              </w:rPr>
              <w:t>) où l’électricité est fournie par point de raccordement.</w:t>
            </w:r>
          </w:p>
        </w:tc>
      </w:tr>
      <w:tr>
        <w:trPr>
          <w:jc w:val="center"/>
        </w:trPr>
        <w:tc>
          <w:tcPr>
            <w:tcW w:w="1665" w:type="dxa"/>
          </w:tcPr>
          <w:p>
            <w:pPr>
              <w:jc w:val="left"/>
              <w:rPr>
                <w:i/>
                <w:noProof/>
                <w:sz w:val="16"/>
                <w:szCs w:val="16"/>
              </w:rPr>
            </w:pPr>
            <w:r>
              <w:rPr>
                <w:i/>
                <w:noProof/>
                <w:sz w:val="16"/>
                <w:szCs w:val="16"/>
              </w:rPr>
              <w:t>c</w:t>
            </w:r>
          </w:p>
        </w:tc>
        <w:tc>
          <w:tcPr>
            <w:tcW w:w="7624" w:type="dxa"/>
          </w:tcPr>
          <w:p>
            <w:pPr>
              <w:rPr>
                <w:noProof/>
                <w:sz w:val="16"/>
                <w:szCs w:val="16"/>
              </w:rPr>
            </w:pPr>
            <w:r>
              <w:rPr>
                <w:bCs/>
                <w:noProof/>
                <w:sz w:val="16"/>
                <w:szCs w:val="16"/>
              </w:rPr>
              <w:t>Indice correspondant au nombre de points de recharge électrique.</w:t>
            </w:r>
          </w:p>
        </w:tc>
      </w:tr>
      <w:tr>
        <w:trPr>
          <w:jc w:val="center"/>
        </w:trPr>
        <w:tc>
          <w:tcPr>
            <w:tcW w:w="1665" w:type="dxa"/>
          </w:tcPr>
          <w:p>
            <w:pPr>
              <w:jc w:val="left"/>
              <w:rPr>
                <w:i/>
                <w:noProof/>
                <w:sz w:val="16"/>
                <w:szCs w:val="16"/>
              </w:rPr>
            </w:pPr>
            <w:r>
              <w:rPr>
                <w:i/>
                <w:noProof/>
                <w:sz w:val="16"/>
                <w:szCs w:val="16"/>
              </w:rPr>
              <w:t>m</w:t>
            </w:r>
          </w:p>
        </w:tc>
        <w:tc>
          <w:tcPr>
            <w:tcW w:w="7624" w:type="dxa"/>
          </w:tcPr>
          <w:p>
            <w:pPr>
              <w:rPr>
                <w:noProof/>
                <w:sz w:val="16"/>
                <w:szCs w:val="16"/>
              </w:rPr>
            </w:pPr>
            <w:r>
              <w:rPr>
                <w:bCs/>
                <w:noProof/>
                <w:sz w:val="16"/>
                <w:szCs w:val="16"/>
              </w:rPr>
              <w:t>Indice correspondant au nombre de consommateurs d’énergie.</w:t>
            </w:r>
          </w:p>
        </w:tc>
      </w:tr>
      <w:bookmarkStart w:id="1" w:name="_Hlk70692305"/>
      <w:tr>
        <w:trPr>
          <w:jc w:val="center"/>
        </w:trPr>
        <w:tc>
          <w:tcPr>
            <w:tcW w:w="1665" w:type="dxa"/>
          </w:tcPr>
          <w:p>
            <w:pPr>
              <w:jc w:val="center"/>
              <w:rPr>
                <w:noProof/>
                <w:sz w:val="16"/>
                <w:szCs w:val="16"/>
              </w:rPr>
            </w:pPr>
            <m:oMathPara>
              <m:oMath>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i, j</m:t>
                    </m:r>
                  </m:sub>
                </m:sSub>
              </m:oMath>
            </m:oMathPara>
            <w:bookmarkEnd w:id="1"/>
          </w:p>
        </w:tc>
        <w:tc>
          <w:tcPr>
            <w:tcW w:w="7624" w:type="dxa"/>
          </w:tcPr>
          <w:p>
            <w:pPr>
              <w:rPr>
                <w:noProof/>
                <w:sz w:val="16"/>
                <w:szCs w:val="16"/>
              </w:rPr>
            </w:pPr>
            <w:r>
              <w:rPr>
                <w:bCs/>
                <w:noProof/>
                <w:sz w:val="16"/>
                <w:szCs w:val="16"/>
              </w:rPr>
              <w:t>Masse du carburant spécifique</w:t>
            </w:r>
            <w:r>
              <w:rPr>
                <w:noProof/>
                <w:sz w:val="16"/>
                <w:szCs w:val="16"/>
              </w:rPr>
              <w:t xml:space="preserve"> </w:t>
            </w:r>
            <w:r>
              <w:rPr>
                <w:i/>
                <w:noProof/>
                <w:sz w:val="16"/>
                <w:szCs w:val="16"/>
              </w:rPr>
              <w:t>i</w:t>
            </w:r>
            <w:r>
              <w:rPr>
                <w:noProof/>
                <w:sz w:val="16"/>
                <w:szCs w:val="16"/>
              </w:rPr>
              <w:t xml:space="preserve"> </w:t>
            </w:r>
            <w:r>
              <w:rPr>
                <w:bCs/>
                <w:noProof/>
                <w:sz w:val="16"/>
                <w:szCs w:val="16"/>
              </w:rPr>
              <w:t xml:space="preserve">oxydé dans le consommateur </w:t>
            </w:r>
            <w:r>
              <w:rPr>
                <w:bCs/>
                <w:i/>
                <w:iCs/>
                <w:noProof/>
                <w:sz w:val="16"/>
                <w:szCs w:val="16"/>
              </w:rPr>
              <w:t>j</w:t>
            </w:r>
            <w:r>
              <w:rPr>
                <w:noProof/>
              </w:rPr>
              <w:t xml:space="preserve"> </w:t>
            </w:r>
            <w:r>
              <w:rPr>
                <w:rFonts w:ascii="Arial" w:hAnsi="Arial"/>
                <w:bCs/>
                <w:i/>
                <w:iCs/>
                <w:noProof/>
                <w:szCs w:val="20"/>
              </w:rPr>
              <w:t xml:space="preserve"> </w:t>
            </w:r>
            <w:r>
              <w:rPr>
                <w:noProof/>
                <w:sz w:val="16"/>
                <w:szCs w:val="16"/>
              </w:rPr>
              <w:t>[gFuel]</w:t>
            </w:r>
            <w:r>
              <w:rPr>
                <w:noProof/>
              </w:rPr>
              <w:t>.</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oMath>
            </m:oMathPara>
          </w:p>
        </w:tc>
        <w:tc>
          <w:tcPr>
            <w:tcW w:w="7624" w:type="dxa"/>
          </w:tcPr>
          <w:p>
            <w:pPr>
              <w:rPr>
                <w:noProof/>
                <w:sz w:val="16"/>
                <w:szCs w:val="16"/>
              </w:rPr>
            </w:pPr>
            <w:r>
              <w:rPr>
                <w:noProof/>
                <w:sz w:val="16"/>
                <w:szCs w:val="16"/>
              </w:rPr>
              <w:t xml:space="preserve">Électricité livrée au navire </w:t>
            </w:r>
            <w:r>
              <w:rPr>
                <w:i/>
                <w:noProof/>
                <w:sz w:val="16"/>
                <w:szCs w:val="16"/>
              </w:rPr>
              <w:t>par</w:t>
            </w:r>
            <w:r>
              <w:rPr>
                <w:noProof/>
                <w:sz w:val="16"/>
                <w:szCs w:val="16"/>
              </w:rPr>
              <w:t xml:space="preserve"> point de raccordement </w:t>
            </w:r>
            <w:r>
              <w:rPr>
                <w:i/>
                <w:noProof/>
                <w:sz w:val="16"/>
                <w:szCs w:val="16"/>
              </w:rPr>
              <w:t>k</w:t>
            </w:r>
            <w:r>
              <w:rPr>
                <w:noProof/>
                <w:sz w:val="16"/>
                <w:szCs w:val="16"/>
              </w:rPr>
              <w:t xml:space="preserve"> si plus d’un [MJ].</w:t>
            </w:r>
          </w:p>
        </w:tc>
      </w:tr>
      <w:tr>
        <w:trPr>
          <w:jc w:val="center"/>
        </w:trPr>
        <w:tc>
          <w:tcPr>
            <w:tcW w:w="1665" w:type="dxa"/>
          </w:tcPr>
          <w:p>
            <w:pPr>
              <w:jc w:val="center"/>
              <w:rPr>
                <w:noProof/>
                <w:sz w:val="16"/>
                <w:szCs w:val="16"/>
              </w:rPr>
            </w:pPr>
            <m:oMathPara>
              <m:oMath>
                <m:sSub>
                  <m:sSubPr>
                    <m:ctrlPr>
                      <w:rPr>
                        <w:rFonts w:ascii="Cambria Math" w:hAnsi="Cambria Math"/>
                        <w:i/>
                        <w:noProof/>
                        <w:sz w:val="12"/>
                        <w:szCs w:val="12"/>
                      </w:rPr>
                    </m:ctrlPr>
                  </m:sSubPr>
                  <m:e>
                    <m:r>
                      <w:rPr>
                        <w:rFonts w:ascii="Cambria Math" w:hAnsi="Cambria Math"/>
                        <w:noProof/>
                        <w:sz w:val="12"/>
                        <w:szCs w:val="12"/>
                      </w:rPr>
                      <m:t>CO</m:t>
                    </m:r>
                  </m:e>
                  <m:sub>
                    <m:r>
                      <w:rPr>
                        <w:rFonts w:ascii="Cambria Math" w:hAnsi="Cambria Math"/>
                        <w:noProof/>
                        <w:sz w:val="12"/>
                        <w:szCs w:val="12"/>
                      </w:rPr>
                      <m:t>2eq WtT, i</m:t>
                    </m:r>
                  </m:sub>
                </m:sSub>
              </m:oMath>
            </m:oMathPara>
          </w:p>
        </w:tc>
        <w:tc>
          <w:tcPr>
            <w:tcW w:w="7624" w:type="dxa"/>
          </w:tcPr>
          <w:p>
            <w:pPr>
              <w:rPr>
                <w:noProof/>
                <w:sz w:val="16"/>
                <w:szCs w:val="16"/>
              </w:rPr>
            </w:pPr>
            <w:r>
              <w:rPr>
                <w:noProof/>
                <w:sz w:val="16"/>
                <w:szCs w:val="16"/>
              </w:rPr>
              <w:t xml:space="preserve">Facteur d’émission de GES WtT du carburant </w:t>
            </w:r>
            <w:r>
              <w:rPr>
                <w:i/>
                <w:iCs/>
                <w:noProof/>
                <w:sz w:val="16"/>
                <w:szCs w:val="16"/>
              </w:rPr>
              <w:t>i</w:t>
            </w:r>
            <w:r>
              <w:rPr>
                <w:noProof/>
                <w:sz w:val="16"/>
                <w:szCs w:val="16"/>
              </w:rPr>
              <w:t xml:space="preserve"> [gCO</w:t>
            </w:r>
            <w:r>
              <w:rPr>
                <w:noProof/>
                <w:sz w:val="16"/>
                <w:szCs w:val="16"/>
                <w:vertAlign w:val="subscript"/>
              </w:rPr>
              <w:t>2eq</w:t>
            </w:r>
            <w:r>
              <w:rPr>
                <w:noProof/>
                <w:sz w:val="16"/>
                <w:szCs w:val="16"/>
              </w:rPr>
              <w:t>/MJ].</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m:t>
                        </m:r>
                      </m:sub>
                    </m:sSub>
                  </m:e>
                  <m:sub>
                    <m:r>
                      <w:rPr>
                        <w:rFonts w:ascii="Cambria Math" w:eastAsia="Cambria Math" w:hAnsi="Cambria Math" w:cs="Arial"/>
                        <w:noProof/>
                        <w:sz w:val="12"/>
                        <w:szCs w:val="12"/>
                      </w:rPr>
                      <m:t xml:space="preserve"> electricity, k</m:t>
                    </m:r>
                  </m:sub>
                </m:sSub>
              </m:oMath>
            </m:oMathPara>
          </w:p>
        </w:tc>
        <w:tc>
          <w:tcPr>
            <w:tcW w:w="7624" w:type="dxa"/>
          </w:tcPr>
          <w:p>
            <w:pPr>
              <w:rPr>
                <w:noProof/>
                <w:sz w:val="16"/>
                <w:szCs w:val="16"/>
              </w:rPr>
            </w:pPr>
            <w:r>
              <w:rPr>
                <w:noProof/>
                <w:sz w:val="16"/>
                <w:szCs w:val="16"/>
              </w:rPr>
              <w:t xml:space="preserve">Facteur d’émission de GES WtT associé à l’électricité livrée au navire à quai </w:t>
            </w:r>
            <w:r>
              <w:rPr>
                <w:i/>
                <w:noProof/>
                <w:sz w:val="16"/>
                <w:szCs w:val="16"/>
              </w:rPr>
              <w:t>par</w:t>
            </w:r>
            <w:r>
              <w:rPr>
                <w:noProof/>
                <w:sz w:val="16"/>
                <w:szCs w:val="16"/>
              </w:rPr>
              <w:t xml:space="preserve"> point de raccordement </w:t>
            </w:r>
            <w:r>
              <w:rPr>
                <w:i/>
                <w:noProof/>
                <w:sz w:val="16"/>
                <w:szCs w:val="16"/>
              </w:rPr>
              <w:t>k</w:t>
            </w:r>
            <w:r>
              <w:rPr>
                <w:noProof/>
                <w:sz w:val="16"/>
                <w:szCs w:val="16"/>
              </w:rPr>
              <w:t xml:space="preserve"> [gCO</w:t>
            </w:r>
            <w:r>
              <w:rPr>
                <w:noProof/>
                <w:sz w:val="16"/>
                <w:szCs w:val="16"/>
                <w:vertAlign w:val="subscript"/>
              </w:rPr>
              <w:t>2eq</w:t>
            </w:r>
            <w:r>
              <w:rPr>
                <w:noProof/>
                <w:sz w:val="16"/>
                <w:szCs w:val="16"/>
              </w:rPr>
              <w:t>/MJ].</w:t>
            </w:r>
          </w:p>
        </w:tc>
      </w:tr>
      <w:tr>
        <w:trPr>
          <w:jc w:val="center"/>
        </w:trPr>
        <w:tc>
          <w:tcPr>
            <w:tcW w:w="1665" w:type="dxa"/>
          </w:tcPr>
          <w:p>
            <w:pPr>
              <w:jc w:val="center"/>
              <w:rPr>
                <w:rFonts w:eastAsia="Calibri"/>
                <w:noProof/>
                <w:sz w:val="12"/>
                <w:szCs w:val="12"/>
              </w:rPr>
            </w:pPr>
            <m:oMathPara>
              <m:oMath>
                <m:sSub>
                  <m:sSubPr>
                    <m:ctrlPr>
                      <w:rPr>
                        <w:rFonts w:ascii="Cambria Math" w:eastAsia="Calibri" w:hAnsi="Cambria Math"/>
                        <w:i/>
                        <w:noProof/>
                        <w:sz w:val="12"/>
                        <w:szCs w:val="12"/>
                      </w:rPr>
                    </m:ctrlPr>
                  </m:sSubPr>
                  <m:e>
                    <m:r>
                      <w:rPr>
                        <w:rFonts w:ascii="Cambria Math" w:eastAsia="Calibri" w:hAnsi="Cambria Math"/>
                        <w:noProof/>
                        <w:sz w:val="12"/>
                        <w:szCs w:val="12"/>
                      </w:rPr>
                      <m:t>LCV</m:t>
                    </m:r>
                  </m:e>
                  <m:sub>
                    <m:r>
                      <w:rPr>
                        <w:rFonts w:ascii="Cambria Math" w:eastAsia="Calibri" w:hAnsi="Cambria Math"/>
                        <w:noProof/>
                        <w:sz w:val="12"/>
                        <w:szCs w:val="12"/>
                      </w:rPr>
                      <m:t>i</m:t>
                    </m:r>
                  </m:sub>
                </m:sSub>
              </m:oMath>
            </m:oMathPara>
          </w:p>
        </w:tc>
        <w:tc>
          <w:tcPr>
            <w:tcW w:w="7624" w:type="dxa"/>
          </w:tcPr>
          <w:p>
            <w:pPr>
              <w:rPr>
                <w:noProof/>
                <w:sz w:val="16"/>
                <w:szCs w:val="16"/>
              </w:rPr>
            </w:pPr>
            <w:r>
              <w:rPr>
                <w:noProof/>
                <w:sz w:val="16"/>
                <w:szCs w:val="16"/>
              </w:rPr>
              <w:t xml:space="preserve">Pouvoir calorifique inférieur du carburant </w:t>
            </w:r>
            <w:r>
              <w:rPr>
                <w:i/>
                <w:iCs/>
                <w:noProof/>
                <w:sz w:val="16"/>
                <w:szCs w:val="16"/>
              </w:rPr>
              <w:t>i</w:t>
            </w:r>
            <w:r>
              <w:rPr>
                <w:noProof/>
                <w:sz w:val="16"/>
                <w:szCs w:val="16"/>
              </w:rPr>
              <w:t xml:space="preserve"> [MJ/gFuel].</w:t>
            </w:r>
          </w:p>
        </w:tc>
      </w:tr>
      <w:bookmarkStart w:id="2" w:name="_Hlk70933326"/>
      <w:tr>
        <w:trPr>
          <w:jc w:val="center"/>
        </w:trPr>
        <w:tc>
          <w:tcPr>
            <w:tcW w:w="1665" w:type="dxa"/>
          </w:tcPr>
          <w:p>
            <w:pPr>
              <w:jc w:val="center"/>
              <w:rPr>
                <w:noProof/>
                <w:sz w:val="16"/>
                <w:szCs w:val="16"/>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engine slip j</m:t>
                    </m:r>
                  </m:sub>
                </m:sSub>
              </m:oMath>
            </m:oMathPara>
          </w:p>
        </w:tc>
        <w:tc>
          <w:tcPr>
            <w:tcW w:w="7624" w:type="dxa"/>
          </w:tcPr>
          <w:p>
            <w:pPr>
              <w:rPr>
                <w:noProof/>
                <w:sz w:val="16"/>
                <w:szCs w:val="16"/>
              </w:rPr>
            </w:pPr>
            <w:r>
              <w:rPr>
                <w:noProof/>
                <w:sz w:val="16"/>
                <w:szCs w:val="16"/>
              </w:rPr>
              <w:t xml:space="preserve">Coefficient d’échappement de carburant du moteur (carburant non brûlé) exprimé en pourcentage de la masse du carburant </w:t>
            </w:r>
            <w:r>
              <w:rPr>
                <w:i/>
                <w:iCs/>
                <w:noProof/>
                <w:sz w:val="16"/>
                <w:szCs w:val="16"/>
              </w:rPr>
              <w:t>i</w:t>
            </w:r>
            <w:r>
              <w:rPr>
                <w:noProof/>
                <w:sz w:val="16"/>
                <w:szCs w:val="16"/>
              </w:rPr>
              <w:t xml:space="preserve"> utilisé par unité de combustion </w:t>
            </w:r>
            <w:r>
              <w:rPr>
                <w:i/>
                <w:iCs/>
                <w:noProof/>
                <w:sz w:val="16"/>
                <w:szCs w:val="16"/>
              </w:rPr>
              <w:t>j</w:t>
            </w:r>
            <w:r>
              <w:rPr>
                <w:noProof/>
                <w:sz w:val="16"/>
                <w:szCs w:val="16"/>
              </w:rPr>
              <w:t xml:space="preserve"> [%].</w:t>
            </w:r>
          </w:p>
        </w:tc>
      </w:tr>
      <w:bookmarkEnd w:id="2"/>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oMath>
            </m:oMathPara>
          </w:p>
        </w:tc>
        <w:tc>
          <w:tcPr>
            <w:tcW w:w="7624" w:type="dxa"/>
          </w:tcPr>
          <w:p>
            <w:pPr>
              <w:rPr>
                <w:noProof/>
                <w:sz w:val="16"/>
                <w:szCs w:val="16"/>
              </w:rPr>
            </w:pPr>
            <w:r>
              <w:rPr>
                <w:noProof/>
                <w:sz w:val="16"/>
                <w:szCs w:val="16"/>
              </w:rPr>
              <w:t xml:space="preserve">Facteurs d’émission de GES TtW par carburant brûlé dans une unité de combustion </w:t>
            </w:r>
            <w:r>
              <w:rPr>
                <w:i/>
                <w:noProof/>
                <w:sz w:val="16"/>
                <w:szCs w:val="16"/>
              </w:rPr>
              <w:t>j</w:t>
            </w:r>
            <w:r>
              <w:rPr>
                <w:noProof/>
                <w:sz w:val="16"/>
                <w:szCs w:val="16"/>
              </w:rPr>
              <w:t xml:space="preserve"> [gGHG/gFuel].</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oMath>
            </m:oMathPara>
          </w:p>
        </w:tc>
        <w:tc>
          <w:tcPr>
            <w:tcW w:w="7624" w:type="dxa"/>
          </w:tcPr>
          <w:p>
            <w:pPr>
              <w:rPr>
                <w:iCs/>
                <w:noProof/>
                <w:sz w:val="16"/>
                <w:szCs w:val="16"/>
              </w:rPr>
            </w:pPr>
            <w:bookmarkStart w:id="3" w:name="_Hlk70936274"/>
            <w:r>
              <w:rPr>
                <w:noProof/>
                <w:sz w:val="16"/>
                <w:szCs w:val="16"/>
              </w:rPr>
              <w:t>Émissions d’équivalent CO</w:t>
            </w:r>
            <w:r>
              <w:rPr>
                <w:noProof/>
                <w:sz w:val="16"/>
                <w:szCs w:val="16"/>
                <w:vertAlign w:val="subscript"/>
              </w:rPr>
              <w:t>2</w:t>
            </w:r>
            <w:r>
              <w:rPr>
                <w:noProof/>
                <w:sz w:val="16"/>
                <w:szCs w:val="16"/>
              </w:rPr>
              <w:t xml:space="preserve"> TtW</w:t>
            </w:r>
            <w:bookmarkEnd w:id="3"/>
            <w:r>
              <w:rPr>
                <w:noProof/>
              </w:rPr>
              <w:t xml:space="preserve"> </w:t>
            </w:r>
            <w:r>
              <w:rPr>
                <w:noProof/>
                <w:sz w:val="16"/>
                <w:szCs w:val="16"/>
              </w:rPr>
              <w:t xml:space="preserve">du carburant brûlé </w:t>
            </w:r>
            <w:r>
              <w:rPr>
                <w:i/>
                <w:iCs/>
                <w:noProof/>
                <w:sz w:val="16"/>
                <w:szCs w:val="16"/>
              </w:rPr>
              <w:t>i</w:t>
            </w:r>
            <w:r>
              <w:rPr>
                <w:noProof/>
                <w:sz w:val="16"/>
                <w:szCs w:val="16"/>
              </w:rPr>
              <w:t xml:space="preserve"> dans une unité de combustion </w:t>
            </w:r>
            <w:r>
              <w:rPr>
                <w:i/>
                <w:noProof/>
                <w:sz w:val="16"/>
                <w:szCs w:val="16"/>
              </w:rPr>
              <w:t>j</w:t>
            </w:r>
            <w:r>
              <w:rPr>
                <w:noProof/>
                <w:sz w:val="16"/>
                <w:szCs w:val="16"/>
              </w:rPr>
              <w:t xml:space="preserve"> [gCO</w:t>
            </w:r>
            <w:r>
              <w:rPr>
                <w:noProof/>
                <w:sz w:val="16"/>
                <w:szCs w:val="16"/>
                <w:vertAlign w:val="subscript"/>
              </w:rPr>
              <w:t>2</w:t>
            </w:r>
            <w:r>
              <w:rPr>
                <w:noProof/>
                <w:sz w:val="16"/>
                <w:szCs w:val="16"/>
              </w:rPr>
              <w:t>eq/gFuel].</w:t>
            </w:r>
          </w:p>
          <w:p>
            <w:pPr>
              <w:rPr>
                <w:noProof/>
                <w:sz w:val="16"/>
                <w:szCs w:val="16"/>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d>
                      <m:dPr>
                        <m:ctrlPr>
                          <w:rPr>
                            <w:rFonts w:ascii="Cambria Math" w:eastAsia="Cambria Math" w:hAnsi="Cambria Math" w:cs="Arial"/>
                            <w:i/>
                            <w:noProof/>
                            <w:sz w:val="12"/>
                            <w:szCs w:val="12"/>
                          </w:rPr>
                        </m:ctrlPr>
                      </m:d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cf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cf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cf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e>
                    </m:d>
                  </m:e>
                  <m:sub>
                    <m:r>
                      <w:rPr>
                        <w:rFonts w:ascii="Cambria Math" w:eastAsia="Cambria Math" w:hAnsi="Cambria Math" w:cs="Arial"/>
                        <w:noProof/>
                        <w:sz w:val="12"/>
                        <w:szCs w:val="12"/>
                      </w:rPr>
                      <m:t>i</m:t>
                    </m:r>
                  </m:sub>
                </m:sSub>
              </m:oMath>
            </m:oMathPara>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oMath>
            </m:oMathPara>
          </w:p>
        </w:tc>
        <w:tc>
          <w:tcPr>
            <w:tcW w:w="7624" w:type="dxa"/>
          </w:tcPr>
          <w:p>
            <w:pPr>
              <w:rPr>
                <w:noProof/>
                <w:sz w:val="16"/>
                <w:szCs w:val="16"/>
              </w:rPr>
            </w:pPr>
            <w:r>
              <w:rPr>
                <w:noProof/>
                <w:sz w:val="16"/>
                <w:szCs w:val="16"/>
              </w:rPr>
              <w:t xml:space="preserve">Facteurs d’émission de GES TtW par carburant échappé vers une unité de combustion </w:t>
            </w:r>
            <w:r>
              <w:rPr>
                <w:i/>
                <w:iCs/>
                <w:noProof/>
                <w:sz w:val="16"/>
                <w:szCs w:val="16"/>
              </w:rPr>
              <w:t>j</w:t>
            </w:r>
            <w:r>
              <w:rPr>
                <w:noProof/>
                <w:sz w:val="16"/>
                <w:szCs w:val="16"/>
              </w:rPr>
              <w:t xml:space="preserve"> [gGHG/gFuel].</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TtWslippage , j</m:t>
                    </m:r>
                  </m:sub>
                </m:sSub>
              </m:oMath>
            </m:oMathPara>
          </w:p>
        </w:tc>
        <w:tc>
          <w:tcPr>
            <w:tcW w:w="7624" w:type="dxa"/>
          </w:tcPr>
          <w:p>
            <w:pPr>
              <w:rPr>
                <w:noProof/>
                <w:sz w:val="16"/>
                <w:szCs w:val="16"/>
              </w:rPr>
            </w:pPr>
            <w:r>
              <w:rPr>
                <w:noProof/>
                <w:sz w:val="16"/>
                <w:szCs w:val="16"/>
              </w:rPr>
              <w:t>Émissions d’équivalent CO</w:t>
            </w:r>
            <w:r>
              <w:rPr>
                <w:noProof/>
                <w:sz w:val="16"/>
                <w:szCs w:val="16"/>
                <w:vertAlign w:val="subscript"/>
              </w:rPr>
              <w:t>2</w:t>
            </w:r>
            <w:r>
              <w:rPr>
                <w:noProof/>
                <w:sz w:val="16"/>
                <w:szCs w:val="16"/>
              </w:rPr>
              <w:t xml:space="preserve"> TtW du carburant échappé </w:t>
            </w:r>
            <w:r>
              <w:rPr>
                <w:i/>
                <w:iCs/>
                <w:noProof/>
                <w:sz w:val="16"/>
                <w:szCs w:val="16"/>
              </w:rPr>
              <w:t>i</w:t>
            </w:r>
            <w:r>
              <w:rPr>
                <w:noProof/>
                <w:sz w:val="16"/>
                <w:szCs w:val="16"/>
              </w:rPr>
              <w:t xml:space="preserve"> vers une unité de combustion </w:t>
            </w:r>
            <w:r>
              <w:rPr>
                <w:i/>
                <w:noProof/>
                <w:sz w:val="16"/>
                <w:szCs w:val="16"/>
              </w:rPr>
              <w:t>j</w:t>
            </w:r>
            <w:r>
              <w:rPr>
                <w:noProof/>
                <w:sz w:val="16"/>
                <w:szCs w:val="16"/>
              </w:rPr>
              <w:t xml:space="preserve"> [gCO</w:t>
            </w:r>
            <w:r>
              <w:rPr>
                <w:noProof/>
                <w:sz w:val="16"/>
                <w:szCs w:val="16"/>
                <w:vertAlign w:val="subscript"/>
              </w:rPr>
              <w:t>2</w:t>
            </w:r>
            <w:r>
              <w:rPr>
                <w:noProof/>
                <w:sz w:val="16"/>
                <w:szCs w:val="16"/>
              </w:rPr>
              <w:t>eq/gFuel].</w:t>
            </w:r>
          </w:p>
          <w:p>
            <w:pPr>
              <w:rPr>
                <w:noProof/>
                <w:sz w:val="16"/>
                <w:szCs w:val="16"/>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slippage,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d>
                      <m:dPr>
                        <m:ctrlPr>
                          <w:rPr>
                            <w:rFonts w:ascii="Cambria Math" w:eastAsia="Cambria Math" w:hAnsi="Cambria Math" w:cs="Arial"/>
                            <w:i/>
                            <w:noProof/>
                            <w:sz w:val="12"/>
                            <w:szCs w:val="12"/>
                          </w:rPr>
                        </m:ctrlPr>
                      </m:d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e>
                    </m:d>
                  </m:e>
                  <m:sub>
                    <m:r>
                      <w:rPr>
                        <w:rFonts w:ascii="Cambria Math" w:eastAsia="Cambria Math" w:hAnsi="Cambria Math" w:cs="Arial"/>
                        <w:noProof/>
                        <w:sz w:val="12"/>
                        <w:szCs w:val="12"/>
                      </w:rPr>
                      <m:t>i</m:t>
                    </m:r>
                  </m:sub>
                </m:sSub>
              </m:oMath>
            </m:oMathPara>
          </w:p>
        </w:tc>
      </w:tr>
      <w:tr>
        <w:trPr>
          <w:jc w:val="center"/>
        </w:trPr>
        <w:tc>
          <w:tcPr>
            <w:tcW w:w="1665" w:type="dxa"/>
          </w:tcPr>
          <w:p>
            <w:pPr>
              <w:jc w:val="center"/>
              <w:rPr>
                <w:noProof/>
                <w:sz w:val="16"/>
                <w:szCs w:val="16"/>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r>
                      <w:rPr>
                        <w:rFonts w:ascii="Cambria Math" w:eastAsia="Cambria Math" w:hAnsi="Cambria Math" w:cs="Arial"/>
                        <w:noProof/>
                        <w:sz w:val="12"/>
                        <w:szCs w:val="12"/>
                      </w:rPr>
                      <m:t xml:space="preserve">, </m:t>
                    </m:r>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oMath>
            </m:oMathPara>
          </w:p>
        </w:tc>
        <w:tc>
          <w:tcPr>
            <w:tcW w:w="7624" w:type="dxa"/>
          </w:tcPr>
          <w:p>
            <w:pPr>
              <w:rPr>
                <w:noProof/>
                <w:sz w:val="16"/>
                <w:szCs w:val="16"/>
              </w:rPr>
            </w:pPr>
            <w:r>
              <w:rPr>
                <w:noProof/>
                <w:sz w:val="16"/>
                <w:szCs w:val="16"/>
              </w:rPr>
              <w:t>Potentiel de réchauffement planétaire sur 100 ans du CO</w:t>
            </w:r>
            <w:r>
              <w:rPr>
                <w:noProof/>
                <w:sz w:val="16"/>
                <w:szCs w:val="16"/>
                <w:vertAlign w:val="subscript"/>
              </w:rPr>
              <w:t>2</w:t>
            </w:r>
            <w:r>
              <w:rPr>
                <w:noProof/>
                <w:sz w:val="16"/>
                <w:szCs w:val="16"/>
              </w:rPr>
              <w:t>, du CH</w:t>
            </w:r>
            <w:r>
              <w:rPr>
                <w:noProof/>
                <w:sz w:val="16"/>
                <w:szCs w:val="16"/>
                <w:vertAlign w:val="subscript"/>
              </w:rPr>
              <w:t>4</w:t>
            </w:r>
            <w:r>
              <w:rPr>
                <w:noProof/>
                <w:sz w:val="16"/>
                <w:szCs w:val="16"/>
              </w:rPr>
              <w:t xml:space="preserve"> et du N</w:t>
            </w:r>
            <w:r>
              <w:rPr>
                <w:noProof/>
                <w:sz w:val="16"/>
                <w:szCs w:val="16"/>
                <w:vertAlign w:val="subscript"/>
              </w:rPr>
              <w:t>2</w:t>
            </w:r>
            <w:r>
              <w:rPr>
                <w:noProof/>
                <w:sz w:val="16"/>
                <w:szCs w:val="16"/>
              </w:rPr>
              <w:t>O.</w:t>
            </w:r>
          </w:p>
        </w:tc>
      </w:tr>
    </w:tbl>
    <w:p>
      <w:pPr>
        <w:rPr>
          <w:noProof/>
        </w:rPr>
      </w:pPr>
    </w:p>
    <w:p>
      <w:pPr>
        <w:spacing w:before="0" w:after="0"/>
        <w:rPr>
          <w:noProof/>
        </w:rPr>
      </w:pPr>
      <w:r>
        <w:rPr>
          <w:noProof/>
        </w:rPr>
        <w:t>Dans le cas des carburants fossiles, les valeurs par défaut figurant à l’annexe II sont utilisées.</w:t>
      </w:r>
    </w:p>
    <w:p>
      <w:pPr>
        <w:spacing w:before="0" w:after="0"/>
        <w:rPr>
          <w:rFonts w:eastAsiaTheme="minorEastAsia"/>
          <w:noProof/>
        </w:rPr>
      </w:pPr>
      <w:r>
        <w:rPr>
          <w:noProof/>
        </w:rPr>
        <w:t xml:space="preserve">Aux fins du présent règlement, le terme </w:t>
      </w:r>
      <m:oMath>
        <m:nary>
          <m:naryPr>
            <m:chr m:val="∑"/>
            <m:ctrlPr>
              <w:rPr>
                <w:rFonts w:ascii="Cambria Math" w:eastAsia="Cambria Math" w:hAnsi="Cambria Math" w:cs="Arial"/>
                <w:noProof/>
                <w:szCs w:val="24"/>
              </w:rPr>
            </m:ctrlPr>
          </m:naryPr>
          <m:sub>
            <m:r>
              <w:rPr>
                <w:rFonts w:ascii="Cambria Math" w:eastAsia="Cambria Math" w:hAnsi="Cambria Math" w:cs="Arial"/>
                <w:noProof/>
                <w:szCs w:val="24"/>
              </w:rPr>
              <m:t>k</m:t>
            </m:r>
          </m:sub>
          <m:sup>
            <m:r>
              <m:rPr>
                <m:sty m:val="bi"/>
              </m:rPr>
              <w:rPr>
                <w:rFonts w:ascii="Cambria Math" w:eastAsia="Cambria Math" w:hAnsi="Cambria Math" w:cs="Arial"/>
                <w:noProof/>
                <w:szCs w:val="24"/>
              </w:rPr>
              <m:t>c</m:t>
            </m:r>
          </m:sup>
          <m:e>
            <m:sSub>
              <m:sSubPr>
                <m:ctrlPr>
                  <w:rPr>
                    <w:rFonts w:ascii="Cambria Math" w:eastAsia="Cambria Math" w:hAnsi="Cambria Math" w:cs="Arial"/>
                    <w:noProof/>
                    <w:szCs w:val="24"/>
                  </w:rPr>
                </m:ctrlPr>
              </m:sSubPr>
              <m:e>
                <m:r>
                  <w:rPr>
                    <w:rFonts w:ascii="Cambria Math" w:eastAsia="Cambria Math" w:hAnsi="Cambria Math" w:cs="Arial"/>
                    <w:noProof/>
                    <w:szCs w:val="24"/>
                  </w:rPr>
                  <m:t>E</m:t>
                </m:r>
              </m:e>
              <m:sub>
                <m:r>
                  <w:rPr>
                    <w:rFonts w:ascii="Cambria Math" w:eastAsia="Cambria Math" w:hAnsi="Cambria Math" w:cs="Arial"/>
                    <w:noProof/>
                    <w:szCs w:val="24"/>
                  </w:rPr>
                  <m:t>k</m:t>
                </m:r>
              </m:sub>
            </m:sSub>
            <m:r>
              <w:rPr>
                <w:rFonts w:ascii="Cambria Math" w:eastAsia="Cambria Math" w:hAnsi="Cambria Math" w:cs="Arial"/>
                <w:noProof/>
                <w:szCs w:val="24"/>
              </w:rPr>
              <m:t xml:space="preserve"> ×</m:t>
            </m:r>
            <m:sSub>
              <m:sSubPr>
                <m:ctrlPr>
                  <w:rPr>
                    <w:rFonts w:ascii="Cambria Math" w:eastAsia="Cambria Math" w:hAnsi="Cambria Math" w:cs="Arial"/>
                    <w:noProof/>
                    <w:szCs w:val="24"/>
                  </w:rPr>
                </m:ctrlPr>
              </m:sSubPr>
              <m:e>
                <m:sSub>
                  <m:sSubPr>
                    <m:ctrlPr>
                      <w:rPr>
                        <w:rFonts w:ascii="Cambria Math" w:eastAsia="Cambria Math" w:hAnsi="Cambria Math" w:cs="Arial"/>
                        <w:i/>
                        <w:noProof/>
                        <w:szCs w:val="24"/>
                      </w:rPr>
                    </m:ctrlPr>
                  </m:sSubPr>
                  <m:e>
                    <m:r>
                      <w:rPr>
                        <w:rFonts w:ascii="Cambria Math" w:eastAsia="Cambria Math" w:hAnsi="Cambria Math" w:cs="Arial"/>
                        <w:noProof/>
                        <w:szCs w:val="24"/>
                      </w:rPr>
                      <m:t>CO</m:t>
                    </m:r>
                  </m:e>
                  <m:sub>
                    <m:r>
                      <w:rPr>
                        <w:rFonts w:ascii="Cambria Math" w:eastAsia="Cambria Math" w:hAnsi="Cambria Math" w:cs="Arial"/>
                        <w:noProof/>
                        <w:szCs w:val="24"/>
                      </w:rPr>
                      <m:t>2eq</m:t>
                    </m:r>
                  </m:sub>
                </m:sSub>
              </m:e>
              <m:sub>
                <m:r>
                  <w:rPr>
                    <w:rFonts w:ascii="Cambria Math" w:eastAsia="Cambria Math" w:hAnsi="Cambria Math" w:cs="Arial"/>
                    <w:noProof/>
                    <w:szCs w:val="24"/>
                  </w:rPr>
                  <m:t xml:space="preserve"> electricity, k</m:t>
                </m:r>
              </m:sub>
            </m:sSub>
          </m:e>
        </m:nary>
      </m:oMath>
      <w:r>
        <w:rPr>
          <w:noProof/>
        </w:rPr>
        <w:t xml:space="preserve"> figurant dans le numérateur de l’Équation (1) est fixé à zéro.</w:t>
      </w:r>
    </w:p>
    <w:p>
      <w:pPr>
        <w:keepNext/>
        <w:outlineLvl w:val="1"/>
        <w:rPr>
          <w:b/>
          <w:noProof/>
        </w:rPr>
      </w:pPr>
      <w:r>
        <w:rPr>
          <w:b/>
          <w:noProof/>
        </w:rPr>
        <w:t>Méthode pour déterminer la [M</w:t>
      </w:r>
      <w:r>
        <w:rPr>
          <w:b/>
          <w:noProof/>
          <w:vertAlign w:val="subscript"/>
        </w:rPr>
        <w:t>i</w:t>
      </w:r>
      <w:r>
        <w:rPr>
          <w:b/>
          <w:noProof/>
        </w:rPr>
        <w:t>]</w:t>
      </w:r>
    </w:p>
    <w:p>
      <w:pPr>
        <w:rPr>
          <w:noProof/>
        </w:rPr>
      </w:pPr>
      <w:r>
        <w:rPr>
          <w:noProof/>
        </w:rPr>
        <w:t>La masse de carburant [M</w:t>
      </w:r>
      <w:r>
        <w:rPr>
          <w:noProof/>
          <w:vertAlign w:val="subscript"/>
        </w:rPr>
        <w:t>i</w:t>
      </w:r>
      <w:r>
        <w:rPr>
          <w:noProof/>
        </w:rPr>
        <w:t>] est déterminée au moyen de la quantité déclarée conformément au cadre de déclaration au titre du règlement (UE) 2015/757 pour les voyages relevant du champ d’application du présent règlement, sur la base de la méthode de surveillance choisie par la compagnie.</w:t>
      </w:r>
    </w:p>
    <w:p>
      <w:pPr>
        <w:keepNext/>
        <w:outlineLvl w:val="1"/>
        <w:rPr>
          <w:b/>
          <w:noProof/>
        </w:rPr>
      </w:pPr>
      <w:r>
        <w:rPr>
          <w:b/>
          <w:noProof/>
        </w:rPr>
        <w:t>Méthode pour déterminer les facteurs d’émission de GES WtT</w:t>
      </w:r>
    </w:p>
    <w:p>
      <w:pPr>
        <w:rPr>
          <w:noProof/>
        </w:rPr>
      </w:pPr>
      <w:r>
        <w:rPr>
          <w:noProof/>
        </w:rPr>
        <w:t xml:space="preserve">Pour les carburants d’origine non fossile, lorsque des valeurs différentes des valeurs par défaut figurant à l’annexe II sont utilisées, celles-ci doivent être fondées sur les notes de livraison de soutes (BDN) pertinentes, pour les carburants livrés au navire au cours de la période de référence, pour des quantités de carburants au moins égales à celles considérées comme consommées dans le cadre du voyage réglementé conformément au point A. </w:t>
      </w:r>
    </w:p>
    <w:p>
      <w:pPr>
        <w:rPr>
          <w:noProof/>
        </w:rPr>
      </w:pPr>
      <w:r>
        <w:rPr>
          <w:noProof/>
        </w:rPr>
        <w:t>Les émissions de GES WtT (</w:t>
      </w:r>
      <m:oMath>
        <m:sSub>
          <m:sSubPr>
            <m:ctrlPr>
              <w:rPr>
                <w:rFonts w:ascii="Cambria Math" w:hAnsi="Cambria Math"/>
                <w:i/>
                <w:noProof/>
                <w:sz w:val="22"/>
              </w:rPr>
            </m:ctrlPr>
          </m:sSubPr>
          <m:e>
            <m:r>
              <w:rPr>
                <w:rFonts w:ascii="Cambria Math" w:hAnsi="Cambria Math"/>
                <w:noProof/>
                <w:sz w:val="22"/>
              </w:rPr>
              <m:t>CO</m:t>
            </m:r>
          </m:e>
          <m:sub>
            <m:r>
              <w:rPr>
                <w:rFonts w:ascii="Cambria Math" w:hAnsi="Cambria Math"/>
                <w:noProof/>
                <w:sz w:val="22"/>
              </w:rPr>
              <m:t>2eq WtT, i</m:t>
            </m:r>
          </m:sub>
        </m:sSub>
      </m:oMath>
      <w:r>
        <w:rPr>
          <w:noProof/>
        </w:rPr>
        <w:t>) des carburants (d’origine non fossile) sont établies dans la directive (UE) 2018/2001. Les valeurs réelles, contenues dans la directive à utiliser aux fins du présent règlement, conformément à la méthodologie, sont celles sans combustion</w:t>
      </w:r>
      <w:r>
        <w:rPr>
          <w:rStyle w:val="FootnoteReference"/>
          <w:noProof/>
        </w:rPr>
        <w:footnoteReference w:id="1"/>
      </w:r>
      <w:r>
        <w:rPr>
          <w:noProof/>
        </w:rPr>
        <w:t>. Pour les carburants dont les filières ne figurent pas dans ladite directive et pour les carburants fossiles, les valeurs par défaut des facteurs d’émission de GES WtT (</w:t>
      </w:r>
      <m:oMath>
        <m:sSub>
          <m:sSubPr>
            <m:ctrlPr>
              <w:rPr>
                <w:rFonts w:ascii="Cambria Math" w:hAnsi="Cambria Math"/>
                <w:i/>
                <w:noProof/>
                <w:sz w:val="22"/>
              </w:rPr>
            </m:ctrlPr>
          </m:sSubPr>
          <m:e>
            <m:r>
              <w:rPr>
                <w:rFonts w:ascii="Cambria Math" w:hAnsi="Cambria Math"/>
                <w:noProof/>
                <w:sz w:val="22"/>
              </w:rPr>
              <m:t>CO</m:t>
            </m:r>
          </m:e>
          <m:sub>
            <m:r>
              <w:rPr>
                <w:rFonts w:ascii="Cambria Math" w:hAnsi="Cambria Math"/>
                <w:noProof/>
                <w:sz w:val="22"/>
              </w:rPr>
              <m:t>2eq WtT, i</m:t>
            </m:r>
          </m:sub>
        </m:sSub>
      </m:oMath>
      <w:r>
        <w:rPr>
          <w:noProof/>
        </w:rPr>
        <w:t>) figurent à l’annexe II.</w:t>
      </w:r>
    </w:p>
    <w:p>
      <w:pPr>
        <w:spacing w:before="0" w:after="160" w:line="259" w:lineRule="auto"/>
        <w:rPr>
          <w:b/>
          <w:bCs/>
          <w:noProof/>
        </w:rPr>
      </w:pPr>
      <w:r>
        <w:rPr>
          <w:b/>
          <w:bCs/>
          <w:noProof/>
        </w:rPr>
        <w:t>Note de livraison de soutes (BDN)</w:t>
      </w:r>
    </w:p>
    <w:p>
      <w:pPr>
        <w:rPr>
          <w:noProof/>
        </w:rPr>
      </w:pPr>
      <w:r>
        <w:rPr>
          <w:noProof/>
        </w:rPr>
        <w:t>Aux fins du présent règlement, les BDN pertinentes des carburants utilisés à bord contiennent au moins les informations suivantes:</w:t>
      </w:r>
    </w:p>
    <w:p>
      <w:pPr>
        <w:pStyle w:val="Tiret0"/>
        <w:numPr>
          <w:ilvl w:val="0"/>
          <w:numId w:val="11"/>
        </w:numPr>
        <w:rPr>
          <w:noProof/>
        </w:rPr>
      </w:pPr>
      <w:r>
        <w:rPr>
          <w:noProof/>
        </w:rPr>
        <w:t>identification du produit;</w:t>
      </w:r>
    </w:p>
    <w:p>
      <w:pPr>
        <w:pStyle w:val="Tiret0"/>
        <w:rPr>
          <w:noProof/>
        </w:rPr>
      </w:pPr>
      <w:r>
        <w:rPr>
          <w:noProof/>
        </w:rPr>
        <w:t>masse du carburant [t];</w:t>
      </w:r>
    </w:p>
    <w:p>
      <w:pPr>
        <w:pStyle w:val="Tiret0"/>
        <w:rPr>
          <w:noProof/>
        </w:rPr>
      </w:pPr>
      <w:r>
        <w:rPr>
          <w:noProof/>
        </w:rPr>
        <w:t>volume du carburant [m</w:t>
      </w:r>
      <w:r>
        <w:rPr>
          <w:noProof/>
          <w:vertAlign w:val="superscript"/>
        </w:rPr>
        <w:t>3</w:t>
      </w:r>
      <w:r>
        <w:rPr>
          <w:noProof/>
        </w:rPr>
        <w:t xml:space="preserve">]; </w:t>
      </w:r>
    </w:p>
    <w:p>
      <w:pPr>
        <w:pStyle w:val="Tiret0"/>
        <w:rPr>
          <w:noProof/>
        </w:rPr>
      </w:pPr>
      <w:r>
        <w:rPr>
          <w:noProof/>
        </w:rPr>
        <w:t>densité du carburant [kg/m</w:t>
      </w:r>
      <w:r>
        <w:rPr>
          <w:noProof/>
          <w:vertAlign w:val="superscript"/>
        </w:rPr>
        <w:t>3</w:t>
      </w:r>
      <w:r>
        <w:rPr>
          <w:noProof/>
        </w:rPr>
        <w:t>];</w:t>
      </w:r>
    </w:p>
    <w:p>
      <w:pPr>
        <w:pStyle w:val="Tiret0"/>
        <w:rPr>
          <w:noProof/>
        </w:rPr>
      </w:pPr>
      <w:r>
        <w:rPr>
          <w:noProof/>
        </w:rPr>
        <w:t>facteur d’émission de GES WtT pour le CO</w:t>
      </w:r>
      <w:r>
        <w:rPr>
          <w:noProof/>
          <w:vertAlign w:val="subscript"/>
        </w:rPr>
        <w:t>2</w:t>
      </w:r>
      <w:r>
        <w:rPr>
          <w:noProof/>
        </w:rPr>
        <w:t xml:space="preserve"> (facteur carbone) [gCO</w:t>
      </w:r>
      <w:r>
        <w:rPr>
          <w:noProof/>
          <w:vertAlign w:val="subscript"/>
        </w:rPr>
        <w:t>2</w:t>
      </w:r>
      <w:r>
        <w:rPr>
          <w:noProof/>
        </w:rPr>
        <w:t>/gFuel] et pour le CO</w:t>
      </w:r>
      <w:r>
        <w:rPr>
          <w:noProof/>
          <w:vertAlign w:val="subscript"/>
        </w:rPr>
        <w:t xml:space="preserve">2eq </w:t>
      </w:r>
      <w:r>
        <w:rPr>
          <w:noProof/>
        </w:rPr>
        <w:t xml:space="preserve"> [gCO</w:t>
      </w:r>
      <w:r>
        <w:rPr>
          <w:noProof/>
          <w:vertAlign w:val="subscript"/>
        </w:rPr>
        <w:t>2eq</w:t>
      </w:r>
      <w:r>
        <w:rPr>
          <w:noProof/>
        </w:rPr>
        <w:t>/gFuel] et certificat correspondant</w:t>
      </w:r>
      <w:r>
        <w:rPr>
          <w:rStyle w:val="FootnoteReference"/>
          <w:noProof/>
        </w:rPr>
        <w:footnoteReference w:id="2"/>
      </w:r>
      <w:r>
        <w:rPr>
          <w:noProof/>
        </w:rPr>
        <w:t>;</w:t>
      </w:r>
    </w:p>
    <w:p>
      <w:pPr>
        <w:pStyle w:val="Tiret0"/>
        <w:rPr>
          <w:noProof/>
        </w:rPr>
      </w:pPr>
      <w:r>
        <w:rPr>
          <w:noProof/>
        </w:rPr>
        <w:t>pouvoir calorifique inférieur [MJ/g].</w:t>
      </w:r>
    </w:p>
    <w:p>
      <w:pPr>
        <w:rPr>
          <w:noProof/>
        </w:rPr>
      </w:pPr>
      <w:r>
        <w:rPr>
          <w:noProof/>
        </w:rPr>
        <w:t xml:space="preserve"> </w:t>
      </w:r>
    </w:p>
    <w:p>
      <w:pPr>
        <w:spacing w:before="0" w:after="160" w:line="259" w:lineRule="auto"/>
        <w:rPr>
          <w:b/>
          <w:bCs/>
          <w:noProof/>
        </w:rPr>
      </w:pPr>
      <w:bookmarkStart w:id="4" w:name="_Hlk70945739"/>
      <w:r>
        <w:rPr>
          <w:b/>
          <w:bCs/>
          <w:noProof/>
        </w:rPr>
        <w:t>BDN pour l’électricité</w:t>
      </w:r>
    </w:p>
    <w:bookmarkEnd w:id="4"/>
    <w:p>
      <w:pPr>
        <w:rPr>
          <w:noProof/>
        </w:rPr>
      </w:pPr>
      <w:r>
        <w:rPr>
          <w:noProof/>
        </w:rPr>
        <w:t>Aux fins du présent règlement, les BDN pertinentes pour l’électricité livrée au navire contiennent au moins les informations suivantes:</w:t>
      </w:r>
    </w:p>
    <w:p>
      <w:pPr>
        <w:pStyle w:val="Tiret0"/>
        <w:rPr>
          <w:noProof/>
        </w:rPr>
      </w:pPr>
      <w:r>
        <w:rPr>
          <w:noProof/>
        </w:rPr>
        <w:t>fournisseur: nom, adresse, numéro de téléphone, adresse électronique, représentant;</w:t>
      </w:r>
    </w:p>
    <w:p>
      <w:pPr>
        <w:pStyle w:val="Tiret0"/>
        <w:rPr>
          <w:noProof/>
        </w:rPr>
      </w:pPr>
      <w:r>
        <w:rPr>
          <w:noProof/>
        </w:rPr>
        <w:t>navire destinataire: numéro OMI (MMSI), nom du navire, type de navire, pavillon, représentant du navire;</w:t>
      </w:r>
    </w:p>
    <w:p>
      <w:pPr>
        <w:pStyle w:val="Tiret0"/>
        <w:rPr>
          <w:noProof/>
        </w:rPr>
      </w:pPr>
      <w:r>
        <w:rPr>
          <w:noProof/>
        </w:rPr>
        <w:t>port: nom, position géographique (LOCODE), terminal/quai;</w:t>
      </w:r>
    </w:p>
    <w:p>
      <w:pPr>
        <w:pStyle w:val="Tiret0"/>
        <w:rPr>
          <w:noProof/>
        </w:rPr>
      </w:pPr>
      <w:r>
        <w:rPr>
          <w:noProof/>
        </w:rPr>
        <w:t>point de raccordement: point de raccordement pour l’alimentation électrique à quai (OPS-SSE), détails du point de raccordement;</w:t>
      </w:r>
    </w:p>
    <w:p>
      <w:pPr>
        <w:pStyle w:val="Tiret0"/>
        <w:rPr>
          <w:noProof/>
        </w:rPr>
      </w:pPr>
      <w:r>
        <w:rPr>
          <w:noProof/>
        </w:rPr>
        <w:t>temps de raccordement: date/heure de début/de fin;</w:t>
      </w:r>
    </w:p>
    <w:p>
      <w:pPr>
        <w:pStyle w:val="Tiret0"/>
        <w:rPr>
          <w:noProof/>
        </w:rPr>
      </w:pPr>
      <w:r>
        <w:rPr>
          <w:noProof/>
        </w:rPr>
        <w:t>énergie fournie: fraction de puissance attribuée au point d’alimentation (le cas échéant) [kW], consommation d’électricité (kWh) pour la période de facturation, informations relatives à la puissance de crête (si disponible);</w:t>
      </w:r>
    </w:p>
    <w:p>
      <w:pPr>
        <w:pStyle w:val="Tiret0"/>
        <w:rPr>
          <w:noProof/>
        </w:rPr>
      </w:pPr>
      <w:r>
        <w:rPr>
          <w:noProof/>
        </w:rPr>
        <w:t>relevés.</w:t>
      </w:r>
    </w:p>
    <w:p>
      <w:pPr>
        <w:keepNext/>
        <w:outlineLvl w:val="1"/>
        <w:rPr>
          <w:b/>
          <w:noProof/>
        </w:rPr>
      </w:pPr>
      <w:r>
        <w:rPr>
          <w:b/>
          <w:noProof/>
        </w:rPr>
        <w:t>Méthode pour déterminer les facteurs d’émission de GES TtW</w:t>
      </w:r>
    </w:p>
    <w:p>
      <w:pPr>
        <w:pStyle w:val="ManualHeading2"/>
        <w:tabs>
          <w:tab w:val="clear" w:pos="850"/>
        </w:tabs>
        <w:ind w:left="0" w:firstLine="0"/>
        <w:rPr>
          <w:b w:val="0"/>
          <w:noProof/>
        </w:rPr>
      </w:pPr>
      <w:r>
        <w:rPr>
          <w:b w:val="0"/>
          <w:noProof/>
        </w:rPr>
        <w:t>Les émissions TtW sont déterminées sur la base de la méthodologie exposée dans la présente annexe, comme indiqué dans l’Équation (1) et l’Équation (2).</w:t>
      </w:r>
    </w:p>
    <w:p>
      <w:pPr>
        <w:rPr>
          <w:noProof/>
        </w:rPr>
      </w:pPr>
      <w:r>
        <w:rPr>
          <w:noProof/>
        </w:rPr>
        <w:t xml:space="preserve">Aux fins du présent règlement, les facteurs d’émission de GES TtW ( </w:t>
      </w:r>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oMath>
      <w:r>
        <w:rPr>
          <w:noProof/>
          <w:sz w:val="12"/>
          <w:szCs w:val="12"/>
        </w:rPr>
        <w:t xml:space="preserve"> </w:t>
      </w:r>
      <w:r>
        <w:rPr>
          <w:noProof/>
        </w:rPr>
        <w:t>) à utiliser pour déterminer les émissions de GES figurent à l’annexe II. Les facteurs d’émission CO</w:t>
      </w:r>
      <w:r>
        <w:rPr>
          <w:noProof/>
          <w:vertAlign w:val="subscript"/>
        </w:rPr>
        <w:t>2</w:t>
      </w:r>
      <w:r>
        <w:rPr>
          <w:noProof/>
        </w:rPr>
        <w:t xml:space="preserve"> C</w:t>
      </w:r>
      <w:r>
        <w:rPr>
          <w:noProof/>
          <w:vertAlign w:val="subscript"/>
        </w:rPr>
        <w:t xml:space="preserve">f </w:t>
      </w:r>
      <w:r>
        <w:rPr>
          <w:noProof/>
        </w:rPr>
        <w:t>sont ceux définis dans le règlement (UE) 2015/757. Ils sont reproduits dans le tableau afin de pouvoir s’y référer facilement. Pour les carburants dont les facteurs ne figurent pas dans ledit règlement, les facteurs par défaut figurant à l’annexe II sont utilisés.</w:t>
      </w:r>
    </w:p>
    <w:p>
      <w:pPr>
        <w:rPr>
          <w:noProof/>
        </w:rPr>
      </w:pPr>
      <w:r>
        <w:rPr>
          <w:noProof/>
        </w:rPr>
        <w:t>Conformément au plan de conformité visé à l’article 6 et après évaluation par le vérificateur, d’autres méthodes, telles que la mesure des émissions directes de CO</w:t>
      </w:r>
      <w:r>
        <w:rPr>
          <w:noProof/>
          <w:vertAlign w:val="subscript"/>
        </w:rPr>
        <w:t>2eq</w:t>
      </w:r>
      <w:r>
        <w:rPr>
          <w:noProof/>
        </w:rPr>
        <w:t xml:space="preserve"> ou les essais en laboratoire, peuvent être utilisées si elles améliorent la précision globale du calcul. </w:t>
      </w:r>
    </w:p>
    <w:p>
      <w:pPr>
        <w:keepNext/>
        <w:outlineLvl w:val="1"/>
        <w:rPr>
          <w:b/>
          <w:noProof/>
        </w:rPr>
      </w:pPr>
      <w:r>
        <w:rPr>
          <w:b/>
          <w:noProof/>
        </w:rPr>
        <w:t xml:space="preserve">Méthode pour déterminer les émissions diffuses TtW </w:t>
      </w:r>
    </w:p>
    <w:p>
      <w:pPr>
        <w:rPr>
          <w:noProof/>
        </w:rPr>
      </w:pPr>
      <w:r>
        <w:rPr>
          <w:noProof/>
        </w:rPr>
        <w:t>Les émissions diffuses sont des émissions dues à la quantité de carburant qui n’atteint pas la chambre de combustion de l’unité de combustion ou qui n’est pas consommée par le convertisseur d’énergie parce qu’elle n’a pas été brûlée ou évacuée ou qu’elle s’est échappée du système. Aux fins du présent règlement, les émissions diffuses sont prises en compte sous la forme d’un pourcentage de la masse du carburant utilisé par le moteur. Les valeurs par défaut figurent à l’annexe II.</w:t>
      </w:r>
    </w:p>
    <w:p>
      <w:pPr>
        <w:pStyle w:val="ManualHeading2"/>
        <w:rPr>
          <w:noProof/>
        </w:rPr>
      </w:pPr>
      <w:r>
        <w:rPr>
          <w:noProof/>
        </w:rPr>
        <w:t xml:space="preserve">Méthodes pour déterminer les facteurs de récompense liés aux sources d’énergie de substitution </w:t>
      </w:r>
    </w:p>
    <w:p>
      <w:pPr>
        <w:rPr>
          <w:noProof/>
          <w:szCs w:val="24"/>
        </w:rPr>
      </w:pPr>
      <w:r>
        <w:rPr>
          <w:noProof/>
        </w:rPr>
        <w:t>Si des sources d’énergie de substitution sont installées à bord, un facteur de récompense pour les sources d’énergie de substitution peut être appliqué. Dans le cas de l’énergie éolienne, ce facteur de récompense est déterminé comme suit: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6"/>
        <w:gridCol w:w="1077"/>
      </w:tblGrid>
      <w:tr>
        <w:trPr>
          <w:jc w:val="center"/>
        </w:trPr>
        <w:tc>
          <w:tcPr>
            <w:tcW w:w="3606" w:type="dxa"/>
          </w:tcPr>
          <w:p>
            <w:pPr>
              <w:jc w:val="center"/>
              <w:rPr>
                <w:noProof/>
              </w:rPr>
            </w:pPr>
            <w:r>
              <w:rPr>
                <w:noProof/>
              </w:rPr>
              <w:t>Facteur de récompense pour les sources d’énergie de substitution- ÉNERGIE ÉOLIENNE (f</w:t>
            </w:r>
            <w:r>
              <w:rPr>
                <w:noProof/>
                <w:vertAlign w:val="subscript"/>
              </w:rPr>
              <w:t>wind</w:t>
            </w:r>
            <w:r>
              <w:rPr>
                <w:noProof/>
              </w:rPr>
              <w:t>)</w:t>
            </w:r>
          </w:p>
        </w:tc>
        <w:tc>
          <w:tcPr>
            <w:tcW w:w="1077" w:type="dxa"/>
          </w:tcPr>
          <w:p>
            <w:pPr>
              <w:jc w:val="center"/>
              <w:rPr>
                <w:noProof/>
              </w:rPr>
            </w:pPr>
            <m:oMathPara>
              <m:oMathParaPr>
                <m:jc m:val="center"/>
              </m:oMathParaPr>
              <m:oMath>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P</m:t>
                        </m:r>
                      </m:e>
                      <m:sub>
                        <m:r>
                          <w:rPr>
                            <w:rFonts w:ascii="Cambria Math" w:hAnsi="Cambria Math"/>
                            <w:noProof/>
                          </w:rPr>
                          <m:t>Wind</m:t>
                        </m:r>
                      </m:sub>
                    </m:sSub>
                  </m:num>
                  <m:den>
                    <m:sSub>
                      <m:sSubPr>
                        <m:ctrlPr>
                          <w:rPr>
                            <w:rFonts w:ascii="Cambria Math" w:hAnsi="Cambria Math"/>
                            <w:i/>
                            <w:noProof/>
                          </w:rPr>
                        </m:ctrlPr>
                      </m:sSubPr>
                      <m:e>
                        <m:r>
                          <w:rPr>
                            <w:rFonts w:ascii="Cambria Math" w:hAnsi="Cambria Math"/>
                            <w:noProof/>
                          </w:rPr>
                          <m:t>P</m:t>
                        </m:r>
                      </m:e>
                      <m:sub>
                        <m:r>
                          <w:rPr>
                            <w:rFonts w:ascii="Cambria Math" w:hAnsi="Cambria Math"/>
                            <w:noProof/>
                          </w:rPr>
                          <m:t>Tot</m:t>
                        </m:r>
                      </m:sub>
                    </m:sSub>
                  </m:den>
                </m:f>
              </m:oMath>
            </m:oMathPara>
          </w:p>
        </w:tc>
      </w:tr>
      <w:tr>
        <w:trPr>
          <w:jc w:val="center"/>
        </w:trPr>
        <w:tc>
          <w:tcPr>
            <w:tcW w:w="3606" w:type="dxa"/>
          </w:tcPr>
          <w:p>
            <w:pPr>
              <w:jc w:val="center"/>
              <w:rPr>
                <w:noProof/>
              </w:rPr>
            </w:pPr>
            <w:r>
              <w:rPr>
                <w:noProof/>
              </w:rPr>
              <w:t>0,99</w:t>
            </w:r>
          </w:p>
        </w:tc>
        <w:tc>
          <w:tcPr>
            <w:tcW w:w="1077" w:type="dxa"/>
          </w:tcPr>
          <w:p>
            <w:pPr>
              <w:jc w:val="center"/>
              <w:rPr>
                <w:noProof/>
              </w:rPr>
            </w:pPr>
            <w:r>
              <w:rPr>
                <w:noProof/>
              </w:rPr>
              <w:t>0,1</w:t>
            </w:r>
          </w:p>
        </w:tc>
      </w:tr>
      <w:tr>
        <w:trPr>
          <w:jc w:val="center"/>
        </w:trPr>
        <w:tc>
          <w:tcPr>
            <w:tcW w:w="3606" w:type="dxa"/>
          </w:tcPr>
          <w:p>
            <w:pPr>
              <w:jc w:val="center"/>
              <w:rPr>
                <w:noProof/>
              </w:rPr>
            </w:pPr>
            <w:r>
              <w:rPr>
                <w:noProof/>
              </w:rPr>
              <w:t>0,97</w:t>
            </w:r>
          </w:p>
        </w:tc>
        <w:tc>
          <w:tcPr>
            <w:tcW w:w="1077" w:type="dxa"/>
          </w:tcPr>
          <w:p>
            <w:pPr>
              <w:jc w:val="center"/>
              <w:rPr>
                <w:noProof/>
              </w:rPr>
            </w:pPr>
            <w:r>
              <w:rPr>
                <w:noProof/>
              </w:rPr>
              <w:t>0,2</w:t>
            </w:r>
          </w:p>
        </w:tc>
      </w:tr>
      <w:tr>
        <w:trPr>
          <w:jc w:val="center"/>
        </w:trPr>
        <w:tc>
          <w:tcPr>
            <w:tcW w:w="3606" w:type="dxa"/>
          </w:tcPr>
          <w:p>
            <w:pPr>
              <w:jc w:val="center"/>
              <w:rPr>
                <w:noProof/>
              </w:rPr>
            </w:pPr>
            <w:r>
              <w:rPr>
                <w:noProof/>
              </w:rPr>
              <w:t>0,95</w:t>
            </w:r>
          </w:p>
        </w:tc>
        <w:tc>
          <w:tcPr>
            <w:tcW w:w="1077" w:type="dxa"/>
          </w:tcPr>
          <w:p>
            <w:pPr>
              <w:jc w:val="center"/>
              <w:rPr>
                <w:noProof/>
              </w:rPr>
            </w:pPr>
            <w:r>
              <w:rPr>
                <w:rFonts w:ascii="Cambria Math" w:hAnsi="Cambria Math"/>
                <w:noProof/>
              </w:rPr>
              <w:t xml:space="preserve">⩾ </w:t>
            </w:r>
            <w:r>
              <w:rPr>
                <w:noProof/>
              </w:rPr>
              <w:t>0,3</w:t>
            </w:r>
          </w:p>
        </w:tc>
      </w:tr>
    </w:tbl>
    <w:p>
      <w:pPr>
        <w:jc w:val="center"/>
        <w:rPr>
          <w:noProof/>
          <w:sz w:val="16"/>
          <w:szCs w:val="16"/>
        </w:rPr>
      </w:pPr>
    </w:p>
    <w:p>
      <w:pPr>
        <w:rPr>
          <w:noProof/>
        </w:rPr>
      </w:pPr>
      <w:r>
        <w:rPr>
          <w:noProof/>
        </w:rPr>
        <w:t>L’indice d’intensité des émissions de GES d’un navire est ensuite calculé en multipliant le résultat de l’Équation (1) par le facteur de récompense.</w:t>
      </w:r>
    </w:p>
    <w:p>
      <w:pPr>
        <w:pStyle w:val="ManualHeading2"/>
        <w:rPr>
          <w:noProof/>
        </w:rPr>
      </w:pPr>
      <w:r>
        <w:rPr>
          <w:noProof/>
        </w:rPr>
        <w:t>Vérification et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031"/>
        <w:gridCol w:w="3544"/>
      </w:tblGrid>
      <w:tr>
        <w:tc>
          <w:tcPr>
            <w:tcW w:w="2322" w:type="dxa"/>
          </w:tcPr>
          <w:p>
            <w:pPr>
              <w:jc w:val="center"/>
              <w:rPr>
                <w:b/>
                <w:noProof/>
              </w:rPr>
            </w:pPr>
            <w:r>
              <w:rPr>
                <w:b/>
                <w:noProof/>
              </w:rPr>
              <w:t>Classe de carburant</w:t>
            </w:r>
          </w:p>
        </w:tc>
        <w:tc>
          <w:tcPr>
            <w:tcW w:w="3031" w:type="dxa"/>
          </w:tcPr>
          <w:p>
            <w:pPr>
              <w:jc w:val="center"/>
              <w:rPr>
                <w:b/>
                <w:noProof/>
              </w:rPr>
            </w:pPr>
            <w:r>
              <w:rPr>
                <w:b/>
                <w:noProof/>
              </w:rPr>
              <w:t>WtT</w:t>
            </w:r>
          </w:p>
        </w:tc>
        <w:tc>
          <w:tcPr>
            <w:tcW w:w="3544" w:type="dxa"/>
          </w:tcPr>
          <w:p>
            <w:pPr>
              <w:jc w:val="center"/>
              <w:rPr>
                <w:b/>
                <w:noProof/>
              </w:rPr>
            </w:pPr>
            <w:r>
              <w:rPr>
                <w:b/>
                <w:noProof/>
              </w:rPr>
              <w:t>TtW</w:t>
            </w:r>
          </w:p>
        </w:tc>
      </w:tr>
      <w:tr>
        <w:tc>
          <w:tcPr>
            <w:tcW w:w="2322" w:type="dxa"/>
          </w:tcPr>
          <w:p>
            <w:pPr>
              <w:rPr>
                <w:noProof/>
              </w:rPr>
            </w:pPr>
            <w:r>
              <w:rPr>
                <w:noProof/>
              </w:rPr>
              <w:t>Carburants fossiles</w:t>
            </w:r>
          </w:p>
        </w:tc>
        <w:tc>
          <w:tcPr>
            <w:tcW w:w="3031" w:type="dxa"/>
          </w:tcPr>
          <w:p>
            <w:pPr>
              <w:rPr>
                <w:noProof/>
              </w:rPr>
            </w:pPr>
            <w:r>
              <w:rPr>
                <w:noProof/>
              </w:rPr>
              <w:t>Les valeurs par défaut sont utilisées conformément au tableau 1 du présent règlement.</w:t>
            </w:r>
          </w:p>
        </w:tc>
        <w:tc>
          <w:tcPr>
            <w:tcW w:w="3544" w:type="dxa"/>
          </w:tcPr>
          <w:p>
            <w:pPr>
              <w:rPr>
                <w:noProof/>
              </w:rPr>
            </w:pPr>
            <w:r>
              <w:rPr>
                <w:noProof/>
              </w:rPr>
              <w:t>Les facteurs carbone CO</w:t>
            </w:r>
            <w:r>
              <w:rPr>
                <w:noProof/>
                <w:vertAlign w:val="subscript"/>
              </w:rPr>
              <w:t>2</w:t>
            </w:r>
            <w:r>
              <w:rPr>
                <w:noProof/>
              </w:rPr>
              <w:t xml:space="preserve"> du règlement MRV sont utilisés pour les carburants pour lesquels de tels facteurs sont prévus.</w:t>
            </w:r>
          </w:p>
          <w:p>
            <w:pPr>
              <w:rPr>
                <w:noProof/>
              </w:rPr>
            </w:pPr>
          </w:p>
          <w:p>
            <w:pPr>
              <w:rPr>
                <w:noProof/>
              </w:rPr>
            </w:pPr>
            <w:r>
              <w:rPr>
                <w:noProof/>
              </w:rPr>
              <w:t xml:space="preserve">Pour tous les autres facteurs d’émission, les valeurs par défaut peuvent aussi être utilisées comme indiqué dans le tableau 1 du présent règlement. </w:t>
            </w:r>
          </w:p>
          <w:p>
            <w:pPr>
              <w:rPr>
                <w:noProof/>
              </w:rPr>
            </w:pPr>
          </w:p>
          <w:p>
            <w:pPr>
              <w:rPr>
                <w:noProof/>
              </w:rPr>
            </w:pPr>
            <w:r>
              <w:rPr>
                <w:noProof/>
              </w:rPr>
              <w:t xml:space="preserve">Valeurs certifiées au moyen d’essais en laboratoire ou de mesures des émissions directes. </w:t>
            </w:r>
          </w:p>
        </w:tc>
      </w:tr>
      <w:tr>
        <w:tc>
          <w:tcPr>
            <w:tcW w:w="2322" w:type="dxa"/>
          </w:tcPr>
          <w:p>
            <w:pPr>
              <w:rPr>
                <w:noProof/>
              </w:rPr>
            </w:pPr>
            <w:r>
              <w:rPr>
                <w:noProof/>
              </w:rPr>
              <w:t>Carburants renouvelables durables</w:t>
            </w:r>
          </w:p>
          <w:p>
            <w:pPr>
              <w:rPr>
                <w:noProof/>
              </w:rPr>
            </w:pPr>
            <w:r>
              <w:rPr>
                <w:noProof/>
              </w:rPr>
              <w:t>(bioliquides, biogaz, carburants de synthèse)</w:t>
            </w:r>
          </w:p>
        </w:tc>
        <w:tc>
          <w:tcPr>
            <w:tcW w:w="3031" w:type="dxa"/>
          </w:tcPr>
          <w:p>
            <w:pPr>
              <w:rPr>
                <w:noProof/>
              </w:rPr>
            </w:pPr>
            <w:r>
              <w:rPr>
                <w:noProof/>
              </w:rPr>
              <w:t>Les valeurs de CO</w:t>
            </w:r>
            <w:r>
              <w:rPr>
                <w:noProof/>
                <w:vertAlign w:val="subscript"/>
              </w:rPr>
              <w:t>2eq</w:t>
            </w:r>
            <w:r>
              <w:rPr>
                <w:noProof/>
              </w:rPr>
              <w:t xml:space="preserve"> telles que prévues dans la directive RED II (sans combustion) peuvent aussi être utilisées pour tous les carburants dont les filières figurent dans la directive RED II. </w:t>
            </w:r>
          </w:p>
          <w:p>
            <w:pPr>
              <w:rPr>
                <w:noProof/>
              </w:rPr>
            </w:pPr>
            <w:r>
              <w:rPr>
                <w:noProof/>
              </w:rPr>
              <w:t>Les régimes de certification approuvés au titre de la directive RED II peuvent être utilisés.</w:t>
            </w:r>
          </w:p>
        </w:tc>
        <w:tc>
          <w:tcPr>
            <w:tcW w:w="3544" w:type="dxa"/>
          </w:tcPr>
          <w:p>
            <w:pPr>
              <w:rPr>
                <w:noProof/>
              </w:rPr>
            </w:pPr>
            <w:r>
              <w:rPr>
                <w:noProof/>
              </w:rPr>
              <w:t xml:space="preserve">Pour les facteurs d’émission, les valeurs par défaut peuvent aussi être utilisées comme indiqué dans le tableau 1 du présent règlement. </w:t>
            </w:r>
          </w:p>
          <w:p>
            <w:pPr>
              <w:rPr>
                <w:noProof/>
              </w:rPr>
            </w:pPr>
          </w:p>
          <w:p>
            <w:pPr>
              <w:rPr>
                <w:noProof/>
              </w:rPr>
            </w:pPr>
            <w:r>
              <w:rPr>
                <w:noProof/>
              </w:rPr>
              <w:t>Valeurs certifiées au moyen d’essais en laboratoire ou de mesures des émissions directes.</w:t>
            </w:r>
          </w:p>
        </w:tc>
      </w:tr>
      <w:tr>
        <w:tc>
          <w:tcPr>
            <w:tcW w:w="2322" w:type="dxa"/>
          </w:tcPr>
          <w:p>
            <w:pPr>
              <w:rPr>
                <w:noProof/>
              </w:rPr>
            </w:pPr>
            <w:r>
              <w:rPr>
                <w:noProof/>
              </w:rPr>
              <w:t>Autres (y compris l’électricité)</w:t>
            </w:r>
          </w:p>
        </w:tc>
        <w:tc>
          <w:tcPr>
            <w:tcW w:w="3031" w:type="dxa"/>
          </w:tcPr>
          <w:p>
            <w:pPr>
              <w:rPr>
                <w:noProof/>
              </w:rPr>
            </w:pPr>
            <w:r>
              <w:rPr>
                <w:noProof/>
              </w:rPr>
              <w:t>Les valeurs de CO</w:t>
            </w:r>
            <w:r>
              <w:rPr>
                <w:noProof/>
                <w:vertAlign w:val="subscript"/>
              </w:rPr>
              <w:t>2eq</w:t>
            </w:r>
            <w:r>
              <w:rPr>
                <w:noProof/>
              </w:rPr>
              <w:t xml:space="preserve"> telles que prévues dans la directive RED II (sans combustion) peuvent aussi être utilisées pour tous les carburants dont les filières figurent dans la directive RED II. </w:t>
            </w:r>
          </w:p>
          <w:p>
            <w:pPr>
              <w:rPr>
                <w:noProof/>
              </w:rPr>
            </w:pPr>
            <w:r>
              <w:rPr>
                <w:noProof/>
              </w:rPr>
              <w:t>Les régimes de certification approuvés au titre de la directive RED II peuvent être utilisés.</w:t>
            </w:r>
          </w:p>
        </w:tc>
        <w:tc>
          <w:tcPr>
            <w:tcW w:w="3544" w:type="dxa"/>
          </w:tcPr>
          <w:p>
            <w:pPr>
              <w:rPr>
                <w:noProof/>
              </w:rPr>
            </w:pPr>
            <w:r>
              <w:rPr>
                <w:noProof/>
              </w:rPr>
              <w:t xml:space="preserve">Pour les facteurs d’émission, les valeurs par défaut peuvent aussi être utilisées comme indiqué dans le tableau 1 du présent règlement. </w:t>
            </w:r>
          </w:p>
          <w:p>
            <w:pPr>
              <w:rPr>
                <w:noProof/>
              </w:rPr>
            </w:pPr>
          </w:p>
          <w:p>
            <w:pPr>
              <w:rPr>
                <w:noProof/>
              </w:rPr>
            </w:pPr>
            <w:r>
              <w:rPr>
                <w:noProof/>
              </w:rPr>
              <w:t>Valeurs certifiées au moyen d’essais en laboratoire ou de mesures des émissions directes.</w:t>
            </w:r>
          </w:p>
        </w:tc>
      </w:tr>
    </w:tbl>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Annexetitre"/>
        <w:rPr>
          <w:noProof/>
        </w:rPr>
      </w:pPr>
      <w:r>
        <w:rPr>
          <w:noProof/>
        </w:rPr>
        <w:t xml:space="preserve">ANNEXE II </w:t>
      </w:r>
    </w:p>
    <w:p>
      <w:pPr>
        <w:rPr>
          <w:noProof/>
        </w:rPr>
      </w:pPr>
    </w:p>
    <w:p>
      <w:pPr>
        <w:rPr>
          <w:noProof/>
        </w:rPr>
      </w:pPr>
      <w:r>
        <w:rPr>
          <w:noProof/>
        </w:rPr>
        <w:t xml:space="preserve">Les facteurs d’émission pour les carburants fossiles figurant dans la présente annexe sont utilisés pour déterminer l’indice d’intensité des émissions de gaz à effet de serre visé à l’annexe I du présent règlement. </w:t>
      </w:r>
    </w:p>
    <w:p>
      <w:pPr>
        <w:rPr>
          <w:noProof/>
        </w:rPr>
      </w:pPr>
      <w:r>
        <w:rPr>
          <w:noProof/>
        </w:rPr>
        <w:t>Les facteurs d’émission des biocarburants, du biogaz, des carburants renouvelables d’origine non biologique et des carburants à base de carbone recyclé sont déterminés conformément aux méthodologies définies à l’annexe V, partie C, de la directive (UE) 2018/2001.</w:t>
      </w:r>
    </w:p>
    <w:p>
      <w:pPr>
        <w:rPr>
          <w:noProof/>
        </w:rPr>
      </w:pPr>
    </w:p>
    <w:p>
      <w:pPr>
        <w:rPr>
          <w:noProof/>
        </w:rPr>
      </w:pPr>
      <w:r>
        <w:rPr>
          <w:noProof/>
        </w:rPr>
        <w:t>Dans le tableau:</w:t>
      </w:r>
    </w:p>
    <w:p>
      <w:pPr>
        <w:pStyle w:val="Tiret0"/>
        <w:numPr>
          <w:ilvl w:val="0"/>
          <w:numId w:val="12"/>
        </w:numPr>
        <w:rPr>
          <w:noProof/>
        </w:rPr>
      </w:pPr>
      <w:r>
        <w:rPr>
          <w:noProof/>
        </w:rPr>
        <w:t>AM signifie «à mesurer»</w:t>
      </w:r>
    </w:p>
    <w:p>
      <w:pPr>
        <w:pStyle w:val="Tiret0"/>
        <w:numPr>
          <w:ilvl w:val="0"/>
          <w:numId w:val="12"/>
        </w:numPr>
        <w:rPr>
          <w:noProof/>
        </w:rPr>
      </w:pPr>
      <w:r>
        <w:rPr>
          <w:noProof/>
        </w:rPr>
        <w:t>N/D signifie «non disponible»</w:t>
      </w:r>
    </w:p>
    <w:p>
      <w:pPr>
        <w:pStyle w:val="Tiret0"/>
        <w:numPr>
          <w:ilvl w:val="0"/>
          <w:numId w:val="12"/>
        </w:numPr>
        <w:rPr>
          <w:noProof/>
        </w:rPr>
      </w:pPr>
      <w:r>
        <w:rPr>
          <w:noProof/>
        </w:rPr>
        <w:t>Un tiret signifie «sans objet»</w:t>
      </w:r>
    </w:p>
    <w:p>
      <w:pPr>
        <w:jc w:val="right"/>
        <w:rPr>
          <w:rFonts w:ascii="Arial" w:hAnsi="Arial"/>
          <w:b/>
          <w:noProof/>
          <w:sz w:val="22"/>
        </w:rPr>
      </w:pPr>
      <w:r>
        <w:rPr>
          <w:rFonts w:ascii="Arial" w:hAnsi="Arial"/>
          <w:b/>
          <w:noProof/>
        </w:rPr>
        <w:t>Tableau 1 — Facteurs par défaut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061"/>
        <w:gridCol w:w="706"/>
        <w:gridCol w:w="1186"/>
        <w:gridCol w:w="1266"/>
        <w:gridCol w:w="1364"/>
        <w:gridCol w:w="795"/>
        <w:gridCol w:w="821"/>
        <w:gridCol w:w="1106"/>
      </w:tblGrid>
      <w:tr>
        <w:trPr>
          <w:tblHeader/>
        </w:trPr>
        <w:tc>
          <w:tcPr>
            <w:tcW w:w="1052"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1</w:t>
            </w: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2</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3</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 xml:space="preserve">4 </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5</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6</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7</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8</w:t>
            </w: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9</w:t>
            </w:r>
          </w:p>
        </w:tc>
      </w:tr>
      <w:tr>
        <w:trPr>
          <w:tblHeader/>
        </w:trPr>
        <w:tc>
          <w:tcPr>
            <w:tcW w:w="105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b/>
                <w:noProof/>
                <w:sz w:val="16"/>
              </w:rPr>
            </w:pPr>
          </w:p>
        </w:tc>
        <w:tc>
          <w:tcPr>
            <w:tcW w:w="2822" w:type="dxa"/>
            <w:gridSpan w:val="3"/>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WtT</w:t>
            </w:r>
          </w:p>
        </w:tc>
        <w:tc>
          <w:tcPr>
            <w:tcW w:w="54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TtW</w:t>
            </w:r>
          </w:p>
        </w:tc>
      </w:tr>
      <w:tr>
        <w:tc>
          <w:tcPr>
            <w:tcW w:w="1052"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Classe /</w:t>
            </w:r>
          </w:p>
          <w:p>
            <w:pPr>
              <w:jc w:val="center"/>
              <w:rPr>
                <w:rFonts w:ascii="Arial" w:hAnsi="Arial"/>
                <w:b/>
                <w:noProof/>
                <w:sz w:val="16"/>
                <w:szCs w:val="16"/>
              </w:rPr>
            </w:pPr>
            <w:r>
              <w:rPr>
                <w:rFonts w:ascii="Arial" w:hAnsi="Arial"/>
                <w:b/>
                <w:noProof/>
                <w:sz w:val="16"/>
                <w:szCs w:val="16"/>
              </w:rPr>
              <w:t>Matières premières</w:t>
            </w: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Nom de la filière</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r>
                  <m:rPr>
                    <m:sty m:val="bi"/>
                  </m:rPr>
                  <w:rPr>
                    <w:rFonts w:ascii="Cambria Math" w:hAnsi="Cambria Math"/>
                    <w:noProof/>
                    <w:sz w:val="16"/>
                  </w:rPr>
                  <m:t>LCV</m:t>
                </m:r>
              </m:oMath>
            </m:oMathPara>
          </w:p>
          <w:p>
            <w:pPr>
              <w:jc w:val="center"/>
              <w:rPr>
                <w:rFonts w:ascii="Arial" w:hAnsi="Arial"/>
                <w:noProof/>
                <w:sz w:val="16"/>
                <w:highlight w:val="yellow"/>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MJ</m:t>
                        </m:r>
                      </m:num>
                      <m:den>
                        <m:r>
                          <w:rPr>
                            <w:rFonts w:ascii="Cambria Math" w:hAnsi="Cambria Math"/>
                            <w:noProof/>
                            <w:sz w:val="16"/>
                          </w:rPr>
                          <m:t>g</m:t>
                        </m:r>
                      </m:den>
                    </m:f>
                  </m:e>
                </m:d>
              </m:oMath>
            </m:oMathPara>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CO</m:t>
                    </m:r>
                  </m:e>
                  <m:sub>
                    <m:r>
                      <m:rPr>
                        <m:sty m:val="bi"/>
                      </m:rPr>
                      <w:rPr>
                        <w:rFonts w:ascii="Cambria Math" w:hAnsi="Cambria Math"/>
                        <w:noProof/>
                        <w:sz w:val="16"/>
                      </w:rPr>
                      <m:t>2</m:t>
                    </m:r>
                    <m:r>
                      <m:rPr>
                        <m:sty m:val="bi"/>
                      </m:rPr>
                      <w:rPr>
                        <w:rFonts w:ascii="Cambria Math" w:hAnsi="Cambria Math"/>
                        <w:noProof/>
                        <w:sz w:val="16"/>
                      </w:rPr>
                      <m:t>eq WtT</m:t>
                    </m:r>
                  </m:sub>
                </m:sSub>
              </m:oMath>
            </m:oMathPara>
          </w:p>
          <w:p>
            <w:pPr>
              <w:jc w:val="center"/>
              <w:rPr>
                <w:rFonts w:ascii="Arial" w:hAnsi="Arial"/>
                <w:noProof/>
                <w:sz w:val="16"/>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gCO2eq</m:t>
                        </m:r>
                      </m:num>
                      <m:den>
                        <m:r>
                          <w:rPr>
                            <w:rFonts w:ascii="Cambria Math" w:hAnsi="Cambria Math"/>
                            <w:noProof/>
                            <w:sz w:val="16"/>
                          </w:rPr>
                          <m:t>MJ</m:t>
                        </m:r>
                      </m:den>
                    </m:f>
                  </m:e>
                </m:d>
              </m:oMath>
            </m:oMathPara>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Classe du convertisseur d’énergie</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ParaPr>
                <m:jc m:val="center"/>
              </m:oMathParaPr>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 xml:space="preserve">f </m:t>
                    </m:r>
                    <m:sSub>
                      <m:sSubPr>
                        <m:ctrlPr>
                          <w:rPr>
                            <w:rFonts w:ascii="Cambria Math" w:hAnsi="Cambria Math"/>
                            <w:b/>
                            <w:i/>
                            <w:noProof/>
                            <w:sz w:val="16"/>
                            <w:szCs w:val="16"/>
                          </w:rPr>
                        </m:ctrlPr>
                      </m:sSubPr>
                      <m:e>
                        <m:r>
                          <m:rPr>
                            <m:sty m:val="bi"/>
                          </m:rPr>
                          <w:rPr>
                            <w:rFonts w:ascii="Cambria Math" w:hAnsi="Cambria Math"/>
                            <w:noProof/>
                            <w:sz w:val="16"/>
                          </w:rPr>
                          <m:t>CO</m:t>
                        </m:r>
                      </m:e>
                      <m:sub>
                        <m:r>
                          <m:rPr>
                            <m:sty m:val="bi"/>
                          </m:rPr>
                          <w:rPr>
                            <w:rFonts w:ascii="Cambria Math" w:hAnsi="Cambria Math"/>
                            <w:noProof/>
                            <w:sz w:val="16"/>
                          </w:rPr>
                          <m:t>2</m:t>
                        </m:r>
                      </m:sub>
                    </m:sSub>
                  </m:sub>
                </m:sSub>
              </m:oMath>
            </m:oMathPara>
          </w:p>
          <w:p>
            <w:pPr>
              <w:jc w:val="center"/>
              <w:rPr>
                <w:rFonts w:ascii="Arial" w:hAnsi="Arial"/>
                <w:noProof/>
                <w:sz w:val="16"/>
              </w:rPr>
            </w:pPr>
            <m:oMathPara>
              <m:oMathParaPr>
                <m:jc m:val="center"/>
              </m:oMathParaPr>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gCO2</m:t>
                        </m:r>
                      </m:num>
                      <m:den>
                        <m:r>
                          <w:rPr>
                            <w:rFonts w:ascii="Cambria Math" w:hAnsi="Cambria Math"/>
                            <w:noProof/>
                            <w:sz w:val="16"/>
                          </w:rPr>
                          <m:t>gFuel</m:t>
                        </m:r>
                      </m:den>
                    </m:f>
                  </m:e>
                </m:d>
              </m:oMath>
            </m:oMathPara>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 xml:space="preserve">f </m:t>
                    </m:r>
                    <m:sSub>
                      <m:sSubPr>
                        <m:ctrlPr>
                          <w:rPr>
                            <w:rFonts w:ascii="Cambria Math" w:hAnsi="Cambria Math"/>
                            <w:b/>
                            <w:i/>
                            <w:noProof/>
                            <w:sz w:val="16"/>
                            <w:szCs w:val="16"/>
                          </w:rPr>
                        </m:ctrlPr>
                      </m:sSubPr>
                      <m:e>
                        <m:r>
                          <m:rPr>
                            <m:sty m:val="bi"/>
                          </m:rPr>
                          <w:rPr>
                            <w:rFonts w:ascii="Cambria Math" w:hAnsi="Cambria Math"/>
                            <w:noProof/>
                            <w:sz w:val="16"/>
                          </w:rPr>
                          <m:t>CH</m:t>
                        </m:r>
                      </m:e>
                      <m:sub>
                        <m:r>
                          <m:rPr>
                            <m:sty m:val="bi"/>
                          </m:rPr>
                          <w:rPr>
                            <w:rFonts w:ascii="Cambria Math" w:hAnsi="Cambria Math"/>
                            <w:noProof/>
                            <w:sz w:val="16"/>
                          </w:rPr>
                          <m:t xml:space="preserve">4 </m:t>
                        </m:r>
                      </m:sub>
                    </m:sSub>
                  </m:sub>
                </m:sSub>
              </m:oMath>
            </m:oMathPara>
          </w:p>
          <w:p>
            <w:pPr>
              <w:jc w:val="center"/>
              <w:rPr>
                <w:rFonts w:ascii="Arial" w:hAnsi="Arial"/>
                <w:noProof/>
                <w:sz w:val="16"/>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m:t>
                        </m:r>
                        <m:sSub>
                          <m:sSubPr>
                            <m:ctrlPr>
                              <w:rPr>
                                <w:rFonts w:ascii="Cambria Math" w:hAnsi="Cambria Math"/>
                                <w:i/>
                                <w:noProof/>
                                <w:sz w:val="16"/>
                                <w:szCs w:val="16"/>
                              </w:rPr>
                            </m:ctrlPr>
                          </m:sSubPr>
                          <m:e>
                            <m:r>
                              <w:rPr>
                                <w:rFonts w:ascii="Cambria Math" w:hAnsi="Cambria Math"/>
                                <w:noProof/>
                                <w:sz w:val="16"/>
                              </w:rPr>
                              <m:t>CH</m:t>
                            </m:r>
                          </m:e>
                          <m:sub>
                            <m:r>
                              <w:rPr>
                                <w:rFonts w:ascii="Cambria Math" w:hAnsi="Cambria Math"/>
                                <w:noProof/>
                                <w:sz w:val="16"/>
                              </w:rPr>
                              <m:t xml:space="preserve">4 </m:t>
                            </m:r>
                          </m:sub>
                        </m:sSub>
                      </m:num>
                      <m:den>
                        <m:r>
                          <w:rPr>
                            <w:rFonts w:ascii="Cambria Math" w:hAnsi="Cambria Math"/>
                            <w:noProof/>
                            <w:sz w:val="16"/>
                          </w:rPr>
                          <m:t>gFuel</m:t>
                        </m:r>
                      </m:den>
                    </m:f>
                  </m:e>
                </m:d>
              </m:oMath>
            </m:oMathPara>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 xml:space="preserve">f </m:t>
                    </m:r>
                    <m:sSub>
                      <m:sSubPr>
                        <m:ctrlPr>
                          <w:rPr>
                            <w:rFonts w:ascii="Cambria Math" w:hAnsi="Cambria Math"/>
                            <w:b/>
                            <w:i/>
                            <w:noProof/>
                            <w:sz w:val="16"/>
                            <w:szCs w:val="16"/>
                          </w:rPr>
                        </m:ctrlPr>
                      </m:sSubPr>
                      <m:e>
                        <m:r>
                          <m:rPr>
                            <m:sty m:val="bi"/>
                          </m:rPr>
                          <w:rPr>
                            <w:rFonts w:ascii="Cambria Math" w:hAnsi="Cambria Math"/>
                            <w:noProof/>
                            <w:sz w:val="16"/>
                          </w:rPr>
                          <m:t>N</m:t>
                        </m:r>
                      </m:e>
                      <m:sub>
                        <m:r>
                          <m:rPr>
                            <m:sty m:val="bi"/>
                          </m:rPr>
                          <w:rPr>
                            <w:rFonts w:ascii="Cambria Math" w:hAnsi="Cambria Math"/>
                            <w:noProof/>
                            <w:sz w:val="16"/>
                          </w:rPr>
                          <m:t>2</m:t>
                        </m:r>
                      </m:sub>
                    </m:sSub>
                    <m:r>
                      <m:rPr>
                        <m:sty m:val="bi"/>
                      </m:rPr>
                      <w:rPr>
                        <w:rFonts w:ascii="Cambria Math" w:hAnsi="Cambria Math"/>
                        <w:noProof/>
                        <w:sz w:val="16"/>
                      </w:rPr>
                      <m:t>O</m:t>
                    </m:r>
                  </m:sub>
                </m:sSub>
              </m:oMath>
            </m:oMathPara>
          </w:p>
          <w:p>
            <w:pPr>
              <w:jc w:val="center"/>
              <w:rPr>
                <w:rFonts w:ascii="Arial" w:hAnsi="Arial"/>
                <w:noProof/>
                <w:sz w:val="16"/>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m:t>
                        </m:r>
                        <m:sSub>
                          <m:sSubPr>
                            <m:ctrlPr>
                              <w:rPr>
                                <w:rFonts w:ascii="Cambria Math" w:hAnsi="Cambria Math"/>
                                <w:i/>
                                <w:noProof/>
                                <w:sz w:val="16"/>
                                <w:szCs w:val="16"/>
                              </w:rPr>
                            </m:ctrlPr>
                          </m:sSubPr>
                          <m:e>
                            <m:sSub>
                              <m:sSubPr>
                                <m:ctrlPr>
                                  <w:rPr>
                                    <w:rFonts w:ascii="Cambria Math" w:hAnsi="Cambria Math"/>
                                    <w:i/>
                                    <w:noProof/>
                                    <w:sz w:val="16"/>
                                    <w:szCs w:val="16"/>
                                  </w:rPr>
                                </m:ctrlPr>
                              </m:sSubPr>
                              <m:e>
                                <m:r>
                                  <w:rPr>
                                    <w:rFonts w:ascii="Cambria Math" w:hAnsi="Cambria Math"/>
                                    <w:noProof/>
                                    <w:sz w:val="16"/>
                                  </w:rPr>
                                  <m:t>N</m:t>
                                </m:r>
                              </m:e>
                              <m:sub>
                                <m:r>
                                  <w:rPr>
                                    <w:rFonts w:ascii="Cambria Math" w:hAnsi="Cambria Math"/>
                                    <w:noProof/>
                                    <w:sz w:val="16"/>
                                  </w:rPr>
                                  <m:t>2</m:t>
                                </m:r>
                              </m:sub>
                            </m:sSub>
                            <m:r>
                              <w:rPr>
                                <w:rFonts w:ascii="Cambria Math" w:hAnsi="Cambria Math"/>
                                <w:noProof/>
                                <w:sz w:val="16"/>
                              </w:rPr>
                              <m:t>O</m:t>
                            </m:r>
                          </m:e>
                          <m:sub/>
                        </m:sSub>
                      </m:num>
                      <m:den>
                        <m:r>
                          <w:rPr>
                            <w:rFonts w:ascii="Cambria Math" w:hAnsi="Cambria Math"/>
                            <w:noProof/>
                            <w:sz w:val="16"/>
                          </w:rPr>
                          <m:t>gFuel</m:t>
                        </m:r>
                      </m:den>
                    </m:f>
                  </m:e>
                </m:d>
              </m:oMath>
            </m:oMathPara>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slip</m:t>
                    </m:r>
                  </m:sub>
                </m:sSub>
              </m:oMath>
            </m:oMathPara>
          </w:p>
          <w:p>
            <w:pPr>
              <w:jc w:val="center"/>
              <w:rPr>
                <w:rFonts w:ascii="Arial" w:hAnsi="Arial"/>
                <w:noProof/>
                <w:sz w:val="16"/>
                <w:szCs w:val="16"/>
              </w:rPr>
            </w:pPr>
            <w:r>
              <w:rPr>
                <w:rFonts w:ascii="Arial" w:hAnsi="Arial"/>
                <w:noProof/>
                <w:sz w:val="16"/>
                <w:szCs w:val="16"/>
              </w:rPr>
              <w:t>En pourcentage (%) de la masse du carburant utilisé par le moteur</w:t>
            </w:r>
          </w:p>
        </w:tc>
      </w:tr>
      <w:tr>
        <w:trPr>
          <w:trHeight w:val="1124"/>
        </w:trPr>
        <w:tc>
          <w:tcPr>
            <w:tcW w:w="1052"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Carburants fossiles</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Fioul lourd (HFO)</w:t>
            </w:r>
          </w:p>
          <w:p>
            <w:pPr>
              <w:jc w:val="center"/>
              <w:rPr>
                <w:rFonts w:ascii="Arial" w:hAnsi="Arial"/>
                <w:noProof/>
                <w:sz w:val="16"/>
                <w:szCs w:val="16"/>
              </w:rPr>
            </w:pPr>
            <w:r>
              <w:rPr>
                <w:rFonts w:ascii="Arial" w:hAnsi="Arial"/>
                <w:noProof/>
                <w:sz w:val="16"/>
                <w:szCs w:val="16"/>
              </w:rPr>
              <w:t>ISO 8217 Grades RME à RMK</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color w:val="000000" w:themeColor="text1"/>
                <w:sz w:val="16"/>
                <w:szCs w:val="16"/>
              </w:rPr>
              <w:t>0,0405</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p>
          <w:p>
            <w:pPr>
              <w:jc w:val="center"/>
              <w:rPr>
                <w:rFonts w:ascii="Arial" w:hAnsi="Arial"/>
                <w:noProof/>
                <w:sz w:val="16"/>
                <w:szCs w:val="16"/>
              </w:rPr>
            </w:pPr>
            <w:r>
              <w:rPr>
                <w:rFonts w:ascii="Arial" w:hAnsi="Arial"/>
                <w:noProof/>
                <w:sz w:val="16"/>
                <w:szCs w:val="16"/>
              </w:rPr>
              <w:t xml:space="preserve">13,5 </w:t>
            </w:r>
          </w:p>
          <w:p>
            <w:pPr>
              <w:jc w:val="center"/>
              <w:rPr>
                <w:rFonts w:ascii="Arial" w:hAnsi="Arial"/>
                <w:noProof/>
                <w:sz w:val="16"/>
                <w:szCs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3,114</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Règlement (UE) 2015/757</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Turbine à gaz</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Turbines à vapeur et chaudières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Moteurs auxiliaires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rPr>
          <w:trHeight w:val="1124"/>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Fuel-oil à faible teneur en soufre (LSFO)</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0,0405</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 brut</w:t>
            </w:r>
          </w:p>
          <w:p>
            <w:pPr>
              <w:jc w:val="center"/>
              <w:rPr>
                <w:rFonts w:ascii="Arial" w:hAnsi="Arial"/>
                <w:noProof/>
                <w:sz w:val="16"/>
                <w:szCs w:val="16"/>
              </w:rPr>
            </w:pPr>
            <w:r>
              <w:rPr>
                <w:rFonts w:ascii="Arial" w:hAnsi="Arial"/>
                <w:noProof/>
                <w:sz w:val="16"/>
                <w:szCs w:val="16"/>
              </w:rPr>
              <w:t xml:space="preserve">13,7 mélange </w:t>
            </w:r>
          </w:p>
          <w:p>
            <w:pPr>
              <w:jc w:val="center"/>
              <w:rPr>
                <w:rFonts w:ascii="Arial" w:hAnsi="Arial"/>
                <w:noProof/>
                <w:sz w:val="16"/>
                <w:szCs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3,114</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Turbine à gaz</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Turbines à vapeur et chaudières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Moteurs auxiliaires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rPr>
            </w:pPr>
            <w:r>
              <w:rPr>
                <w:rFonts w:ascii="Arial" w:hAnsi="Arial"/>
                <w:noProof/>
                <w:sz w:val="16"/>
                <w:szCs w:val="16"/>
              </w:rPr>
              <w:t>Fuel-oil à ultra-faible teneur en soufre (ULSFO)</w:t>
            </w:r>
          </w:p>
        </w:tc>
        <w:tc>
          <w:tcPr>
            <w:tcW w:w="734"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highlight w:val="yellow"/>
              </w:rPr>
            </w:pPr>
            <w:r>
              <w:rPr>
                <w:rFonts w:ascii="Arial" w:hAnsi="Arial"/>
                <w:noProof/>
                <w:sz w:val="16"/>
                <w:szCs w:val="16"/>
              </w:rPr>
              <w:t>0,0405</w:t>
            </w:r>
          </w:p>
        </w:tc>
        <w:tc>
          <w:tcPr>
            <w:tcW w:w="1103"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rPr>
            </w:pPr>
            <w:r>
              <w:rPr>
                <w:rFonts w:ascii="Arial" w:hAnsi="Arial"/>
                <w:noProof/>
                <w:sz w:val="16"/>
                <w:szCs w:val="16"/>
              </w:rPr>
              <w:t>13,2</w:t>
            </w:r>
          </w:p>
        </w:tc>
        <w:tc>
          <w:tcPr>
            <w:tcW w:w="1083"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color w:val="000000" w:themeColor="text1"/>
                <w:sz w:val="16"/>
                <w:szCs w:val="16"/>
              </w:rPr>
            </w:pPr>
            <w:r>
              <w:rPr>
                <w:rFonts w:ascii="Arial" w:hAnsi="Arial"/>
                <w:noProof/>
                <w:color w:val="000000" w:themeColor="text1"/>
                <w:sz w:val="16"/>
                <w:szCs w:val="16"/>
              </w:rPr>
              <w:t>3,114</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spacing w:after="0"/>
              <w:jc w:val="center"/>
              <w:rPr>
                <w:rFonts w:ascii="Arial" w:hAnsi="Arial" w:cstheme="minorBidi"/>
                <w:noProof/>
                <w:color w:val="000000" w:themeColor="text1"/>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spacing w:after="0"/>
              <w:jc w:val="center"/>
              <w:rPr>
                <w:rFonts w:ascii="Arial" w:hAnsi="Arial" w:cstheme="minorBidi"/>
                <w:noProof/>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Fuel-oil à très faible teneur en soufre (VLSFO)</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0,041</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w:t>
            </w:r>
          </w:p>
          <w:p>
            <w:pPr>
              <w:jc w:val="center"/>
              <w:rPr>
                <w:rFonts w:ascii="Arial" w:hAnsi="Arial"/>
                <w:noProof/>
                <w:sz w:val="16"/>
                <w:szCs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3,206</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Règlement MRV</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rPr>
            </w:pPr>
            <w:r>
              <w:rPr>
                <w:rFonts w:ascii="Arial" w:hAnsi="Arial"/>
                <w:noProof/>
                <w:sz w:val="16"/>
              </w:rPr>
              <w:t>Fioul léger (LFO)</w:t>
            </w:r>
          </w:p>
          <w:p>
            <w:pPr>
              <w:jc w:val="center"/>
              <w:rPr>
                <w:rFonts w:ascii="Arial" w:hAnsi="Arial"/>
                <w:noProof/>
                <w:sz w:val="16"/>
              </w:rPr>
            </w:pPr>
            <w:r>
              <w:rPr>
                <w:rFonts w:ascii="Arial" w:hAnsi="Arial"/>
                <w:noProof/>
                <w:sz w:val="16"/>
              </w:rPr>
              <w:t>ISO 8217 Grades RMA à RMD</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0,041</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3,151</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Règlement (UE) 2015/757</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Diesel marin (MDO)</w:t>
            </w:r>
          </w:p>
          <w:p>
            <w:pPr>
              <w:jc w:val="center"/>
              <w:rPr>
                <w:rFonts w:ascii="Arial" w:hAnsi="Arial"/>
                <w:noProof/>
                <w:sz w:val="16"/>
                <w:szCs w:val="16"/>
              </w:rPr>
            </w:pPr>
            <w:r>
              <w:rPr>
                <w:rFonts w:ascii="Arial" w:hAnsi="Arial"/>
                <w:noProof/>
                <w:sz w:val="16"/>
                <w:szCs w:val="16"/>
              </w:rPr>
              <w:t>Gas-oil à usage maritime (MGO)</w:t>
            </w:r>
          </w:p>
          <w:p>
            <w:pPr>
              <w:jc w:val="center"/>
              <w:rPr>
                <w:rFonts w:ascii="Arial" w:hAnsi="Arial"/>
                <w:noProof/>
                <w:sz w:val="16"/>
                <w:szCs w:val="16"/>
              </w:rPr>
            </w:pPr>
            <w:r>
              <w:rPr>
                <w:rFonts w:ascii="Arial" w:hAnsi="Arial"/>
                <w:noProof/>
                <w:sz w:val="16"/>
                <w:szCs w:val="16"/>
              </w:rPr>
              <w:t>ISO 8217 Grades DMX à DMB</w:t>
            </w:r>
          </w:p>
          <w:p>
            <w:pPr>
              <w:jc w:val="center"/>
              <w:rPr>
                <w:rFonts w:ascii="Arial" w:hAnsi="Arial"/>
                <w:noProof/>
                <w:sz w:val="16"/>
              </w:rPr>
            </w:pP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0,0427</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14,4</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3,206</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Règlement (UE) 2015/757</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898"/>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Gaz naturel liquéfié (GNL)</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0,0491</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18,5</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 xml:space="preserve">GNL à cycle Otto (moteur bicarburant à vitesse moyenne) </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2,755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Règlement (UE) 2015/757</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0</w:t>
            </w:r>
          </w:p>
          <w:p>
            <w:pPr>
              <w:jc w:val="center"/>
              <w:rPr>
                <w:rFonts w:ascii="Arial" w:hAnsi="Arial"/>
                <w:noProof/>
                <w:color w:val="000000" w:themeColor="text1"/>
                <w:sz w:val="16"/>
                <w:szCs w:val="16"/>
              </w:rPr>
            </w:pP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0,00011</w:t>
            </w:r>
          </w:p>
          <w:p>
            <w:pPr>
              <w:jc w:val="center"/>
              <w:rPr>
                <w:rFonts w:ascii="Arial" w:hAnsi="Arial" w:cstheme="minorBidi"/>
                <w:noProof/>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3,1</w:t>
            </w:r>
          </w:p>
        </w:tc>
      </w:tr>
      <w:tr>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Otto (moteur bicarburant à vitesse lente)</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1,7</w:t>
            </w:r>
          </w:p>
        </w:tc>
      </w:tr>
      <w:tr>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 xml:space="preserve"> GNL à cycle diesel (moteur bicarburant à vitesse lente)</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0,2</w:t>
            </w:r>
          </w:p>
        </w:tc>
      </w:tr>
      <w:tr>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Mélange pauvre à allumage par étincelle (LBSI)</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Gaz de pétrole liquéfié (GPL)</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0,046</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7,8</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3,03 Butane</w:t>
            </w:r>
          </w:p>
          <w:p>
            <w:pPr>
              <w:jc w:val="center"/>
              <w:rPr>
                <w:rFonts w:ascii="Arial" w:hAnsi="Arial"/>
                <w:noProof/>
                <w:sz w:val="16"/>
                <w:szCs w:val="16"/>
              </w:rPr>
            </w:pPr>
            <w:r>
              <w:rPr>
                <w:rFonts w:ascii="Arial" w:hAnsi="Arial"/>
                <w:noProof/>
                <w:sz w:val="16"/>
                <w:szCs w:val="16"/>
              </w:rPr>
              <w:t>3,00 Propane</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Règlement (UE) 2015/757</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1195"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noProof/>
                <w:sz w:val="16"/>
              </w:rPr>
            </w:pPr>
          </w:p>
        </w:tc>
      </w:tr>
      <w:tr>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H2 </w:t>
            </w:r>
          </w:p>
          <w:p>
            <w:pPr>
              <w:jc w:val="center"/>
              <w:rPr>
                <w:rFonts w:ascii="Arial" w:hAnsi="Arial"/>
                <w:noProof/>
                <w:sz w:val="16"/>
                <w:szCs w:val="16"/>
              </w:rPr>
            </w:pPr>
            <w:r>
              <w:rPr>
                <w:rFonts w:ascii="Arial" w:hAnsi="Arial"/>
                <w:noProof/>
                <w:sz w:val="16"/>
                <w:szCs w:val="16"/>
              </w:rPr>
              <w:t>(gaz naturel)</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0,12</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Piles à combustible</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0" w:type="auto"/>
            <w:vMerge/>
            <w:tcBorders>
              <w:top w:val="single" w:sz="4" w:space="0" w:color="auto"/>
              <w:left w:val="single" w:sz="4" w:space="0" w:color="auto"/>
              <w:bottom w:val="single" w:sz="12" w:space="0" w:color="auto"/>
              <w:right w:val="single" w:sz="4" w:space="0" w:color="auto"/>
            </w:tcBorders>
            <w:vAlign w:val="center"/>
          </w:tcPr>
          <w:p>
            <w:pPr>
              <w:spacing w:after="0"/>
              <w:rPr>
                <w:rFonts w:ascii="Arial" w:hAnsi="Arial"/>
                <w:b/>
                <w:noProof/>
                <w:sz w:val="16"/>
              </w:rPr>
            </w:pPr>
          </w:p>
        </w:tc>
        <w:tc>
          <w:tcPr>
            <w:tcW w:w="985"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 xml:space="preserve">NH3 </w:t>
            </w:r>
          </w:p>
          <w:p>
            <w:pPr>
              <w:jc w:val="center"/>
              <w:rPr>
                <w:rFonts w:ascii="Arial" w:hAnsi="Arial"/>
                <w:noProof/>
                <w:sz w:val="16"/>
                <w:szCs w:val="16"/>
              </w:rPr>
            </w:pPr>
            <w:r>
              <w:rPr>
                <w:rFonts w:ascii="Arial" w:hAnsi="Arial"/>
                <w:noProof/>
                <w:sz w:val="16"/>
                <w:szCs w:val="16"/>
              </w:rPr>
              <w:t>(gaz naturel)</w:t>
            </w:r>
          </w:p>
        </w:tc>
        <w:tc>
          <w:tcPr>
            <w:tcW w:w="734"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0,0186</w:t>
            </w:r>
          </w:p>
        </w:tc>
        <w:tc>
          <w:tcPr>
            <w:tcW w:w="1103"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121</w:t>
            </w:r>
          </w:p>
        </w:tc>
        <w:tc>
          <w:tcPr>
            <w:tcW w:w="1083"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Inexistant (pas de moteur)</w:t>
            </w:r>
          </w:p>
        </w:tc>
        <w:tc>
          <w:tcPr>
            <w:tcW w:w="139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bCs/>
                <w:noProof/>
                <w:sz w:val="16"/>
                <w:szCs w:val="16"/>
              </w:rPr>
              <w:t>0</w:t>
            </w:r>
          </w:p>
        </w:tc>
        <w:tc>
          <w:tcPr>
            <w:tcW w:w="956"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AM</w:t>
            </w:r>
          </w:p>
        </w:tc>
        <w:tc>
          <w:tcPr>
            <w:tcW w:w="1195"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12"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Méthanol (gaz naturel)</w:t>
            </w:r>
          </w:p>
        </w:tc>
        <w:tc>
          <w:tcPr>
            <w:tcW w:w="734"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0,0199</w:t>
            </w:r>
          </w:p>
        </w:tc>
        <w:tc>
          <w:tcPr>
            <w:tcW w:w="1103"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31,3 </w:t>
            </w:r>
          </w:p>
          <w:p>
            <w:pPr>
              <w:jc w:val="center"/>
              <w:rPr>
                <w:rFonts w:ascii="Arial" w:hAnsi="Arial"/>
                <w:noProof/>
                <w:sz w:val="16"/>
                <w:szCs w:val="16"/>
              </w:rPr>
            </w:pPr>
          </w:p>
        </w:tc>
        <w:tc>
          <w:tcPr>
            <w:tcW w:w="1083"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Tous les MCI</w:t>
            </w:r>
          </w:p>
        </w:tc>
        <w:tc>
          <w:tcPr>
            <w:tcW w:w="139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1,375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Règlement (UE) 2015/757</w:t>
            </w:r>
          </w:p>
        </w:tc>
        <w:tc>
          <w:tcPr>
            <w:tcW w:w="858"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956"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1195"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052" w:type="dxa"/>
            <w:vMerge w:val="restart"/>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Biocarburants liquides</w:t>
            </w:r>
          </w:p>
        </w:tc>
        <w:tc>
          <w:tcPr>
            <w:tcW w:w="985"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Éthanol E100</w:t>
            </w:r>
          </w:p>
        </w:tc>
        <w:tc>
          <w:tcPr>
            <w:tcW w:w="734"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0,0268</w:t>
            </w:r>
          </w:p>
        </w:tc>
        <w:tc>
          <w:tcPr>
            <w:tcW w:w="1103"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Réf. à la directive (UE) 2018/2001</w:t>
            </w:r>
          </w:p>
          <w:p>
            <w:pPr>
              <w:jc w:val="center"/>
              <w:rPr>
                <w:rFonts w:ascii="Arial" w:hAnsi="Arial"/>
                <w:noProof/>
                <w:sz w:val="16"/>
                <w:szCs w:val="16"/>
              </w:rPr>
            </w:pPr>
          </w:p>
        </w:tc>
        <w:tc>
          <w:tcPr>
            <w:tcW w:w="1083"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Tous les MCI</w:t>
            </w:r>
          </w:p>
        </w:tc>
        <w:tc>
          <w:tcPr>
            <w:tcW w:w="139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1,913</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Règlement (UE) 2015/757</w:t>
            </w:r>
          </w:p>
        </w:tc>
        <w:tc>
          <w:tcPr>
            <w:tcW w:w="858"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956"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1195"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Bio-diesel</w:t>
            </w:r>
          </w:p>
          <w:p>
            <w:pPr>
              <w:jc w:val="center"/>
              <w:rPr>
                <w:rFonts w:ascii="Arial" w:hAnsi="Arial"/>
                <w:noProof/>
                <w:sz w:val="16"/>
                <w:szCs w:val="16"/>
              </w:rPr>
            </w:pPr>
            <w:r>
              <w:rPr>
                <w:rFonts w:ascii="Arial" w:hAnsi="Arial"/>
                <w:noProof/>
                <w:sz w:val="16"/>
                <w:szCs w:val="16"/>
              </w:rPr>
              <w:t>Principaux produits / déchets / Mélange de matières premières</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0,0372</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Réf. à la directive (UE) 2018/2001 </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2,834</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r>
              <w:rPr>
                <w:rFonts w:ascii="Arial" w:hAnsi="Arial"/>
                <w:noProof/>
                <w:color w:val="000000" w:themeColor="text1"/>
                <w:sz w:val="16"/>
                <w:szCs w:val="16"/>
              </w:rPr>
              <w:t>AM</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r>
              <w:rPr>
                <w:rFonts w:ascii="Arial" w:hAnsi="Arial"/>
                <w:noProof/>
                <w:color w:val="000000" w:themeColor="text1"/>
                <w:sz w:val="16"/>
                <w:szCs w:val="16"/>
              </w:rPr>
              <w:t>AM</w:t>
            </w: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Huile végétale hydrotraitée (HVO)</w:t>
            </w:r>
          </w:p>
          <w:p>
            <w:pPr>
              <w:jc w:val="center"/>
              <w:rPr>
                <w:rFonts w:ascii="Arial" w:hAnsi="Arial"/>
                <w:noProof/>
                <w:sz w:val="16"/>
                <w:szCs w:val="16"/>
              </w:rPr>
            </w:pPr>
            <w:r>
              <w:rPr>
                <w:rFonts w:ascii="Arial" w:hAnsi="Arial"/>
                <w:noProof/>
                <w:sz w:val="16"/>
                <w:szCs w:val="16"/>
              </w:rPr>
              <w:t>Principaux produits / déchets / Mélange de matières premières</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0,044</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Réf. à la directive (UE) 2018/2001</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3,115</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Bio-GNL</w:t>
            </w:r>
          </w:p>
          <w:p>
            <w:pPr>
              <w:jc w:val="center"/>
              <w:rPr>
                <w:rFonts w:ascii="Arial" w:hAnsi="Arial"/>
                <w:noProof/>
                <w:sz w:val="16"/>
                <w:szCs w:val="16"/>
              </w:rPr>
            </w:pPr>
            <w:r>
              <w:rPr>
                <w:rFonts w:ascii="Arial" w:hAnsi="Arial"/>
                <w:noProof/>
                <w:sz w:val="16"/>
                <w:szCs w:val="16"/>
              </w:rPr>
              <w:t>Principaux produits / déchets / Mélange de matières premières</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0,05</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Réf. à la directive (UE) 2018/2001</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Otto (moteur bicarburant à vitesse moyenne)</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2,755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Règlement (UE) 2015/757</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3,1</w:t>
            </w:r>
          </w:p>
        </w:tc>
      </w:tr>
      <w:tr>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Otto (moteur bicarburant à vitesse lente)</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1,7</w:t>
            </w:r>
          </w:p>
        </w:tc>
      </w:tr>
      <w:tr>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diesel (moteur bicarburant)</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0,2</w:t>
            </w:r>
          </w:p>
        </w:tc>
      </w:tr>
      <w:tr>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Mélange pauvre à allumage par étincelle (LBSI)</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rPr>
          <w:trHeight w:val="677"/>
        </w:trPr>
        <w:tc>
          <w:tcPr>
            <w:tcW w:w="1052"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Biocarburants gazeux</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Bio-H2</w:t>
            </w:r>
          </w:p>
          <w:p>
            <w:pPr>
              <w:jc w:val="center"/>
              <w:rPr>
                <w:rFonts w:ascii="Arial" w:hAnsi="Arial"/>
                <w:noProof/>
                <w:sz w:val="16"/>
                <w:szCs w:val="16"/>
              </w:rPr>
            </w:pPr>
            <w:r>
              <w:rPr>
                <w:rFonts w:ascii="Arial" w:hAnsi="Arial"/>
                <w:noProof/>
                <w:sz w:val="16"/>
                <w:szCs w:val="16"/>
              </w:rPr>
              <w:t>Principaux produits / déchets / Mélange de matières premières</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0,12</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Piles à combustible</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052"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Carburants renouvelables d’origine non biologique (RFNBO)</w:t>
            </w:r>
          </w:p>
          <w:p>
            <w:pPr>
              <w:jc w:val="center"/>
              <w:rPr>
                <w:rFonts w:ascii="Arial" w:hAnsi="Arial"/>
                <w:b/>
                <w:noProof/>
                <w:sz w:val="16"/>
                <w:szCs w:val="16"/>
              </w:rPr>
            </w:pPr>
            <w:r>
              <w:rPr>
                <w:rFonts w:ascii="Arial" w:hAnsi="Arial"/>
                <w:b/>
                <w:noProof/>
                <w:sz w:val="16"/>
                <w:szCs w:val="16"/>
              </w:rPr>
              <w:t>-</w:t>
            </w:r>
          </w:p>
          <w:p>
            <w:pPr>
              <w:jc w:val="center"/>
              <w:rPr>
                <w:rFonts w:ascii="Arial" w:hAnsi="Arial"/>
                <w:b/>
                <w:noProof/>
                <w:sz w:val="16"/>
                <w:szCs w:val="16"/>
              </w:rPr>
            </w:pPr>
            <w:r>
              <w:rPr>
                <w:rFonts w:ascii="Arial" w:hAnsi="Arial"/>
                <w:b/>
                <w:noProof/>
                <w:sz w:val="16"/>
                <w:szCs w:val="16"/>
              </w:rPr>
              <w:t>(carburants de synthèse)</w:t>
            </w: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diesel de synthèse</w:t>
            </w:r>
          </w:p>
          <w:p>
            <w:pPr>
              <w:jc w:val="center"/>
              <w:rPr>
                <w:rFonts w:ascii="Arial" w:hAnsi="Arial"/>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0,0427</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Réf. à la directive (UE) 2018/2001</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3,206</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Règlement (UE) 2015/757</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Méthanol de synthèse</w:t>
            </w:r>
          </w:p>
          <w:p>
            <w:pPr>
              <w:jc w:val="center"/>
              <w:rPr>
                <w:rFonts w:ascii="Arial" w:hAnsi="Arial"/>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0,0199</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Réf. à la directive (UE) 2018/2001</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Tous les 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1,375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Règlement (UE) 2015/757</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GNL de synthèse</w:t>
            </w:r>
          </w:p>
          <w:p>
            <w:pPr>
              <w:jc w:val="center"/>
              <w:rPr>
                <w:rFonts w:ascii="Arial" w:hAnsi="Arial"/>
                <w:noProof/>
                <w:sz w:val="16"/>
                <w:szCs w:val="16"/>
              </w:rPr>
            </w:pP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0,0491</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Réf. à la directive (UE) 2018/2001</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Otto (moteur bicarburant à vitesse moyenne)</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2,755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Règlement (UE) 2015/757</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0</w:t>
            </w:r>
          </w:p>
          <w:p>
            <w:pPr>
              <w:jc w:val="center"/>
              <w:rPr>
                <w:rFonts w:ascii="Arial" w:hAnsi="Arial"/>
                <w:strike/>
                <w:noProof/>
                <w:color w:val="000000" w:themeColor="text1"/>
                <w:sz w:val="16"/>
                <w:szCs w:val="16"/>
              </w:rPr>
            </w:pP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0,00011</w:t>
            </w:r>
          </w:p>
          <w:p>
            <w:pPr>
              <w:jc w:val="center"/>
              <w:rPr>
                <w:rFonts w:ascii="Arial" w:hAnsi="Arial" w:cstheme="minorBidi"/>
                <w:noProof/>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3,1</w:t>
            </w:r>
          </w:p>
        </w:tc>
      </w:tr>
      <w:tr>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Otto (moteur bicarburant à vitesse lente)</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1,7</w:t>
            </w:r>
          </w:p>
        </w:tc>
      </w:tr>
      <w:tr>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à cycle diesel (moteur bicarburant)</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0,2</w:t>
            </w:r>
          </w:p>
        </w:tc>
      </w:tr>
      <w:tr>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Mélange pauvre à allumage par étincelle (LBSI)</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H2 de synthèse</w:t>
            </w:r>
          </w:p>
        </w:tc>
        <w:tc>
          <w:tcPr>
            <w:tcW w:w="7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0,12</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3,6 </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Piles à combustible</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MCI</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NH3 de synthèse</w:t>
            </w: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0,0186</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0 </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Inexistant (pas de moteur)</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AM</w:t>
            </w: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c>
          <w:tcPr>
            <w:tcW w:w="1052"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Autres</w:t>
            </w:r>
          </w:p>
        </w:tc>
        <w:tc>
          <w:tcPr>
            <w:tcW w:w="98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Électricité</w:t>
            </w:r>
          </w:p>
          <w:p>
            <w:pPr>
              <w:jc w:val="center"/>
              <w:rPr>
                <w:rFonts w:ascii="Arial" w:hAnsi="Arial"/>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106,3 </w:t>
            </w:r>
          </w:p>
          <w:p>
            <w:pPr>
              <w:jc w:val="center"/>
              <w:rPr>
                <w:rFonts w:ascii="Arial" w:hAnsi="Arial"/>
                <w:noProof/>
                <w:sz w:val="16"/>
                <w:szCs w:val="16"/>
              </w:rPr>
            </w:pPr>
            <w:r>
              <w:rPr>
                <w:rFonts w:ascii="Arial" w:hAnsi="Arial"/>
                <w:noProof/>
                <w:sz w:val="16"/>
                <w:szCs w:val="16"/>
              </w:rPr>
              <w:t>MÉLANGE UE 2020</w:t>
            </w:r>
          </w:p>
          <w:p>
            <w:pPr>
              <w:jc w:val="center"/>
              <w:rPr>
                <w:rFonts w:ascii="Arial" w:hAnsi="Arial"/>
                <w:noProof/>
                <w:sz w:val="16"/>
                <w:szCs w:val="16"/>
              </w:rPr>
            </w:pPr>
            <w:r>
              <w:rPr>
                <w:rFonts w:ascii="Arial" w:hAnsi="Arial"/>
                <w:noProof/>
                <w:sz w:val="16"/>
                <w:szCs w:val="16"/>
              </w:rPr>
              <w:t xml:space="preserve">72 </w:t>
            </w:r>
          </w:p>
          <w:p>
            <w:pPr>
              <w:jc w:val="center"/>
              <w:rPr>
                <w:rFonts w:ascii="Arial" w:hAnsi="Arial"/>
                <w:noProof/>
                <w:sz w:val="16"/>
                <w:szCs w:val="16"/>
              </w:rPr>
            </w:pPr>
            <w:r>
              <w:rPr>
                <w:rFonts w:ascii="Arial" w:hAnsi="Arial"/>
                <w:noProof/>
                <w:sz w:val="16"/>
                <w:szCs w:val="16"/>
              </w:rPr>
              <w:t>MÉLANGE UE 2030</w:t>
            </w:r>
          </w:p>
        </w:tc>
        <w:tc>
          <w:tcPr>
            <w:tcW w:w="1083"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Alimentation électrique à quai (OPS)</w:t>
            </w:r>
          </w:p>
        </w:tc>
        <w:tc>
          <w:tcPr>
            <w:tcW w:w="139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858"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956"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1195"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bl>
    <w:p>
      <w:pPr>
        <w:rPr>
          <w:rFonts w:ascii="Arial" w:hAnsi="Arial" w:cstheme="minorBidi"/>
          <w:b/>
          <w:noProof/>
          <w:sz w:val="18"/>
        </w:rPr>
      </w:pPr>
    </w:p>
    <w:p>
      <w:pPr>
        <w:spacing w:before="0" w:after="200" w:line="276" w:lineRule="auto"/>
        <w:rPr>
          <w:noProof/>
        </w:rPr>
      </w:pPr>
      <w:r>
        <w:rPr>
          <w:noProof/>
        </w:rPr>
        <w:t xml:space="preserve">La </w:t>
      </w:r>
      <w:r>
        <w:rPr>
          <w:noProof/>
          <w:u w:val="single"/>
        </w:rPr>
        <w:t>colonne 1</w:t>
      </w:r>
      <w:r>
        <w:rPr>
          <w:noProof/>
        </w:rPr>
        <w:t xml:space="preserve"> indique la classe des carburants, à savoir les carburants fossiles, les biocarburants liquides, les biocarburants gazeux et les carburants de synthèse.</w:t>
      </w:r>
    </w:p>
    <w:p>
      <w:pPr>
        <w:spacing w:before="0" w:after="200" w:line="276" w:lineRule="auto"/>
        <w:rPr>
          <w:noProof/>
        </w:rPr>
      </w:pPr>
      <w:r>
        <w:rPr>
          <w:noProof/>
        </w:rPr>
        <w:t xml:space="preserve">La </w:t>
      </w:r>
      <w:r>
        <w:rPr>
          <w:noProof/>
          <w:u w:val="single"/>
        </w:rPr>
        <w:t>colonne 2</w:t>
      </w:r>
      <w:r>
        <w:rPr>
          <w:noProof/>
        </w:rPr>
        <w:t xml:space="preserve"> indique le nom ou la filière des carburants concernés dans la classe. Pour les biocarburants liquides, les biocarburants gazeux et les RFNBO (carburants de synthèse), les valeurs pour la section WtT sont tirées de la directive (UE) 2018/2001 (</w:t>
      </w:r>
      <w:r>
        <w:rPr>
          <w:noProof/>
          <w:u w:val="single"/>
        </w:rPr>
        <w:t>sans combustion</w:t>
      </w:r>
      <w:r>
        <w:rPr>
          <w:rStyle w:val="FootnoteReference"/>
          <w:noProof/>
          <w:u w:val="single"/>
        </w:rPr>
        <w:footnoteReference w:id="3"/>
      </w:r>
      <w:r>
        <w:rPr>
          <w:noProof/>
        </w:rPr>
        <w:t>); pour les carburants fossiles, seules les valeurs par défaut figurant dans le tableau sont utilisées.</w:t>
      </w:r>
    </w:p>
    <w:p>
      <w:pPr>
        <w:spacing w:before="0" w:after="200" w:line="276" w:lineRule="auto"/>
        <w:rPr>
          <w:noProof/>
        </w:rPr>
      </w:pPr>
      <w:r>
        <w:rPr>
          <w:noProof/>
        </w:rPr>
        <w:t xml:space="preserve">La </w:t>
      </w:r>
      <w:r>
        <w:rPr>
          <w:noProof/>
          <w:u w:val="single"/>
        </w:rPr>
        <w:t>colonne 3</w:t>
      </w:r>
      <w:r>
        <w:rPr>
          <w:noProof/>
        </w:rPr>
        <w:t xml:space="preserve"> indique le pouvoir calorifique inférieur des carburants, exprimé en [MJ/g]. </w:t>
      </w:r>
    </w:p>
    <w:p>
      <w:pPr>
        <w:spacing w:before="0" w:after="200" w:line="276" w:lineRule="auto"/>
        <w:rPr>
          <w:noProof/>
        </w:rPr>
      </w:pPr>
      <w:r>
        <w:rPr>
          <w:noProof/>
        </w:rPr>
        <w:t xml:space="preserve">La </w:t>
      </w:r>
      <w:r>
        <w:rPr>
          <w:noProof/>
          <w:u w:val="single"/>
        </w:rPr>
        <w:t>colonne 4</w:t>
      </w:r>
      <w:r>
        <w:rPr>
          <w:noProof/>
        </w:rPr>
        <w:t xml:space="preserve"> indique les valeurs d’émission de CO</w:t>
      </w:r>
      <w:r>
        <w:rPr>
          <w:noProof/>
          <w:vertAlign w:val="subscript"/>
        </w:rPr>
        <w:t>2eq</w:t>
      </w:r>
      <w:r>
        <w:rPr>
          <w:noProof/>
        </w:rPr>
        <w:t>, exprimées en [gCO</w:t>
      </w:r>
      <w:r>
        <w:rPr>
          <w:noProof/>
          <w:vertAlign w:val="subscript"/>
        </w:rPr>
        <w:t>2eq</w:t>
      </w:r>
      <w:r>
        <w:rPr>
          <w:noProof/>
        </w:rPr>
        <w:t xml:space="preserve">/MJ]. Pour les carburants fossiles, seules les valeurs par défaut figurant dans le tableau sont utilisées. Pour tous les autres carburants (sauf indication expresse), les valeurs sont calculées au moyen de la méthodologie ou des valeurs par défaut définies dans la directive (UE) 2018/2001, </w:t>
      </w:r>
      <w:r>
        <w:rPr>
          <w:noProof/>
          <w:u w:val="single"/>
        </w:rPr>
        <w:t>déduites des émissions de combustion en tenant compte de l’oxydation totale du combustible</w:t>
      </w:r>
      <w:r>
        <w:rPr>
          <w:rStyle w:val="FootnoteReference"/>
          <w:noProof/>
          <w:u w:val="single"/>
        </w:rPr>
        <w:footnoteReference w:id="4"/>
      </w:r>
      <w:r>
        <w:rPr>
          <w:noProof/>
        </w:rPr>
        <w:t xml:space="preserve">. </w:t>
      </w:r>
    </w:p>
    <w:p>
      <w:pPr>
        <w:spacing w:before="0" w:after="200" w:line="276" w:lineRule="auto"/>
        <w:rPr>
          <w:noProof/>
        </w:rPr>
      </w:pPr>
      <w:r>
        <w:rPr>
          <w:noProof/>
        </w:rPr>
        <w:t xml:space="preserve">La </w:t>
      </w:r>
      <w:r>
        <w:rPr>
          <w:noProof/>
          <w:u w:val="single"/>
        </w:rPr>
        <w:t>colonne 5</w:t>
      </w:r>
      <w:r>
        <w:rPr>
          <w:noProof/>
        </w:rPr>
        <w:t xml:space="preserve"> indique les principaux types/classes des convertisseurs d’énergie tels que les moteurs à combustion interne (MCI) à 2 ou 4 temps et à cycle Otto ou diesel, les turbines à gaz, les piles à combustible, etc. </w:t>
      </w:r>
    </w:p>
    <w:p>
      <w:pPr>
        <w:spacing w:before="0" w:after="200" w:line="276" w:lineRule="auto"/>
        <w:rPr>
          <w:noProof/>
        </w:rPr>
      </w:pPr>
      <w:r>
        <w:rPr>
          <w:noProof/>
        </w:rPr>
        <w:t xml:space="preserve">La </w:t>
      </w:r>
      <w:r>
        <w:rPr>
          <w:noProof/>
          <w:u w:val="single"/>
        </w:rPr>
        <w:t>colonne 6</w:t>
      </w:r>
      <w:r>
        <w:rPr>
          <w:noProof/>
        </w:rPr>
        <w:t xml:space="preserve"> indique le facteur d’émission C</w:t>
      </w:r>
      <w:r>
        <w:rPr>
          <w:noProof/>
          <w:vertAlign w:val="subscript"/>
        </w:rPr>
        <w:t>f</w:t>
      </w:r>
      <w:r>
        <w:rPr>
          <w:noProof/>
        </w:rPr>
        <w:t xml:space="preserve"> pour le CO</w:t>
      </w:r>
      <w:r>
        <w:rPr>
          <w:noProof/>
          <w:vertAlign w:val="subscript"/>
        </w:rPr>
        <w:t>2</w:t>
      </w:r>
      <w:r>
        <w:rPr>
          <w:noProof/>
        </w:rPr>
        <w:t>, exprimé en [gCO</w:t>
      </w:r>
      <w:r>
        <w:rPr>
          <w:noProof/>
          <w:vertAlign w:val="subscript"/>
        </w:rPr>
        <w:t>2</w:t>
      </w:r>
      <w:r>
        <w:rPr>
          <w:noProof/>
        </w:rPr>
        <w:t xml:space="preserve">/gfuel]. Les valeurs des facteurs d’émission telles que spécifiées dans le règlement (UE) 2015/757 [ou dans la résolution MEPC245 (66) de l’OMI, telle que modifiée] sont utilisées. Pour tous les carburants ne figurant pas dans le règlement (UE) 2015/757, il convient d’utiliser les valeurs par défaut figurant dans le tableau. Les valeurs certifiées par un organisme de certification de confiance [en vertu des dispositions pertinentes de la directive (UE) 2018/2001] peuvent être utilisées à la place des valeurs par défaut. </w:t>
      </w:r>
    </w:p>
    <w:p>
      <w:pPr>
        <w:spacing w:before="0" w:after="200" w:line="276" w:lineRule="auto"/>
        <w:rPr>
          <w:noProof/>
        </w:rPr>
      </w:pPr>
      <w:r>
        <w:rPr>
          <w:noProof/>
        </w:rPr>
        <w:t xml:space="preserve">La </w:t>
      </w:r>
      <w:r>
        <w:rPr>
          <w:noProof/>
          <w:u w:val="single"/>
        </w:rPr>
        <w:t>colonne 7</w:t>
      </w:r>
      <w:r>
        <w:rPr>
          <w:noProof/>
        </w:rPr>
        <w:t xml:space="preserve"> indique le facteur d’émission C</w:t>
      </w:r>
      <w:r>
        <w:rPr>
          <w:noProof/>
          <w:vertAlign w:val="subscript"/>
        </w:rPr>
        <w:t>f</w:t>
      </w:r>
      <w:r>
        <w:rPr>
          <w:noProof/>
        </w:rPr>
        <w:t xml:space="preserve"> pour le méthane, exprimé en [gCH</w:t>
      </w:r>
      <w:r>
        <w:rPr>
          <w:noProof/>
          <w:vertAlign w:val="subscript"/>
        </w:rPr>
        <w:t>4</w:t>
      </w:r>
      <w:r>
        <w:rPr>
          <w:noProof/>
        </w:rPr>
        <w:t>/gfuel]. Les valeurs par défaut figurant dans le tableau sont utilisées. Les valeurs certifiées au moyen d’essais peuvent être utilisées à la place des valeurs par défaut. Pour les carburants GNL, le facteur d’émission C</w:t>
      </w:r>
      <w:r>
        <w:rPr>
          <w:noProof/>
          <w:vertAlign w:val="subscript"/>
        </w:rPr>
        <w:t>f</w:t>
      </w:r>
      <w:r>
        <w:rPr>
          <w:noProof/>
        </w:rPr>
        <w:t xml:space="preserve"> pour le méthane est fixé à zéro.</w:t>
      </w:r>
    </w:p>
    <w:p>
      <w:pPr>
        <w:spacing w:before="0" w:after="200" w:line="276" w:lineRule="auto"/>
        <w:rPr>
          <w:noProof/>
        </w:rPr>
      </w:pPr>
      <w:r>
        <w:rPr>
          <w:noProof/>
        </w:rPr>
        <w:t xml:space="preserve">La </w:t>
      </w:r>
      <w:r>
        <w:rPr>
          <w:noProof/>
          <w:u w:val="single"/>
        </w:rPr>
        <w:t>colonne 8</w:t>
      </w:r>
      <w:r>
        <w:rPr>
          <w:noProof/>
        </w:rPr>
        <w:t xml:space="preserve"> indique le facteur d’émission C</w:t>
      </w:r>
      <w:r>
        <w:rPr>
          <w:noProof/>
          <w:vertAlign w:val="subscript"/>
        </w:rPr>
        <w:t>f</w:t>
      </w:r>
      <w:r>
        <w:rPr>
          <w:noProof/>
        </w:rPr>
        <w:t xml:space="preserve"> pour le protoxyde d’azote, exprimé en [gCH</w:t>
      </w:r>
      <w:r>
        <w:rPr>
          <w:noProof/>
          <w:vertAlign w:val="subscript"/>
        </w:rPr>
        <w:t>2</w:t>
      </w:r>
      <w:r>
        <w:rPr>
          <w:noProof/>
        </w:rPr>
        <w:t xml:space="preserve">/gfuel]. Les valeurs par défaut figurant dans le tableau sont utilisées. Les valeurs certifiées au moyen d’essais peuvent être utilisées à la place des valeurs par défaut. </w:t>
      </w:r>
    </w:p>
    <w:p>
      <w:pPr>
        <w:spacing w:before="0" w:after="200" w:line="276" w:lineRule="auto"/>
        <w:rPr>
          <w:noProof/>
        </w:rPr>
      </w:pPr>
      <w:r>
        <w:rPr>
          <w:noProof/>
        </w:rPr>
        <w:t xml:space="preserve">La </w:t>
      </w:r>
      <w:r>
        <w:rPr>
          <w:noProof/>
          <w:u w:val="single"/>
        </w:rPr>
        <w:t>colonne 9</w:t>
      </w:r>
      <w:r>
        <w:rPr>
          <w:noProof/>
        </w:rPr>
        <w:t xml:space="preserve"> indique la quantité de carburant perdue en émissions diffuses (C</w:t>
      </w:r>
      <w:r>
        <w:rPr>
          <w:noProof/>
          <w:vertAlign w:val="subscript"/>
        </w:rPr>
        <w:t>slip</w:t>
      </w:r>
      <w:r>
        <w:rPr>
          <w:noProof/>
        </w:rPr>
        <w:t>), exprimée en pourcentage (%) de la masse du carburant utilisé par le convertisseur d’énergie spécifique. Les valeurs par défaut figurant dans le tableau sont utilisées. Les valeurs certifiées au moyen d’essais peuvent être utilisées à la place des valeurs par défaut. Pour les carburants tels que le GNL pour lesquels il existe des émissions diffuses (échappement), la quantité d’émissions diffuses telle qu’indiquée au tableau 1 est exprimée en pourcentage (%) de la masse du carburant utilisé (colonne 9). Les valeurs figurant dans la colonne 9 sont utilisées, conformément à l’Équation (1). Les valeurs de C</w:t>
      </w:r>
      <w:r>
        <w:rPr>
          <w:noProof/>
          <w:vertAlign w:val="subscript"/>
        </w:rPr>
        <w:t>slip</w:t>
      </w:r>
      <w:r>
        <w:rPr>
          <w:noProof/>
        </w:rPr>
        <w:t xml:space="preserve"> indiquées au tableau 1 sont calculées à 50 % de la charge du moteur.</w:t>
      </w:r>
    </w:p>
    <w:p>
      <w:pPr>
        <w:spacing w:before="0" w:after="200" w:line="276" w:lineRule="auto"/>
        <w:rPr>
          <w:noProof/>
        </w:rPr>
      </w:pPr>
      <w:r>
        <w:rPr>
          <w:noProof/>
        </w:rPr>
        <w:br w:type="page"/>
      </w:r>
    </w:p>
    <w:p>
      <w:pPr>
        <w:pStyle w:val="Annexetitre"/>
        <w:rPr>
          <w:noProof/>
        </w:rPr>
      </w:pPr>
      <w:r>
        <w:rPr>
          <w:noProof/>
        </w:rPr>
        <w:t xml:space="preserve">ANNEXE III </w:t>
      </w:r>
    </w:p>
    <w:p>
      <w:pPr>
        <w:pStyle w:val="NormalCentered"/>
        <w:rPr>
          <w:noProof/>
        </w:rPr>
      </w:pPr>
      <w:r>
        <w:rPr>
          <w:noProof/>
        </w:rPr>
        <w:t>CRITÈRES POUR L’UTILISATION DE TECHNOLOGIES À ÉMISSIONS NULLES VISÉES À L’ARTICLE 5, PARAGRAPHE 3, POINT B), ET À L’ARTICLE 7, PARAGRAPHE 3, POINTS D) ET F)</w:t>
      </w:r>
    </w:p>
    <w:p>
      <w:pPr>
        <w:rPr>
          <w:noProof/>
        </w:rPr>
      </w:pPr>
      <w:r>
        <w:rPr>
          <w:noProof/>
        </w:rPr>
        <w:t>Le tableau suivant fournit la liste des technologies à émissions nulles visées à l’article 5, paragraphe 3, point b), ainsi que les critères d’utilisation spécifiques, le cas échéant.</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7"/>
      </w:tblGrid>
      <w:tr>
        <w:trPr>
          <w:trHeight w:val="451"/>
          <w:jc w:val="center"/>
        </w:trPr>
        <w:tc>
          <w:tcPr>
            <w:tcW w:w="4642" w:type="dxa"/>
          </w:tcPr>
          <w:p>
            <w:pPr>
              <w:jc w:val="center"/>
              <w:rPr>
                <w:b/>
                <w:noProof/>
                <w:sz w:val="22"/>
              </w:rPr>
            </w:pPr>
            <w:r>
              <w:rPr>
                <w:b/>
                <w:noProof/>
                <w:sz w:val="22"/>
              </w:rPr>
              <w:t>Technologies à émissions nulles</w:t>
            </w:r>
          </w:p>
        </w:tc>
        <w:tc>
          <w:tcPr>
            <w:tcW w:w="4647" w:type="dxa"/>
          </w:tcPr>
          <w:p>
            <w:pPr>
              <w:jc w:val="center"/>
              <w:rPr>
                <w:b/>
                <w:noProof/>
                <w:sz w:val="22"/>
              </w:rPr>
            </w:pPr>
            <w:r>
              <w:rPr>
                <w:b/>
                <w:noProof/>
                <w:sz w:val="22"/>
              </w:rPr>
              <w:t>Critères d’utilisation</w:t>
            </w:r>
          </w:p>
        </w:tc>
      </w:tr>
      <w:tr>
        <w:trPr>
          <w:jc w:val="center"/>
        </w:trPr>
        <w:tc>
          <w:tcPr>
            <w:tcW w:w="4642" w:type="dxa"/>
          </w:tcPr>
          <w:p>
            <w:pPr>
              <w:rPr>
                <w:noProof/>
                <w:sz w:val="22"/>
              </w:rPr>
            </w:pPr>
            <w:r>
              <w:rPr>
                <w:noProof/>
                <w:sz w:val="22"/>
              </w:rPr>
              <w:t xml:space="preserve">Piles à combustible </w:t>
            </w:r>
          </w:p>
        </w:tc>
        <w:tc>
          <w:tcPr>
            <w:tcW w:w="4647" w:type="dxa"/>
          </w:tcPr>
          <w:p>
            <w:pPr>
              <w:rPr>
                <w:noProof/>
                <w:sz w:val="22"/>
              </w:rPr>
            </w:pPr>
            <w:r>
              <w:rPr>
                <w:noProof/>
                <w:sz w:val="22"/>
              </w:rPr>
              <w:t xml:space="preserve">Les piles à combustible utilisées à bord pour la production d’électricité lorsque le navire est à quai devraient être entièrement alimentées par des carburants renouvelables et bas carbone. </w:t>
            </w:r>
          </w:p>
        </w:tc>
      </w:tr>
      <w:tr>
        <w:trPr>
          <w:jc w:val="center"/>
        </w:trPr>
        <w:tc>
          <w:tcPr>
            <w:tcW w:w="4642" w:type="dxa"/>
          </w:tcPr>
          <w:p>
            <w:pPr>
              <w:rPr>
                <w:noProof/>
                <w:sz w:val="22"/>
              </w:rPr>
            </w:pPr>
            <w:r>
              <w:rPr>
                <w:noProof/>
                <w:sz w:val="22"/>
              </w:rPr>
              <w:t xml:space="preserve">Stockage d’électricité à bord </w:t>
            </w:r>
          </w:p>
        </w:tc>
        <w:tc>
          <w:tcPr>
            <w:tcW w:w="4647" w:type="dxa"/>
          </w:tcPr>
          <w:p>
            <w:pPr>
              <w:rPr>
                <w:noProof/>
                <w:sz w:val="22"/>
              </w:rPr>
            </w:pPr>
            <w:r>
              <w:rPr>
                <w:noProof/>
                <w:sz w:val="22"/>
              </w:rPr>
              <w:t xml:space="preserve">L’utilisation d’un dispositif de stockage d’électricité à bord est autorisée quelle que soit la source d’énergie à partir de laquelle l’énergie stockée a été produite (production à bord ou alimentation à quai en cas d’échange de batteries). </w:t>
            </w:r>
          </w:p>
        </w:tc>
      </w:tr>
      <w:tr>
        <w:trPr>
          <w:jc w:val="center"/>
        </w:trPr>
        <w:tc>
          <w:tcPr>
            <w:tcW w:w="4642" w:type="dxa"/>
          </w:tcPr>
          <w:p>
            <w:pPr>
              <w:rPr>
                <w:noProof/>
                <w:sz w:val="22"/>
              </w:rPr>
            </w:pPr>
            <w:r>
              <w:rPr>
                <w:noProof/>
                <w:sz w:val="22"/>
              </w:rPr>
              <w:t>Production d’électricité à bord à partir de l’énergie éolienne et de l’énergie solaire</w:t>
            </w:r>
          </w:p>
        </w:tc>
        <w:tc>
          <w:tcPr>
            <w:tcW w:w="4647" w:type="dxa"/>
          </w:tcPr>
          <w:p>
            <w:pPr>
              <w:rPr>
                <w:noProof/>
                <w:sz w:val="22"/>
              </w:rPr>
            </w:pPr>
            <w:r>
              <w:rPr>
                <w:noProof/>
                <w:sz w:val="22"/>
              </w:rPr>
              <w:t>Tout navire capable de répondre à ses besoins en énergie à quai grâce à l’énergie éolienne et à l’énergie solaire.</w:t>
            </w:r>
          </w:p>
        </w:tc>
      </w:tr>
    </w:tbl>
    <w:p>
      <w:pPr>
        <w:rPr>
          <w:noProof/>
        </w:rPr>
      </w:pPr>
      <w:r>
        <w:rPr>
          <w:noProof/>
        </w:rPr>
        <w:t>L’utilisation de ces technologies à émissions nulles permet de parvenir en permanence à un taux d’émissions équivalent aux réductions d’émissions qui seraient obtenues grâce à l’alimentation électrique à quai.</w:t>
      </w:r>
    </w:p>
    <w:p>
      <w:pPr>
        <w:spacing w:before="0" w:after="200" w:line="276" w:lineRule="auto"/>
        <w:jc w:val="left"/>
        <w:rPr>
          <w:noProof/>
        </w:rPr>
      </w:pPr>
      <w:r>
        <w:rPr>
          <w:noProof/>
        </w:rPr>
        <w:br w:type="page"/>
      </w:r>
    </w:p>
    <w:p>
      <w:pPr>
        <w:pStyle w:val="Annexetitre"/>
        <w:rPr>
          <w:noProof/>
        </w:rPr>
      </w:pPr>
      <w:r>
        <w:rPr>
          <w:noProof/>
        </w:rPr>
        <w:t xml:space="preserve">ANNEXE IV </w:t>
      </w:r>
    </w:p>
    <w:p>
      <w:pPr>
        <w:pStyle w:val="NormalCentered"/>
        <w:rPr>
          <w:noProof/>
        </w:rPr>
      </w:pPr>
      <w:r>
        <w:rPr>
          <w:noProof/>
        </w:rPr>
        <w:t>CERTIFICAT À DÉLIVRER PAR LE GESTIONNAIRE DU PORT D’ESCALE DANS LES CAS OÙ LES NAVIRES NE PEUVENT PAS UTILISER L’ALIMENTATION ÉLECTRIQUE À QUAI POUR DES RAISONS JUSTIFIÉES (ARTICLE 5, PARAGRAPHE 5) — ÉLÉMENTS MINIMAUX DEVANT FIGURER SUR LE CERTIFICAT</w:t>
      </w:r>
    </w:p>
    <w:p>
      <w:pPr>
        <w:spacing w:line="256" w:lineRule="auto"/>
        <w:rPr>
          <w:noProof/>
        </w:rPr>
      </w:pPr>
      <w:r>
        <w:rPr>
          <w:noProof/>
        </w:rPr>
        <w:t>Aux fins du présent règlement, le certificat visé à l’article 5, paragraphe 5, contient au moins les informations suivantes:</w:t>
      </w:r>
    </w:p>
    <w:p>
      <w:pPr>
        <w:pStyle w:val="Point0number"/>
        <w:numPr>
          <w:ilvl w:val="0"/>
          <w:numId w:val="9"/>
        </w:numPr>
        <w:rPr>
          <w:noProof/>
        </w:rPr>
      </w:pPr>
      <w:r>
        <w:rPr>
          <w:noProof/>
        </w:rPr>
        <w:t>Identification du navire</w:t>
      </w:r>
    </w:p>
    <w:p>
      <w:pPr>
        <w:pStyle w:val="Point1letter"/>
        <w:rPr>
          <w:noProof/>
        </w:rPr>
      </w:pPr>
      <w:r>
        <w:rPr>
          <w:noProof/>
        </w:rPr>
        <w:t>Numéro OMI</w:t>
      </w:r>
    </w:p>
    <w:p>
      <w:pPr>
        <w:pStyle w:val="Point1letter"/>
        <w:rPr>
          <w:noProof/>
        </w:rPr>
      </w:pPr>
      <w:r>
        <w:rPr>
          <w:noProof/>
        </w:rPr>
        <w:t>Nom du navire</w:t>
      </w:r>
    </w:p>
    <w:p>
      <w:pPr>
        <w:pStyle w:val="Point1letter"/>
        <w:rPr>
          <w:noProof/>
        </w:rPr>
      </w:pPr>
      <w:r>
        <w:rPr>
          <w:noProof/>
        </w:rPr>
        <w:t>Indicatif d’appel radio</w:t>
      </w:r>
    </w:p>
    <w:p>
      <w:pPr>
        <w:pStyle w:val="Point1letter"/>
        <w:rPr>
          <w:noProof/>
        </w:rPr>
      </w:pPr>
      <w:r>
        <w:rPr>
          <w:noProof/>
        </w:rPr>
        <w:t>Type de navire</w:t>
      </w:r>
    </w:p>
    <w:p>
      <w:pPr>
        <w:pStyle w:val="Point1letter"/>
        <w:rPr>
          <w:noProof/>
        </w:rPr>
      </w:pPr>
      <w:r>
        <w:rPr>
          <w:noProof/>
        </w:rPr>
        <w:t>Pavillon</w:t>
      </w:r>
    </w:p>
    <w:p>
      <w:pPr>
        <w:pStyle w:val="Point0number"/>
        <w:rPr>
          <w:noProof/>
        </w:rPr>
      </w:pPr>
      <w:r>
        <w:rPr>
          <w:noProof/>
        </w:rPr>
        <w:t>Port d’escale</w:t>
      </w:r>
    </w:p>
    <w:p>
      <w:pPr>
        <w:pStyle w:val="Point0number"/>
        <w:numPr>
          <w:ilvl w:val="0"/>
          <w:numId w:val="9"/>
        </w:numPr>
        <w:rPr>
          <w:noProof/>
        </w:rPr>
      </w:pPr>
      <w:r>
        <w:rPr>
          <w:noProof/>
        </w:rPr>
        <w:t>Position géographique/Nom du terminal</w:t>
      </w:r>
    </w:p>
    <w:p>
      <w:pPr>
        <w:pStyle w:val="Point0number"/>
        <w:numPr>
          <w:ilvl w:val="0"/>
          <w:numId w:val="9"/>
        </w:numPr>
        <w:rPr>
          <w:noProof/>
        </w:rPr>
      </w:pPr>
      <w:r>
        <w:rPr>
          <w:noProof/>
        </w:rPr>
        <w:t>Date et heure d’arrivée (ATA)</w:t>
      </w:r>
    </w:p>
    <w:p>
      <w:pPr>
        <w:pStyle w:val="Point0number"/>
        <w:numPr>
          <w:ilvl w:val="0"/>
          <w:numId w:val="9"/>
        </w:numPr>
        <w:rPr>
          <w:noProof/>
        </w:rPr>
      </w:pPr>
      <w:r>
        <w:rPr>
          <w:noProof/>
        </w:rPr>
        <w:t>Date et heure de départ (ATD)</w:t>
      </w:r>
    </w:p>
    <w:p>
      <w:pPr>
        <w:pStyle w:val="Text1"/>
        <w:rPr>
          <w:noProof/>
        </w:rPr>
      </w:pPr>
      <w:r>
        <w:rPr>
          <w:noProof/>
        </w:rPr>
        <w:t>La confirmation du gestionnaire du port que le navire se trouvait dans l’une des situations suivantes:</w:t>
      </w:r>
    </w:p>
    <w:p>
      <w:pPr>
        <w:pStyle w:val="Tiret2"/>
        <w:numPr>
          <w:ilvl w:val="0"/>
          <w:numId w:val="10"/>
        </w:numPr>
        <w:rPr>
          <w:noProof/>
        </w:rPr>
      </w:pPr>
      <w:r>
        <w:rPr>
          <w:noProof/>
        </w:rPr>
        <w:t>le navire a effectué une escale non programmée pour des raisons de sécurité ou de sauvetage de vies humaines en mer [article 5, paragraphe 2, point c)]</w:t>
      </w:r>
    </w:p>
    <w:p>
      <w:pPr>
        <w:pStyle w:val="Tiret2"/>
        <w:rPr>
          <w:noProof/>
        </w:rPr>
      </w:pPr>
      <w:r>
        <w:rPr>
          <w:noProof/>
        </w:rPr>
        <w:t>le navire n’a pas pu se connecter à l’alimentation électrique à quai en raison de l’indisponibilité de points de raccordement dans le port [article 5, paragraphe 2, point d)]</w:t>
      </w:r>
    </w:p>
    <w:p>
      <w:pPr>
        <w:pStyle w:val="Tiret2"/>
        <w:rPr>
          <w:noProof/>
        </w:rPr>
      </w:pPr>
      <w:r>
        <w:rPr>
          <w:noProof/>
        </w:rPr>
        <w:t>l’équipement d’alimentation électrique à quai disponible à bord s’est révélé incompatible avec l’installation à quai dans le port [article 5, paragraphe 2, point e)]</w:t>
      </w:r>
    </w:p>
    <w:p>
      <w:pPr>
        <w:pStyle w:val="Tiret2"/>
        <w:rPr>
          <w:noProof/>
        </w:rPr>
      </w:pPr>
      <w:r>
        <w:rPr>
          <w:noProof/>
        </w:rPr>
        <w:t>le navire a utilisé, pendant une durée limitée, la production d’énergie à bord, dans des situations d’urgence présentant un risque immédiat pour la vie, le navire ou l’environnement [article 5, paragraphe 2, point f)]</w:t>
      </w:r>
    </w:p>
    <w:p>
      <w:pPr>
        <w:pStyle w:val="Point0number"/>
        <w:numPr>
          <w:ilvl w:val="0"/>
          <w:numId w:val="9"/>
        </w:numPr>
        <w:rPr>
          <w:noProof/>
        </w:rPr>
      </w:pPr>
      <w:r>
        <w:rPr>
          <w:noProof/>
        </w:rPr>
        <w:t>Informations sur le gestionnaire du port</w:t>
      </w:r>
    </w:p>
    <w:p>
      <w:pPr>
        <w:pStyle w:val="Point1letter"/>
        <w:numPr>
          <w:ilvl w:val="3"/>
          <w:numId w:val="9"/>
        </w:numPr>
        <w:rPr>
          <w:noProof/>
        </w:rPr>
      </w:pPr>
      <w:r>
        <w:rPr>
          <w:noProof/>
        </w:rPr>
        <w:t>Nom</w:t>
      </w:r>
    </w:p>
    <w:p>
      <w:pPr>
        <w:pStyle w:val="Point1letter"/>
        <w:numPr>
          <w:ilvl w:val="3"/>
          <w:numId w:val="9"/>
        </w:numPr>
        <w:rPr>
          <w:noProof/>
        </w:rPr>
      </w:pPr>
      <w:r>
        <w:rPr>
          <w:noProof/>
        </w:rPr>
        <w:t>Coordonnées (numéro de téléphone, adresse électronique)</w:t>
      </w:r>
    </w:p>
    <w:p>
      <w:pPr>
        <w:pStyle w:val="Point0number"/>
        <w:numPr>
          <w:ilvl w:val="0"/>
          <w:numId w:val="9"/>
        </w:numPr>
        <w:spacing w:after="160" w:line="256" w:lineRule="auto"/>
        <w:rPr>
          <w:noProof/>
        </w:rPr>
      </w:pPr>
      <w:r>
        <w:rPr>
          <w:noProof/>
        </w:rPr>
        <w:t>Date de délivrance</w:t>
      </w:r>
    </w:p>
    <w:p>
      <w:pPr>
        <w:spacing w:before="0" w:after="200" w:line="276" w:lineRule="auto"/>
        <w:jc w:val="left"/>
        <w:rPr>
          <w:noProof/>
        </w:rPr>
      </w:pPr>
      <w:r>
        <w:rPr>
          <w:noProof/>
        </w:rPr>
        <w:br w:type="page"/>
      </w:r>
    </w:p>
    <w:p>
      <w:pPr>
        <w:pStyle w:val="Annexetitre"/>
        <w:rPr>
          <w:noProof/>
        </w:rPr>
      </w:pPr>
      <w:r>
        <w:rPr>
          <w:noProof/>
        </w:rPr>
        <w:t xml:space="preserve">ANNEXE V </w:t>
      </w:r>
    </w:p>
    <w:p>
      <w:pPr>
        <w:pStyle w:val="Normal1"/>
        <w:jc w:val="center"/>
        <w:rPr>
          <w:noProof/>
        </w:rPr>
      </w:pPr>
      <w:r>
        <w:rPr>
          <w:noProof/>
        </w:rPr>
        <w:t xml:space="preserve">FORMULES POUR LE CALCUL DU BILAN DE CONFORMITÉ ET LE CALCUL DE LA SANCTION PÉCUNIAIRE </w:t>
      </w:r>
      <w:r>
        <w:rPr>
          <w:caps/>
          <w:noProof/>
        </w:rPr>
        <w:t>VISÉE À L’ARTICLE 20, PARAGRAPHE 1</w:t>
      </w:r>
    </w:p>
    <w:p>
      <w:pPr>
        <w:rPr>
          <w:noProof/>
        </w:rPr>
      </w:pPr>
    </w:p>
    <w:p>
      <w:pPr>
        <w:pStyle w:val="ManualHeading2"/>
        <w:rPr>
          <w:noProof/>
        </w:rPr>
      </w:pPr>
      <w:r>
        <w:rPr>
          <w:noProof/>
        </w:rPr>
        <w:t xml:space="preserve">Formule pour le calcul du bilan de conformité du navire </w:t>
      </w:r>
    </w:p>
    <w:p>
      <w:pPr>
        <w:rPr>
          <w:noProof/>
        </w:rPr>
      </w:pPr>
      <w:r>
        <w:rPr>
          <w:noProof/>
        </w:rPr>
        <w:t>Aux fins du calcul du bilan de conformité d’un navire, la formule suivante s’applique:</w:t>
      </w:r>
    </w:p>
    <w:p>
      <w:pPr>
        <w:rPr>
          <w:noProof/>
        </w:rPr>
      </w:pPr>
    </w:p>
    <w:tbl>
      <w:tblPr>
        <w:tblpPr w:leftFromText="180" w:rightFromText="180" w:vertAnchor="text" w:horzAnchor="margin" w:tblpX="-68" w:tblpY="211"/>
        <w:tblW w:w="9322"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4"/>
        <w:gridCol w:w="5528"/>
      </w:tblGrid>
      <w:tr>
        <w:tc>
          <w:tcPr>
            <w:tcW w:w="3794" w:type="dxa"/>
            <w:tcBorders>
              <w:left w:val="single" w:sz="4" w:space="0" w:color="auto"/>
            </w:tcBorders>
            <w:vAlign w:val="center"/>
          </w:tcPr>
          <w:p>
            <w:pPr>
              <w:ind w:right="-111"/>
              <w:rPr>
                <w:noProof/>
                <w:sz w:val="20"/>
                <w:szCs w:val="20"/>
              </w:rPr>
            </w:pPr>
            <w:r>
              <w:rPr>
                <w:noProof/>
                <w:sz w:val="20"/>
                <w:szCs w:val="20"/>
              </w:rPr>
              <w:t>Bilan de conformité [gCO</w:t>
            </w:r>
            <w:r>
              <w:rPr>
                <w:noProof/>
                <w:sz w:val="20"/>
                <w:szCs w:val="20"/>
                <w:vertAlign w:val="subscript"/>
              </w:rPr>
              <w:t>2eq</w:t>
            </w:r>
            <w:r>
              <w:rPr>
                <w:noProof/>
                <w:sz w:val="20"/>
                <w:szCs w:val="20"/>
              </w:rPr>
              <w:t>/MJ] =</w:t>
            </w:r>
          </w:p>
        </w:tc>
        <w:tc>
          <w:tcPr>
            <w:tcW w:w="5528" w:type="dxa"/>
            <w:vAlign w:val="center"/>
          </w:tcPr>
          <w:p>
            <w:pPr>
              <w:ind w:left="-105" w:right="-106"/>
              <w:rPr>
                <w:noProof/>
                <w:sz w:val="20"/>
                <w:szCs w:val="20"/>
                <w:lang w:val="en-US"/>
              </w:rPr>
            </w:pPr>
            <w:r>
              <w:rPr>
                <w:rFonts w:ascii="Cambria Math" w:hAnsi="Cambria Math"/>
                <w:i/>
                <w:noProof/>
                <w:sz w:val="20"/>
                <w:szCs w:val="20"/>
                <w:lang w:val="en-US"/>
              </w:rPr>
              <w:t>(GHGIE</w:t>
            </w:r>
            <w:r>
              <w:rPr>
                <w:rFonts w:ascii="Cambria Math" w:hAnsi="Cambria Math"/>
                <w:i/>
                <w:noProof/>
                <w:sz w:val="20"/>
                <w:szCs w:val="20"/>
                <w:vertAlign w:val="subscript"/>
                <w:lang w:val="en-US"/>
              </w:rPr>
              <w:t xml:space="preserve">target </w:t>
            </w:r>
            <w:r>
              <w:rPr>
                <w:rFonts w:ascii="Cambria Math" w:hAnsi="Cambria Math"/>
                <w:i/>
                <w:noProof/>
                <w:sz w:val="20"/>
                <w:szCs w:val="20"/>
                <w:lang w:val="en-US"/>
              </w:rPr>
              <w:t>— GHGIE</w:t>
            </w:r>
            <w:r>
              <w:rPr>
                <w:rFonts w:ascii="Cambria Math" w:hAnsi="Cambria Math"/>
                <w:i/>
                <w:noProof/>
                <w:sz w:val="20"/>
                <w:szCs w:val="20"/>
                <w:vertAlign w:val="subscript"/>
                <w:lang w:val="en-US"/>
              </w:rPr>
              <w:t>actual</w:t>
            </w:r>
            <w:r>
              <w:rPr>
                <w:rFonts w:ascii="Cambria Math" w:hAnsi="Cambria Math"/>
                <w:i/>
                <w:noProof/>
                <w:sz w:val="20"/>
                <w:szCs w:val="20"/>
                <w:lang w:val="en-US"/>
              </w:rPr>
              <w:t>) x [</w:t>
            </w:r>
            <m:oMath>
              <m:nary>
                <m:naryPr>
                  <m:chr m:val="∑"/>
                  <m:limLoc m:val="undOvr"/>
                  <m:ctrlPr>
                    <w:rPr>
                      <w:rFonts w:ascii="Cambria Math" w:hAnsi="Cambria Math"/>
                      <w:i/>
                      <w:noProof/>
                      <w:sz w:val="20"/>
                      <w:szCs w:val="20"/>
                    </w:rPr>
                  </m:ctrlPr>
                </m:naryPr>
                <m:sub>
                  <m:r>
                    <w:rPr>
                      <w:rFonts w:ascii="Cambria Math" w:hAnsi="Cambria Math"/>
                      <w:noProof/>
                      <w:sz w:val="20"/>
                      <w:szCs w:val="20"/>
                    </w:rPr>
                    <m:t>i</m:t>
                  </m:r>
                </m:sub>
                <m:sup>
                  <m:r>
                    <m:rPr>
                      <m:sty m:val="bi"/>
                    </m:rPr>
                    <w:rPr>
                      <w:rFonts w:ascii="Cambria Math" w:hAnsi="Cambria Math"/>
                      <w:noProof/>
                      <w:sz w:val="20"/>
                      <w:szCs w:val="20"/>
                    </w:rPr>
                    <m:t>n</m:t>
                  </m:r>
                  <m:r>
                    <w:rPr>
                      <w:rFonts w:ascii="Cambria Math" w:hAnsi="Cambria Math"/>
                      <w:noProof/>
                      <w:sz w:val="20"/>
                      <w:szCs w:val="20"/>
                    </w:rPr>
                    <m:t>fuel</m:t>
                  </m:r>
                </m:sup>
                <m:e>
                  <m:sSub>
                    <m:sSubPr>
                      <m:ctrlPr>
                        <w:rPr>
                          <w:rFonts w:ascii="Cambria Math" w:hAnsi="Cambria Math"/>
                          <w:i/>
                          <w:noProof/>
                          <w:sz w:val="20"/>
                          <w:szCs w:val="20"/>
                        </w:rPr>
                      </m:ctrlPr>
                    </m:sSubPr>
                    <m:e>
                      <m:r>
                        <w:rPr>
                          <w:rFonts w:ascii="Cambria Math" w:hAnsi="Cambria Math"/>
                          <w:noProof/>
                          <w:sz w:val="20"/>
                          <w:szCs w:val="20"/>
                        </w:rPr>
                        <m:t>M</m:t>
                      </m:r>
                    </m:e>
                    <m:sub>
                      <m:r>
                        <w:rPr>
                          <w:rFonts w:ascii="Cambria Math" w:hAnsi="Cambria Math"/>
                          <w:noProof/>
                          <w:sz w:val="20"/>
                          <w:szCs w:val="20"/>
                        </w:rPr>
                        <m:t>i</m:t>
                      </m:r>
                    </m:sub>
                  </m:sSub>
                  <m:r>
                    <w:rPr>
                      <w:rFonts w:ascii="Cambria Math" w:hAnsi="Cambria Math"/>
                      <w:noProof/>
                      <w:sz w:val="20"/>
                      <w:szCs w:val="20"/>
                      <w:lang w:val="en-US"/>
                    </w:rPr>
                    <m:t xml:space="preserve"> ×</m:t>
                  </m:r>
                </m:e>
              </m:nary>
              <m:sSub>
                <m:sSubPr>
                  <m:ctrlPr>
                    <w:rPr>
                      <w:rFonts w:ascii="Cambria Math" w:hAnsi="Cambria Math"/>
                      <w:i/>
                      <w:noProof/>
                      <w:sz w:val="20"/>
                      <w:szCs w:val="20"/>
                    </w:rPr>
                  </m:ctrlPr>
                </m:sSubPr>
                <m:e>
                  <m:r>
                    <w:rPr>
                      <w:rFonts w:ascii="Cambria Math" w:hAnsi="Cambria Math"/>
                      <w:noProof/>
                      <w:sz w:val="20"/>
                      <w:szCs w:val="20"/>
                    </w:rPr>
                    <m:t>LCV</m:t>
                  </m:r>
                </m:e>
                <m:sub>
                  <m:r>
                    <w:rPr>
                      <w:rFonts w:ascii="Cambria Math" w:hAnsi="Cambria Math"/>
                      <w:noProof/>
                      <w:sz w:val="20"/>
                      <w:szCs w:val="20"/>
                    </w:rPr>
                    <m:t>i</m:t>
                  </m:r>
                </m:sub>
              </m:sSub>
              <m:r>
                <w:rPr>
                  <w:rFonts w:ascii="Cambria Math" w:hAnsi="Cambria Math"/>
                  <w:noProof/>
                  <w:sz w:val="20"/>
                  <w:szCs w:val="20"/>
                  <w:lang w:val="en-US"/>
                </w:rPr>
                <m:t xml:space="preserve">+ </m:t>
              </m:r>
              <m:nary>
                <m:naryPr>
                  <m:chr m:val="∑"/>
                  <m:ctrlPr>
                    <w:rPr>
                      <w:rFonts w:ascii="Cambria Math" w:eastAsia="Cambria Math" w:hAnsi="Cambria Math" w:cs="Arial"/>
                      <w:noProof/>
                      <w:sz w:val="20"/>
                      <w:szCs w:val="20"/>
                    </w:rPr>
                  </m:ctrlPr>
                </m:naryPr>
                <m:sub>
                  <m:r>
                    <w:rPr>
                      <w:rFonts w:ascii="Cambria Math" w:eastAsia="Cambria Math" w:hAnsi="Cambria Math" w:cs="Arial"/>
                      <w:noProof/>
                      <w:sz w:val="20"/>
                      <w:szCs w:val="20"/>
                    </w:rPr>
                    <m:t>i</m:t>
                  </m:r>
                </m:sub>
                <m:sup>
                  <m:r>
                    <m:rPr>
                      <m:sty m:val="bi"/>
                    </m:rPr>
                    <w:rPr>
                      <w:rFonts w:ascii="Cambria Math" w:eastAsia="Cambria Math" w:hAnsi="Cambria Math" w:cs="Arial"/>
                      <w:noProof/>
                      <w:sz w:val="20"/>
                      <w:szCs w:val="20"/>
                    </w:rPr>
                    <m:t>l</m:t>
                  </m:r>
                </m:sup>
                <m:e>
                  <m:sSub>
                    <m:sSubPr>
                      <m:ctrlPr>
                        <w:rPr>
                          <w:rFonts w:ascii="Cambria Math" w:eastAsia="Cambria Math" w:hAnsi="Cambria Math" w:cs="Arial"/>
                          <w:noProof/>
                          <w:sz w:val="20"/>
                          <w:szCs w:val="20"/>
                        </w:rPr>
                      </m:ctrlPr>
                    </m:sSubPr>
                    <m:e>
                      <m:r>
                        <w:rPr>
                          <w:rFonts w:ascii="Cambria Math" w:eastAsia="Cambria Math" w:hAnsi="Cambria Math" w:cs="Arial"/>
                          <w:noProof/>
                          <w:sz w:val="20"/>
                          <w:szCs w:val="20"/>
                        </w:rPr>
                        <m:t>E</m:t>
                      </m:r>
                    </m:e>
                    <m:sub>
                      <m:r>
                        <w:rPr>
                          <w:rFonts w:ascii="Cambria Math" w:eastAsia="Cambria Math" w:hAnsi="Cambria Math" w:cs="Arial"/>
                          <w:noProof/>
                          <w:sz w:val="20"/>
                          <w:szCs w:val="20"/>
                        </w:rPr>
                        <m:t>i</m:t>
                      </m:r>
                    </m:sub>
                  </m:sSub>
                </m:e>
              </m:nary>
            </m:oMath>
            <w:r>
              <w:rPr>
                <w:rFonts w:ascii="Cambria Math" w:hAnsi="Cambria Math"/>
                <w:i/>
                <w:noProof/>
                <w:sz w:val="20"/>
                <w:szCs w:val="20"/>
                <w:lang w:val="en-US"/>
              </w:rPr>
              <w:t>]</w:t>
            </w:r>
          </w:p>
        </w:tc>
      </w:tr>
    </w:tbl>
    <w:p>
      <w:pPr>
        <w:rPr>
          <w:noProof/>
          <w:lang w:val="en-US"/>
        </w:rPr>
      </w:pPr>
    </w:p>
    <w:p>
      <w:pPr>
        <w:rPr>
          <w:noProof/>
        </w:rPr>
      </w:pPr>
      <w:r>
        <w:rPr>
          <w:noProof/>
        </w:rPr>
        <w:t xml:space="preserve">où: </w:t>
      </w:r>
    </w:p>
    <w:p>
      <w:pPr>
        <w:rPr>
          <w:rFonts w:ascii="Cambria Math" w:eastAsiaTheme="minorEastAsia" w:hAnsi="Cambria Math"/>
          <w:i/>
          <w:noProof/>
          <w:sz w:val="20"/>
          <w:szCs w:val="20"/>
          <w:vertAlign w:val="sub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624"/>
      </w:tblGrid>
      <w:tr>
        <w:trPr>
          <w:jc w:val="center"/>
        </w:trPr>
        <w:tc>
          <w:tcPr>
            <w:tcW w:w="1665" w:type="dxa"/>
          </w:tcPr>
          <w:p>
            <w:pPr>
              <w:jc w:val="center"/>
              <w:rPr>
                <w:noProof/>
                <w:sz w:val="16"/>
                <w:szCs w:val="16"/>
              </w:rPr>
            </w:pPr>
            <m:oMathPara>
              <m:oMath>
                <m:sSub>
                  <m:sSubPr>
                    <m:ctrlPr>
                      <w:rPr>
                        <w:rFonts w:ascii="Cambria Math" w:hAnsi="Cambria Math"/>
                        <w:i/>
                        <w:noProof/>
                        <w:sz w:val="12"/>
                        <w:szCs w:val="12"/>
                      </w:rPr>
                    </m:ctrlPr>
                  </m:sSubPr>
                  <m:e>
                    <m:r>
                      <w:rPr>
                        <w:rFonts w:ascii="Cambria Math" w:hAnsi="Cambria Math"/>
                        <w:noProof/>
                        <w:sz w:val="12"/>
                        <w:szCs w:val="12"/>
                      </w:rPr>
                      <m:t>gCO</m:t>
                    </m:r>
                  </m:e>
                  <m:sub>
                    <m:r>
                      <w:rPr>
                        <w:rFonts w:ascii="Cambria Math" w:hAnsi="Cambria Math"/>
                        <w:noProof/>
                        <w:sz w:val="12"/>
                        <w:szCs w:val="12"/>
                      </w:rPr>
                      <m:t>2eq</m:t>
                    </m:r>
                  </m:sub>
                </m:sSub>
              </m:oMath>
            </m:oMathPara>
          </w:p>
        </w:tc>
        <w:tc>
          <w:tcPr>
            <w:tcW w:w="7624" w:type="dxa"/>
          </w:tcPr>
          <w:p>
            <w:pPr>
              <w:rPr>
                <w:noProof/>
                <w:sz w:val="16"/>
                <w:szCs w:val="16"/>
              </w:rPr>
            </w:pPr>
            <w:r>
              <w:rPr>
                <w:noProof/>
                <w:sz w:val="16"/>
                <w:szCs w:val="16"/>
              </w:rPr>
              <w:t>Grammes d’équivalent CO</w:t>
            </w:r>
            <w:r>
              <w:rPr>
                <w:noProof/>
                <w:sz w:val="16"/>
                <w:szCs w:val="16"/>
                <w:vertAlign w:val="subscript"/>
              </w:rPr>
              <w:t>2</w:t>
            </w:r>
          </w:p>
        </w:tc>
      </w:tr>
      <w:tr>
        <w:trPr>
          <w:jc w:val="center"/>
        </w:trPr>
        <w:tc>
          <w:tcPr>
            <w:tcW w:w="1665" w:type="dxa"/>
            <w:tcBorders>
              <w:top w:val="single" w:sz="4" w:space="0" w:color="auto"/>
              <w:left w:val="single" w:sz="4" w:space="0" w:color="auto"/>
              <w:bottom w:val="single" w:sz="4" w:space="0" w:color="auto"/>
              <w:right w:val="single" w:sz="4" w:space="0" w:color="auto"/>
            </w:tcBorders>
          </w:tcPr>
          <w:p>
            <w:pPr>
              <w:jc w:val="center"/>
              <w:rPr>
                <w:noProof/>
                <w:sz w:val="12"/>
                <w:szCs w:val="12"/>
              </w:rPr>
            </w:pPr>
            <w:r>
              <w:rPr>
                <w:rFonts w:ascii="Cambria Math" w:hAnsi="Cambria Math"/>
                <w:i/>
                <w:noProof/>
                <w:sz w:val="12"/>
                <w:szCs w:val="12"/>
              </w:rPr>
              <w:t>GHGIE</w:t>
            </w:r>
            <w:r>
              <w:rPr>
                <w:rFonts w:ascii="Cambria Math" w:hAnsi="Cambria Math"/>
                <w:i/>
                <w:noProof/>
                <w:sz w:val="12"/>
                <w:szCs w:val="12"/>
                <w:vertAlign w:val="subscript"/>
              </w:rPr>
              <w:t>target</w:t>
            </w:r>
          </w:p>
        </w:tc>
        <w:tc>
          <w:tcPr>
            <w:tcW w:w="7624" w:type="dxa"/>
            <w:tcBorders>
              <w:top w:val="single" w:sz="4" w:space="0" w:color="auto"/>
              <w:left w:val="single" w:sz="4" w:space="0" w:color="auto"/>
              <w:bottom w:val="single" w:sz="4" w:space="0" w:color="auto"/>
              <w:right w:val="single" w:sz="4" w:space="0" w:color="auto"/>
            </w:tcBorders>
          </w:tcPr>
          <w:p>
            <w:pPr>
              <w:rPr>
                <w:noProof/>
                <w:sz w:val="16"/>
                <w:szCs w:val="16"/>
              </w:rPr>
            </w:pPr>
            <w:r>
              <w:rPr>
                <w:noProof/>
                <w:sz w:val="16"/>
                <w:szCs w:val="16"/>
              </w:rPr>
              <w:t xml:space="preserve">Limitation de l’intensité des émissions de gaz à effet de serre de l’énergie utilisée à bord d’un navire conformément à l’article 4, paragraphe 2, du présent règlement  </w:t>
            </w:r>
          </w:p>
        </w:tc>
      </w:tr>
      <w:tr>
        <w:trPr>
          <w:jc w:val="center"/>
        </w:trPr>
        <w:tc>
          <w:tcPr>
            <w:tcW w:w="1665" w:type="dxa"/>
            <w:tcBorders>
              <w:top w:val="single" w:sz="4" w:space="0" w:color="auto"/>
              <w:left w:val="single" w:sz="4" w:space="0" w:color="auto"/>
              <w:bottom w:val="single" w:sz="4" w:space="0" w:color="auto"/>
              <w:right w:val="single" w:sz="4" w:space="0" w:color="auto"/>
            </w:tcBorders>
          </w:tcPr>
          <w:p>
            <w:pPr>
              <w:jc w:val="center"/>
              <w:rPr>
                <w:rFonts w:ascii="Cambria Math" w:eastAsiaTheme="minorEastAsia" w:hAnsi="Cambria Math"/>
                <w:i/>
                <w:noProof/>
                <w:sz w:val="12"/>
                <w:szCs w:val="12"/>
                <w:vertAlign w:val="subscript"/>
              </w:rPr>
            </w:pPr>
            <w:r>
              <w:rPr>
                <w:rFonts w:ascii="Cambria Math" w:hAnsi="Cambria Math"/>
                <w:i/>
                <w:noProof/>
                <w:sz w:val="12"/>
                <w:szCs w:val="12"/>
              </w:rPr>
              <w:t>GHGIE</w:t>
            </w:r>
            <w:r>
              <w:rPr>
                <w:rFonts w:ascii="Cambria Math" w:hAnsi="Cambria Math"/>
                <w:i/>
                <w:noProof/>
                <w:sz w:val="12"/>
                <w:szCs w:val="12"/>
                <w:vertAlign w:val="subscript"/>
              </w:rPr>
              <w:t>actual</w:t>
            </w:r>
          </w:p>
        </w:tc>
        <w:tc>
          <w:tcPr>
            <w:tcW w:w="7624" w:type="dxa"/>
            <w:tcBorders>
              <w:top w:val="single" w:sz="4" w:space="0" w:color="auto"/>
              <w:left w:val="single" w:sz="4" w:space="0" w:color="auto"/>
              <w:bottom w:val="single" w:sz="4" w:space="0" w:color="auto"/>
              <w:right w:val="single" w:sz="4" w:space="0" w:color="auto"/>
            </w:tcBorders>
          </w:tcPr>
          <w:p>
            <w:pPr>
              <w:rPr>
                <w:noProof/>
                <w:sz w:val="16"/>
                <w:szCs w:val="16"/>
              </w:rPr>
            </w:pPr>
            <w:r>
              <w:rPr>
                <w:noProof/>
                <w:sz w:val="16"/>
                <w:szCs w:val="16"/>
              </w:rPr>
              <w:t>Moyenne annuelle de l’intensité des émissions de gaz à effet de serre de l’énergie utilisée à bord d’un navire, calculée pour la période de déclaration concernée</w:t>
            </w:r>
          </w:p>
        </w:tc>
      </w:tr>
    </w:tbl>
    <w:p>
      <w:pPr>
        <w:rPr>
          <w:noProof/>
        </w:rPr>
      </w:pPr>
    </w:p>
    <w:p>
      <w:pPr>
        <w:pStyle w:val="ManualHeading2"/>
        <w:rPr>
          <w:noProof/>
        </w:rPr>
      </w:pPr>
      <w:r>
        <w:rPr>
          <w:noProof/>
        </w:rPr>
        <w:t>Formule pour le calcul de la sanction pécuniaire visée à l’article 20, paragraphe 1</w:t>
      </w:r>
    </w:p>
    <w:p>
      <w:pPr>
        <w:rPr>
          <w:noProof/>
        </w:rPr>
      </w:pPr>
      <w:r>
        <w:rPr>
          <w:noProof/>
        </w:rPr>
        <w:t xml:space="preserve">Le montant de la sanction pécuniaire visée à l’article 20, paragraphe 1, est calculé comme suit: </w:t>
      </w:r>
    </w:p>
    <w:tbl>
      <w:tblPr>
        <w:tblpPr w:leftFromText="180" w:rightFromText="180" w:vertAnchor="text" w:horzAnchor="margin" w:tblpX="-68" w:tblpY="211"/>
        <w:tblW w:w="9322"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84"/>
        <w:gridCol w:w="7938"/>
      </w:tblGrid>
      <w:tr>
        <w:trPr>
          <w:trHeight w:val="416"/>
        </w:trPr>
        <w:tc>
          <w:tcPr>
            <w:tcW w:w="1384" w:type="dxa"/>
            <w:tcBorders>
              <w:left w:val="single" w:sz="4" w:space="0" w:color="auto"/>
            </w:tcBorders>
          </w:tcPr>
          <w:p>
            <w:pPr>
              <w:ind w:right="-111"/>
              <w:jc w:val="left"/>
              <w:rPr>
                <w:noProof/>
                <w:sz w:val="20"/>
                <w:szCs w:val="20"/>
              </w:rPr>
            </w:pPr>
            <w:r>
              <w:rPr>
                <w:noProof/>
                <w:sz w:val="20"/>
                <w:szCs w:val="20"/>
              </w:rPr>
              <w:t>Sanction pécuniaire =</w:t>
            </w:r>
          </w:p>
        </w:tc>
        <w:tc>
          <w:tcPr>
            <w:tcW w:w="7938" w:type="dxa"/>
          </w:tcPr>
          <w:p>
            <w:pPr>
              <w:jc w:val="left"/>
              <w:rPr>
                <w:i/>
                <w:noProof/>
                <w:sz w:val="20"/>
                <w:szCs w:val="20"/>
              </w:rPr>
            </w:pPr>
            <w:r>
              <w:rPr>
                <w:i/>
                <w:noProof/>
                <w:sz w:val="20"/>
                <w:szCs w:val="20"/>
              </w:rPr>
              <w:t xml:space="preserve">(Bilan de conformité / </w:t>
            </w:r>
            <w:r>
              <w:rPr>
                <w:rFonts w:ascii="Cambria Math" w:hAnsi="Cambria Math"/>
                <w:i/>
                <w:noProof/>
                <w:sz w:val="20"/>
                <w:szCs w:val="20"/>
              </w:rPr>
              <w:t>GHGIE</w:t>
            </w:r>
            <w:r>
              <w:rPr>
                <w:rFonts w:ascii="Cambria Math" w:hAnsi="Cambria Math"/>
                <w:i/>
                <w:noProof/>
                <w:sz w:val="20"/>
                <w:szCs w:val="20"/>
                <w:vertAlign w:val="subscript"/>
              </w:rPr>
              <w:t>actual</w:t>
            </w:r>
            <w:r>
              <w:rPr>
                <w:rFonts w:ascii="Cambria Math" w:hAnsi="Cambria Math"/>
                <w:i/>
                <w:noProof/>
                <w:sz w:val="20"/>
                <w:szCs w:val="20"/>
              </w:rPr>
              <w:t>)</w:t>
            </w:r>
            <w:r>
              <w:rPr>
                <w:rFonts w:ascii="Cambria Math" w:hAnsi="Cambria Math"/>
                <w:i/>
                <w:noProof/>
                <w:sz w:val="20"/>
                <w:szCs w:val="20"/>
                <w:vertAlign w:val="subscript"/>
              </w:rPr>
              <w:t xml:space="preserve"> </w:t>
            </w:r>
            <w:r>
              <w:rPr>
                <w:i/>
                <w:noProof/>
                <w:sz w:val="20"/>
                <w:szCs w:val="20"/>
              </w:rPr>
              <w:t xml:space="preserve"> x facteur de conversion des MJ en tonnes de VLSFO (41,0 MJ / kg) x 2 400 EUR </w:t>
            </w:r>
          </w:p>
        </w:tc>
      </w:tr>
    </w:tbl>
    <w:p>
      <w:pPr>
        <w:pStyle w:val="Normal1"/>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Il est fait référence au terme e</w:t>
      </w:r>
      <w:r>
        <w:rPr>
          <w:vertAlign w:val="subscript"/>
          <w:lang w:val="fr-BE"/>
        </w:rPr>
        <w:t>u</w:t>
      </w:r>
      <w:r>
        <w:rPr>
          <w:lang w:val="fr-BE"/>
        </w:rPr>
        <w:t xml:space="preserve"> «émissions résultant du carburant à l’usage» figurant à l’annexe V, partie C, point 1. a), de la directive (UE) 2018/2001.</w:t>
      </w:r>
    </w:p>
  </w:footnote>
  <w:footnote w:id="2">
    <w:p>
      <w:pPr>
        <w:pStyle w:val="FootnoteText"/>
        <w:rPr>
          <w:lang w:val="fr-BE"/>
        </w:rPr>
      </w:pPr>
      <w:r>
        <w:rPr>
          <w:rStyle w:val="FootnoteReference"/>
        </w:rPr>
        <w:footnoteRef/>
      </w:r>
      <w:r>
        <w:rPr>
          <w:lang w:val="fr-BE"/>
        </w:rPr>
        <w:tab/>
        <w:t>Cette valeur n’est pas requise pour les carburants fossiles visés à l’annexe II. Pour tous les autres carburants, y compris les mélanges de carburants fossiles, cette valeur devrait être mise à disposition en même temps qu’un certificat distinct identifiant la filière de production du carburant.</w:t>
      </w:r>
    </w:p>
  </w:footnote>
  <w:footnote w:id="3">
    <w:p>
      <w:pPr>
        <w:pStyle w:val="FootnoteText"/>
        <w:rPr>
          <w:lang w:val="fr-BE"/>
        </w:rPr>
      </w:pPr>
      <w:r>
        <w:rPr>
          <w:rStyle w:val="FootnoteReference"/>
        </w:rPr>
        <w:footnoteRef/>
      </w:r>
      <w:r>
        <w:rPr>
          <w:lang w:val="fr-BE"/>
        </w:rPr>
        <w:tab/>
        <w:t>Il est fait référence au terme e</w:t>
      </w:r>
      <w:r>
        <w:rPr>
          <w:vertAlign w:val="subscript"/>
          <w:lang w:val="fr-BE"/>
        </w:rPr>
        <w:t>u</w:t>
      </w:r>
      <w:r>
        <w:rPr>
          <w:lang w:val="fr-BE"/>
        </w:rPr>
        <w:t xml:space="preserve"> «émissions résultant du carburant à l’usage» figurant à l’annexe V, partie C, point 1. a), de la directive (UE) 2018/2001.</w:t>
      </w:r>
    </w:p>
  </w:footnote>
  <w:footnote w:id="4">
    <w:p>
      <w:pPr>
        <w:pStyle w:val="FootnoteText"/>
        <w:rPr>
          <w:lang w:val="fr-BE"/>
        </w:rPr>
      </w:pPr>
      <w:r>
        <w:rPr>
          <w:rStyle w:val="FootnoteReference"/>
        </w:rPr>
        <w:footnoteRef/>
      </w:r>
      <w:r>
        <w:rPr>
          <w:lang w:val="fr-BE"/>
        </w:rPr>
        <w:tab/>
        <w:t>Il est fait référence au terme e</w:t>
      </w:r>
      <w:r>
        <w:rPr>
          <w:vertAlign w:val="subscript"/>
          <w:lang w:val="fr-BE"/>
        </w:rPr>
        <w:t>u</w:t>
      </w:r>
      <w:r>
        <w:rPr>
          <w:lang w:val="fr-BE"/>
        </w:rPr>
        <w:t xml:space="preserve"> «émissions résultant du carburant à l’usage» figurant à l’annexe V, partie C, point 1. a), de la directive (UE) 2018/2001.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9"/>
    <w:lvlOverride w:ilvl="0">
      <w:startOverride w:val="1"/>
    </w:lvlOverride>
  </w:num>
  <w:num w:numId="12">
    <w:abstractNumId w:val="19"/>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fr-FR" w:vendorID="64" w:dllVersion="131078" w:nlCheck="1" w:checkStyle="0"/>
  <w:attachedTemplate r:id="rId1"/>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12:25:4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2"/>
    <w:docVar w:name="DQCStatus" w:val="Green"/>
    <w:docVar w:name="DQCVersion" w:val="3"/>
    <w:docVar w:name="DQCWithWarnings" w:val="0"/>
    <w:docVar w:name="LW_ACCOMPAGNANT" w:val="de la"/>
    <w:docVar w:name="LW_ACCOMPAGNANT.CP" w:val="de la"/>
    <w:docVar w:name="LW_ANNEX_NBR_FIRST" w:val="1"/>
    <w:docVar w:name="LW_ANNEX_NBR_LAST" w:val="5"/>
    <w:docVar w:name="LW_ANNEX_UNIQUE" w:val="0"/>
    <w:docVar w:name="LW_CORRIGENDUM" w:val="&lt;UNUSED&gt;"/>
    <w:docVar w:name="LW_COVERPAGE_EXISTS" w:val="True"/>
    <w:docVar w:name="LW_COVERPAGE_GUID" w:val="63B1E577-63B4-4620-A3EA-D3BF3AE56BD9"/>
    <w:docVar w:name="LW_COVERPAGE_TYPE" w:val="1"/>
    <w:docVar w:name="LW_CROSSREFERENCE" w:val="{SEC(2021) 562 final} - {SWD(2021) 635 final} - {SWD(2021) 636 final}"/>
    <w:docVar w:name="LW_DocType" w:val="ANNEX"/>
    <w:docVar w:name="LW_EMISSION" w:val="14.7.2021"/>
    <w:docVar w:name="LW_EMISSION_ISODATE" w:val="2021-07-14"/>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f à l\u8217?utilisation de carburants renouvelables et bas carbone dans le transport maritime et modifiant la directive 2009/16/CE"/>
    <w:docVar w:name="LW_OBJETACTEPRINCIPAL.CP" w:val="relatif à l\u8217?utilisation de carburants renouvelables et bas carbone dans le transport maritime et modifiant la directive 2009/16/CE"/>
    <w:docVar w:name="LW_PART_NBR" w:val="&lt;UNUSED&gt;"/>
    <w:docVar w:name="LW_PART_NBR_TOTAL" w:val="&lt;UNUSED&gt;"/>
    <w:docVar w:name="LW_REF.INST.NEW" w:val="COM"/>
    <w:docVar w:name="LW_REF.INST.NEW_ADOPTED" w:val="final"/>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ition de règlement du Parlement européen et du Conseil"/>
    <w:docVar w:name="LW_TYPEACTEPRINCIPAL.CP" w:val="proposition de règlement du Parlement européen et du Conse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fr-FR"/>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fr-FR" w:eastAsia="nl-NL"/>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paragraph" w:customStyle="1" w:styleId="ti-grseq-1">
    <w:name w:val="ti-grseq-1"/>
    <w:basedOn w:val="Normal"/>
    <w:pPr>
      <w:spacing w:before="100" w:beforeAutospacing="1" w:after="100" w:afterAutospacing="1"/>
      <w:jc w:val="left"/>
    </w:pPr>
    <w:rPr>
      <w:rFonts w:eastAsia="Times New Roman"/>
      <w:szCs w:val="24"/>
      <w:lang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fr-FR"/>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fr-FR" w:eastAsia="nl-NL"/>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paragraph" w:customStyle="1" w:styleId="ti-grseq-1">
    <w:name w:val="ti-grseq-1"/>
    <w:basedOn w:val="Normal"/>
    <w:pPr>
      <w:spacing w:before="100" w:beforeAutospacing="1" w:after="100" w:afterAutospacing="1"/>
      <w:jc w:val="left"/>
    </w:pPr>
    <w:rPr>
      <w:rFonts w:eastAsia="Times New Roman"/>
      <w:szCs w:val="24"/>
      <w:lang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0578-28AB-422A-A7AA-C85E1A8F3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046F4-535A-47C0-BCAD-555C6AFC8711}">
  <ds:schemaRefs>
    <ds:schemaRef ds:uri="http://schemas.microsoft.com/sharepoint/v3/contenttype/forms"/>
  </ds:schemaRefs>
</ds:datastoreItem>
</file>

<file path=customXml/itemProps3.xml><?xml version="1.0" encoding="utf-8"?>
<ds:datastoreItem xmlns:ds="http://schemas.openxmlformats.org/officeDocument/2006/customXml" ds:itemID="{CE4B2198-F613-4141-A24B-6F428C92623F}">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1100975-c74c-4c28-84ea-c41c4bf42af9"/>
    <ds:schemaRef ds:uri="http://www.w3.org/XML/1998/namespace"/>
  </ds:schemaRefs>
</ds:datastoreItem>
</file>

<file path=customXml/itemProps4.xml><?xml version="1.0" encoding="utf-8"?>
<ds:datastoreItem xmlns:ds="http://schemas.openxmlformats.org/officeDocument/2006/customXml" ds:itemID="{B1C69B4E-0EF6-410A-8778-7CE2BDE0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14</Pages>
  <Words>3297</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BORUTA Malgorzata (MOVE)</dc:creator>
  <cp:keywords/>
  <dc:description/>
  <cp:lastModifiedBy>WES PDFC Administrator</cp:lastModifiedBy>
  <cp:revision>22</cp:revision>
  <dcterms:created xsi:type="dcterms:W3CDTF">2021-09-09T13:04:00Z</dcterms:created>
  <dcterms:modified xsi:type="dcterms:W3CDTF">2021-09-10T10:25:00Z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0x010100258AA79CEB83498886A3A08681123250003346AA54EC616E4CAC88625F9BDA7F73</vt:lpwstr>
  </property>
  <property fmtid="{D5CDD505-2E9C-101B-9397-08002B2CF9AE}" pid="14" name="DQCStatus">
    <vt:lpwstr>Green (DQC version 03)</vt:lpwstr>
  </property>
</Properties>
</file>