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4D228768-7143-4C2D-8C13-3D6358D5EF5A" style="width:455.25pt;height:471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CRSeparator"/>
        <w:rPr>
          <w:noProof/>
        </w:rPr>
      </w:pPr>
      <w:bookmarkStart w:id="0" w:name="_GoBack"/>
      <w:bookmarkEnd w:id="0"/>
    </w:p>
    <w:p>
      <w:pPr>
        <w:pStyle w:val="CRReference"/>
        <w:rPr>
          <w:noProof/>
        </w:rPr>
      </w:pPr>
      <w:r>
        <w:rPr>
          <w:noProof/>
        </w:rPr>
        <w:fldChar w:fldCharType="begin" w:fldLock="1"/>
      </w:r>
      <w:r>
        <w:rPr>
          <w:noProof/>
        </w:rPr>
        <w:instrText xml:space="preserve"> QUOTE "ê" </w:instrText>
      </w:r>
      <w:r>
        <w:rPr>
          <w:noProof/>
        </w:rPr>
        <w:fldChar w:fldCharType="separate"/>
      </w:r>
      <w:r>
        <w:rPr>
          <w:rStyle w:val="CRMarker"/>
          <w:noProof/>
        </w:rPr>
        <w:t>ê</w:t>
      </w:r>
      <w:r>
        <w:rPr>
          <w:noProof/>
        </w:rPr>
        <w:fldChar w:fldCharType="end"/>
      </w:r>
      <w:r>
        <w:rPr>
          <w:noProof/>
        </w:rPr>
        <w:t> 2003/96/EK</w:t>
      </w:r>
    </w:p>
    <w:p>
      <w:pPr>
        <w:pStyle w:val="Annexetitreacte"/>
        <w:rPr>
          <w:rStyle w:val="CRRefonteDeleted"/>
          <w:noProof/>
          <w:highlight w:val="lightGray"/>
        </w:rPr>
      </w:pPr>
      <w:r>
        <w:rPr>
          <w:rStyle w:val="CRRefonteDeleted"/>
          <w:noProof/>
          <w:highlight w:val="lightGray"/>
        </w:rPr>
        <w:t>I. MELLÉKLET</w:t>
      </w:r>
    </w:p>
    <w:tbl>
      <w:tblPr>
        <w:tblW w:w="0" w:type="auto"/>
        <w:tblLayout w:type="fixed"/>
        <w:tblLook w:val="0000" w:firstRow="0" w:lastRow="0" w:firstColumn="0" w:lastColumn="0" w:noHBand="0" w:noVBand="0"/>
      </w:tblPr>
      <w:tblGrid>
        <w:gridCol w:w="6036"/>
        <w:gridCol w:w="1579"/>
        <w:gridCol w:w="1671"/>
      </w:tblGrid>
      <w:tr>
        <w:tc>
          <w:tcPr>
            <w:tcW w:w="9286" w:type="dxa"/>
            <w:gridSpan w:val="3"/>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A. táblázat</w:t>
            </w:r>
            <w:r>
              <w:rPr>
                <w:noProof/>
              </w:rPr>
              <w:tab/>
            </w:r>
            <w:r>
              <w:rPr>
                <w:rStyle w:val="CRRefonteDeleted"/>
                <w:noProof/>
                <w:highlight w:val="lightGray"/>
              </w:rPr>
              <w:t>Az üzemanyagokra alkalmazandó minimum adómértékek</w:t>
            </w:r>
          </w:p>
        </w:tc>
      </w:tr>
      <w:tr>
        <w:tc>
          <w:tcPr>
            <w:tcW w:w="603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rStyle w:val="CRRefonteDeleted"/>
                <w:noProof/>
                <w:highlight w:val="lightGray"/>
              </w:rPr>
            </w:pPr>
          </w:p>
        </w:tc>
        <w:tc>
          <w:tcPr>
            <w:tcW w:w="1579"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2004. január 1.</w:t>
            </w:r>
          </w:p>
        </w:tc>
        <w:tc>
          <w:tcPr>
            <w:tcW w:w="1671"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2010. január 1.</w:t>
            </w:r>
          </w:p>
        </w:tc>
      </w:tr>
      <w:tr>
        <w:tc>
          <w:tcPr>
            <w:tcW w:w="60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Ólmozott benzin</w:t>
            </w:r>
          </w:p>
          <w:p>
            <w:pPr>
              <w:pStyle w:val="NormalLeft"/>
              <w:rPr>
                <w:rStyle w:val="CRRefonteDeleted"/>
                <w:noProof/>
                <w:highlight w:val="lightGray"/>
              </w:rPr>
            </w:pPr>
            <w:r>
              <w:rPr>
                <w:rStyle w:val="CRRefonteDeleted"/>
                <w:noProof/>
                <w:highlight w:val="lightGray"/>
              </w:rPr>
              <w:t>(EUR/1 000 liter)</w:t>
            </w:r>
          </w:p>
          <w:p>
            <w:pPr>
              <w:pStyle w:val="NormalLeft"/>
              <w:rPr>
                <w:rStyle w:val="CRRefonteDeleted"/>
                <w:noProof/>
                <w:highlight w:val="lightGray"/>
              </w:rPr>
            </w:pPr>
            <w:r>
              <w:rPr>
                <w:rStyle w:val="CRRefonteDeleted"/>
                <w:noProof/>
                <w:highlight w:val="lightGray"/>
              </w:rPr>
              <w:t xml:space="preserve">27101231, 27101251 és 27101259 KN-kód </w:t>
            </w:r>
          </w:p>
        </w:tc>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421</w:t>
            </w:r>
          </w:p>
        </w:tc>
        <w:tc>
          <w:tcPr>
            <w:tcW w:w="167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421</w:t>
            </w:r>
          </w:p>
        </w:tc>
      </w:tr>
      <w:tr>
        <w:tc>
          <w:tcPr>
            <w:tcW w:w="60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Ólmozatlan benzin</w:t>
            </w:r>
          </w:p>
          <w:p>
            <w:pPr>
              <w:pStyle w:val="NormalLeft"/>
              <w:rPr>
                <w:rStyle w:val="CRRefonteDeleted"/>
                <w:noProof/>
                <w:highlight w:val="lightGray"/>
              </w:rPr>
            </w:pPr>
            <w:r>
              <w:rPr>
                <w:rStyle w:val="CRRefonteDeleted"/>
                <w:noProof/>
                <w:highlight w:val="lightGray"/>
              </w:rPr>
              <w:t>(EUR/1 000 liter)</w:t>
            </w:r>
          </w:p>
          <w:p>
            <w:pPr>
              <w:pStyle w:val="NormalLeft"/>
              <w:rPr>
                <w:rStyle w:val="CRRefonteDeleted"/>
                <w:noProof/>
                <w:highlight w:val="lightGray"/>
              </w:rPr>
            </w:pPr>
            <w:r>
              <w:rPr>
                <w:rStyle w:val="CRRefonteDeleted"/>
                <w:noProof/>
                <w:highlight w:val="lightGray"/>
              </w:rPr>
              <w:t xml:space="preserve">27101231, 27101241, 27101245 és 27101249 KN-kód </w:t>
            </w:r>
          </w:p>
        </w:tc>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359</w:t>
            </w:r>
          </w:p>
        </w:tc>
        <w:tc>
          <w:tcPr>
            <w:tcW w:w="167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359</w:t>
            </w:r>
          </w:p>
        </w:tc>
      </w:tr>
      <w:tr>
        <w:tc>
          <w:tcPr>
            <w:tcW w:w="60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Gázolaj</w:t>
            </w:r>
          </w:p>
          <w:p>
            <w:pPr>
              <w:pStyle w:val="NormalLeft"/>
              <w:rPr>
                <w:rStyle w:val="CRRefonteDeleted"/>
                <w:noProof/>
                <w:highlight w:val="lightGray"/>
              </w:rPr>
            </w:pPr>
            <w:r>
              <w:rPr>
                <w:rStyle w:val="CRRefonteDeleted"/>
                <w:noProof/>
                <w:highlight w:val="lightGray"/>
              </w:rPr>
              <w:t>(EUR/1 000 liter)</w:t>
            </w:r>
          </w:p>
          <w:p>
            <w:pPr>
              <w:pStyle w:val="NormalLeft"/>
              <w:rPr>
                <w:rStyle w:val="CRRefonteDeleted"/>
                <w:noProof/>
                <w:highlight w:val="lightGray"/>
              </w:rPr>
            </w:pPr>
            <w:r>
              <w:rPr>
                <w:rStyle w:val="CRRefonteDeleted"/>
                <w:noProof/>
                <w:highlight w:val="lightGray"/>
              </w:rPr>
              <w:t xml:space="preserve">27101943–27101948 és 27102011–27102019 KN-kód </w:t>
            </w:r>
          </w:p>
        </w:tc>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302</w:t>
            </w:r>
          </w:p>
        </w:tc>
        <w:tc>
          <w:tcPr>
            <w:tcW w:w="167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330</w:t>
            </w:r>
          </w:p>
        </w:tc>
      </w:tr>
      <w:tr>
        <w:tc>
          <w:tcPr>
            <w:tcW w:w="60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Kerozin</w:t>
            </w:r>
          </w:p>
          <w:p>
            <w:pPr>
              <w:pStyle w:val="NormalLeft"/>
              <w:rPr>
                <w:rStyle w:val="CRRefonteDeleted"/>
                <w:noProof/>
                <w:highlight w:val="lightGray"/>
              </w:rPr>
            </w:pPr>
            <w:r>
              <w:rPr>
                <w:rStyle w:val="CRRefonteDeleted"/>
                <w:noProof/>
                <w:highlight w:val="lightGray"/>
              </w:rPr>
              <w:t>(EUR/1 000 liter)</w:t>
            </w:r>
          </w:p>
          <w:p>
            <w:pPr>
              <w:pStyle w:val="NormalLeft"/>
              <w:rPr>
                <w:rStyle w:val="CRRefonteDeleted"/>
                <w:noProof/>
                <w:highlight w:val="lightGray"/>
              </w:rPr>
            </w:pPr>
            <w:r>
              <w:rPr>
                <w:rStyle w:val="CRRefonteDeleted"/>
                <w:noProof/>
                <w:highlight w:val="lightGray"/>
              </w:rPr>
              <w:t>27101921 és 27101925 KN-kód</w:t>
            </w:r>
          </w:p>
        </w:tc>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302</w:t>
            </w:r>
          </w:p>
        </w:tc>
        <w:tc>
          <w:tcPr>
            <w:tcW w:w="167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330</w:t>
            </w:r>
          </w:p>
        </w:tc>
      </w:tr>
      <w:tr>
        <w:tc>
          <w:tcPr>
            <w:tcW w:w="60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Cseppfolyósított szénhidrogén (LPG)</w:t>
            </w:r>
          </w:p>
          <w:p>
            <w:pPr>
              <w:pStyle w:val="NormalLeft"/>
              <w:rPr>
                <w:rStyle w:val="CRRefonteDeleted"/>
                <w:noProof/>
                <w:highlight w:val="lightGray"/>
              </w:rPr>
            </w:pPr>
            <w:r>
              <w:rPr>
                <w:rStyle w:val="CRRefonteDeleted"/>
                <w:noProof/>
                <w:highlight w:val="lightGray"/>
              </w:rPr>
              <w:t>(EUR/ 1 000 kg)</w:t>
            </w:r>
          </w:p>
          <w:p>
            <w:pPr>
              <w:pStyle w:val="NormalLeft"/>
              <w:rPr>
                <w:rStyle w:val="CRRefonteDeleted"/>
                <w:noProof/>
                <w:highlight w:val="lightGray"/>
              </w:rPr>
            </w:pPr>
            <w:r>
              <w:rPr>
                <w:rStyle w:val="CRRefonteDeleted"/>
                <w:noProof/>
                <w:highlight w:val="lightGray"/>
              </w:rPr>
              <w:t>27111211– 27111900 KN-kód</w:t>
            </w:r>
          </w:p>
        </w:tc>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125</w:t>
            </w:r>
          </w:p>
        </w:tc>
        <w:tc>
          <w:tcPr>
            <w:tcW w:w="167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125</w:t>
            </w:r>
          </w:p>
        </w:tc>
      </w:tr>
      <w:tr>
        <w:tc>
          <w:tcPr>
            <w:tcW w:w="60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Földgáz</w:t>
            </w:r>
          </w:p>
          <w:p>
            <w:pPr>
              <w:pStyle w:val="NormalLeft"/>
              <w:rPr>
                <w:rStyle w:val="CRRefonteDeleted"/>
                <w:noProof/>
                <w:highlight w:val="lightGray"/>
              </w:rPr>
            </w:pPr>
            <w:r>
              <w:rPr>
                <w:rStyle w:val="CRRefonteDeleted"/>
                <w:noProof/>
                <w:highlight w:val="lightGray"/>
              </w:rPr>
              <w:t>(EUR/bruttó fűtőérték, gigajoule)</w:t>
            </w:r>
          </w:p>
          <w:p>
            <w:pPr>
              <w:pStyle w:val="NormalLeft"/>
              <w:rPr>
                <w:rStyle w:val="CRRefonteDeleted"/>
                <w:noProof/>
                <w:highlight w:val="lightGray"/>
              </w:rPr>
            </w:pPr>
            <w:r>
              <w:rPr>
                <w:rStyle w:val="CRRefonteDeleted"/>
                <w:noProof/>
                <w:highlight w:val="lightGray"/>
              </w:rPr>
              <w:t>27111100 és 27112100 KN-kód</w:t>
            </w:r>
          </w:p>
        </w:tc>
        <w:tc>
          <w:tcPr>
            <w:tcW w:w="1579"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2,6</w:t>
            </w:r>
          </w:p>
        </w:tc>
        <w:tc>
          <w:tcPr>
            <w:tcW w:w="1671"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2,6</w:t>
            </w:r>
          </w:p>
        </w:tc>
      </w:tr>
    </w:tbl>
    <w:p>
      <w:pPr>
        <w:rPr>
          <w:noProof/>
        </w:rPr>
      </w:pPr>
    </w:p>
    <w:tbl>
      <w:tblPr>
        <w:tblW w:w="0" w:type="auto"/>
        <w:tblLayout w:type="fixed"/>
        <w:tblLook w:val="0000" w:firstRow="0" w:lastRow="0" w:firstColumn="0" w:lastColumn="0" w:noHBand="0" w:noVBand="0"/>
      </w:tblPr>
      <w:tblGrid>
        <w:gridCol w:w="5757"/>
        <w:gridCol w:w="3529"/>
      </w:tblGrid>
      <w:tr>
        <w:tc>
          <w:tcPr>
            <w:tcW w:w="9286" w:type="dxa"/>
            <w:gridSpan w:val="2"/>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B. táblázat</w:t>
            </w:r>
            <w:r>
              <w:rPr>
                <w:noProof/>
              </w:rPr>
              <w:tab/>
            </w:r>
            <w:r>
              <w:rPr>
                <w:rStyle w:val="CRRefonteDeleted"/>
                <w:noProof/>
                <w:highlight w:val="lightGray"/>
              </w:rPr>
              <w:t>A 8. cikk (2) bekezdésében meghatározott célokra használt üzemanyagokra alkalmazandó minimum adómértékek</w:t>
            </w:r>
          </w:p>
        </w:tc>
      </w:tr>
      <w:tr>
        <w:tc>
          <w:tcPr>
            <w:tcW w:w="5757"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Gázolaj</w:t>
            </w:r>
          </w:p>
          <w:p>
            <w:pPr>
              <w:pStyle w:val="NormalCentered"/>
              <w:rPr>
                <w:rStyle w:val="CRRefonteDeleted"/>
                <w:noProof/>
                <w:highlight w:val="lightGray"/>
              </w:rPr>
            </w:pPr>
            <w:r>
              <w:rPr>
                <w:rStyle w:val="CRRefonteDeleted"/>
                <w:noProof/>
                <w:highlight w:val="lightGray"/>
              </w:rPr>
              <w:t>(EUR/1 000 liter)</w:t>
            </w:r>
          </w:p>
          <w:p>
            <w:pPr>
              <w:pStyle w:val="NormalCentered"/>
              <w:rPr>
                <w:rStyle w:val="CRRefonteDeleted"/>
                <w:noProof/>
                <w:highlight w:val="lightGray"/>
              </w:rPr>
            </w:pPr>
            <w:r>
              <w:rPr>
                <w:rStyle w:val="CRRefonteDeleted"/>
                <w:noProof/>
                <w:highlight w:val="lightGray"/>
              </w:rPr>
              <w:t xml:space="preserve">27101943–27101948 és 27102011–27102019 KN-kód </w:t>
            </w:r>
          </w:p>
        </w:tc>
        <w:tc>
          <w:tcPr>
            <w:tcW w:w="3529"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21</w:t>
            </w:r>
          </w:p>
        </w:tc>
      </w:tr>
      <w:tr>
        <w:tc>
          <w:tcPr>
            <w:tcW w:w="5757"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Kerozin</w:t>
            </w:r>
          </w:p>
          <w:p>
            <w:pPr>
              <w:pStyle w:val="NormalCentered"/>
              <w:rPr>
                <w:rStyle w:val="CRRefonteDeleted"/>
                <w:noProof/>
                <w:highlight w:val="lightGray"/>
              </w:rPr>
            </w:pPr>
            <w:r>
              <w:rPr>
                <w:rStyle w:val="CRRefonteDeleted"/>
                <w:noProof/>
                <w:highlight w:val="lightGray"/>
              </w:rPr>
              <w:t>(EUR/1 000 liter)</w:t>
            </w:r>
          </w:p>
          <w:p>
            <w:pPr>
              <w:pStyle w:val="NormalCentered"/>
              <w:rPr>
                <w:rStyle w:val="CRRefonteDeleted"/>
                <w:noProof/>
                <w:highlight w:val="lightGray"/>
              </w:rPr>
            </w:pPr>
            <w:r>
              <w:rPr>
                <w:rStyle w:val="CRRefonteDeleted"/>
                <w:noProof/>
                <w:highlight w:val="lightGray"/>
              </w:rPr>
              <w:lastRenderedPageBreak/>
              <w:t>27101921 és 27101925 KN-kód</w:t>
            </w:r>
          </w:p>
        </w:tc>
        <w:tc>
          <w:tcPr>
            <w:tcW w:w="3529"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lastRenderedPageBreak/>
              <w:t>21</w:t>
            </w:r>
          </w:p>
        </w:tc>
      </w:tr>
      <w:tr>
        <w:tc>
          <w:tcPr>
            <w:tcW w:w="5757"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lastRenderedPageBreak/>
              <w:t>Cseppfolyósított szénhidrogén (LPG)</w:t>
            </w:r>
          </w:p>
          <w:p>
            <w:pPr>
              <w:pStyle w:val="NormalCentered"/>
              <w:rPr>
                <w:rStyle w:val="CRRefonteDeleted"/>
                <w:noProof/>
                <w:highlight w:val="lightGray"/>
              </w:rPr>
            </w:pPr>
            <w:r>
              <w:rPr>
                <w:rStyle w:val="CRRefonteDeleted"/>
                <w:noProof/>
                <w:highlight w:val="lightGray"/>
              </w:rPr>
              <w:t>(EUR/ 1 000 kg)</w:t>
            </w:r>
          </w:p>
          <w:p>
            <w:pPr>
              <w:pStyle w:val="NormalCentered"/>
              <w:rPr>
                <w:rStyle w:val="CRRefonteDeleted"/>
                <w:noProof/>
                <w:highlight w:val="lightGray"/>
              </w:rPr>
            </w:pPr>
            <w:r>
              <w:rPr>
                <w:rStyle w:val="CRRefonteDeleted"/>
                <w:noProof/>
                <w:highlight w:val="lightGray"/>
              </w:rPr>
              <w:t>27111211– 27111900 KN-kód</w:t>
            </w:r>
          </w:p>
        </w:tc>
        <w:tc>
          <w:tcPr>
            <w:tcW w:w="3529"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41</w:t>
            </w:r>
          </w:p>
        </w:tc>
      </w:tr>
      <w:tr>
        <w:tc>
          <w:tcPr>
            <w:tcW w:w="5757"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Földgáz</w:t>
            </w:r>
          </w:p>
          <w:p>
            <w:pPr>
              <w:pStyle w:val="NormalCentered"/>
              <w:rPr>
                <w:rStyle w:val="CRRefonteDeleted"/>
                <w:noProof/>
                <w:highlight w:val="lightGray"/>
              </w:rPr>
            </w:pPr>
            <w:r>
              <w:rPr>
                <w:rStyle w:val="CRRefonteDeleted"/>
                <w:noProof/>
                <w:highlight w:val="lightGray"/>
              </w:rPr>
              <w:t>(EUR/bruttó fűtőérték, gigajoule)</w:t>
            </w:r>
          </w:p>
          <w:p>
            <w:pPr>
              <w:pStyle w:val="NormalCentered"/>
              <w:rPr>
                <w:rStyle w:val="CRRefonteDeleted"/>
                <w:noProof/>
                <w:highlight w:val="lightGray"/>
              </w:rPr>
            </w:pPr>
            <w:r>
              <w:rPr>
                <w:rStyle w:val="CRRefonteDeleted"/>
                <w:noProof/>
                <w:highlight w:val="lightGray"/>
              </w:rPr>
              <w:t>27111100 és 27112100 KN-kód</w:t>
            </w:r>
          </w:p>
        </w:tc>
        <w:tc>
          <w:tcPr>
            <w:tcW w:w="3529" w:type="dxa"/>
            <w:tcBorders>
              <w:top w:val="single" w:sz="2" w:space="0" w:color="auto"/>
              <w:left w:val="single" w:sz="2" w:space="0" w:color="auto"/>
              <w:bottom w:val="single" w:sz="2" w:space="0" w:color="auto"/>
              <w:right w:val="single" w:sz="2" w:space="0" w:color="auto"/>
            </w:tcBorders>
          </w:tcPr>
          <w:p>
            <w:pPr>
              <w:pStyle w:val="NormalCentered"/>
              <w:rPr>
                <w:rStyle w:val="CRRefonteDeleted"/>
                <w:noProof/>
                <w:highlight w:val="lightGray"/>
              </w:rPr>
            </w:pPr>
            <w:r>
              <w:rPr>
                <w:rStyle w:val="CRRefonteDeleted"/>
                <w:noProof/>
                <w:highlight w:val="lightGray"/>
              </w:rPr>
              <w:t>0,3</w:t>
            </w:r>
          </w:p>
        </w:tc>
      </w:tr>
    </w:tbl>
    <w:p>
      <w:pPr>
        <w:rPr>
          <w:noProof/>
        </w:rPr>
      </w:pPr>
    </w:p>
    <w:tbl>
      <w:tblPr>
        <w:tblW w:w="0" w:type="auto"/>
        <w:tblLayout w:type="fixed"/>
        <w:tblLook w:val="0000" w:firstRow="0" w:lastRow="0" w:firstColumn="0" w:lastColumn="0" w:noHBand="0" w:noVBand="0"/>
      </w:tblPr>
      <w:tblGrid>
        <w:gridCol w:w="5293"/>
        <w:gridCol w:w="1857"/>
        <w:gridCol w:w="2136"/>
      </w:tblGrid>
      <w:tr>
        <w:tc>
          <w:tcPr>
            <w:tcW w:w="9286" w:type="dxa"/>
            <w:gridSpan w:val="3"/>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C. táblázat</w:t>
            </w:r>
            <w:r>
              <w:rPr>
                <w:noProof/>
              </w:rPr>
              <w:tab/>
            </w:r>
            <w:r>
              <w:rPr>
                <w:rStyle w:val="CRRefonteDeleted"/>
                <w:noProof/>
                <w:highlight w:val="lightGray"/>
              </w:rPr>
              <w:t>A tüzelő-, fűtőanyagokra és villamos energiára alkalmazandó minimum adómértékek</w:t>
            </w:r>
          </w:p>
        </w:tc>
      </w:tr>
      <w:tr>
        <w:tc>
          <w:tcPr>
            <w:tcW w:w="52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p>
        </w:tc>
        <w:tc>
          <w:tcPr>
            <w:tcW w:w="185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Üzleti felhasználás</w:t>
            </w:r>
          </w:p>
        </w:tc>
        <w:tc>
          <w:tcPr>
            <w:tcW w:w="21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Nem üzleti felhasználás</w:t>
            </w:r>
          </w:p>
        </w:tc>
      </w:tr>
      <w:tr>
        <w:tc>
          <w:tcPr>
            <w:tcW w:w="52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Gázolaj</w:t>
            </w:r>
          </w:p>
          <w:p>
            <w:pPr>
              <w:pStyle w:val="NormalLeft"/>
              <w:rPr>
                <w:rStyle w:val="CRRefonteDeleted"/>
                <w:noProof/>
                <w:highlight w:val="lightGray"/>
              </w:rPr>
            </w:pPr>
            <w:r>
              <w:rPr>
                <w:rStyle w:val="CRRefonteDeleted"/>
                <w:noProof/>
                <w:highlight w:val="lightGray"/>
              </w:rPr>
              <w:t>(EUR/1 000 liter)</w:t>
            </w:r>
          </w:p>
          <w:p>
            <w:pPr>
              <w:pStyle w:val="NormalLeft"/>
              <w:rPr>
                <w:rStyle w:val="CRRefonteDeleted"/>
                <w:noProof/>
                <w:highlight w:val="lightGray"/>
              </w:rPr>
            </w:pPr>
            <w:r>
              <w:rPr>
                <w:rStyle w:val="CRRefonteDeleted"/>
                <w:noProof/>
                <w:highlight w:val="lightGray"/>
              </w:rPr>
              <w:t xml:space="preserve">27101943–27101948 és 27102011–27102019 KN-kód </w:t>
            </w:r>
          </w:p>
        </w:tc>
        <w:tc>
          <w:tcPr>
            <w:tcW w:w="185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21</w:t>
            </w:r>
          </w:p>
        </w:tc>
        <w:tc>
          <w:tcPr>
            <w:tcW w:w="21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21</w:t>
            </w:r>
          </w:p>
        </w:tc>
      </w:tr>
      <w:tr>
        <w:tc>
          <w:tcPr>
            <w:tcW w:w="52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Nehéz fűtőolaj</w:t>
            </w:r>
          </w:p>
          <w:p>
            <w:pPr>
              <w:pStyle w:val="NormalLeft"/>
              <w:rPr>
                <w:rStyle w:val="CRRefonteDeleted"/>
                <w:noProof/>
                <w:highlight w:val="lightGray"/>
              </w:rPr>
            </w:pPr>
            <w:r>
              <w:rPr>
                <w:rStyle w:val="CRRefonteDeleted"/>
                <w:noProof/>
                <w:highlight w:val="lightGray"/>
              </w:rPr>
              <w:t>(EUR/ 1 000 kg)</w:t>
            </w:r>
          </w:p>
          <w:p>
            <w:pPr>
              <w:pStyle w:val="NormalLeft"/>
              <w:rPr>
                <w:rStyle w:val="CRRefonteDeleted"/>
                <w:noProof/>
                <w:highlight w:val="lightGray"/>
              </w:rPr>
            </w:pPr>
            <w:r>
              <w:rPr>
                <w:rStyle w:val="CRRefonteDeleted"/>
                <w:noProof/>
                <w:highlight w:val="lightGray"/>
              </w:rPr>
              <w:t xml:space="preserve">27101962–27101968 és 27102031–27102039 KN-kód </w:t>
            </w:r>
          </w:p>
        </w:tc>
        <w:tc>
          <w:tcPr>
            <w:tcW w:w="185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15</w:t>
            </w:r>
          </w:p>
        </w:tc>
        <w:tc>
          <w:tcPr>
            <w:tcW w:w="21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15</w:t>
            </w:r>
          </w:p>
        </w:tc>
      </w:tr>
      <w:tr>
        <w:tc>
          <w:tcPr>
            <w:tcW w:w="52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Kerozin</w:t>
            </w:r>
          </w:p>
          <w:p>
            <w:pPr>
              <w:pStyle w:val="NormalLeft"/>
              <w:rPr>
                <w:rStyle w:val="CRRefonteDeleted"/>
                <w:noProof/>
                <w:highlight w:val="lightGray"/>
              </w:rPr>
            </w:pPr>
            <w:r>
              <w:rPr>
                <w:rStyle w:val="CRRefonteDeleted"/>
                <w:noProof/>
                <w:highlight w:val="lightGray"/>
              </w:rPr>
              <w:t>(EUR/1 000 liter)</w:t>
            </w:r>
          </w:p>
          <w:p>
            <w:pPr>
              <w:pStyle w:val="NormalLeft"/>
              <w:rPr>
                <w:rStyle w:val="CRRefonteDeleted"/>
                <w:noProof/>
                <w:highlight w:val="lightGray"/>
              </w:rPr>
            </w:pPr>
            <w:r>
              <w:rPr>
                <w:rStyle w:val="CRRefonteDeleted"/>
                <w:noProof/>
                <w:highlight w:val="lightGray"/>
              </w:rPr>
              <w:t>27101921 és 27101925 KN-kód</w:t>
            </w:r>
          </w:p>
        </w:tc>
        <w:tc>
          <w:tcPr>
            <w:tcW w:w="185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0</w:t>
            </w:r>
          </w:p>
        </w:tc>
        <w:tc>
          <w:tcPr>
            <w:tcW w:w="21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0</w:t>
            </w:r>
          </w:p>
        </w:tc>
      </w:tr>
      <w:tr>
        <w:tc>
          <w:tcPr>
            <w:tcW w:w="52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Cseppfolyósított szénhidrogén (LPG)</w:t>
            </w:r>
          </w:p>
          <w:p>
            <w:pPr>
              <w:pStyle w:val="NormalLeft"/>
              <w:rPr>
                <w:rStyle w:val="CRRefonteDeleted"/>
                <w:noProof/>
                <w:highlight w:val="lightGray"/>
              </w:rPr>
            </w:pPr>
            <w:r>
              <w:rPr>
                <w:rStyle w:val="CRRefonteDeleted"/>
                <w:noProof/>
                <w:highlight w:val="lightGray"/>
              </w:rPr>
              <w:t>(EUR/ 1 000 kg)</w:t>
            </w:r>
          </w:p>
          <w:p>
            <w:pPr>
              <w:pStyle w:val="NormalLeft"/>
              <w:rPr>
                <w:rStyle w:val="CRRefonteDeleted"/>
                <w:noProof/>
                <w:highlight w:val="lightGray"/>
              </w:rPr>
            </w:pPr>
            <w:r>
              <w:rPr>
                <w:rStyle w:val="CRRefonteDeleted"/>
                <w:noProof/>
                <w:highlight w:val="lightGray"/>
              </w:rPr>
              <w:t>27111211– 27111900 KN-kód</w:t>
            </w:r>
          </w:p>
        </w:tc>
        <w:tc>
          <w:tcPr>
            <w:tcW w:w="185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0</w:t>
            </w:r>
          </w:p>
        </w:tc>
        <w:tc>
          <w:tcPr>
            <w:tcW w:w="21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0</w:t>
            </w:r>
          </w:p>
        </w:tc>
      </w:tr>
      <w:tr>
        <w:tc>
          <w:tcPr>
            <w:tcW w:w="52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Földgáz</w:t>
            </w:r>
          </w:p>
          <w:p>
            <w:pPr>
              <w:pStyle w:val="NormalLeft"/>
              <w:rPr>
                <w:rStyle w:val="CRRefonteDeleted"/>
                <w:noProof/>
                <w:highlight w:val="lightGray"/>
              </w:rPr>
            </w:pPr>
            <w:r>
              <w:rPr>
                <w:rStyle w:val="CRRefonteDeleted"/>
                <w:noProof/>
                <w:highlight w:val="lightGray"/>
              </w:rPr>
              <w:t>(EUR/bruttó fűtőérték, gigajoule)</w:t>
            </w:r>
          </w:p>
          <w:p>
            <w:pPr>
              <w:pStyle w:val="NormalLeft"/>
              <w:rPr>
                <w:rStyle w:val="CRRefonteDeleted"/>
                <w:noProof/>
                <w:highlight w:val="lightGray"/>
              </w:rPr>
            </w:pPr>
            <w:r>
              <w:rPr>
                <w:rStyle w:val="CRRefonteDeleted"/>
                <w:noProof/>
                <w:highlight w:val="lightGray"/>
              </w:rPr>
              <w:t>27111100 és 27112100 KN-kód</w:t>
            </w:r>
          </w:p>
        </w:tc>
        <w:tc>
          <w:tcPr>
            <w:tcW w:w="185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0,15</w:t>
            </w:r>
          </w:p>
        </w:tc>
        <w:tc>
          <w:tcPr>
            <w:tcW w:w="21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0,3</w:t>
            </w:r>
          </w:p>
        </w:tc>
      </w:tr>
      <w:tr>
        <w:tc>
          <w:tcPr>
            <w:tcW w:w="52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Szén és koksz</w:t>
            </w:r>
          </w:p>
          <w:p>
            <w:pPr>
              <w:pStyle w:val="NormalLeft"/>
              <w:rPr>
                <w:rStyle w:val="CRRefonteDeleted"/>
                <w:noProof/>
                <w:highlight w:val="lightGray"/>
              </w:rPr>
            </w:pPr>
            <w:r>
              <w:rPr>
                <w:rStyle w:val="CRRefonteDeleted"/>
                <w:noProof/>
                <w:highlight w:val="lightGray"/>
              </w:rPr>
              <w:t>(EUR/bruttó fűtőérték, gigajoule)</w:t>
            </w:r>
          </w:p>
          <w:p>
            <w:pPr>
              <w:pStyle w:val="NormalLeft"/>
              <w:rPr>
                <w:rStyle w:val="CRRefonteDeleted"/>
                <w:noProof/>
                <w:highlight w:val="lightGray"/>
              </w:rPr>
            </w:pPr>
            <w:r>
              <w:rPr>
                <w:rStyle w:val="CRRefonteDeleted"/>
                <w:noProof/>
                <w:highlight w:val="lightGray"/>
              </w:rPr>
              <w:t>2701, 2702 és 2704 KN-kód</w:t>
            </w:r>
          </w:p>
        </w:tc>
        <w:tc>
          <w:tcPr>
            <w:tcW w:w="185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0,15</w:t>
            </w:r>
          </w:p>
        </w:tc>
        <w:tc>
          <w:tcPr>
            <w:tcW w:w="21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0,3</w:t>
            </w:r>
          </w:p>
        </w:tc>
      </w:tr>
      <w:tr>
        <w:tc>
          <w:tcPr>
            <w:tcW w:w="5293"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Villamos energia</w:t>
            </w:r>
          </w:p>
          <w:p>
            <w:pPr>
              <w:pStyle w:val="NormalLeft"/>
              <w:rPr>
                <w:rStyle w:val="CRRefonteDeleted"/>
                <w:noProof/>
                <w:highlight w:val="lightGray"/>
              </w:rPr>
            </w:pPr>
            <w:r>
              <w:rPr>
                <w:rStyle w:val="CRRefonteDeleted"/>
                <w:noProof/>
                <w:highlight w:val="lightGray"/>
              </w:rPr>
              <w:t>(EUR/MWh)</w:t>
            </w:r>
          </w:p>
          <w:p>
            <w:pPr>
              <w:pStyle w:val="NormalLeft"/>
              <w:rPr>
                <w:rStyle w:val="CRRefonteDeleted"/>
                <w:noProof/>
                <w:highlight w:val="lightGray"/>
              </w:rPr>
            </w:pPr>
            <w:r>
              <w:rPr>
                <w:rStyle w:val="CRRefonteDeleted"/>
                <w:noProof/>
                <w:highlight w:val="lightGray"/>
              </w:rPr>
              <w:t>2716 KN-kód</w:t>
            </w:r>
          </w:p>
        </w:tc>
        <w:tc>
          <w:tcPr>
            <w:tcW w:w="1857"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0,5</w:t>
            </w:r>
          </w:p>
        </w:tc>
        <w:tc>
          <w:tcPr>
            <w:tcW w:w="2136" w:type="dxa"/>
            <w:tcBorders>
              <w:top w:val="single" w:sz="2" w:space="0" w:color="auto"/>
              <w:left w:val="single" w:sz="2" w:space="0" w:color="auto"/>
              <w:bottom w:val="single" w:sz="2" w:space="0" w:color="auto"/>
              <w:right w:val="single" w:sz="2" w:space="0" w:color="auto"/>
            </w:tcBorders>
          </w:tcPr>
          <w:p>
            <w:pPr>
              <w:pStyle w:val="NormalLeft"/>
              <w:rPr>
                <w:rStyle w:val="CRRefonteDeleted"/>
                <w:noProof/>
                <w:highlight w:val="lightGray"/>
              </w:rPr>
            </w:pPr>
            <w:r>
              <w:rPr>
                <w:rStyle w:val="CRRefonteDeleted"/>
                <w:noProof/>
                <w:highlight w:val="lightGray"/>
              </w:rPr>
              <w:t>1,0</w:t>
            </w:r>
          </w:p>
        </w:tc>
      </w:tr>
    </w:tbl>
    <w:p>
      <w:pPr>
        <w:adjustRightInd w:val="0"/>
        <w:spacing w:before="0" w:after="0"/>
        <w:jc w:val="left"/>
        <w:rPr>
          <w:noProof/>
        </w:rPr>
        <w:sectPr>
          <w:footerReference w:type="default" r:id="rId19"/>
          <w:footerReference w:type="first" r:id="rId20"/>
          <w:pgSz w:w="11906" w:h="16838"/>
          <w:pgMar w:top="1134" w:right="1418" w:bottom="1134" w:left="1418" w:header="709" w:footer="709" w:gutter="0"/>
          <w:cols w:space="709"/>
          <w:docGrid w:linePitch="326"/>
        </w:sectPr>
      </w:pPr>
    </w:p>
    <w:p>
      <w:pPr>
        <w:pStyle w:val="Annexetitreacte"/>
        <w:rPr>
          <w:rStyle w:val="CRRefonteDeleted"/>
          <w:noProof/>
          <w:highlight w:val="lightGray"/>
        </w:rPr>
      </w:pPr>
      <w:r>
        <w:rPr>
          <w:rStyle w:val="CRRefonteDeleted"/>
          <w:noProof/>
          <w:highlight w:val="lightGray"/>
        </w:rPr>
        <w:t>II. MELLÉKLET</w:t>
      </w:r>
    </w:p>
    <w:p>
      <w:pPr>
        <w:pStyle w:val="NormalCentered"/>
        <w:rPr>
          <w:rStyle w:val="CRRefonteDeleted"/>
          <w:b/>
          <w:noProof/>
          <w:highlight w:val="lightGray"/>
        </w:rPr>
      </w:pPr>
      <w:r>
        <w:rPr>
          <w:rStyle w:val="CRRefonteDeleted"/>
          <w:b/>
          <w:noProof/>
          <w:highlight w:val="lightGray"/>
        </w:rPr>
        <w:t>A következők tartoznak a 18. cikk (1) bekezdésében említett kedvezményes adómértékek és adómentességek körébe:</w:t>
      </w:r>
    </w:p>
    <w:p>
      <w:pPr>
        <w:pStyle w:val="ManualHeading1"/>
        <w:ind w:left="851" w:hanging="851"/>
        <w:rPr>
          <w:rStyle w:val="CRRefonteDeleted"/>
          <w:noProof/>
          <w:highlight w:val="lightGray"/>
        </w:rPr>
      </w:pPr>
      <w:r>
        <w:rPr>
          <w:rStyle w:val="CRRefonteDeleted"/>
          <w:noProof/>
          <w:highlight w:val="lightGray"/>
        </w:rPr>
        <w:t>1.</w:t>
      </w:r>
      <w:r>
        <w:rPr>
          <w:noProof/>
        </w:rPr>
        <w:tab/>
      </w:r>
      <w:r>
        <w:rPr>
          <w:rStyle w:val="CRRefonteDeleted"/>
          <w:noProof/>
          <w:highlight w:val="lightGray"/>
        </w:rPr>
        <w:t>BELGIUM:</w:t>
      </w:r>
    </w:p>
    <w:p>
      <w:pPr>
        <w:pStyle w:val="Tiret0"/>
        <w:numPr>
          <w:ilvl w:val="0"/>
          <w:numId w:val="9"/>
        </w:numPr>
        <w:ind w:left="851"/>
        <w:rPr>
          <w:rStyle w:val="CRRefonteDeleted"/>
          <w:noProof/>
          <w:highlight w:val="lightGray"/>
        </w:rPr>
      </w:pPr>
      <w:r>
        <w:rPr>
          <w:rStyle w:val="CRRefonteDeleted"/>
          <w:noProof/>
          <w:highlight w:val="lightGray"/>
        </w:rPr>
        <w:t>a cseppfolyósított szénhidrogén (LPG), a földgáz és a metán,</w:t>
      </w:r>
    </w:p>
    <w:p>
      <w:pPr>
        <w:pStyle w:val="Tiret0"/>
        <w:ind w:left="851"/>
        <w:rPr>
          <w:rStyle w:val="CRRefonteDeleted"/>
          <w:noProof/>
          <w:highlight w:val="lightGray"/>
        </w:rPr>
      </w:pPr>
      <w:r>
        <w:rPr>
          <w:rStyle w:val="CRRefonteDeleted"/>
          <w:noProof/>
          <w:highlight w:val="lightGray"/>
        </w:rPr>
        <w:t>a helyi tömegközlekedési járművek,</w:t>
      </w:r>
    </w:p>
    <w:p>
      <w:pPr>
        <w:pStyle w:val="Tiret0"/>
        <w:ind w:left="851"/>
        <w:rPr>
          <w:rStyle w:val="CRRefonteDeleted"/>
          <w:noProof/>
          <w:highlight w:val="lightGray"/>
        </w:rPr>
      </w:pPr>
      <w:r>
        <w:rPr>
          <w:rStyle w:val="CRRefonteDeleted"/>
          <w:noProof/>
          <w:highlight w:val="lightGray"/>
        </w:rPr>
        <w:t>a légi közlekedés, az ezen irányelv 14. cikke (1) bekezdésének b) pontjában említettek kivételével,</w:t>
      </w:r>
    </w:p>
    <w:p>
      <w:pPr>
        <w:pStyle w:val="Tiret0"/>
        <w:ind w:left="851"/>
        <w:rPr>
          <w:rStyle w:val="CRRefonteDeleted"/>
          <w:noProof/>
          <w:highlight w:val="lightGray"/>
        </w:rPr>
      </w:pPr>
      <w:r>
        <w:rPr>
          <w:rStyle w:val="CRRefonteDeleted"/>
          <w:noProof/>
          <w:highlight w:val="lightGray"/>
        </w:rPr>
        <w:t>a magánjellegű, kedvtelési célú hajózás,</w:t>
      </w:r>
    </w:p>
    <w:p>
      <w:pPr>
        <w:pStyle w:val="Tiret0"/>
        <w:ind w:left="851"/>
        <w:rPr>
          <w:rStyle w:val="CRRefonteDeleted"/>
          <w:noProof/>
          <w:highlight w:val="lightGray"/>
        </w:rPr>
      </w:pPr>
      <w:r>
        <w:rPr>
          <w:rStyle w:val="CRRefonteDeleted"/>
          <w:noProof/>
          <w:highlight w:val="lightGray"/>
        </w:rPr>
        <w:t>a környezetet jobban kímélő tüzelőanyagok használatára való ösztönzés érdekében a nehéz fűtőolajok jövedékiadó-mértékének csökkentése. E csökkentésnek a kéntartalomhoz kell igazodnia, és a kedvezményes adómérték nem lehet kevesebb, mint tonnánként 6,5 EUR,</w:t>
      </w:r>
    </w:p>
    <w:p>
      <w:pPr>
        <w:pStyle w:val="Tiret0"/>
        <w:ind w:left="851"/>
        <w:rPr>
          <w:rStyle w:val="CRRefonteDeleted"/>
          <w:noProof/>
          <w:highlight w:val="lightGray"/>
        </w:rPr>
      </w:pPr>
      <w:r>
        <w:rPr>
          <w:rStyle w:val="CRRefonteDeleted"/>
          <w:noProof/>
          <w:highlight w:val="lightGray"/>
        </w:rPr>
        <w:t>a fűtőanyagként újrafelhasznált használt olaj, közvetlenül visszanyerés után vagy a használt olajokra alkalmazott újrahasznosítási eljárást követően, ha az újrahasznosítás adóköteles,</w:t>
      </w:r>
    </w:p>
    <w:p>
      <w:pPr>
        <w:pStyle w:val="Tiret0"/>
        <w:ind w:left="851"/>
        <w:rPr>
          <w:rStyle w:val="CRRefonteDeleted"/>
          <w:noProof/>
          <w:highlight w:val="lightGray"/>
        </w:rPr>
      </w:pPr>
      <w:r>
        <w:rPr>
          <w:rStyle w:val="CRRefonteDeleted"/>
          <w:noProof/>
          <w:highlight w:val="lightGray"/>
        </w:rPr>
        <w:t>az alacsony kéntartalmú (50 ppm) és alacsony aromás anyagtartalmú (35 %) ólmozatlan benzint terhelő eltérő jövedékiadó-mérték,</w:t>
      </w:r>
    </w:p>
    <w:p>
      <w:pPr>
        <w:pStyle w:val="Tiret0"/>
        <w:ind w:left="851"/>
        <w:rPr>
          <w:rStyle w:val="CRRefonteDeleted"/>
          <w:noProof/>
          <w:highlight w:val="lightGray"/>
        </w:rPr>
      </w:pPr>
      <w:r>
        <w:rPr>
          <w:rStyle w:val="CRRefonteDeleted"/>
          <w:noProof/>
          <w:highlight w:val="lightGray"/>
        </w:rPr>
        <w:t>az alacsony kéntartalmú (50 ppm) dízelüzemanyagot terhelő eltérő jövedékiadó-mérték.</w:t>
      </w:r>
    </w:p>
    <w:p>
      <w:pPr>
        <w:pStyle w:val="ManualHeading1"/>
        <w:ind w:left="851" w:hanging="851"/>
        <w:rPr>
          <w:rStyle w:val="CRRefonteDeleted"/>
          <w:noProof/>
          <w:highlight w:val="lightGray"/>
        </w:rPr>
      </w:pPr>
      <w:r>
        <w:rPr>
          <w:rStyle w:val="CRRefonteDeleted"/>
          <w:noProof/>
          <w:highlight w:val="lightGray"/>
        </w:rPr>
        <w:t>2.</w:t>
      </w:r>
      <w:r>
        <w:rPr>
          <w:noProof/>
        </w:rPr>
        <w:tab/>
      </w:r>
      <w:r>
        <w:rPr>
          <w:rStyle w:val="CRRefonteDeleted"/>
          <w:noProof/>
          <w:highlight w:val="lightGray"/>
        </w:rPr>
        <w:t>DÁNIA:</w:t>
      </w:r>
    </w:p>
    <w:p>
      <w:pPr>
        <w:pStyle w:val="Tiret0"/>
        <w:ind w:left="851"/>
        <w:rPr>
          <w:rStyle w:val="CRRefonteDeleted"/>
          <w:noProof/>
          <w:highlight w:val="lightGray"/>
        </w:rPr>
      </w:pPr>
      <w:r>
        <w:rPr>
          <w:rStyle w:val="CRRefonteDeleted"/>
          <w:noProof/>
          <w:highlight w:val="lightGray"/>
        </w:rPr>
        <w:t>a nagy energiaintenzitású vállalatok által fűtésre és meleg víz előállítására felhasznált nehéz fűtőolajra és háztartási tüzelőolajra 2002. február 1-jétől 2008. január 31-ig alkalmazott eltérő jövedékiadó-mérték. A jövedékiadó-mérték eltérésének megengedett maximális összege 0,0095 EUR a nehéz fűtőolaj kilogrammjára és 0,008 EUR a háztartási tüzelőolaj literére. A jövedékiadó-kedvezményeknek meg kell felelniük ezen irányelv követelményeinek, és különösen a minimummértékeknek,</w:t>
      </w:r>
    </w:p>
    <w:p>
      <w:pPr>
        <w:pStyle w:val="Tiret0"/>
        <w:ind w:left="851"/>
        <w:rPr>
          <w:rStyle w:val="CRRefonteDeleted"/>
          <w:noProof/>
          <w:highlight w:val="lightGray"/>
        </w:rPr>
      </w:pPr>
      <w:r>
        <w:rPr>
          <w:rStyle w:val="CRRefonteDeleted"/>
          <w:noProof/>
          <w:highlight w:val="lightGray"/>
        </w:rPr>
        <w:t>a környezetet jobban kímélő üzemanyagok használatára való ösztönzés érdekében a dízelüzemanyag adómértékének kedvezménye, ha ezek az ösztönzők rögzített műszaki jellemzőkhöz kötődnek, beleértve a meghatározott fajsúlyt, a kéntartalmat, a lepárlási pontot, a cetánszámot és -indexet, feltéve hogy ezek az adómértékek összhangban vannak az ezen irányelvben meghatározott kötelezettségekkel,</w:t>
      </w:r>
    </w:p>
    <w:p>
      <w:pPr>
        <w:pStyle w:val="Tiret0"/>
        <w:ind w:left="851"/>
        <w:rPr>
          <w:rStyle w:val="CRRefonteDeleted"/>
          <w:noProof/>
          <w:highlight w:val="lightGray"/>
        </w:rPr>
      </w:pPr>
      <w:r>
        <w:rPr>
          <w:rStyle w:val="CRRefonteDeleted"/>
          <w:noProof/>
          <w:highlight w:val="lightGray"/>
        </w:rPr>
        <w:t>a benzinpára-visszavezető rendszerrel ellátott benzinkutaknál és az egyéb benzinkutaknál forgalmazott benzin esetében az eltérő jövedékiadó-mértékek alkalmazása, ha az eltérő adómértékek összhangban vannak az ezen irányelvben meghatározott kötelezettségekkel, és különösen a minimum jövedékiadó-mértékekkel,</w:t>
      </w:r>
    </w:p>
    <w:p>
      <w:pPr>
        <w:pStyle w:val="Tiret0"/>
        <w:ind w:left="851"/>
        <w:rPr>
          <w:rStyle w:val="CRRefonteDeleted"/>
          <w:noProof/>
          <w:highlight w:val="lightGray"/>
        </w:rPr>
      </w:pPr>
      <w:r>
        <w:rPr>
          <w:rStyle w:val="CRRefonteDeleted"/>
          <w:noProof/>
          <w:highlight w:val="lightGray"/>
        </w:rPr>
        <w:t>a benzin esetében az eltérő jövedékiadó-mértékek alkalmazása, ha az eltérő adómértékek összhangban vannak az ezen irányelvben meghatározott kötelezettségekkel, és különösen az annak 7. cikkében meghatározott minimum adómértékekkel,</w:t>
      </w:r>
    </w:p>
    <w:p>
      <w:pPr>
        <w:pStyle w:val="Tiret0"/>
        <w:ind w:left="851"/>
        <w:rPr>
          <w:rStyle w:val="CRRefonteDeleted"/>
          <w:noProof/>
          <w:highlight w:val="lightGray"/>
        </w:rPr>
      </w:pPr>
      <w:r>
        <w:rPr>
          <w:rStyle w:val="CRRefonteDeleted"/>
          <w:noProof/>
          <w:highlight w:val="lightGray"/>
        </w:rPr>
        <w:t>a helyi tömegközlekedési járművek,</w:t>
      </w:r>
    </w:p>
    <w:p>
      <w:pPr>
        <w:pStyle w:val="Tiret0"/>
        <w:ind w:left="851"/>
        <w:rPr>
          <w:rStyle w:val="CRRefonteDeleted"/>
          <w:noProof/>
          <w:highlight w:val="lightGray"/>
        </w:rPr>
      </w:pPr>
      <w:r>
        <w:rPr>
          <w:rStyle w:val="CRRefonteDeleted"/>
          <w:noProof/>
          <w:highlight w:val="lightGray"/>
        </w:rPr>
        <w:t>a gázolaj esetében az eltérő jövedékiadó-mértékek alkalmazása, ha az eltérő adómértékek összhangban vannak az ezen irányelvben meghatározott kötelezettségekkel, és különösen az annak 7. cikkében meghatározott minimum adómértékekkel,</w:t>
      </w:r>
    </w:p>
    <w:p>
      <w:pPr>
        <w:pStyle w:val="Tiret0"/>
        <w:ind w:left="851"/>
        <w:rPr>
          <w:rStyle w:val="CRRefonteDeleted"/>
          <w:noProof/>
          <w:highlight w:val="lightGray"/>
        </w:rPr>
      </w:pPr>
      <w:r>
        <w:rPr>
          <w:rStyle w:val="CRRefonteDeleted"/>
          <w:noProof/>
          <w:highlight w:val="lightGray"/>
        </w:rPr>
        <w:t>a kereskedelmi ágazat javára történő részleges visszatérítés, ha az érintett adók megfelelnek a közösségi rendelkezéseknek, és ha a befizetett és vissza nem térített adó összege mindenkor megfelel az ásványolajokra a közösségi jogszabályokban meghatározott minimum adómértékeknek vagy ellenőrzési díjnak,</w:t>
      </w:r>
    </w:p>
    <w:p>
      <w:pPr>
        <w:pStyle w:val="Tiret0"/>
        <w:ind w:left="851"/>
        <w:rPr>
          <w:rStyle w:val="CRRefonteDeleted"/>
          <w:noProof/>
          <w:highlight w:val="lightGray"/>
        </w:rPr>
      </w:pPr>
      <w:r>
        <w:rPr>
          <w:rStyle w:val="CRRefonteDeleted"/>
          <w:noProof/>
          <w:highlight w:val="lightGray"/>
        </w:rPr>
        <w:t>a légi közlekedés, az ezen irányelv 14. cikke (1) bekezdésének b) pontjában említettek kivételével,</w:t>
      </w:r>
    </w:p>
    <w:p>
      <w:pPr>
        <w:pStyle w:val="Tiret0"/>
        <w:ind w:left="851"/>
        <w:rPr>
          <w:rStyle w:val="CRRefonteDeleted"/>
          <w:noProof/>
          <w:highlight w:val="lightGray"/>
        </w:rPr>
      </w:pPr>
      <w:r>
        <w:rPr>
          <w:rStyle w:val="CRRefonteDeleted"/>
          <w:noProof/>
          <w:highlight w:val="lightGray"/>
        </w:rPr>
        <w:t>a metil-tercier-butil-éter talajvízbe szivárgásának csökkentésére szánt szigorúbb felszereltségi és üzemeltetési szintnek megfelelő üzemanyagtöltő állomásokból forgalmazott benzinre literenként legfeljebb 0,03 DKK összegű kedvezményes jövedékiadó-mérték alkalmazása, feltéve hogy az eltérő adómértékek összhangban vannak az ezen irányelvben meghatározott kötelezettségekkel, és különösen a minimum jövedékiadó-mértékekkel.</w:t>
      </w:r>
    </w:p>
    <w:p>
      <w:pPr>
        <w:pStyle w:val="ManualHeading1"/>
        <w:ind w:left="851" w:hanging="851"/>
        <w:rPr>
          <w:rStyle w:val="CRRefonteDeleted"/>
          <w:noProof/>
          <w:highlight w:val="lightGray"/>
        </w:rPr>
      </w:pPr>
      <w:r>
        <w:rPr>
          <w:rStyle w:val="CRRefonteDeleted"/>
          <w:noProof/>
          <w:highlight w:val="lightGray"/>
        </w:rPr>
        <w:t>3.</w:t>
      </w:r>
      <w:r>
        <w:rPr>
          <w:noProof/>
        </w:rPr>
        <w:tab/>
      </w:r>
      <w:r>
        <w:rPr>
          <w:rStyle w:val="CRRefonteDeleted"/>
          <w:noProof/>
          <w:highlight w:val="lightGray"/>
        </w:rPr>
        <w:t>NÉMETORSZÁG:</w:t>
      </w:r>
    </w:p>
    <w:p>
      <w:pPr>
        <w:pStyle w:val="Tiret0"/>
        <w:ind w:left="851"/>
        <w:rPr>
          <w:rStyle w:val="CRRefonteDeleted"/>
          <w:noProof/>
          <w:highlight w:val="lightGray"/>
        </w:rPr>
      </w:pPr>
      <w:r>
        <w:rPr>
          <w:rStyle w:val="CRRefonteDeleted"/>
          <w:noProof/>
          <w:highlight w:val="lightGray"/>
        </w:rPr>
        <w:t>2003. január 1-jétől 2005. december 31-ig, a legfeljebb 10 ppm kéntartalmú üzemanyagokat terhelő eltérő jövedékiadó-mérték,</w:t>
      </w:r>
    </w:p>
    <w:p>
      <w:pPr>
        <w:pStyle w:val="Tiret0"/>
        <w:ind w:left="851"/>
        <w:rPr>
          <w:rStyle w:val="CRRefonteDeleted"/>
          <w:noProof/>
          <w:highlight w:val="lightGray"/>
        </w:rPr>
      </w:pPr>
      <w:r>
        <w:rPr>
          <w:rStyle w:val="CRRefonteDeleted"/>
          <w:noProof/>
          <w:highlight w:val="lightGray"/>
        </w:rPr>
        <w:t>a hulladék szénhidrogéngázok tüzelő-, fűtőanyagként való felhasználása,</w:t>
      </w:r>
    </w:p>
    <w:p>
      <w:pPr>
        <w:pStyle w:val="Tiret0"/>
        <w:ind w:left="851"/>
        <w:rPr>
          <w:rStyle w:val="CRRefonteDeleted"/>
          <w:noProof/>
          <w:highlight w:val="lightGray"/>
        </w:rPr>
      </w:pPr>
      <w:r>
        <w:rPr>
          <w:rStyle w:val="CRRefonteDeleted"/>
          <w:noProof/>
          <w:highlight w:val="lightGray"/>
        </w:rPr>
        <w:t>a helyi tömegközlekedési járművek által üzemanyagként felhasznált ásványolajokra az eltérő jövedékiadó-mértékek alkalmazása, a 92/82/EGK irányelvben meghatározott kötelezettségeknek megfelelő módon,</w:t>
      </w:r>
    </w:p>
    <w:p>
      <w:pPr>
        <w:pStyle w:val="Tiret0"/>
        <w:ind w:left="851"/>
        <w:rPr>
          <w:rStyle w:val="CRRefonteDeleted"/>
          <w:noProof/>
          <w:highlight w:val="lightGray"/>
        </w:rPr>
      </w:pPr>
      <w:r>
        <w:rPr>
          <w:rStyle w:val="CRRefonteDeleted"/>
          <w:noProof/>
          <w:highlight w:val="lightGray"/>
        </w:rPr>
        <w:t>elemzés és gyártási kísérletek céljából vagy más tudományos célból az ásványolajok mintái,</w:t>
      </w:r>
    </w:p>
    <w:p>
      <w:pPr>
        <w:pStyle w:val="Tiret0"/>
        <w:ind w:left="851"/>
        <w:rPr>
          <w:rStyle w:val="CRRefonteDeleted"/>
          <w:noProof/>
          <w:highlight w:val="lightGray"/>
        </w:rPr>
      </w:pPr>
      <w:r>
        <w:rPr>
          <w:rStyle w:val="CRRefonteDeleted"/>
          <w:noProof/>
          <w:highlight w:val="lightGray"/>
        </w:rPr>
        <w:t>a gyáripar által felhasznált fűtőolajok esetében az eltérő jövedékiadó-mértékek alkalmazása, ha az eltérő adómértékek összhangban vannak az ezen irányelvben meghatározott kötelezettségekkel,</w:t>
      </w:r>
    </w:p>
    <w:p>
      <w:pPr>
        <w:pStyle w:val="Tiret0"/>
        <w:ind w:left="851"/>
        <w:rPr>
          <w:rStyle w:val="CRRefonteDeleted"/>
          <w:noProof/>
          <w:highlight w:val="lightGray"/>
        </w:rPr>
      </w:pPr>
      <w:r>
        <w:rPr>
          <w:rStyle w:val="CRRefonteDeleted"/>
          <w:noProof/>
          <w:highlight w:val="lightGray"/>
        </w:rPr>
        <w:t>a fűtőolajként újrafelhasznált használt olaj, közvetlenül visszanyerés után vagy a használt olajokra alkalmazott újrahasznosítási eljárást követően, ha az újrahasznosítás adóköteles.</w:t>
      </w:r>
    </w:p>
    <w:p>
      <w:pPr>
        <w:pStyle w:val="ManualHeading1"/>
        <w:ind w:left="851" w:hanging="851"/>
        <w:rPr>
          <w:rStyle w:val="CRRefonteDeleted"/>
          <w:noProof/>
          <w:highlight w:val="lightGray"/>
        </w:rPr>
      </w:pPr>
      <w:r>
        <w:rPr>
          <w:rStyle w:val="CRRefonteDeleted"/>
          <w:noProof/>
          <w:highlight w:val="lightGray"/>
        </w:rPr>
        <w:t>4.</w:t>
      </w:r>
      <w:r>
        <w:rPr>
          <w:noProof/>
        </w:rPr>
        <w:tab/>
      </w:r>
      <w:r>
        <w:rPr>
          <w:rStyle w:val="CRRefonteDeleted"/>
          <w:noProof/>
          <w:highlight w:val="lightGray"/>
        </w:rPr>
        <w:t>GÖRÖGORSZÁG:</w:t>
      </w:r>
    </w:p>
    <w:p>
      <w:pPr>
        <w:pStyle w:val="Tiret0"/>
        <w:ind w:left="851"/>
        <w:rPr>
          <w:rStyle w:val="CRRefonteDeleted"/>
          <w:noProof/>
          <w:highlight w:val="lightGray"/>
        </w:rPr>
      </w:pPr>
      <w:r>
        <w:rPr>
          <w:rStyle w:val="CRRefonteDeleted"/>
          <w:noProof/>
          <w:highlight w:val="lightGray"/>
        </w:rPr>
        <w:t>a nemzeti fegyveres erők felhasználása,</w:t>
      </w:r>
    </w:p>
    <w:p>
      <w:pPr>
        <w:pStyle w:val="Tiret0"/>
        <w:ind w:left="851"/>
        <w:rPr>
          <w:rStyle w:val="CRRefonteDeleted"/>
          <w:noProof/>
          <w:highlight w:val="lightGray"/>
        </w:rPr>
      </w:pPr>
      <w:r>
        <w:rPr>
          <w:rStyle w:val="CRRefonteDeleted"/>
          <w:noProof/>
          <w:highlight w:val="lightGray"/>
        </w:rPr>
        <w:t>az Elnökségi Minisztérium és az ország rendőrségének hivatalos járművei által üzemanyagként felhasznált ásványolajok jövedéki adó alóli mentesítése,</w:t>
      </w:r>
    </w:p>
    <w:p>
      <w:pPr>
        <w:pStyle w:val="Tiret0"/>
        <w:ind w:left="851"/>
        <w:rPr>
          <w:rStyle w:val="CRRefonteDeleted"/>
          <w:noProof/>
          <w:highlight w:val="lightGray"/>
        </w:rPr>
      </w:pPr>
      <w:r>
        <w:rPr>
          <w:rStyle w:val="CRRefonteDeleted"/>
          <w:noProof/>
          <w:highlight w:val="lightGray"/>
        </w:rPr>
        <w:t>a helyi tömegközlekedési járművek,</w:t>
      </w:r>
    </w:p>
    <w:p>
      <w:pPr>
        <w:pStyle w:val="Tiret0"/>
        <w:ind w:left="851"/>
        <w:rPr>
          <w:rStyle w:val="CRRefonteDeleted"/>
          <w:noProof/>
          <w:highlight w:val="lightGray"/>
        </w:rPr>
      </w:pPr>
      <w:r>
        <w:rPr>
          <w:rStyle w:val="CRRefonteDeleted"/>
          <w:noProof/>
          <w:highlight w:val="lightGray"/>
        </w:rPr>
        <w:t xml:space="preserve"> a különböző környezetvédelmi kategóriák figyelembevétele céljából az ólommentes benzinre vonatkozó eltérő adómértékek, feltéve hogy az eltérő adómértékek összhangban vannak az ezen irányelvben meghatározott kötelezettségekkel, és különösen az annak 7. cikkében meghatározott minimum adómértékekkel,</w:t>
      </w:r>
    </w:p>
    <w:p>
      <w:pPr>
        <w:pStyle w:val="Tiret0"/>
        <w:ind w:left="851"/>
        <w:rPr>
          <w:rStyle w:val="CRRefonteDeleted"/>
          <w:noProof/>
          <w:highlight w:val="lightGray"/>
        </w:rPr>
      </w:pPr>
      <w:r>
        <w:rPr>
          <w:rStyle w:val="CRRefonteDeleted"/>
          <w:noProof/>
          <w:highlight w:val="lightGray"/>
        </w:rPr>
        <w:t>az ipari célra felhasznált cseppfolyósított szénhidrogén (LPG) és metán.</w:t>
      </w:r>
    </w:p>
    <w:p>
      <w:pPr>
        <w:pStyle w:val="ManualHeading1"/>
        <w:ind w:left="851" w:hanging="851"/>
        <w:rPr>
          <w:rStyle w:val="CRRefonteDeleted"/>
          <w:noProof/>
          <w:highlight w:val="lightGray"/>
        </w:rPr>
      </w:pPr>
      <w:r>
        <w:rPr>
          <w:rStyle w:val="CRRefonteDeleted"/>
          <w:noProof/>
          <w:highlight w:val="lightGray"/>
        </w:rPr>
        <w:t>5.</w:t>
      </w:r>
      <w:r>
        <w:rPr>
          <w:noProof/>
        </w:rPr>
        <w:tab/>
      </w:r>
      <w:r>
        <w:rPr>
          <w:rStyle w:val="CRRefonteDeleted"/>
          <w:noProof/>
          <w:highlight w:val="lightGray"/>
        </w:rPr>
        <w:t>SPANYOLORSZÁG:</w:t>
      </w:r>
    </w:p>
    <w:p>
      <w:pPr>
        <w:pStyle w:val="Tiret0"/>
        <w:ind w:left="851"/>
        <w:rPr>
          <w:rStyle w:val="CRRefonteDeleted"/>
          <w:noProof/>
          <w:highlight w:val="lightGray"/>
        </w:rPr>
      </w:pPr>
      <w:r>
        <w:rPr>
          <w:rStyle w:val="CRRefonteDeleted"/>
          <w:noProof/>
          <w:highlight w:val="lightGray"/>
        </w:rPr>
        <w:t>a helyi tömegközlekedési járművek által üzemanyagként felhasznált cseppfolyósított szénhidrogén (LPG),</w:t>
      </w:r>
    </w:p>
    <w:p>
      <w:pPr>
        <w:pStyle w:val="Tiret0"/>
        <w:ind w:left="851"/>
        <w:rPr>
          <w:rStyle w:val="CRRefonteDeleted"/>
          <w:noProof/>
          <w:highlight w:val="lightGray"/>
        </w:rPr>
      </w:pPr>
      <w:r>
        <w:rPr>
          <w:rStyle w:val="CRRefonteDeleted"/>
          <w:noProof/>
          <w:highlight w:val="lightGray"/>
        </w:rPr>
        <w:t>a taxik által üzemanyagként felhasznált cseppfolyósított szénhidrogén (LPG),</w:t>
      </w:r>
    </w:p>
    <w:p>
      <w:pPr>
        <w:pStyle w:val="Tiret0"/>
        <w:ind w:left="851"/>
        <w:rPr>
          <w:rStyle w:val="CRRefonteDeleted"/>
          <w:noProof/>
          <w:highlight w:val="lightGray"/>
        </w:rPr>
      </w:pPr>
      <w:r>
        <w:rPr>
          <w:rStyle w:val="CRRefonteDeleted"/>
          <w:noProof/>
          <w:highlight w:val="lightGray"/>
        </w:rPr>
        <w:t>az ólommentes benzinre vonatkozó, a különböző környezetvédelmi kategóriákat tükröző eltérő adómértékek, feltéve hogy az eltérő adómértékek összhangban vannak az ezen irányelvben meghatározott kötelezettségekkel, és különösen annak a 7. cikkében meghatározott minimum adómértékekkel,</w:t>
      </w:r>
    </w:p>
    <w:p>
      <w:pPr>
        <w:pStyle w:val="Tiret0"/>
        <w:ind w:left="851"/>
        <w:rPr>
          <w:rStyle w:val="CRRefonteDeleted"/>
          <w:noProof/>
          <w:highlight w:val="lightGray"/>
        </w:rPr>
      </w:pPr>
      <w:r>
        <w:rPr>
          <w:rStyle w:val="CRRefonteDeleted"/>
          <w:noProof/>
          <w:highlight w:val="lightGray"/>
        </w:rPr>
        <w:t>a fűtőanyagként újrafelhasznált használt olaj, közvetlenül visszanyerés után vagy a használt olajokra alkalmazott újrahasznosítási eljárást követően, ha az újrahasznosítás adóköteles.</w:t>
      </w:r>
    </w:p>
    <w:p>
      <w:pPr>
        <w:pStyle w:val="ManualHeading1"/>
        <w:ind w:left="851" w:hanging="851"/>
        <w:rPr>
          <w:rStyle w:val="CRRefonteDeleted"/>
          <w:noProof/>
          <w:highlight w:val="lightGray"/>
        </w:rPr>
      </w:pPr>
      <w:r>
        <w:rPr>
          <w:rStyle w:val="CRRefonteDeleted"/>
          <w:noProof/>
          <w:highlight w:val="lightGray"/>
        </w:rPr>
        <w:t>6.</w:t>
      </w:r>
      <w:r>
        <w:rPr>
          <w:noProof/>
        </w:rPr>
        <w:tab/>
      </w:r>
      <w:r>
        <w:rPr>
          <w:rStyle w:val="CRRefonteDeleted"/>
          <w:noProof/>
          <w:highlight w:val="lightGray"/>
        </w:rPr>
        <w:t>FRANCIAORSZÁG:</w:t>
      </w:r>
    </w:p>
    <w:p>
      <w:pPr>
        <w:pStyle w:val="Tiret0"/>
        <w:ind w:left="851"/>
        <w:rPr>
          <w:rStyle w:val="CRRefonteDeleted"/>
          <w:noProof/>
          <w:highlight w:val="lightGray"/>
        </w:rPr>
      </w:pPr>
      <w:r>
        <w:rPr>
          <w:rStyle w:val="CRRefonteDeleted"/>
          <w:noProof/>
          <w:highlight w:val="lightGray"/>
        </w:rPr>
        <w:t>a 2005. január 1-jéig kereskedelmi gépjárművekben felhasznált dízelüzemanyagot terhelő eltérő adómértékek, amelyek 2003. március 1-jétől nem lehetnek kisebbek 380 EUR/1 000 liternél,</w:t>
      </w:r>
    </w:p>
    <w:p>
      <w:pPr>
        <w:pStyle w:val="Tiret0"/>
        <w:ind w:left="851"/>
        <w:rPr>
          <w:rStyle w:val="CRRefonteDeleted"/>
          <w:noProof/>
          <w:highlight w:val="lightGray"/>
        </w:rPr>
      </w:pPr>
      <w:r>
        <w:rPr>
          <w:rStyle w:val="CRRefonteDeleted"/>
          <w:noProof/>
          <w:highlight w:val="lightGray"/>
        </w:rPr>
        <w:t>az elnéptelenedéssel küzdő területek segítését célzó egyes célkitűzések,</w:t>
      </w:r>
    </w:p>
    <w:p>
      <w:pPr>
        <w:pStyle w:val="Tiret0"/>
        <w:ind w:left="851"/>
        <w:rPr>
          <w:rStyle w:val="CRRefonteDeleted"/>
          <w:noProof/>
          <w:highlight w:val="lightGray"/>
        </w:rPr>
      </w:pPr>
      <w:r>
        <w:rPr>
          <w:rStyle w:val="CRRefonteDeleted"/>
          <w:noProof/>
          <w:highlight w:val="lightGray"/>
        </w:rPr>
        <w:t>a Korzika szigetén történő felhasználás, ha a kedvezményes adómértékek minden esetben megfelelnek a közösségi jogszabályokban az ásványolajokra előírt minimum adómértéknek,</w:t>
      </w:r>
    </w:p>
    <w:p>
      <w:pPr>
        <w:pStyle w:val="Tiret0"/>
        <w:ind w:left="851"/>
        <w:rPr>
          <w:rStyle w:val="CRRefonteDeleted"/>
          <w:noProof/>
          <w:highlight w:val="lightGray"/>
        </w:rPr>
      </w:pPr>
      <w:r>
        <w:rPr>
          <w:rStyle w:val="CRRefonteDeleted"/>
          <w:noProof/>
          <w:highlight w:val="lightGray"/>
        </w:rPr>
        <w:t>a víz és fagyálló vagy gázolaj-emulzió keverékéből előállított, felületaktív anyagokkal stabilizált új üzemanyagra vonatkozó, eltérő jövedékiadó-mértékek, feltéve hogy az eltérő adómértékek összhangban vannak az ezen irányelvben meghatározott kötelezettségekkel, és különösen a minimum jövedékiadó-mértékekkel,</w:t>
      </w:r>
    </w:p>
    <w:p>
      <w:pPr>
        <w:pStyle w:val="Tiret0"/>
        <w:ind w:left="851"/>
        <w:rPr>
          <w:rStyle w:val="CRRefonteDeleted"/>
          <w:noProof/>
          <w:highlight w:val="lightGray"/>
        </w:rPr>
      </w:pPr>
      <w:r>
        <w:rPr>
          <w:rStyle w:val="CRRefonteDeleted"/>
          <w:noProof/>
          <w:highlight w:val="lightGray"/>
        </w:rPr>
        <w:t>a szelepek kiégés elleni állóképességét javító kálium alapú adalékanyagot (vagy bármely más, azonos hatású adalékanyagot) tartalmazó szuper minőségű ólommentes benzin esetében az eltérő jövedékiadó-mértékek,</w:t>
      </w:r>
    </w:p>
    <w:p>
      <w:pPr>
        <w:pStyle w:val="Tiret0"/>
        <w:ind w:left="851"/>
        <w:rPr>
          <w:rStyle w:val="CRRefonteDeleted"/>
          <w:noProof/>
          <w:highlight w:val="lightGray"/>
        </w:rPr>
      </w:pPr>
      <w:r>
        <w:rPr>
          <w:rStyle w:val="CRRefonteDeleted"/>
          <w:noProof/>
          <w:highlight w:val="lightGray"/>
        </w:rPr>
        <w:t>a taxik által felhasznált üzemanyag, egy éves kontingens határain belül,</w:t>
      </w:r>
    </w:p>
    <w:p>
      <w:pPr>
        <w:pStyle w:val="Tiret0"/>
        <w:ind w:left="851"/>
        <w:rPr>
          <w:rStyle w:val="CRRefonteDeleted"/>
          <w:noProof/>
          <w:highlight w:val="lightGray"/>
        </w:rPr>
      </w:pPr>
      <w:r>
        <w:rPr>
          <w:rStyle w:val="CRRefonteDeleted"/>
          <w:noProof/>
          <w:highlight w:val="lightGray"/>
        </w:rPr>
        <w:t>a tömegközlekedés által üzemanyagként felhasznált gáz esetében a jövedéki adó alóli mentesség, egy éves kontingensre is tekintettel,</w:t>
      </w:r>
    </w:p>
    <w:p>
      <w:pPr>
        <w:pStyle w:val="Tiret0"/>
        <w:ind w:left="851"/>
        <w:rPr>
          <w:rStyle w:val="CRRefonteDeleted"/>
          <w:noProof/>
          <w:highlight w:val="lightGray"/>
        </w:rPr>
      </w:pPr>
      <w:r>
        <w:rPr>
          <w:rStyle w:val="CRRefonteDeleted"/>
          <w:noProof/>
          <w:highlight w:val="lightGray"/>
        </w:rPr>
        <w:t>a gáz meghajtású hulladékszállító járművek által motorüzemanyagként felhasznált gáz esetében a jövedéki adó alóli mentesség,</w:t>
      </w:r>
    </w:p>
    <w:p>
      <w:pPr>
        <w:pStyle w:val="Tiret0"/>
        <w:ind w:left="851"/>
        <w:rPr>
          <w:rStyle w:val="CRRefonteDeleted"/>
          <w:noProof/>
          <w:highlight w:val="lightGray"/>
        </w:rPr>
      </w:pPr>
      <w:r>
        <w:rPr>
          <w:rStyle w:val="CRRefonteDeleted"/>
          <w:noProof/>
          <w:highlight w:val="lightGray"/>
        </w:rPr>
        <w:t>a környezetet jobban kímélő tüzelő-, fűtőanyagok használatára történő ösztönzés érdekében a nehéz fűtőolajokat terhelő adó mértékének csökkentése; e csökkentés kifejezetten a kéntartalomhoz igazodik, és a nehéz fűtőolajok adómértékének meg kell felelnie a közösségi jogszabályok által a nehéz fűtőolajokra előírt minimum adómértéknek,</w:t>
      </w:r>
    </w:p>
    <w:p>
      <w:pPr>
        <w:pStyle w:val="Tiret0"/>
        <w:ind w:left="851"/>
        <w:rPr>
          <w:rStyle w:val="CRRefonteDeleted"/>
          <w:noProof/>
          <w:highlight w:val="lightGray"/>
        </w:rPr>
      </w:pPr>
      <w:r>
        <w:rPr>
          <w:rStyle w:val="CRRefonteDeleted"/>
          <w:noProof/>
          <w:highlight w:val="lightGray"/>
        </w:rPr>
        <w:t>a Gardanne régióban timföldgyártásra üzemanyagként felhasznált nehéz fűtőolajokra vonatkozó mentesség,</w:t>
      </w:r>
    </w:p>
    <w:p>
      <w:pPr>
        <w:pStyle w:val="Tiret0"/>
        <w:ind w:left="851"/>
        <w:rPr>
          <w:rStyle w:val="CRRefonteDeleted"/>
          <w:noProof/>
          <w:highlight w:val="lightGray"/>
        </w:rPr>
      </w:pPr>
      <w:r>
        <w:rPr>
          <w:rStyle w:val="CRRefonteDeleted"/>
          <w:noProof/>
          <w:highlight w:val="lightGray"/>
        </w:rPr>
        <w:t>a légi közlekedés, az ezen irányelv 14. cikke (1) bekezdésének b) pontjában említettek kivételével,</w:t>
      </w:r>
    </w:p>
    <w:p>
      <w:pPr>
        <w:pStyle w:val="Tiret0"/>
        <w:ind w:left="851"/>
        <w:rPr>
          <w:rStyle w:val="CRRefonteDeleted"/>
          <w:noProof/>
          <w:highlight w:val="lightGray"/>
        </w:rPr>
      </w:pPr>
      <w:r>
        <w:rPr>
          <w:rStyle w:val="CRRefonteDeleted"/>
          <w:noProof/>
          <w:highlight w:val="lightGray"/>
        </w:rPr>
        <w:t>a Korzika kikötőiből magánjellegű, kedvtelési célú hajók részére szállított benzin,</w:t>
      </w:r>
    </w:p>
    <w:p>
      <w:pPr>
        <w:pStyle w:val="Tiret0"/>
        <w:ind w:left="851"/>
        <w:rPr>
          <w:rStyle w:val="CRRefonteDeleted"/>
          <w:noProof/>
          <w:highlight w:val="lightGray"/>
        </w:rPr>
      </w:pPr>
      <w:r>
        <w:rPr>
          <w:rStyle w:val="CRRefonteDeleted"/>
          <w:noProof/>
          <w:highlight w:val="lightGray"/>
        </w:rPr>
        <w:t>a fűtőolajként újrafelhasznált használt olaj, közvetlenül visszanyerés után vagy a használt olajokra alkalmazott újrahasznosítási eljárást követően, ha az újrahasznosítás adóköteles,</w:t>
      </w:r>
    </w:p>
    <w:p>
      <w:pPr>
        <w:pStyle w:val="Tiret0"/>
        <w:ind w:left="851"/>
        <w:rPr>
          <w:rStyle w:val="CRRefonteDeleted"/>
          <w:noProof/>
          <w:highlight w:val="lightGray"/>
        </w:rPr>
      </w:pPr>
      <w:r>
        <w:rPr>
          <w:rStyle w:val="CRRefonteDeleted"/>
          <w:noProof/>
          <w:highlight w:val="lightGray"/>
        </w:rPr>
        <w:t>a helyi tömegközlekedési járművek 2005. december 31-ig,</w:t>
      </w:r>
    </w:p>
    <w:p>
      <w:pPr>
        <w:pStyle w:val="Tiret0"/>
        <w:ind w:left="851"/>
        <w:rPr>
          <w:rStyle w:val="CRRefonteDeleted"/>
          <w:noProof/>
          <w:highlight w:val="lightGray"/>
        </w:rPr>
      </w:pPr>
      <w:r>
        <w:rPr>
          <w:rStyle w:val="CRRefonteDeleted"/>
          <w:noProof/>
          <w:highlight w:val="lightGray"/>
        </w:rPr>
        <w:t>a „mezőgazdasági eredetű alkohol-összetevőt tartalmazó benzin-/etilalkohol-származékokból” álló üzemanyag-keveréket terhelő eltérő jövedékiadó-mérték alkalmazása, és „dízel-/növényiolaj-észterekből” álló üzemanyag-keveréket terhelő eltérő jövedékiadó-mérték alkalmazása iránti engedély megadása. Annak érdekében, hogy lehetővé tegyék a növényiolaj-észtereket és etilalkohol-származékokat tartalmazó, ezen irányelv értelmezése szerint üzemanyagként felhasznált keverékek jövedéki adójának kedvezményét, a francia hatóságoknak legkésőbb 2003. december 31-ig ki kell adniuk a szükséges engedélyeket az érintett bioüzemanyag-előállító egységek részére. Az engedélyek a kiállítás időpontjától számítva legfeljebb hat évig érvényesek. Az engedélyben meghatározott kedvezményt 2003. december 31. után az engedély érvényességének lejártáig lehet alkalmazni. A jövedékiadó-mértékek kedvezménye nem haladhatja meg a 35,06 EUR/hl vagy 396,64 EUR/tonna értéket olyan növényiolaj-észterekre, illetve az 50,23 EUR/hl vagy 297,35 EUR/tonna értéket olyan etilalkohol-származékokra, amelyeket az említett keverékekben használnak. A jövedékiadó-mértékek kedvezményeit ki kell igazítani a nyersanyagok árában történő változások figyelembevételével, hogy elkerüljék a bioüzemanyagok gyártásával járó többletköltségek túlkompenzálását. Ezt a határozatot 1997. november 1-jétől kell alkalmazni. Ez a határozat 2003. december 31-én hatályát veszti,</w:t>
      </w:r>
    </w:p>
    <w:p>
      <w:pPr>
        <w:pStyle w:val="Tiret0"/>
        <w:ind w:left="851"/>
        <w:rPr>
          <w:rStyle w:val="CRRefonteDeleted"/>
          <w:noProof/>
          <w:highlight w:val="lightGray"/>
        </w:rPr>
      </w:pPr>
      <w:r>
        <w:rPr>
          <w:rStyle w:val="CRRefonteDeleted"/>
          <w:noProof/>
          <w:highlight w:val="lightGray"/>
        </w:rPr>
        <w:t>a „háztartási tüzelőolaj-/növényiolaj-észterekből” álló üzemanyag-keverékeket terhelő eltérő jövedékiadó-mérték engedélyezése való alkalmazásának engedélyezése. Annak érdekében, hogy lehetővé tegyék a növényiolaj-észtereket tartalmazó, ezen irányelv értelmezése szerint üzemanyagként használt keverékek jövedéki adójának csökkentését, a francia hatóságoknak legkésőbb 2003. december 31-ig ki kell adniuk a szükséges engedélyeket az érintett bioüzemanyag-előállító egységek részére. Az engedélyek a kiállítás időpontjától számítva legfeljebb hat évig érvényesek. Az engedélyben meghatározott kedvezményt 2003. december 31. után az engedély érvényességének lejártáig lehet alkalmazni, de nem lehet meghosszabbítani. A jövedékiadó-mértékek kedvezménye nem haladhatja meg a 35,06 EUR/hl vagy 396,64 EUR/tonna értéket az említett keverékekben használt növényiolaj-észterek esetében. A jövedékiadó-mértékek kedvezményeit ki kell igazítani a nyersanyagok árában történő változások figyelembevételével, hogy elkerüljék a bioüzemanyagok gyártásával járó többletköltségek túlkompenzálását. Ezt a határozatot 1997. november 1-jétől kell alkalmazni. Ez a határozat 2003. december 31-én hatályát veszti.</w:t>
      </w:r>
    </w:p>
    <w:p>
      <w:pPr>
        <w:pStyle w:val="ManualHeading1"/>
        <w:ind w:left="851" w:hanging="851"/>
        <w:rPr>
          <w:rStyle w:val="CRRefonteDeleted"/>
          <w:noProof/>
          <w:highlight w:val="lightGray"/>
        </w:rPr>
      </w:pPr>
      <w:r>
        <w:rPr>
          <w:rStyle w:val="CRRefonteDeleted"/>
          <w:noProof/>
          <w:highlight w:val="lightGray"/>
        </w:rPr>
        <w:t>7.</w:t>
      </w:r>
      <w:r>
        <w:rPr>
          <w:noProof/>
        </w:rPr>
        <w:tab/>
      </w:r>
      <w:r>
        <w:rPr>
          <w:rStyle w:val="CRRefonteDeleted"/>
          <w:noProof/>
          <w:highlight w:val="lightGray"/>
        </w:rPr>
        <w:t>ÍRORSZÁG:</w:t>
      </w:r>
    </w:p>
    <w:p>
      <w:pPr>
        <w:pStyle w:val="Tiret0"/>
        <w:ind w:left="851"/>
        <w:rPr>
          <w:rStyle w:val="CRRefonteDeleted"/>
          <w:noProof/>
          <w:highlight w:val="lightGray"/>
        </w:rPr>
      </w:pPr>
      <w:r>
        <w:rPr>
          <w:rStyle w:val="CRRefonteDeleted"/>
          <w:noProof/>
          <w:highlight w:val="lightGray"/>
        </w:rPr>
        <w:t>a motorüzemanyagként felhasznált cseppfolyósított szénhidrogén (LPG), földgáz és metán,</w:t>
      </w:r>
    </w:p>
    <w:p>
      <w:pPr>
        <w:pStyle w:val="Tiret0"/>
        <w:ind w:left="851"/>
        <w:rPr>
          <w:rStyle w:val="CRRefonteDeleted"/>
          <w:noProof/>
          <w:highlight w:val="lightGray"/>
        </w:rPr>
      </w:pPr>
      <w:r>
        <w:rPr>
          <w:rStyle w:val="CRRefonteDeleted"/>
          <w:noProof/>
          <w:highlight w:val="lightGray"/>
        </w:rPr>
        <w:t>a fogyatékkal élő személyek által használt gépjárművek,</w:t>
      </w:r>
    </w:p>
    <w:p>
      <w:pPr>
        <w:pStyle w:val="Tiret0"/>
        <w:ind w:left="851"/>
        <w:rPr>
          <w:rStyle w:val="CRRefonteDeleted"/>
          <w:noProof/>
          <w:highlight w:val="lightGray"/>
        </w:rPr>
      </w:pPr>
      <w:r>
        <w:rPr>
          <w:rStyle w:val="CRRefonteDeleted"/>
          <w:noProof/>
          <w:highlight w:val="lightGray"/>
        </w:rPr>
        <w:t>a helyi tömegközlekedési járművek,</w:t>
      </w:r>
    </w:p>
    <w:p>
      <w:pPr>
        <w:pStyle w:val="Tiret0"/>
        <w:ind w:left="851"/>
        <w:rPr>
          <w:rStyle w:val="CRRefonteDeleted"/>
          <w:noProof/>
          <w:highlight w:val="lightGray"/>
        </w:rPr>
      </w:pPr>
      <w:r>
        <w:rPr>
          <w:rStyle w:val="CRRefonteDeleted"/>
          <w:noProof/>
          <w:highlight w:val="lightGray"/>
        </w:rPr>
        <w:t>az ólommentes benzinre vonatkozó, a különböző környezetvédelmi kategóriákat tükröző eltérő adómértékek, feltéve hogy az eltérő adómértékek összhangban vannak az ezen irányelvben meghatározott kötelezettségekkel, és különösen annak a 7. cikkében meghatározott minimum adómértékekkel,</w:t>
      </w:r>
    </w:p>
    <w:p>
      <w:pPr>
        <w:pStyle w:val="Tiret0"/>
        <w:ind w:left="851"/>
        <w:rPr>
          <w:rStyle w:val="CRRefonteDeleted"/>
          <w:noProof/>
          <w:highlight w:val="lightGray"/>
        </w:rPr>
      </w:pPr>
      <w:r>
        <w:rPr>
          <w:rStyle w:val="CRRefonteDeleted"/>
          <w:noProof/>
          <w:highlight w:val="lightGray"/>
        </w:rPr>
        <w:t>az alacsony kéntartalmú dízelüzemanyag eltérő jövedékiadó-mértéke,</w:t>
      </w:r>
    </w:p>
    <w:p>
      <w:pPr>
        <w:pStyle w:val="Tiret0"/>
        <w:ind w:left="851"/>
        <w:rPr>
          <w:rStyle w:val="CRRefonteDeleted"/>
          <w:noProof/>
          <w:highlight w:val="lightGray"/>
        </w:rPr>
      </w:pPr>
      <w:r>
        <w:rPr>
          <w:rStyle w:val="CRRefonteDeleted"/>
          <w:noProof/>
          <w:highlight w:val="lightGray"/>
        </w:rPr>
        <w:t>a Shannon régióban történő timföldgyártás,</w:t>
      </w:r>
    </w:p>
    <w:p>
      <w:pPr>
        <w:pStyle w:val="Tiret0"/>
        <w:ind w:left="851"/>
        <w:rPr>
          <w:rStyle w:val="CRRefonteDeleted"/>
          <w:noProof/>
          <w:highlight w:val="lightGray"/>
        </w:rPr>
      </w:pPr>
      <w:r>
        <w:rPr>
          <w:rStyle w:val="CRRefonteDeleted"/>
          <w:noProof/>
          <w:highlight w:val="lightGray"/>
        </w:rPr>
        <w:t>a légi közlekedés, az ezen irányelv 14. cikke (1) bekezdésének b) pontjában említettek kivételével,</w:t>
      </w:r>
    </w:p>
    <w:p>
      <w:pPr>
        <w:pStyle w:val="Tiret0"/>
        <w:ind w:left="851"/>
        <w:rPr>
          <w:rStyle w:val="CRRefonteDeleted"/>
          <w:noProof/>
          <w:highlight w:val="lightGray"/>
        </w:rPr>
      </w:pPr>
      <w:r>
        <w:rPr>
          <w:rStyle w:val="CRRefonteDeleted"/>
          <w:noProof/>
          <w:highlight w:val="lightGray"/>
        </w:rPr>
        <w:t>a magánjellegű, kedvtelési célú hajózás,</w:t>
      </w:r>
    </w:p>
    <w:p>
      <w:pPr>
        <w:pStyle w:val="Tiret0"/>
        <w:ind w:left="851"/>
        <w:rPr>
          <w:rStyle w:val="CRRefonteDeleted"/>
          <w:noProof/>
          <w:highlight w:val="lightGray"/>
        </w:rPr>
      </w:pPr>
      <w:r>
        <w:rPr>
          <w:rStyle w:val="CRRefonteDeleted"/>
          <w:noProof/>
          <w:highlight w:val="lightGray"/>
        </w:rPr>
        <w:t>a fűtőolajként újrafelhasznált használt olaj, közvetlenül visszanyerés után vagy a használt olajokra alkalmazott újrahasznosítási eljárást követően, ha az újrahasznosítás adóköteles.</w:t>
      </w:r>
    </w:p>
    <w:p>
      <w:pPr>
        <w:pStyle w:val="ManualHeading1"/>
        <w:ind w:left="851" w:hanging="851"/>
        <w:rPr>
          <w:rStyle w:val="CRRefonteDeleted"/>
          <w:noProof/>
          <w:highlight w:val="lightGray"/>
        </w:rPr>
      </w:pPr>
      <w:r>
        <w:rPr>
          <w:rStyle w:val="CRRefonteDeleted"/>
          <w:noProof/>
          <w:highlight w:val="lightGray"/>
        </w:rPr>
        <w:t>8.</w:t>
      </w:r>
      <w:r>
        <w:rPr>
          <w:noProof/>
        </w:rPr>
        <w:tab/>
      </w:r>
      <w:r>
        <w:rPr>
          <w:rStyle w:val="CRRefonteDeleted"/>
          <w:noProof/>
          <w:highlight w:val="lightGray"/>
        </w:rPr>
        <w:t>OLASZORSZÁG:</w:t>
      </w:r>
    </w:p>
    <w:p>
      <w:pPr>
        <w:pStyle w:val="Tiret0"/>
        <w:ind w:left="851"/>
        <w:rPr>
          <w:rStyle w:val="CRRefonteDeleted"/>
          <w:noProof/>
          <w:highlight w:val="lightGray"/>
        </w:rPr>
      </w:pPr>
      <w:r>
        <w:rPr>
          <w:rStyle w:val="CRRefonteDeleted"/>
          <w:noProof/>
          <w:highlight w:val="lightGray"/>
        </w:rPr>
        <w:t>az 5 % vagy 25 % bio-dízelüzemanyagot tartalmazó, üzemanyagként felhasznált keverékeket terhelő eltérő jövedékiadó-mértékek, 2004. június 30-ig. A jövedéki adó kedvezménye nem lehet nagyobb, mint azon jövedéki adó összege, amelyet a kedvezményre jogosult termékekben jelen levő bioüzemanyagok térfogata után kell fizetni. A jövedékiadó-mértékek kedvezményeit ki kell igazítani a nyersanyagok árában történő változások figyelembevételével, hogy elkerüljék a bioüzemanyagok gyártásával járó többletköltségek túlkompenzálását,</w:t>
      </w:r>
    </w:p>
    <w:p>
      <w:pPr>
        <w:pStyle w:val="Tiret0"/>
        <w:ind w:left="851"/>
        <w:rPr>
          <w:rStyle w:val="CRRefonteDeleted"/>
          <w:noProof/>
          <w:highlight w:val="lightGray"/>
        </w:rPr>
      </w:pPr>
      <w:r>
        <w:rPr>
          <w:rStyle w:val="CRRefonteDeleted"/>
          <w:noProof/>
          <w:highlight w:val="lightGray"/>
        </w:rPr>
        <w:t>a 2005. január 1-jéig a közúti fuvarozók által használt üzemanyag jövedékiadó-mértékének kedvezménye, amely jövedéki adó nem lehet kisebb 2004. január 1- jétől 370 EUR/1 000 liternél,</w:t>
      </w:r>
    </w:p>
    <w:p>
      <w:pPr>
        <w:pStyle w:val="Tiret0"/>
        <w:ind w:left="851"/>
        <w:rPr>
          <w:rStyle w:val="CRRefonteDeleted"/>
          <w:noProof/>
          <w:highlight w:val="lightGray"/>
        </w:rPr>
      </w:pPr>
      <w:r>
        <w:rPr>
          <w:rStyle w:val="CRRefonteDeleted"/>
          <w:noProof/>
          <w:highlight w:val="lightGray"/>
        </w:rPr>
        <w:t>a hulladék szénhidrogéngázok üzemanyagként való felhasználása,</w:t>
      </w:r>
    </w:p>
    <w:p>
      <w:pPr>
        <w:pStyle w:val="Tiret0"/>
        <w:ind w:left="851"/>
        <w:rPr>
          <w:rStyle w:val="CRRefonteDeleted"/>
          <w:noProof/>
          <w:highlight w:val="lightGray"/>
        </w:rPr>
      </w:pPr>
      <w:r>
        <w:rPr>
          <w:rStyle w:val="CRRefonteDeleted"/>
          <w:noProof/>
          <w:highlight w:val="lightGray"/>
        </w:rPr>
        <w:t>2000. október 1-jétől 2005. december 31-ig a víz/dízelüzemanyag emulziókat és víz/nehézfűtőolaj emulziókat terhelő kedvezményes jövedékiadó-mérték, feltéve hogy a kedvezményes adómérték összhangban van az ezen irányelvben meghatározott kötelezettségekkel, és különösen a minimum jövedékiadó-mértékekkel,</w:t>
      </w:r>
    </w:p>
    <w:p>
      <w:pPr>
        <w:pStyle w:val="Tiret0"/>
        <w:ind w:left="851"/>
        <w:rPr>
          <w:rStyle w:val="CRRefonteDeleted"/>
          <w:noProof/>
          <w:highlight w:val="lightGray"/>
        </w:rPr>
      </w:pPr>
      <w:r>
        <w:rPr>
          <w:rStyle w:val="CRRefonteDeleted"/>
          <w:noProof/>
          <w:highlight w:val="lightGray"/>
        </w:rPr>
        <w:t>a gépjárművekben üzemanyagként felhasznált metán,</w:t>
      </w:r>
    </w:p>
    <w:p>
      <w:pPr>
        <w:pStyle w:val="Tiret0"/>
        <w:ind w:left="851"/>
        <w:rPr>
          <w:rStyle w:val="CRRefonteDeleted"/>
          <w:noProof/>
          <w:highlight w:val="lightGray"/>
        </w:rPr>
      </w:pPr>
      <w:r>
        <w:rPr>
          <w:rStyle w:val="CRRefonteDeleted"/>
          <w:noProof/>
          <w:highlight w:val="lightGray"/>
        </w:rPr>
        <w:t>a nemzeti fegyveres erők,</w:t>
      </w:r>
    </w:p>
    <w:p>
      <w:pPr>
        <w:pStyle w:val="Tiret0"/>
        <w:ind w:left="851"/>
        <w:rPr>
          <w:rStyle w:val="CRRefonteDeleted"/>
          <w:noProof/>
          <w:highlight w:val="lightGray"/>
        </w:rPr>
      </w:pPr>
      <w:r>
        <w:rPr>
          <w:rStyle w:val="CRRefonteDeleted"/>
          <w:noProof/>
          <w:highlight w:val="lightGray"/>
        </w:rPr>
        <w:t>a mentők,</w:t>
      </w:r>
    </w:p>
    <w:p>
      <w:pPr>
        <w:pStyle w:val="Tiret0"/>
        <w:ind w:left="851"/>
        <w:rPr>
          <w:rStyle w:val="CRRefonteDeleted"/>
          <w:noProof/>
          <w:highlight w:val="lightGray"/>
        </w:rPr>
      </w:pPr>
      <w:r>
        <w:rPr>
          <w:rStyle w:val="CRRefonteDeleted"/>
          <w:noProof/>
          <w:highlight w:val="lightGray"/>
        </w:rPr>
        <w:t>a helyi tömegközlekedési járművek,</w:t>
      </w:r>
    </w:p>
    <w:p>
      <w:pPr>
        <w:pStyle w:val="Tiret0"/>
        <w:ind w:left="851"/>
        <w:rPr>
          <w:rStyle w:val="CRRefonteDeleted"/>
          <w:noProof/>
          <w:highlight w:val="lightGray"/>
        </w:rPr>
      </w:pPr>
      <w:r>
        <w:rPr>
          <w:rStyle w:val="CRRefonteDeleted"/>
          <w:noProof/>
          <w:highlight w:val="lightGray"/>
        </w:rPr>
        <w:t>a taxik által felhasznált üzemanyag,</w:t>
      </w:r>
    </w:p>
    <w:p>
      <w:pPr>
        <w:pStyle w:val="Tiret0"/>
        <w:ind w:left="851"/>
        <w:rPr>
          <w:rStyle w:val="CRRefonteDeleted"/>
          <w:noProof/>
          <w:highlight w:val="lightGray"/>
        </w:rPr>
      </w:pPr>
      <w:r>
        <w:rPr>
          <w:rStyle w:val="CRRefonteDeleted"/>
          <w:noProof/>
          <w:highlight w:val="lightGray"/>
        </w:rPr>
        <w:t>egyes különösen hátrányos helyzetű földrajzi területeken kedvezményes jövedékiadó-mértékek, a háztartási fűtőanyag, valamint az ilyen területek hálózatain keresztül elosztott és fűtésre felhasznált cseppfolyósított szénhidrogén (LPG) esetében, feltéve hogy az adómértékek összhangban vannak az ezen irányelvben meghatározott kötelezettségekkel, és különösen a minimum jövedékiadó-mértékekkel,</w:t>
      </w:r>
    </w:p>
    <w:p>
      <w:pPr>
        <w:pStyle w:val="Tiret0"/>
        <w:ind w:left="851"/>
        <w:rPr>
          <w:rStyle w:val="CRRefonteDeleted"/>
          <w:noProof/>
          <w:highlight w:val="lightGray"/>
        </w:rPr>
      </w:pPr>
      <w:r>
        <w:rPr>
          <w:rStyle w:val="CRRefonteDeleted"/>
          <w:noProof/>
          <w:highlight w:val="lightGray"/>
        </w:rPr>
        <w:t>a Val d'Aosta és a Gorizia körzet területén történő felhasználás,</w:t>
      </w:r>
    </w:p>
    <w:p>
      <w:pPr>
        <w:pStyle w:val="Tiret0"/>
        <w:ind w:left="851"/>
        <w:rPr>
          <w:rStyle w:val="CRRefonteDeleted"/>
          <w:noProof/>
          <w:highlight w:val="lightGray"/>
        </w:rPr>
      </w:pPr>
      <w:r>
        <w:rPr>
          <w:rStyle w:val="CRRefonteDeleted"/>
          <w:noProof/>
          <w:highlight w:val="lightGray"/>
        </w:rPr>
        <w:t>a Friuli-Venezia Guilia területen felhasznált benzin esetében a kedvezményes jövedékiadó-mértékek, feltéve hogy az adómértékek összhangban vannak az ezen irányelvben meghatározott kötelezettségekkel és különösen a minimum jövedékiadó-mértékekkel,</w:t>
      </w:r>
    </w:p>
    <w:p>
      <w:pPr>
        <w:pStyle w:val="Tiret0"/>
        <w:ind w:left="851"/>
        <w:rPr>
          <w:rStyle w:val="CRRefonteDeleted"/>
          <w:noProof/>
          <w:highlight w:val="lightGray"/>
        </w:rPr>
      </w:pPr>
      <w:r>
        <w:rPr>
          <w:rStyle w:val="CRRefonteDeleted"/>
          <w:noProof/>
          <w:highlight w:val="lightGray"/>
        </w:rPr>
        <w:t>az Udine és Trieste körzetben felhasznált ásványolajokra vonatkozóan a kedvezményes jövedékiadó-mértékek, feltéve hogy az adómértékek összhangban vannak az ezen irányelvben meghatározott kötelezettségekkel,</w:t>
      </w:r>
    </w:p>
    <w:p>
      <w:pPr>
        <w:pStyle w:val="Tiret0"/>
        <w:ind w:left="851"/>
        <w:rPr>
          <w:rStyle w:val="CRRefonteDeleted"/>
          <w:noProof/>
          <w:highlight w:val="lightGray"/>
        </w:rPr>
      </w:pPr>
      <w:r>
        <w:rPr>
          <w:rStyle w:val="CRRefonteDeleted"/>
          <w:noProof/>
          <w:highlight w:val="lightGray"/>
        </w:rPr>
        <w:t>a Szardínián timföldgyártáshoz tüzelőanyagként felhasznált ásványolajok esetében a jövedéki adó alóli mentesség,</w:t>
      </w:r>
    </w:p>
    <w:p>
      <w:pPr>
        <w:pStyle w:val="Tiret0"/>
        <w:ind w:left="851"/>
        <w:rPr>
          <w:rStyle w:val="CRRefonteDeleted"/>
          <w:noProof/>
          <w:highlight w:val="lightGray"/>
        </w:rPr>
      </w:pPr>
      <w:r>
        <w:rPr>
          <w:rStyle w:val="CRRefonteDeleted"/>
          <w:noProof/>
          <w:highlight w:val="lightGray"/>
        </w:rPr>
        <w:t>a Calabria körzetben a gőz előállításra felhasznált fűtőolajok és a molekuláris sziták szárítására és aktiválására felhasznált gázolaj kedvezményes jövedékiadó-mértékei, feltéve hogy az adómértékek összhangban vannak az ezen irányelvben meghatározott kötelezettségekkel,</w:t>
      </w:r>
    </w:p>
    <w:p>
      <w:pPr>
        <w:pStyle w:val="Tiret0"/>
        <w:ind w:left="851"/>
        <w:rPr>
          <w:rStyle w:val="CRRefonteDeleted"/>
          <w:noProof/>
          <w:highlight w:val="lightGray"/>
        </w:rPr>
      </w:pPr>
      <w:r>
        <w:rPr>
          <w:rStyle w:val="CRRefonteDeleted"/>
          <w:noProof/>
          <w:highlight w:val="lightGray"/>
        </w:rPr>
        <w:t>a légi közlekedés, az ezen irányelv 14. cikke (1) bekezdésének b) pontjában említettek kivételével,</w:t>
      </w:r>
    </w:p>
    <w:p>
      <w:pPr>
        <w:pStyle w:val="Tiret0"/>
        <w:ind w:left="851"/>
        <w:rPr>
          <w:rStyle w:val="CRRefonteDeleted"/>
          <w:noProof/>
          <w:highlight w:val="lightGray"/>
        </w:rPr>
      </w:pPr>
      <w:r>
        <w:rPr>
          <w:rStyle w:val="CRRefonteDeleted"/>
          <w:noProof/>
          <w:highlight w:val="lightGray"/>
        </w:rPr>
        <w:t>a fűtőolajként újrafelhasznált használt olaj, közvetlenül visszanyerés után vagy a használt olajokra alkalmazott újrahasznosítási eljárást követően, ha az újrahasznosítás adóköteles.</w:t>
      </w:r>
    </w:p>
    <w:p>
      <w:pPr>
        <w:pStyle w:val="ManualHeading1"/>
        <w:ind w:left="851" w:hanging="851"/>
        <w:rPr>
          <w:rStyle w:val="CRRefonteDeleted"/>
          <w:noProof/>
          <w:highlight w:val="lightGray"/>
        </w:rPr>
      </w:pPr>
      <w:r>
        <w:rPr>
          <w:rStyle w:val="CRRefonteDeleted"/>
          <w:noProof/>
          <w:highlight w:val="lightGray"/>
        </w:rPr>
        <w:t>9.</w:t>
      </w:r>
      <w:r>
        <w:rPr>
          <w:noProof/>
        </w:rPr>
        <w:tab/>
      </w:r>
      <w:r>
        <w:rPr>
          <w:rStyle w:val="CRRefonteDeleted"/>
          <w:noProof/>
          <w:highlight w:val="lightGray"/>
        </w:rPr>
        <w:t>LUXEMBURG:</w:t>
      </w:r>
    </w:p>
    <w:p>
      <w:pPr>
        <w:pStyle w:val="Tiret0"/>
        <w:ind w:left="851"/>
        <w:rPr>
          <w:rStyle w:val="CRRefonteDeleted"/>
          <w:noProof/>
          <w:highlight w:val="lightGray"/>
        </w:rPr>
      </w:pPr>
      <w:r>
        <w:rPr>
          <w:rStyle w:val="CRRefonteDeleted"/>
          <w:noProof/>
          <w:highlight w:val="lightGray"/>
        </w:rPr>
        <w:t>a cseppfolyósított szénhidrogén (LPG), földgáz és metán,</w:t>
      </w:r>
    </w:p>
    <w:p>
      <w:pPr>
        <w:pStyle w:val="Tiret0"/>
        <w:ind w:left="851"/>
        <w:rPr>
          <w:rStyle w:val="CRRefonteDeleted"/>
          <w:noProof/>
          <w:highlight w:val="lightGray"/>
        </w:rPr>
      </w:pPr>
      <w:r>
        <w:rPr>
          <w:rStyle w:val="CRRefonteDeleted"/>
          <w:noProof/>
          <w:highlight w:val="lightGray"/>
        </w:rPr>
        <w:t>a helyi tömegközlekedési járművek,</w:t>
      </w:r>
    </w:p>
    <w:p>
      <w:pPr>
        <w:pStyle w:val="Tiret0"/>
        <w:ind w:left="851"/>
        <w:rPr>
          <w:rStyle w:val="CRRefonteDeleted"/>
          <w:noProof/>
          <w:highlight w:val="lightGray"/>
        </w:rPr>
      </w:pPr>
      <w:r>
        <w:rPr>
          <w:rStyle w:val="CRRefonteDeleted"/>
          <w:noProof/>
          <w:highlight w:val="lightGray"/>
        </w:rPr>
        <w:t>a környezetet jobban kímélő tüzelőanyagok használatára való ösztönzés érdekében a nehéz fűtőolajok jövedékiadó-mértékének csökkentése. E csökkentés kifejezetten a kéntartalomhoz igazodik, és a kedvezményes mérték nem lehet kevesebb, mint tonnánként 6,5 euró,</w:t>
      </w:r>
    </w:p>
    <w:p>
      <w:pPr>
        <w:pStyle w:val="Tiret0"/>
        <w:ind w:left="851"/>
        <w:rPr>
          <w:rStyle w:val="CRRefonteDeleted"/>
          <w:noProof/>
          <w:highlight w:val="lightGray"/>
        </w:rPr>
      </w:pPr>
      <w:r>
        <w:rPr>
          <w:rStyle w:val="CRRefonteDeleted"/>
          <w:noProof/>
          <w:highlight w:val="lightGray"/>
        </w:rPr>
        <w:t>a fűtőolajként újrafelhasznált használt olaj, közvetlenül visszanyerés után vagy a használt olajokra alkalmazott újrahasznosítási eljárást követően, ha az újrahasznosítás adóköteles.</w:t>
      </w:r>
    </w:p>
    <w:p>
      <w:pPr>
        <w:pStyle w:val="ManualHeading1"/>
        <w:ind w:left="851" w:hanging="851"/>
        <w:rPr>
          <w:rStyle w:val="CRRefonteDeleted"/>
          <w:noProof/>
          <w:highlight w:val="lightGray"/>
        </w:rPr>
      </w:pPr>
      <w:r>
        <w:rPr>
          <w:rStyle w:val="CRRefonteDeleted"/>
          <w:noProof/>
          <w:highlight w:val="lightGray"/>
        </w:rPr>
        <w:t>10.</w:t>
      </w:r>
      <w:r>
        <w:rPr>
          <w:noProof/>
        </w:rPr>
        <w:tab/>
      </w:r>
      <w:r>
        <w:rPr>
          <w:rStyle w:val="CRRefonteDeleted"/>
          <w:noProof/>
          <w:highlight w:val="lightGray"/>
        </w:rPr>
        <w:t>HOLLANDIA:</w:t>
      </w:r>
    </w:p>
    <w:p>
      <w:pPr>
        <w:pStyle w:val="Tiret0"/>
        <w:ind w:left="851"/>
        <w:rPr>
          <w:rStyle w:val="CRRefonteDeleted"/>
          <w:noProof/>
          <w:highlight w:val="lightGray"/>
        </w:rPr>
      </w:pPr>
      <w:r>
        <w:rPr>
          <w:rStyle w:val="CRRefonteDeleted"/>
          <w:noProof/>
          <w:highlight w:val="lightGray"/>
        </w:rPr>
        <w:t>a cseppfolyósított szénhidrogén (LPG), a földgáz és a metán,</w:t>
      </w:r>
    </w:p>
    <w:p>
      <w:pPr>
        <w:pStyle w:val="Tiret0"/>
        <w:ind w:left="851"/>
        <w:rPr>
          <w:rStyle w:val="CRRefonteDeleted"/>
          <w:noProof/>
          <w:highlight w:val="lightGray"/>
        </w:rPr>
      </w:pPr>
      <w:r>
        <w:rPr>
          <w:rStyle w:val="CRRefonteDeleted"/>
          <w:noProof/>
          <w:highlight w:val="lightGray"/>
        </w:rPr>
        <w:t>elemzés és gyártási kísérletek céljából vagy más tudományos célból az ásványolajok mintái,</w:t>
      </w:r>
    </w:p>
    <w:p>
      <w:pPr>
        <w:pStyle w:val="Tiret0"/>
        <w:ind w:left="851"/>
        <w:rPr>
          <w:rStyle w:val="CRRefonteDeleted"/>
          <w:noProof/>
          <w:highlight w:val="lightGray"/>
        </w:rPr>
      </w:pPr>
      <w:r>
        <w:rPr>
          <w:rStyle w:val="CRRefonteDeleted"/>
          <w:noProof/>
          <w:highlight w:val="lightGray"/>
        </w:rPr>
        <w:t>a nemzeti fegyveres erők általi felhasználás,</w:t>
      </w:r>
    </w:p>
    <w:p>
      <w:pPr>
        <w:pStyle w:val="Tiret0"/>
        <w:ind w:left="851"/>
        <w:rPr>
          <w:rStyle w:val="CRRefonteDeleted"/>
          <w:noProof/>
          <w:highlight w:val="lightGray"/>
        </w:rPr>
      </w:pPr>
      <w:r>
        <w:rPr>
          <w:rStyle w:val="CRRefonteDeleted"/>
          <w:noProof/>
          <w:highlight w:val="lightGray"/>
        </w:rPr>
        <w:t>a tömegközlekedésben üzemanyagként felhasznált cseppfolyósított szénhidrogén (LPG) esetén az eltérő jövedékiadó-mértékek alkalmazása,</w:t>
      </w:r>
    </w:p>
    <w:p>
      <w:pPr>
        <w:pStyle w:val="Tiret0"/>
        <w:ind w:left="851"/>
        <w:rPr>
          <w:rStyle w:val="CRRefonteDeleted"/>
          <w:noProof/>
          <w:highlight w:val="lightGray"/>
        </w:rPr>
      </w:pPr>
      <w:r>
        <w:rPr>
          <w:rStyle w:val="CRRefonteDeleted"/>
          <w:noProof/>
          <w:highlight w:val="lightGray"/>
        </w:rPr>
        <w:t>a hulladékgyűjtő, csatornatisztító és úttisztító járművek által üzemanyagként felhasznált cseppfolyósított szénhidrogén (LPG) esetén az eltérő jövedékiadó-mértékek,</w:t>
      </w:r>
    </w:p>
    <w:p>
      <w:pPr>
        <w:pStyle w:val="Tiret0"/>
        <w:ind w:left="851"/>
        <w:rPr>
          <w:rStyle w:val="CRRefonteDeleted"/>
          <w:noProof/>
          <w:highlight w:val="lightGray"/>
        </w:rPr>
      </w:pPr>
      <w:r>
        <w:rPr>
          <w:rStyle w:val="CRRefonteDeleted"/>
          <w:noProof/>
          <w:highlight w:val="lightGray"/>
        </w:rPr>
        <w:t>2004. december 31-ig az alacsony kéntartalmú (50 ppm) dízelüzemanyag eltérő jövedékiadó-mértéke,</w:t>
      </w:r>
    </w:p>
    <w:p>
      <w:pPr>
        <w:pStyle w:val="Tiret0"/>
        <w:ind w:left="851"/>
        <w:rPr>
          <w:rStyle w:val="CRRefonteDeleted"/>
          <w:noProof/>
          <w:highlight w:val="lightGray"/>
        </w:rPr>
      </w:pPr>
      <w:r>
        <w:rPr>
          <w:rStyle w:val="CRRefonteDeleted"/>
          <w:noProof/>
          <w:highlight w:val="lightGray"/>
        </w:rPr>
        <w:t>2004. december 31-ig az alacsony kéntartalmú (50 ppm) benzin eltérő jövedékiadó-mértéke.</w:t>
      </w:r>
    </w:p>
    <w:p>
      <w:pPr>
        <w:pStyle w:val="ManualHeading1"/>
        <w:ind w:left="851" w:hanging="851"/>
        <w:rPr>
          <w:rStyle w:val="CRRefonteDeleted"/>
          <w:noProof/>
          <w:highlight w:val="lightGray"/>
        </w:rPr>
      </w:pPr>
      <w:r>
        <w:rPr>
          <w:rStyle w:val="CRRefonteDeleted"/>
          <w:noProof/>
          <w:highlight w:val="lightGray"/>
        </w:rPr>
        <w:t>11.</w:t>
      </w:r>
      <w:r>
        <w:rPr>
          <w:noProof/>
        </w:rPr>
        <w:tab/>
      </w:r>
      <w:r>
        <w:rPr>
          <w:rStyle w:val="CRRefonteDeleted"/>
          <w:noProof/>
          <w:highlight w:val="lightGray"/>
        </w:rPr>
        <w:t>AUSZTRIA:</w:t>
      </w:r>
    </w:p>
    <w:p>
      <w:pPr>
        <w:pStyle w:val="Tiret0"/>
        <w:ind w:left="851"/>
        <w:rPr>
          <w:rStyle w:val="CRRefonteDeleted"/>
          <w:noProof/>
          <w:highlight w:val="lightGray"/>
        </w:rPr>
      </w:pPr>
      <w:r>
        <w:rPr>
          <w:rStyle w:val="CRRefonteDeleted"/>
          <w:noProof/>
          <w:highlight w:val="lightGray"/>
        </w:rPr>
        <w:t>a földgáz és a metán,</w:t>
      </w:r>
    </w:p>
    <w:p>
      <w:pPr>
        <w:pStyle w:val="Tiret0"/>
        <w:ind w:left="851"/>
        <w:rPr>
          <w:rStyle w:val="CRRefonteDeleted"/>
          <w:noProof/>
          <w:highlight w:val="lightGray"/>
        </w:rPr>
      </w:pPr>
      <w:r>
        <w:rPr>
          <w:rStyle w:val="CRRefonteDeleted"/>
          <w:noProof/>
          <w:highlight w:val="lightGray"/>
        </w:rPr>
        <w:t>a helyi tömegközlekedési járművek által üzemanyagként felhasznált cseppfolyósított szénhidrogén (LPG),</w:t>
      </w:r>
    </w:p>
    <w:p>
      <w:pPr>
        <w:pStyle w:val="Tiret0"/>
        <w:ind w:left="851"/>
        <w:rPr>
          <w:rStyle w:val="CRRefonteDeleted"/>
          <w:noProof/>
          <w:highlight w:val="lightGray"/>
        </w:rPr>
      </w:pPr>
      <w:r>
        <w:rPr>
          <w:rStyle w:val="CRRefonteDeleted"/>
          <w:noProof/>
          <w:highlight w:val="lightGray"/>
        </w:rPr>
        <w:t>a fűtőolajként újrafelhasznált használt olaj, közvetlenül visszanyerés után vagy a használt olajokra alkalmazott újrahasznosítási eljárást követően, ha az újrahasznosítás adóköteles.</w:t>
      </w:r>
    </w:p>
    <w:p>
      <w:pPr>
        <w:pStyle w:val="ManualHeading1"/>
        <w:ind w:left="851" w:hanging="851"/>
        <w:rPr>
          <w:rStyle w:val="CRRefonteDeleted"/>
          <w:noProof/>
          <w:highlight w:val="lightGray"/>
        </w:rPr>
      </w:pPr>
      <w:r>
        <w:rPr>
          <w:rStyle w:val="CRRefonteDeleted"/>
          <w:noProof/>
          <w:highlight w:val="lightGray"/>
        </w:rPr>
        <w:t>12.</w:t>
      </w:r>
      <w:r>
        <w:rPr>
          <w:noProof/>
        </w:rPr>
        <w:tab/>
      </w:r>
      <w:r>
        <w:rPr>
          <w:rStyle w:val="CRRefonteDeleted"/>
          <w:noProof/>
          <w:highlight w:val="lightGray"/>
        </w:rPr>
        <w:t>PORTUGÁLIA:</w:t>
      </w:r>
    </w:p>
    <w:p>
      <w:pPr>
        <w:pStyle w:val="Tiret0"/>
        <w:ind w:left="851"/>
        <w:rPr>
          <w:rStyle w:val="CRRefonteDeleted"/>
          <w:noProof/>
          <w:highlight w:val="lightGray"/>
        </w:rPr>
      </w:pPr>
      <w:r>
        <w:rPr>
          <w:rStyle w:val="CRRefonteDeleted"/>
          <w:noProof/>
          <w:highlight w:val="lightGray"/>
        </w:rPr>
        <w:t>az ólommentes benzinre vonatkozó, a különböző környezetvédelmi kategóriák figyelembevételével eltérő adómértékek, feltéve hogy az eltérő adómértékek összhangban vannak az ezen irányelvben meghatározott kötelezettségekkel, és különösen annak a 7. cikkében meghatározott minimum adómértékekkel,</w:t>
      </w:r>
    </w:p>
    <w:p>
      <w:pPr>
        <w:pStyle w:val="Tiret0"/>
        <w:ind w:left="851"/>
        <w:rPr>
          <w:rStyle w:val="CRRefonteDeleted"/>
          <w:noProof/>
          <w:highlight w:val="lightGray"/>
        </w:rPr>
      </w:pPr>
      <w:r>
        <w:rPr>
          <w:rStyle w:val="CRRefonteDeleted"/>
          <w:noProof/>
          <w:highlight w:val="lightGray"/>
        </w:rPr>
        <w:t>a helyi tömegközlekedési járművek által üzemanyagként felhasznált cseppfolyósított szénhidrogén (LPG), földgáz és metán esetében a jövedéki adó alóli mentesség,</w:t>
      </w:r>
    </w:p>
    <w:p>
      <w:pPr>
        <w:pStyle w:val="Tiret0"/>
        <w:ind w:left="851"/>
        <w:rPr>
          <w:rStyle w:val="CRRefonteDeleted"/>
          <w:noProof/>
          <w:highlight w:val="lightGray"/>
        </w:rPr>
      </w:pPr>
      <w:r>
        <w:rPr>
          <w:rStyle w:val="CRRefonteDeleted"/>
          <w:noProof/>
          <w:highlight w:val="lightGray"/>
        </w:rPr>
        <w:t>a Madeira autonóm régióban felhasznált fűtőolaj esetében a jövedékiadó-mértékének csökkentése: a csökkentés összege nem haladhatja meg a fűtőolajnak a régióba történő szállítása során felmerülő többletköltségeket,</w:t>
      </w:r>
    </w:p>
    <w:p>
      <w:pPr>
        <w:pStyle w:val="Tiret0"/>
        <w:ind w:left="851"/>
        <w:rPr>
          <w:rStyle w:val="CRRefonteDeleted"/>
          <w:noProof/>
          <w:highlight w:val="lightGray"/>
        </w:rPr>
      </w:pPr>
      <w:r>
        <w:rPr>
          <w:rStyle w:val="CRRefonteDeleted"/>
          <w:noProof/>
          <w:highlight w:val="lightGray"/>
        </w:rPr>
        <w:t>a nehéz fűtőolajok jövedékiadó-mértékének csökkentése, a környezetet jobban kímélő tüzelő-, fűtőanyagok használatára történő ösztönzés érdekében; e csökkentés kifejezetten a kéntartalomhoz igazodik, és a nehéz fűtőolajok adómértékének meg kell felelnie a közösségi jogszabályok által a nehéz fűtőolajokra előírt minimum adómértékeknek,</w:t>
      </w:r>
    </w:p>
    <w:p>
      <w:pPr>
        <w:pStyle w:val="Tiret0"/>
        <w:ind w:left="851"/>
        <w:rPr>
          <w:rStyle w:val="CRRefonteDeleted"/>
          <w:noProof/>
          <w:highlight w:val="lightGray"/>
        </w:rPr>
      </w:pPr>
      <w:r>
        <w:rPr>
          <w:rStyle w:val="CRRefonteDeleted"/>
          <w:noProof/>
          <w:highlight w:val="lightGray"/>
        </w:rPr>
        <w:t>a légi közlekedés, az ezen irányelv 14. cikke (1) bekezdésének b) pontjában említettek kivételével,</w:t>
      </w:r>
    </w:p>
    <w:p>
      <w:pPr>
        <w:pStyle w:val="Tiret0"/>
        <w:ind w:left="851"/>
        <w:rPr>
          <w:rStyle w:val="CRRefonteDeleted"/>
          <w:noProof/>
          <w:highlight w:val="lightGray"/>
        </w:rPr>
      </w:pPr>
      <w:r>
        <w:rPr>
          <w:rStyle w:val="CRRefonteDeleted"/>
          <w:noProof/>
          <w:highlight w:val="lightGray"/>
        </w:rPr>
        <w:t>a fűtőolajként újrafelhasznált használt olaj, közvetlenül visszanyerés után vagy a használt olajokra alkalmazott újrahasznosítási eljárást követően, ha az újrahasznosítás adóköteles.</w:t>
      </w:r>
    </w:p>
    <w:p>
      <w:pPr>
        <w:pStyle w:val="ManualHeading1"/>
        <w:ind w:left="851" w:hanging="851"/>
        <w:rPr>
          <w:rStyle w:val="CRRefonteDeleted"/>
          <w:noProof/>
          <w:highlight w:val="lightGray"/>
        </w:rPr>
      </w:pPr>
      <w:r>
        <w:rPr>
          <w:rStyle w:val="CRRefonteDeleted"/>
          <w:noProof/>
          <w:highlight w:val="lightGray"/>
        </w:rPr>
        <w:t>13.</w:t>
      </w:r>
      <w:r>
        <w:rPr>
          <w:noProof/>
        </w:rPr>
        <w:tab/>
      </w:r>
      <w:r>
        <w:rPr>
          <w:rStyle w:val="CRRefonteDeleted"/>
          <w:noProof/>
          <w:highlight w:val="lightGray"/>
        </w:rPr>
        <w:t>FINNORSZÁG:</w:t>
      </w:r>
    </w:p>
    <w:p>
      <w:pPr>
        <w:pStyle w:val="Tiret0"/>
        <w:ind w:left="851"/>
        <w:rPr>
          <w:rStyle w:val="CRRefonteDeleted"/>
          <w:noProof/>
          <w:highlight w:val="lightGray"/>
        </w:rPr>
      </w:pPr>
      <w:r>
        <w:rPr>
          <w:rStyle w:val="CRRefonteDeleted"/>
          <w:noProof/>
          <w:highlight w:val="lightGray"/>
        </w:rPr>
        <w:t>az üzemanyagként felhasznált földgáz,</w:t>
      </w:r>
    </w:p>
    <w:p>
      <w:pPr>
        <w:pStyle w:val="Tiret0"/>
        <w:ind w:left="851"/>
        <w:rPr>
          <w:rStyle w:val="CRRefonteDeleted"/>
          <w:noProof/>
          <w:highlight w:val="lightGray"/>
        </w:rPr>
      </w:pPr>
      <w:r>
        <w:rPr>
          <w:rStyle w:val="CRRefonteDeleted"/>
          <w:noProof/>
          <w:highlight w:val="lightGray"/>
        </w:rPr>
        <w:t>a bármilyen célra felhasznált cseppfolyósított szénhidrogén (LPG) és metán esetében a jövedéki adó alóli mentesség,</w:t>
      </w:r>
    </w:p>
    <w:p>
      <w:pPr>
        <w:pStyle w:val="Tiret0"/>
        <w:ind w:left="851"/>
        <w:rPr>
          <w:rStyle w:val="CRRefonteDeleted"/>
          <w:noProof/>
          <w:highlight w:val="lightGray"/>
        </w:rPr>
      </w:pPr>
      <w:r>
        <w:rPr>
          <w:rStyle w:val="CRRefonteDeleted"/>
          <w:noProof/>
          <w:highlight w:val="lightGray"/>
        </w:rPr>
        <w:t>dízelüzemanyag és a fűtőolajként felhasznált gázolaj esetében a csökkentett jövedékiadó-mértékek, feltéve hogy az adómértékek összhangban vannak az ezen irányelvben meghatározott kötelezettségekkel, és különösen az annak 7 – 9. cikkében meghatározott minimum adómértékekkel,</w:t>
      </w:r>
    </w:p>
    <w:p>
      <w:pPr>
        <w:pStyle w:val="Tiret0"/>
        <w:ind w:left="851"/>
        <w:rPr>
          <w:rStyle w:val="CRRefonteDeleted"/>
          <w:noProof/>
          <w:highlight w:val="lightGray"/>
        </w:rPr>
      </w:pPr>
      <w:r>
        <w:rPr>
          <w:rStyle w:val="CRRefonteDeleted"/>
          <w:noProof/>
          <w:highlight w:val="lightGray"/>
        </w:rPr>
        <w:t>az átalakított ólmozott és ólommentes benzin esetében a kedvezményes jövedékiadó-mértékek, feltéve hogy az adómértékek összhangban vannak az ezen irányelvben meghatározott kötelezettségekkel, és különösen az annak 7. cikkében meghatározott minimum adómértékekkel,</w:t>
      </w:r>
    </w:p>
    <w:p>
      <w:pPr>
        <w:pStyle w:val="Tiret0"/>
        <w:ind w:left="851"/>
        <w:rPr>
          <w:rStyle w:val="CRRefonteDeleted"/>
          <w:noProof/>
          <w:highlight w:val="lightGray"/>
        </w:rPr>
      </w:pPr>
      <w:r>
        <w:rPr>
          <w:rStyle w:val="CRRefonteDeleted"/>
          <w:noProof/>
          <w:highlight w:val="lightGray"/>
        </w:rPr>
        <w:t>a légi közlekedés, az ezen irányelv 14. cikke (1) bekezdésének b) pontjában említettek kivételével,</w:t>
      </w:r>
    </w:p>
    <w:p>
      <w:pPr>
        <w:pStyle w:val="Tiret0"/>
        <w:ind w:left="851"/>
        <w:rPr>
          <w:rStyle w:val="CRRefonteDeleted"/>
          <w:noProof/>
          <w:highlight w:val="lightGray"/>
        </w:rPr>
      </w:pPr>
      <w:r>
        <w:rPr>
          <w:rStyle w:val="CRRefonteDeleted"/>
          <w:noProof/>
          <w:highlight w:val="lightGray"/>
        </w:rPr>
        <w:t>a magánjellegű, kedvtelési célú hajózás,</w:t>
      </w:r>
    </w:p>
    <w:p>
      <w:pPr>
        <w:pStyle w:val="Tiret0"/>
        <w:ind w:left="851"/>
        <w:rPr>
          <w:rStyle w:val="CRRefonteDeleted"/>
          <w:noProof/>
          <w:highlight w:val="lightGray"/>
        </w:rPr>
      </w:pPr>
      <w:r>
        <w:rPr>
          <w:rStyle w:val="CRRefonteDeleted"/>
          <w:noProof/>
          <w:highlight w:val="lightGray"/>
        </w:rPr>
        <w:t>a fűtőolajként újrafelhasznált használt olaj, közvetlenül visszanyerés után vagy a használt olajokra alkalmazott újrahasznosítási eljárást követően, ha az újrahasznosítás adóköteles.</w:t>
      </w:r>
    </w:p>
    <w:p>
      <w:pPr>
        <w:pStyle w:val="ManualHeading1"/>
        <w:ind w:left="851" w:hanging="851"/>
        <w:rPr>
          <w:rStyle w:val="CRRefonteDeleted"/>
          <w:noProof/>
          <w:highlight w:val="lightGray"/>
        </w:rPr>
      </w:pPr>
      <w:r>
        <w:rPr>
          <w:rStyle w:val="CRRefonteDeleted"/>
          <w:noProof/>
          <w:highlight w:val="lightGray"/>
        </w:rPr>
        <w:t>14.</w:t>
      </w:r>
      <w:r>
        <w:rPr>
          <w:noProof/>
        </w:rPr>
        <w:tab/>
      </w:r>
      <w:r>
        <w:rPr>
          <w:rStyle w:val="CRRefonteDeleted"/>
          <w:noProof/>
          <w:highlight w:val="lightGray"/>
        </w:rPr>
        <w:t>SVÉDORSZÁG:</w:t>
      </w:r>
    </w:p>
    <w:p>
      <w:pPr>
        <w:pStyle w:val="Tiret0"/>
        <w:ind w:left="851"/>
        <w:rPr>
          <w:rStyle w:val="CRRefonteDeleted"/>
          <w:noProof/>
          <w:highlight w:val="lightGray"/>
        </w:rPr>
      </w:pPr>
      <w:r>
        <w:rPr>
          <w:rStyle w:val="CRRefonteDeleted"/>
          <w:noProof/>
          <w:highlight w:val="lightGray"/>
        </w:rPr>
        <w:t>dízelüzemanyag esetében a kedvezményes adómérték, a környezetvédelmi besorolások szerint,</w:t>
      </w:r>
    </w:p>
    <w:p>
      <w:pPr>
        <w:pStyle w:val="Tiret0"/>
        <w:ind w:left="851"/>
        <w:rPr>
          <w:rStyle w:val="CRRefonteDeleted"/>
          <w:noProof/>
          <w:highlight w:val="lightGray"/>
        </w:rPr>
      </w:pPr>
      <w:r>
        <w:rPr>
          <w:rStyle w:val="CRRefonteDeleted"/>
          <w:noProof/>
          <w:highlight w:val="lightGray"/>
        </w:rPr>
        <w:t>az ólommentes benzinre vonatkozó, a különböző környezetvédelmi kategóriákat tükröző eltérő adómértékek, feltéve hogy az eltérő adómértékek összhangban vannak az ezen irányelvben meghatározott kötelezettségekkel, és különösen a minimum jövedékiadó-mértékekkel,</w:t>
      </w:r>
    </w:p>
    <w:p>
      <w:pPr>
        <w:pStyle w:val="Tiret0"/>
        <w:ind w:left="851"/>
        <w:rPr>
          <w:rStyle w:val="CRRefonteDeleted"/>
          <w:noProof/>
          <w:highlight w:val="lightGray"/>
        </w:rPr>
      </w:pPr>
      <w:r>
        <w:rPr>
          <w:rStyle w:val="CRRefonteDeleted"/>
          <w:noProof/>
          <w:highlight w:val="lightGray"/>
        </w:rPr>
        <w:t>2008. június 30-ig az alkilát alapú, kétütemű motorokhoz használatos benzin eltérő energiaadó-mértéke, feltéve hogy a teljes alkalmazandó jövedéki adó megfelel ezen irányelv rendelkezéseinek,</w:t>
      </w:r>
    </w:p>
    <w:p>
      <w:pPr>
        <w:pStyle w:val="Tiret0"/>
        <w:ind w:left="851"/>
        <w:rPr>
          <w:rStyle w:val="CRRefonteDeleted"/>
          <w:noProof/>
          <w:highlight w:val="lightGray"/>
        </w:rPr>
      </w:pPr>
      <w:r>
        <w:rPr>
          <w:rStyle w:val="CRRefonteDeleted"/>
          <w:noProof/>
          <w:highlight w:val="lightGray"/>
        </w:rPr>
        <w:t>a biológiai úton előállított metán és más hulladékgáz esetében a jövedéki adó alóli mentesség,</w:t>
      </w:r>
    </w:p>
    <w:p>
      <w:pPr>
        <w:pStyle w:val="Tiret0"/>
        <w:ind w:left="851"/>
        <w:rPr>
          <w:rStyle w:val="CRRefonteDeleted"/>
          <w:noProof/>
          <w:highlight w:val="lightGray"/>
        </w:rPr>
      </w:pPr>
      <w:r>
        <w:rPr>
          <w:rStyle w:val="CRRefonteDeleted"/>
          <w:noProof/>
          <w:highlight w:val="lightGray"/>
        </w:rPr>
        <w:t>az ipari célra felhasznált ásványolaj esetében a kedvezményes jövedékiadó-mérték, feltéve hogy az adómértékek összhangban vannak az ezen irányelvben meghatározott kötelezettségekkel,</w:t>
      </w:r>
    </w:p>
    <w:p>
      <w:pPr>
        <w:pStyle w:val="Tiret0"/>
        <w:ind w:left="851"/>
        <w:rPr>
          <w:rStyle w:val="CRRefonteDeleted"/>
          <w:noProof/>
          <w:highlight w:val="lightGray"/>
        </w:rPr>
      </w:pPr>
      <w:r>
        <w:rPr>
          <w:rStyle w:val="CRRefonteDeleted"/>
          <w:noProof/>
          <w:highlight w:val="lightGray"/>
        </w:rPr>
        <w:t>az ipari célra felhasznált ásványolaj esetében a kedvezményes jövedékiadó-mérték, amely egy, a szokásosnál alacsonyabb adómérték és a nagy energiaintenzitású vállalkozásokra vonatkozó kedvezményes adómérték lehet, feltéve hogy az adómértékek összhangban vannak az ezen irányelvben meghatározott kötelezettségekkel, és nem okoznak torzulást a versenyben,</w:t>
      </w:r>
    </w:p>
    <w:p>
      <w:pPr>
        <w:pStyle w:val="Tiret0"/>
        <w:ind w:left="851"/>
        <w:rPr>
          <w:rStyle w:val="CRRefonteDeleted"/>
          <w:noProof/>
          <w:highlight w:val="lightGray"/>
        </w:rPr>
      </w:pPr>
      <w:r>
        <w:rPr>
          <w:rStyle w:val="CRRefonteDeleted"/>
          <w:noProof/>
          <w:highlight w:val="lightGray"/>
        </w:rPr>
        <w:t>a légi közlekedés, az ezen irányelv 14. cikke (1) bekezdésének b) pontjában említettek kivételével.</w:t>
      </w:r>
    </w:p>
    <w:p>
      <w:pPr>
        <w:pStyle w:val="ManualHeading1"/>
        <w:ind w:left="851" w:hanging="851"/>
        <w:rPr>
          <w:rStyle w:val="CRRefonteDeleted"/>
          <w:noProof/>
          <w:highlight w:val="lightGray"/>
        </w:rPr>
      </w:pPr>
      <w:r>
        <w:rPr>
          <w:rStyle w:val="CRRefonteDeleted"/>
          <w:noProof/>
          <w:highlight w:val="lightGray"/>
        </w:rPr>
        <w:t>15.</w:t>
      </w:r>
      <w:r>
        <w:rPr>
          <w:noProof/>
        </w:rPr>
        <w:tab/>
      </w:r>
      <w:r>
        <w:rPr>
          <w:rStyle w:val="CRRefonteDeleted"/>
          <w:noProof/>
          <w:highlight w:val="lightGray"/>
        </w:rPr>
        <w:t>EGYESÜLT KIRÁLYSÁG:</w:t>
      </w:r>
    </w:p>
    <w:p>
      <w:pPr>
        <w:pStyle w:val="Tiret0"/>
        <w:ind w:left="851"/>
        <w:rPr>
          <w:rStyle w:val="CRRefonteDeleted"/>
          <w:noProof/>
          <w:highlight w:val="lightGray"/>
        </w:rPr>
      </w:pPr>
      <w:r>
        <w:rPr>
          <w:rStyle w:val="CRRefonteDeleted"/>
          <w:noProof/>
          <w:highlight w:val="lightGray"/>
        </w:rPr>
        <w:t>2007. március 31-ig a közúti közlekedésben felhasznált, bio-dízelüzemanyagot tartalmazó üzemanyag és a közúti közlekedésben tisztán felhasznált bio-dízelüzemanyag eltérő jövedékiadó-mértékei. A közösségi minimum adómértékeket tiszteletben kell tartani, és nem lehet a bioüzemanyagok gyártásával járó többletköltségeket túlkompenzálni,</w:t>
      </w:r>
    </w:p>
    <w:p>
      <w:pPr>
        <w:pStyle w:val="Tiret0"/>
        <w:ind w:left="851"/>
        <w:rPr>
          <w:rStyle w:val="CRRefonteDeleted"/>
          <w:noProof/>
          <w:highlight w:val="lightGray"/>
        </w:rPr>
      </w:pPr>
      <w:r>
        <w:rPr>
          <w:rStyle w:val="CRRefonteDeleted"/>
          <w:noProof/>
          <w:highlight w:val="lightGray"/>
        </w:rPr>
        <w:t>az üzemanyagként felhasznált cseppfolyósított szénhidrogén (LPG), földgáz és metán,</w:t>
      </w:r>
    </w:p>
    <w:p>
      <w:pPr>
        <w:pStyle w:val="Tiret0"/>
        <w:ind w:left="851"/>
        <w:rPr>
          <w:rStyle w:val="CRRefonteDeleted"/>
          <w:noProof/>
          <w:highlight w:val="lightGray"/>
        </w:rPr>
      </w:pPr>
      <w:r>
        <w:rPr>
          <w:rStyle w:val="CRRefonteDeleted"/>
          <w:noProof/>
          <w:highlight w:val="lightGray"/>
        </w:rPr>
        <w:t>a dízelüzemanyag esetében a kedvezményes adómérték, a környezetet jobban kímélő üzemanyagok használatának ösztönzése érdekében,</w:t>
      </w:r>
    </w:p>
    <w:p>
      <w:pPr>
        <w:pStyle w:val="Tiret0"/>
        <w:ind w:left="851"/>
        <w:rPr>
          <w:rStyle w:val="CRRefonteDeleted"/>
          <w:noProof/>
          <w:highlight w:val="lightGray"/>
        </w:rPr>
      </w:pPr>
      <w:r>
        <w:rPr>
          <w:rStyle w:val="CRRefonteDeleted"/>
          <w:noProof/>
          <w:highlight w:val="lightGray"/>
        </w:rPr>
        <w:t>az ólommentes benzinre vonatkozó, a különböző környezetvédelmi kategóriákat tükröző eltérő adómértékek, feltéve hogy az eltérő adómértékek összhangban vannak az ezen irányelvben meghatározott kötelezettségekkel, és különösen annak a 7. cikkében meghatározott minimum adómértékekkel,</w:t>
      </w:r>
    </w:p>
    <w:p>
      <w:pPr>
        <w:pStyle w:val="Tiret0"/>
        <w:ind w:left="851"/>
        <w:rPr>
          <w:rStyle w:val="CRRefonteDeleted"/>
          <w:noProof/>
          <w:highlight w:val="lightGray"/>
        </w:rPr>
      </w:pPr>
      <w:r>
        <w:rPr>
          <w:rStyle w:val="CRRefonteDeleted"/>
          <w:noProof/>
          <w:highlight w:val="lightGray"/>
        </w:rPr>
        <w:t>a helyi tömegközlekedési járművek,</w:t>
      </w:r>
    </w:p>
    <w:p>
      <w:pPr>
        <w:pStyle w:val="Tiret0"/>
        <w:ind w:left="851"/>
        <w:rPr>
          <w:rStyle w:val="CRRefonteDeleted"/>
          <w:noProof/>
          <w:highlight w:val="lightGray"/>
        </w:rPr>
      </w:pPr>
      <w:r>
        <w:rPr>
          <w:rStyle w:val="CRRefonteDeleted"/>
          <w:noProof/>
          <w:highlight w:val="lightGray"/>
        </w:rPr>
        <w:t>víz/dízelüzemanyag emulzió esetében eltérő jövedékiadó-mérték, feltéve hogy az eltérő mértékek összhangban vannak az ezen irányelvben meghatározott kötelezettségekkel, és különösen a minimum jövedékiadó-mértékekkel,</w:t>
      </w:r>
    </w:p>
    <w:p>
      <w:pPr>
        <w:pStyle w:val="Tiret0"/>
        <w:ind w:left="851"/>
        <w:rPr>
          <w:rStyle w:val="CRRefonteDeleted"/>
          <w:noProof/>
          <w:highlight w:val="lightGray"/>
        </w:rPr>
      </w:pPr>
      <w:r>
        <w:rPr>
          <w:rStyle w:val="CRRefonteDeleted"/>
          <w:noProof/>
          <w:highlight w:val="lightGray"/>
        </w:rPr>
        <w:t>a légi közlekedés, az ezen irányelv 14. cikke (1) bekezdésének b) pontjában említettek kivételével,</w:t>
      </w:r>
    </w:p>
    <w:p>
      <w:pPr>
        <w:pStyle w:val="Tiret0"/>
        <w:ind w:left="851"/>
        <w:rPr>
          <w:rStyle w:val="CRRefonteDeleted"/>
          <w:noProof/>
          <w:highlight w:val="lightGray"/>
        </w:rPr>
      </w:pPr>
      <w:r>
        <w:rPr>
          <w:rStyle w:val="CRRefonteDeleted"/>
          <w:noProof/>
          <w:highlight w:val="lightGray"/>
        </w:rPr>
        <w:t>a magánjellegű, kedvtelési célú hajózás,</w:t>
      </w:r>
    </w:p>
    <w:p>
      <w:pPr>
        <w:pStyle w:val="Tiret0"/>
        <w:ind w:left="851"/>
        <w:rPr>
          <w:rStyle w:val="CRRefonteDeleted"/>
          <w:noProof/>
          <w:highlight w:val="lightGray"/>
        </w:rPr>
      </w:pPr>
      <w:r>
        <w:rPr>
          <w:rStyle w:val="CRRefonteDeleted"/>
          <w:noProof/>
          <w:highlight w:val="lightGray"/>
        </w:rPr>
        <w:t>a fűtőolajként újrafelhasznált használt olaj, közvetlenül visszanyerés után vagy a használt olajokra alkalmazott újrahasznosítási eljárást követően, ha az újrahasznosítás adóköteles.</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fldLock="1"/>
      </w:r>
      <w:r>
        <w:rPr>
          <w:noProof/>
        </w:rPr>
        <w:instrText xml:space="preserve"> QUOTE "ê" </w:instrText>
      </w:r>
      <w:r>
        <w:rPr>
          <w:noProof/>
        </w:rPr>
        <w:fldChar w:fldCharType="separate"/>
      </w:r>
      <w:r>
        <w:rPr>
          <w:rStyle w:val="CRMarker"/>
          <w:noProof/>
        </w:rPr>
        <w:t>ê</w:t>
      </w:r>
      <w:r>
        <w:rPr>
          <w:noProof/>
        </w:rPr>
        <w:fldChar w:fldCharType="end"/>
      </w:r>
      <w:r>
        <w:rPr>
          <w:noProof/>
        </w:rPr>
        <w:t> A 2004/74/EK irányelvet módosító helyesbítés 1. cikkének (3) bekezdése és melléklete, HL L 195., 2004.6.2., 26. o.</w:t>
      </w:r>
    </w:p>
    <w:p>
      <w:pPr>
        <w:pStyle w:val="Annexetitreacte"/>
        <w:rPr>
          <w:rStyle w:val="CRRefonteDeleted"/>
          <w:noProof/>
          <w:highlight w:val="lightGray"/>
        </w:rPr>
      </w:pPr>
      <w:r>
        <w:rPr>
          <w:rStyle w:val="CRRefonteDeleted"/>
          <w:noProof/>
          <w:highlight w:val="lightGray"/>
        </w:rPr>
        <w:t>III. MELLÉKLET</w:t>
      </w:r>
    </w:p>
    <w:p>
      <w:pPr>
        <w:rPr>
          <w:rStyle w:val="CRRefonteDeleted"/>
          <w:noProof/>
          <w:highlight w:val="lightGray"/>
        </w:rPr>
      </w:pPr>
      <w:r>
        <w:rPr>
          <w:rStyle w:val="CRRefonteDeleted"/>
          <w:noProof/>
          <w:highlight w:val="lightGray"/>
        </w:rPr>
        <w:t>A következők tartoznak a 18a. cikk (1) bekezdésében említett kedvezményes adómértékek és adómentességek körébe:</w:t>
      </w:r>
    </w:p>
    <w:p>
      <w:pPr>
        <w:pStyle w:val="Point0"/>
        <w:rPr>
          <w:rStyle w:val="CRRefonteDeleted"/>
          <w:i/>
          <w:noProof/>
          <w:highlight w:val="lightGray"/>
        </w:rPr>
      </w:pPr>
      <w:r>
        <w:rPr>
          <w:noProof/>
        </w:rPr>
        <w:tab/>
      </w:r>
      <w:r>
        <w:rPr>
          <w:rStyle w:val="CRRefonteDeleted"/>
          <w:noProof/>
          <w:highlight w:val="lightGray"/>
        </w:rPr>
        <w:t>1.</w:t>
      </w:r>
      <w:r>
        <w:rPr>
          <w:noProof/>
        </w:rPr>
        <w:tab/>
      </w:r>
      <w:r>
        <w:rPr>
          <w:rStyle w:val="CRRefonteDeleted"/>
          <w:i/>
          <w:noProof/>
          <w:highlight w:val="lightGray"/>
        </w:rPr>
        <w:t>Lettország</w:t>
      </w:r>
    </w:p>
    <w:p>
      <w:pPr>
        <w:pStyle w:val="Tiret1"/>
        <w:numPr>
          <w:ilvl w:val="0"/>
          <w:numId w:val="10"/>
        </w:numPr>
        <w:ind w:left="1418"/>
        <w:rPr>
          <w:rStyle w:val="CRRefonteDeleted"/>
          <w:noProof/>
          <w:highlight w:val="lightGray"/>
        </w:rPr>
      </w:pPr>
      <w:r>
        <w:rPr>
          <w:rStyle w:val="CRRefonteDeleted"/>
          <w:noProof/>
          <w:highlight w:val="lightGray"/>
        </w:rPr>
        <w:t>a helyi tömegközlekedési járműveknél használt energiatermékek és villamos energia;</w:t>
      </w:r>
    </w:p>
    <w:p>
      <w:pPr>
        <w:pStyle w:val="Point0"/>
        <w:rPr>
          <w:rStyle w:val="CRRefonteDeleted"/>
          <w:i/>
          <w:noProof/>
          <w:highlight w:val="lightGray"/>
        </w:rPr>
      </w:pPr>
      <w:r>
        <w:rPr>
          <w:noProof/>
        </w:rPr>
        <w:tab/>
      </w:r>
      <w:r>
        <w:rPr>
          <w:rStyle w:val="CRRefonteDeleted"/>
          <w:noProof/>
          <w:highlight w:val="lightGray"/>
        </w:rPr>
        <w:t>2.</w:t>
      </w:r>
      <w:r>
        <w:rPr>
          <w:noProof/>
        </w:rPr>
        <w:tab/>
      </w:r>
      <w:r>
        <w:rPr>
          <w:rStyle w:val="CRRefonteDeleted"/>
          <w:i/>
          <w:noProof/>
          <w:highlight w:val="lightGray"/>
        </w:rPr>
        <w:t>Litvánia</w:t>
      </w:r>
    </w:p>
    <w:p>
      <w:pPr>
        <w:pStyle w:val="Tiret1"/>
        <w:ind w:left="1418"/>
        <w:rPr>
          <w:rStyle w:val="CRRefonteDeleted"/>
          <w:noProof/>
          <w:highlight w:val="lightGray"/>
        </w:rPr>
      </w:pPr>
      <w:r>
        <w:rPr>
          <w:rStyle w:val="CRRefonteDeleted"/>
          <w:noProof/>
          <w:highlight w:val="lightGray"/>
        </w:rPr>
        <w:t>a szén, koksz és lignit 2007. január 1-jéig,</w:t>
      </w:r>
    </w:p>
    <w:p>
      <w:pPr>
        <w:pStyle w:val="Tiret1"/>
        <w:ind w:left="1418"/>
        <w:rPr>
          <w:rStyle w:val="CRRefonteDeleted"/>
          <w:noProof/>
          <w:highlight w:val="lightGray"/>
        </w:rPr>
      </w:pPr>
      <w:r>
        <w:rPr>
          <w:rStyle w:val="CRRefonteDeleted"/>
          <w:noProof/>
          <w:highlight w:val="lightGray"/>
        </w:rPr>
        <w:t>a földgáz és villamos energia 2010. január 1-jéig,</w:t>
      </w:r>
    </w:p>
    <w:p>
      <w:pPr>
        <w:pStyle w:val="Tiret1"/>
        <w:ind w:left="1418"/>
        <w:rPr>
          <w:rStyle w:val="CRRefonteDeleted"/>
          <w:noProof/>
          <w:highlight w:val="lightGray"/>
        </w:rPr>
      </w:pPr>
      <w:r>
        <w:rPr>
          <w:rStyle w:val="CRRefonteDeleted"/>
          <w:noProof/>
          <w:highlight w:val="lightGray"/>
        </w:rPr>
        <w:t>a villamos energia vagy hő termelésétől eltérő célokra felhasznált orimulzió 2010. január 1-jéig;</w:t>
      </w:r>
    </w:p>
    <w:p>
      <w:pPr>
        <w:pStyle w:val="Point0"/>
        <w:rPr>
          <w:rStyle w:val="CRRefonteDeleted"/>
          <w:i/>
          <w:noProof/>
          <w:highlight w:val="lightGray"/>
        </w:rPr>
      </w:pPr>
      <w:r>
        <w:rPr>
          <w:noProof/>
        </w:rPr>
        <w:tab/>
      </w:r>
      <w:r>
        <w:rPr>
          <w:rStyle w:val="CRRefonteDeleted"/>
          <w:noProof/>
          <w:highlight w:val="lightGray"/>
        </w:rPr>
        <w:t>3.</w:t>
      </w:r>
      <w:r>
        <w:rPr>
          <w:noProof/>
        </w:rPr>
        <w:tab/>
      </w:r>
      <w:r>
        <w:rPr>
          <w:rStyle w:val="CRRefonteDeleted"/>
          <w:i/>
          <w:noProof/>
          <w:highlight w:val="lightGray"/>
        </w:rPr>
        <w:t>Magyarország</w:t>
      </w:r>
    </w:p>
    <w:p>
      <w:pPr>
        <w:pStyle w:val="Tiret1"/>
        <w:ind w:left="1418"/>
        <w:rPr>
          <w:rStyle w:val="CRRefonteDeleted"/>
          <w:noProof/>
          <w:highlight w:val="lightGray"/>
        </w:rPr>
      </w:pPr>
      <w:r>
        <w:rPr>
          <w:rStyle w:val="CRRefonteDeleted"/>
          <w:noProof/>
          <w:highlight w:val="lightGray"/>
        </w:rPr>
        <w:t>a szén és koksz 2009. január 1-jéig;</w:t>
      </w:r>
    </w:p>
    <w:p>
      <w:pPr>
        <w:pStyle w:val="Point0"/>
        <w:rPr>
          <w:rStyle w:val="CRRefonteDeleted"/>
          <w:i/>
          <w:noProof/>
          <w:highlight w:val="lightGray"/>
        </w:rPr>
      </w:pPr>
      <w:r>
        <w:rPr>
          <w:noProof/>
        </w:rPr>
        <w:tab/>
      </w:r>
      <w:r>
        <w:rPr>
          <w:rStyle w:val="CRRefonteDeleted"/>
          <w:noProof/>
          <w:highlight w:val="lightGray"/>
        </w:rPr>
        <w:t>4.</w:t>
      </w:r>
      <w:r>
        <w:rPr>
          <w:noProof/>
        </w:rPr>
        <w:tab/>
      </w:r>
      <w:r>
        <w:rPr>
          <w:rStyle w:val="CRRefonteDeleted"/>
          <w:i/>
          <w:noProof/>
          <w:highlight w:val="lightGray"/>
        </w:rPr>
        <w:t>Málta</w:t>
      </w:r>
    </w:p>
    <w:p>
      <w:pPr>
        <w:pStyle w:val="Tiret1"/>
        <w:ind w:left="1418"/>
        <w:rPr>
          <w:rStyle w:val="CRRefonteDeleted"/>
          <w:noProof/>
          <w:highlight w:val="lightGray"/>
        </w:rPr>
      </w:pPr>
      <w:r>
        <w:rPr>
          <w:rStyle w:val="CRRefonteDeleted"/>
          <w:noProof/>
          <w:highlight w:val="lightGray"/>
        </w:rPr>
        <w:t>a magánjellegű, kedvtelési célú hajózás,</w:t>
      </w:r>
    </w:p>
    <w:p>
      <w:pPr>
        <w:pStyle w:val="Tiret1"/>
        <w:ind w:left="1418"/>
        <w:rPr>
          <w:rStyle w:val="CRRefonteDeleted"/>
          <w:noProof/>
          <w:highlight w:val="lightGray"/>
        </w:rPr>
      </w:pPr>
      <w:r>
        <w:rPr>
          <w:rStyle w:val="CRRefonteDeleted"/>
          <w:noProof/>
          <w:highlight w:val="lightGray"/>
        </w:rPr>
        <w:t>a légi közlekedés, a 2003/96/EK irányelv 14. cikke (1) bekezdésének b) pontjában említettek kivételével;</w:t>
      </w:r>
    </w:p>
    <w:p>
      <w:pPr>
        <w:pStyle w:val="Point0"/>
        <w:rPr>
          <w:rStyle w:val="CRRefonteDeleted"/>
          <w:i/>
          <w:noProof/>
          <w:highlight w:val="lightGray"/>
        </w:rPr>
      </w:pPr>
      <w:r>
        <w:rPr>
          <w:noProof/>
        </w:rPr>
        <w:tab/>
      </w:r>
      <w:r>
        <w:rPr>
          <w:rStyle w:val="CRRefonteDeleted"/>
          <w:noProof/>
          <w:highlight w:val="lightGray"/>
        </w:rPr>
        <w:t>5.</w:t>
      </w:r>
      <w:r>
        <w:rPr>
          <w:noProof/>
        </w:rPr>
        <w:tab/>
      </w:r>
      <w:r>
        <w:rPr>
          <w:rStyle w:val="CRRefonteDeleted"/>
          <w:i/>
          <w:noProof/>
          <w:highlight w:val="lightGray"/>
        </w:rPr>
        <w:t>Lengyelország</w:t>
      </w:r>
    </w:p>
    <w:p>
      <w:pPr>
        <w:pStyle w:val="Tiret1"/>
        <w:ind w:left="1418"/>
        <w:rPr>
          <w:rStyle w:val="CRRefonteDeleted"/>
          <w:noProof/>
          <w:highlight w:val="lightGray"/>
        </w:rPr>
      </w:pPr>
      <w:r>
        <w:rPr>
          <w:rStyle w:val="CRRefonteDeleted"/>
          <w:noProof/>
          <w:highlight w:val="lightGray"/>
        </w:rPr>
        <w:t>a repülőbenzin és sugárhajtómű-üzemanyag, valamint repülőmotorok motorolaja, amelyeket ezen tüzelőanyagok gyártója értékesít a honvédelmi minisztérium vagy a belügyminisztérium megrendelésére a légi közlekedési ágazat céljaira, vagy az állami nyersanyagtartalékok kiegészítésére a nyersanyagtartalékokért felelős hivatalnak vagy az egészségügyi légi közlekedés szervezeti egységeinek az ilyen egységek céljaira történő megrendelésére,</w:t>
      </w:r>
    </w:p>
    <w:p>
      <w:pPr>
        <w:pStyle w:val="Tiret1"/>
        <w:ind w:left="1418"/>
        <w:rPr>
          <w:rStyle w:val="CRRefonteDeleted"/>
          <w:noProof/>
          <w:highlight w:val="lightGray"/>
        </w:rPr>
      </w:pPr>
      <w:r>
        <w:rPr>
          <w:rStyle w:val="CRRefonteDeleted"/>
          <w:noProof/>
          <w:highlight w:val="lightGray"/>
        </w:rPr>
        <w:t>a hajómotorokhoz és tengeri technológiai motorokhoz szánt gázolaj, valamint a hajómotorokhoz és tengeri technológiához szánt motorolajok, amelyeket ezen tüzelőanyagok gyártója értékesít az állami nyersanyagtartalékok kiegészítésére a nyersanyagtartalékokért felelős hivatal megrendelésére, vagy a honvédelmi minisztérium megrendelésére tengerészeti célokra való felhasználásra, vagy a belügyminisztérium megrendelésére tengeri technológia céljaira való felhasználásra,</w:t>
      </w:r>
    </w:p>
    <w:p>
      <w:pPr>
        <w:pStyle w:val="Tiret1"/>
        <w:ind w:left="1418"/>
        <w:rPr>
          <w:rStyle w:val="CRRefonteDeleted"/>
          <w:noProof/>
          <w:highlight w:val="lightGray"/>
        </w:rPr>
        <w:sectPr>
          <w:pgSz w:w="11906" w:h="16838"/>
          <w:pgMar w:top="1134" w:right="1418" w:bottom="1134" w:left="1418" w:header="709" w:footer="709" w:gutter="0"/>
          <w:cols w:space="709"/>
          <w:docGrid w:linePitch="326"/>
        </w:sectPr>
      </w:pPr>
      <w:r>
        <w:rPr>
          <w:rStyle w:val="CRRefonteDeleted"/>
          <w:noProof/>
          <w:highlight w:val="lightGray"/>
        </w:rPr>
        <w:t>repülőbenzin, sugárhajtómű-üzemanyag és gázolaj hajómotorokhoz és tengeri technológiai motorokhoz, valamint olajok repülőmotorokhoz, hajómotorokhoz és tengeri technológiai motorokhoz, amelyeket a nyersanyagtartalékokért felelős hivatal értékesít a honvédelmi minisztérium vagy a belügyminisztérium megrendelésére.</w:t>
      </w:r>
    </w:p>
    <w:p>
      <w:pPr>
        <w:pStyle w:val="CRSeparator"/>
        <w:rPr>
          <w:noProof/>
        </w:rPr>
      </w:pPr>
    </w:p>
    <w:p>
      <w:pPr>
        <w:pStyle w:val="CRReference"/>
        <w:rPr>
          <w:noProof/>
          <w:highlight w:val="lightGray"/>
        </w:rPr>
      </w:pPr>
      <w:r>
        <w:rPr>
          <w:noProof/>
          <w:highlight w:val="lightGray"/>
        </w:rPr>
        <w:fldChar w:fldCharType="begin" w:fldLock="1"/>
      </w:r>
      <w:r>
        <w:rPr>
          <w:noProof/>
          <w:highlight w:val="lightGray"/>
        </w:rPr>
        <w:instrText xml:space="preserve"> QUOTE "ò"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új szöveg</w:t>
      </w:r>
    </w:p>
    <w:p>
      <w:pPr>
        <w:pStyle w:val="Annexetitre"/>
        <w:rPr>
          <w:noProof/>
          <w:highlight w:val="lightGray"/>
        </w:rPr>
      </w:pPr>
      <w:r>
        <w:rPr>
          <w:noProof/>
          <w:highlight w:val="lightGray"/>
        </w:rPr>
        <w:t>I. MELLÉKLET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tc>
          <w:tcPr>
            <w:tcW w:w="9210" w:type="dxa"/>
          </w:tcPr>
          <w:p>
            <w:pPr>
              <w:pStyle w:val="NormalCentered"/>
              <w:rPr>
                <w:noProof/>
                <w:highlight w:val="lightGray"/>
              </w:rPr>
            </w:pPr>
            <w:r>
              <w:rPr>
                <w:noProof/>
                <w:highlight w:val="lightGray"/>
              </w:rPr>
              <w:t>A. táblázat – A 7. cikkben meghatározott célokra szánt üzemanyagokra alkalmazandó minimum adómértékek (EUR/gigajoule)</w:t>
            </w:r>
          </w:p>
        </w:tc>
      </w:tr>
    </w:tbl>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2638"/>
        <w:gridCol w:w="2400"/>
      </w:tblGrid>
      <w:tr>
        <w:trPr>
          <w:trHeight w:val="720"/>
        </w:trPr>
        <w:tc>
          <w:tcPr>
            <w:tcW w:w="4202"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sz w:val="18"/>
                <w:szCs w:val="20"/>
                <w:highlight w:val="lightGray"/>
              </w:rPr>
            </w:pPr>
          </w:p>
        </w:tc>
        <w:tc>
          <w:tcPr>
            <w:tcW w:w="26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noProof/>
                <w:color w:val="000000"/>
                <w:sz w:val="18"/>
                <w:szCs w:val="20"/>
                <w:highlight w:val="lightGray"/>
              </w:rPr>
            </w:pPr>
            <w:r>
              <w:rPr>
                <w:bCs/>
                <w:noProof/>
                <w:color w:val="000000"/>
                <w:sz w:val="18"/>
                <w:szCs w:val="20"/>
                <w:highlight w:val="lightGray"/>
              </w:rPr>
              <w:t xml:space="preserve">Az átmeneti időszak kezdete (2023. január 1.) </w:t>
            </w:r>
          </w:p>
        </w:tc>
        <w:tc>
          <w:tcPr>
            <w:tcW w:w="24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Cs/>
                <w:noProof/>
                <w:color w:val="000000"/>
                <w:sz w:val="18"/>
                <w:szCs w:val="20"/>
                <w:highlight w:val="lightGray"/>
              </w:rPr>
            </w:pPr>
            <w:r>
              <w:rPr>
                <w:bCs/>
                <w:noProof/>
                <w:color w:val="000000"/>
                <w:sz w:val="18"/>
                <w:szCs w:val="20"/>
                <w:highlight w:val="lightGray"/>
              </w:rPr>
              <w:t xml:space="preserve">Végleges adómérték az átmeneti időszak lejárta (2033. január 1.) után, indexálás előtt </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Benzin</w:t>
            </w:r>
          </w:p>
        </w:tc>
        <w:tc>
          <w:tcPr>
            <w:tcW w:w="26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sz w:val="18"/>
                <w:szCs w:val="20"/>
                <w:highlight w:val="lightGray"/>
              </w:rPr>
            </w:pPr>
            <w:r>
              <w:rPr>
                <w:noProof/>
                <w:sz w:val="18"/>
                <w:szCs w:val="20"/>
                <w:highlight w:val="lightGray"/>
              </w:rPr>
              <w:t>10,75</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sz w:val="18"/>
                <w:szCs w:val="20"/>
                <w:highlight w:val="lightGray"/>
              </w:rPr>
            </w:pPr>
            <w:r>
              <w:rPr>
                <w:noProof/>
                <w:sz w:val="18"/>
                <w:szCs w:val="20"/>
                <w:highlight w:val="lightGray"/>
              </w:rPr>
              <w:t>10,75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Gázolaj</w:t>
            </w:r>
          </w:p>
        </w:tc>
        <w:tc>
          <w:tcPr>
            <w:tcW w:w="26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sz w:val="18"/>
                <w:szCs w:val="20"/>
                <w:highlight w:val="lightGray"/>
              </w:rPr>
            </w:pPr>
            <w:r>
              <w:rPr>
                <w:noProof/>
                <w:sz w:val="18"/>
                <w:szCs w:val="20"/>
                <w:highlight w:val="lightGray"/>
              </w:rPr>
              <w:t>10,75</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sz w:val="18"/>
                <w:szCs w:val="20"/>
                <w:highlight w:val="lightGray"/>
              </w:rPr>
            </w:pPr>
            <w:r>
              <w:rPr>
                <w:noProof/>
                <w:sz w:val="18"/>
                <w:szCs w:val="20"/>
                <w:highlight w:val="lightGray"/>
              </w:rPr>
              <w:t>10,75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Kerozin</w:t>
            </w:r>
          </w:p>
        </w:tc>
        <w:tc>
          <w:tcPr>
            <w:tcW w:w="26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sz w:val="18"/>
                <w:szCs w:val="20"/>
                <w:highlight w:val="lightGray"/>
              </w:rPr>
            </w:pPr>
            <w:r>
              <w:rPr>
                <w:noProof/>
                <w:sz w:val="18"/>
                <w:szCs w:val="20"/>
                <w:highlight w:val="lightGray"/>
              </w:rPr>
              <w:t>10,75</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sz w:val="18"/>
                <w:szCs w:val="20"/>
                <w:highlight w:val="lightGray"/>
              </w:rPr>
            </w:pPr>
            <w:r>
              <w:rPr>
                <w:noProof/>
                <w:sz w:val="18"/>
                <w:szCs w:val="20"/>
                <w:highlight w:val="lightGray"/>
              </w:rPr>
              <w:t>10,75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hyperlink r:id="rId21" w:anchor="RANGE!_ftn2" w:history="1">
              <w:r>
                <w:rPr>
                  <w:rStyle w:val="Hyperlink"/>
                  <w:noProof/>
                  <w:color w:val="000000"/>
                  <w:sz w:val="18"/>
                  <w:szCs w:val="20"/>
                  <w:highlight w:val="lightGray"/>
                  <w:u w:val="none"/>
                </w:rPr>
                <w:t>Nem fenntartható bioüzemanyag</w:t>
              </w:r>
            </w:hyperlink>
          </w:p>
        </w:tc>
        <w:tc>
          <w:tcPr>
            <w:tcW w:w="2638"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sz w:val="18"/>
                <w:szCs w:val="20"/>
                <w:highlight w:val="lightGray"/>
              </w:rPr>
            </w:pPr>
            <w:r>
              <w:rPr>
                <w:noProof/>
                <w:sz w:val="18"/>
                <w:szCs w:val="20"/>
                <w:highlight w:val="lightGray"/>
              </w:rPr>
              <w:t>10,75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sz w:val="18"/>
                <w:szCs w:val="20"/>
                <w:highlight w:val="lightGray"/>
              </w:rPr>
            </w:pPr>
            <w:r>
              <w:rPr>
                <w:noProof/>
                <w:sz w:val="18"/>
                <w:szCs w:val="20"/>
                <w:highlight w:val="lightGray"/>
              </w:rPr>
              <w:t>10,75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 xml:space="preserve">Cseppfolyósított szénhidrogéngáz (LPG) </w:t>
            </w:r>
          </w:p>
        </w:tc>
        <w:tc>
          <w:tcPr>
            <w:tcW w:w="26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sz w:val="18"/>
                <w:szCs w:val="20"/>
                <w:highlight w:val="lightGray"/>
              </w:rPr>
            </w:pPr>
            <w:r>
              <w:rPr>
                <w:noProof/>
                <w:sz w:val="18"/>
                <w:szCs w:val="20"/>
                <w:highlight w:val="lightGray"/>
              </w:rPr>
              <w:t>7,17</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sz w:val="18"/>
                <w:szCs w:val="20"/>
                <w:highlight w:val="lightGray"/>
              </w:rPr>
            </w:pPr>
            <w:r>
              <w:rPr>
                <w:noProof/>
                <w:sz w:val="18"/>
                <w:szCs w:val="20"/>
                <w:highlight w:val="lightGray"/>
              </w:rPr>
              <w:t>10,75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Földgáz</w:t>
            </w:r>
          </w:p>
        </w:tc>
        <w:tc>
          <w:tcPr>
            <w:tcW w:w="26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sz w:val="18"/>
                <w:szCs w:val="20"/>
                <w:highlight w:val="lightGray"/>
              </w:rPr>
            </w:pPr>
            <w:r>
              <w:rPr>
                <w:noProof/>
                <w:sz w:val="18"/>
                <w:szCs w:val="20"/>
                <w:highlight w:val="lightGray"/>
              </w:rPr>
              <w:t>7,17</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sz w:val="18"/>
                <w:szCs w:val="20"/>
                <w:highlight w:val="lightGray"/>
              </w:rPr>
            </w:pPr>
            <w:r>
              <w:rPr>
                <w:noProof/>
                <w:sz w:val="18"/>
                <w:szCs w:val="20"/>
                <w:highlight w:val="lightGray"/>
              </w:rPr>
              <w:t>10,75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fenntartható biogáz</w:t>
            </w:r>
          </w:p>
        </w:tc>
        <w:tc>
          <w:tcPr>
            <w:tcW w:w="2638"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sz w:val="18"/>
                <w:szCs w:val="20"/>
                <w:highlight w:val="lightGray"/>
              </w:rPr>
            </w:pPr>
            <w:r>
              <w:rPr>
                <w:noProof/>
                <w:sz w:val="18"/>
                <w:szCs w:val="20"/>
                <w:highlight w:val="lightGray"/>
              </w:rPr>
              <w:t>7,17</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sz w:val="18"/>
                <w:szCs w:val="20"/>
                <w:highlight w:val="lightGray"/>
              </w:rPr>
            </w:pPr>
            <w:r>
              <w:rPr>
                <w:noProof/>
                <w:sz w:val="18"/>
                <w:szCs w:val="20"/>
                <w:highlight w:val="lightGray"/>
              </w:rPr>
              <w:t>10,75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biológiai eredetű nem megújuló üzemanyag</w:t>
            </w:r>
          </w:p>
        </w:tc>
        <w:tc>
          <w:tcPr>
            <w:tcW w:w="2638"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sz w:val="18"/>
                <w:szCs w:val="20"/>
                <w:highlight w:val="lightGray"/>
              </w:rPr>
            </w:pPr>
            <w:r>
              <w:rPr>
                <w:noProof/>
                <w:sz w:val="18"/>
                <w:szCs w:val="20"/>
                <w:highlight w:val="lightGray"/>
              </w:rPr>
              <w:t>7,17</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sz w:val="18"/>
                <w:szCs w:val="20"/>
                <w:highlight w:val="lightGray"/>
              </w:rPr>
            </w:pPr>
            <w:r>
              <w:rPr>
                <w:noProof/>
                <w:sz w:val="18"/>
                <w:szCs w:val="20"/>
                <w:highlight w:val="lightGray"/>
              </w:rPr>
              <w:t>10,75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Élelmiszer- és takarmánynövényekből előállított fenntartható bioüzemanyag</w:t>
            </w:r>
          </w:p>
        </w:tc>
        <w:tc>
          <w:tcPr>
            <w:tcW w:w="2638"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sz w:val="18"/>
                <w:szCs w:val="20"/>
                <w:highlight w:val="lightGray"/>
              </w:rPr>
            </w:pPr>
            <w:r>
              <w:rPr>
                <w:noProof/>
                <w:color w:val="000000"/>
                <w:sz w:val="18"/>
                <w:szCs w:val="20"/>
                <w:highlight w:val="lightGray"/>
              </w:rPr>
              <w:t>5,38</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sz w:val="18"/>
                <w:szCs w:val="20"/>
                <w:highlight w:val="lightGray"/>
              </w:rPr>
            </w:pPr>
            <w:r>
              <w:rPr>
                <w:noProof/>
                <w:color w:val="000000"/>
                <w:sz w:val="18"/>
                <w:szCs w:val="20"/>
                <w:highlight w:val="lightGray"/>
              </w:rPr>
              <w:t>10,75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Élelmiszer- és takarmánynövényekből előállított fenntartható biogáz</w:t>
            </w:r>
          </w:p>
        </w:tc>
        <w:tc>
          <w:tcPr>
            <w:tcW w:w="2638"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5,38</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10,75</w:t>
            </w:r>
          </w:p>
        </w:tc>
      </w:tr>
      <w:tr>
        <w:trPr>
          <w:trHeight w:val="297"/>
        </w:trPr>
        <w:tc>
          <w:tcPr>
            <w:tcW w:w="4202"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Fenntartható bioüzemanyag</w:t>
            </w:r>
          </w:p>
        </w:tc>
        <w:tc>
          <w:tcPr>
            <w:tcW w:w="263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sz w:val="18"/>
                <w:szCs w:val="20"/>
                <w:highlight w:val="lightGray"/>
              </w:rPr>
            </w:pPr>
            <w:r>
              <w:rPr>
                <w:noProof/>
                <w:sz w:val="18"/>
                <w:szCs w:val="20"/>
                <w:highlight w:val="lightGray"/>
              </w:rPr>
              <w:t>5,38</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sz w:val="18"/>
                <w:szCs w:val="20"/>
                <w:highlight w:val="lightGray"/>
              </w:rPr>
            </w:pPr>
            <w:r>
              <w:rPr>
                <w:noProof/>
                <w:sz w:val="18"/>
                <w:szCs w:val="20"/>
                <w:highlight w:val="lightGray"/>
              </w:rPr>
              <w:t>5,38</w:t>
            </w:r>
          </w:p>
        </w:tc>
      </w:tr>
      <w:tr>
        <w:trPr>
          <w:trHeight w:val="297"/>
        </w:trPr>
        <w:tc>
          <w:tcPr>
            <w:tcW w:w="4202"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Fenntartható biogáz</w:t>
            </w:r>
          </w:p>
        </w:tc>
        <w:tc>
          <w:tcPr>
            <w:tcW w:w="2638"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sz w:val="18"/>
                <w:szCs w:val="20"/>
                <w:highlight w:val="lightGray"/>
              </w:rPr>
            </w:pPr>
            <w:r>
              <w:rPr>
                <w:noProof/>
                <w:color w:val="000000"/>
                <w:sz w:val="18"/>
                <w:szCs w:val="20"/>
                <w:highlight w:val="lightGray"/>
              </w:rPr>
              <w:t>5,38</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sz w:val="18"/>
                <w:szCs w:val="20"/>
                <w:highlight w:val="lightGray"/>
              </w:rPr>
            </w:pPr>
            <w:r>
              <w:rPr>
                <w:noProof/>
                <w:color w:val="000000"/>
                <w:sz w:val="18"/>
                <w:szCs w:val="20"/>
                <w:highlight w:val="lightGray"/>
              </w:rPr>
              <w:t>5,38</w:t>
            </w:r>
          </w:p>
        </w:tc>
      </w:tr>
      <w:tr>
        <w:trPr>
          <w:trHeight w:val="297"/>
        </w:trPr>
        <w:tc>
          <w:tcPr>
            <w:tcW w:w="4202"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Alacsony kibocsátású üzemanyag</w:t>
            </w:r>
          </w:p>
        </w:tc>
        <w:tc>
          <w:tcPr>
            <w:tcW w:w="2638"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5,38</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biológiai eredetű megújuló üzemanyag</w:t>
            </w:r>
          </w:p>
        </w:tc>
        <w:tc>
          <w:tcPr>
            <w:tcW w:w="2638"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sz w:val="18"/>
                <w:szCs w:val="20"/>
                <w:highlight w:val="lightGray"/>
              </w:rPr>
            </w:pPr>
            <w:r>
              <w:rPr>
                <w:noProof/>
                <w:color w:val="000000"/>
                <w:sz w:val="18"/>
                <w:szCs w:val="20"/>
                <w:highlight w:val="lightGray"/>
              </w:rPr>
              <w:t>0,15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sz w:val="18"/>
                <w:szCs w:val="20"/>
                <w:highlight w:val="lightGray"/>
              </w:rPr>
            </w:pPr>
            <w:r>
              <w:rPr>
                <w:noProof/>
                <w:color w:val="000000"/>
                <w:sz w:val="18"/>
                <w:szCs w:val="20"/>
                <w:highlight w:val="lightGray"/>
              </w:rPr>
              <w:t>0,15</w:t>
            </w:r>
          </w:p>
        </w:tc>
      </w:tr>
      <w:tr>
        <w:trPr>
          <w:trHeight w:val="275"/>
        </w:trPr>
        <w:tc>
          <w:tcPr>
            <w:tcW w:w="4202"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Fenntartható fejlett bioüzemanyag és biogáz</w:t>
            </w:r>
          </w:p>
        </w:tc>
        <w:tc>
          <w:tcPr>
            <w:tcW w:w="2638"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r>
    </w:tbl>
    <w:p>
      <w:pPr>
        <w:adjustRightInd w:val="0"/>
        <w:spacing w:before="0" w:after="0"/>
        <w:jc w:val="left"/>
        <w:rPr>
          <w:noProof/>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tc>
          <w:tcPr>
            <w:tcW w:w="9210" w:type="dxa"/>
          </w:tcPr>
          <w:p>
            <w:pPr>
              <w:pStyle w:val="NormalCentered"/>
              <w:rPr>
                <w:noProof/>
                <w:highlight w:val="lightGray"/>
              </w:rPr>
            </w:pPr>
            <w:r>
              <w:rPr>
                <w:noProof/>
                <w:highlight w:val="lightGray"/>
              </w:rPr>
              <w:t>B. táblázat – A 8. cikk (2) bekezdésében meghatározott célokra használt üzemanyagokra alkalmazandó minimum adómértékek (EUR/gigajoule)</w:t>
            </w:r>
          </w:p>
        </w:tc>
      </w:tr>
    </w:tbl>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2640"/>
        <w:gridCol w:w="2400"/>
      </w:tblGrid>
      <w:tr>
        <w:trPr>
          <w:trHeight w:val="980"/>
        </w:trPr>
        <w:tc>
          <w:tcPr>
            <w:tcW w:w="420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sz w:val="18"/>
                <w:szCs w:val="20"/>
                <w:highlight w:val="lightGray"/>
              </w:rPr>
            </w:pPr>
          </w:p>
        </w:tc>
        <w:tc>
          <w:tcPr>
            <w:tcW w:w="26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sz w:val="18"/>
                <w:szCs w:val="20"/>
                <w:highlight w:val="lightGray"/>
              </w:rPr>
            </w:pPr>
            <w:r>
              <w:rPr>
                <w:bCs/>
                <w:noProof/>
                <w:color w:val="000000"/>
                <w:sz w:val="18"/>
                <w:szCs w:val="20"/>
                <w:highlight w:val="lightGray"/>
              </w:rPr>
              <w:t>Az átmeneti időszak kezdete (2023. január 1.)</w:t>
            </w:r>
          </w:p>
        </w:tc>
        <w:tc>
          <w:tcPr>
            <w:tcW w:w="24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sz w:val="18"/>
                <w:szCs w:val="20"/>
                <w:highlight w:val="lightGray"/>
              </w:rPr>
            </w:pPr>
            <w:r>
              <w:rPr>
                <w:bCs/>
                <w:noProof/>
                <w:color w:val="000000"/>
                <w:sz w:val="18"/>
                <w:szCs w:val="20"/>
                <w:highlight w:val="lightGray"/>
              </w:rPr>
              <w:t xml:space="preserve">Végleges adómérték az átmeneti időszak lejárta (2033. január 1.) után, indexálás előtt </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 xml:space="preserve">Gázolaj </w:t>
            </w:r>
          </w:p>
        </w:tc>
        <w:tc>
          <w:tcPr>
            <w:tcW w:w="26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Nehéz fűtőolaj</w:t>
            </w:r>
          </w:p>
        </w:tc>
        <w:tc>
          <w:tcPr>
            <w:tcW w:w="26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Kerozin</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fenntartható bioüzemanyag</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 xml:space="preserve">Cseppfolyósított szénhidrogéngáz (LPG) </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0,6</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 xml:space="preserve">Földgáz </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0,6</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fenntartható biogáz</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0,6</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42"/>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biológiai eredetű nem megújuló üzemanyag</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0,6</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Élelmiszer- és takarmánynövényekből előállított fenntartható bioüzemanyag</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Élelmiszer- és takarmánynövényekből előállított fenntartható biogáz</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Fenntartható bioüzemanyag</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Fenntartható biogáz</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Alacsony kibocsátású üzemanyag</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biológiai eredetű megújuló üzemanyag</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r>
      <w:tr>
        <w:trPr>
          <w:trHeight w:val="275"/>
        </w:trPr>
        <w:tc>
          <w:tcPr>
            <w:tcW w:w="4200"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Fenntartható fejlett bioüzemanyag és biogáz</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r>
    </w:tbl>
    <w:p>
      <w:pPr>
        <w:adjustRightInd w:val="0"/>
        <w:spacing w:before="0" w:after="0"/>
        <w:jc w:val="left"/>
        <w:rPr>
          <w:noProof/>
          <w:highlight w:val="lightGray"/>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0"/>
      </w:tblGrid>
      <w:tr>
        <w:tc>
          <w:tcPr>
            <w:tcW w:w="9210" w:type="dxa"/>
          </w:tcPr>
          <w:p>
            <w:pPr>
              <w:pStyle w:val="NormalCentered"/>
              <w:rPr>
                <w:noProof/>
                <w:highlight w:val="lightGray"/>
              </w:rPr>
            </w:pPr>
            <w:r>
              <w:rPr>
                <w:noProof/>
                <w:highlight w:val="lightGray"/>
              </w:rPr>
              <w:t>C. táblázat – A tüzelő-, fűtőanyagokra alkalmazandó minimum adómértékek (EUR/gigajoule)</w:t>
            </w:r>
          </w:p>
        </w:tc>
      </w:tr>
    </w:tbl>
    <w:tbl>
      <w:tblPr>
        <w:tblpPr w:leftFromText="141" w:rightFromText="141" w:vertAnchor="text" w:horzAnchor="page" w:tblpX="1479" w:tblpY="125"/>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2640"/>
        <w:gridCol w:w="2400"/>
      </w:tblGrid>
      <w:tr>
        <w:trPr>
          <w:trHeight w:val="980"/>
        </w:trPr>
        <w:tc>
          <w:tcPr>
            <w:tcW w:w="4789"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sz w:val="18"/>
                <w:szCs w:val="20"/>
                <w:highlight w:val="lightGray"/>
              </w:rPr>
            </w:pPr>
          </w:p>
        </w:tc>
        <w:tc>
          <w:tcPr>
            <w:tcW w:w="26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sz w:val="18"/>
                <w:szCs w:val="20"/>
                <w:highlight w:val="lightGray"/>
              </w:rPr>
            </w:pPr>
            <w:r>
              <w:rPr>
                <w:noProof/>
                <w:color w:val="000000"/>
                <w:sz w:val="18"/>
                <w:szCs w:val="20"/>
                <w:highlight w:val="lightGray"/>
              </w:rPr>
              <w:t>Az átmeneti időszak kezdete (2023. január 1.)</w:t>
            </w:r>
          </w:p>
        </w:tc>
        <w:tc>
          <w:tcPr>
            <w:tcW w:w="24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sz w:val="18"/>
                <w:szCs w:val="20"/>
                <w:highlight w:val="lightGray"/>
              </w:rPr>
            </w:pPr>
            <w:r>
              <w:rPr>
                <w:noProof/>
                <w:color w:val="000000"/>
                <w:sz w:val="18"/>
                <w:szCs w:val="20"/>
                <w:highlight w:val="lightGray"/>
              </w:rPr>
              <w:t>Végleges adómérték az átmeneti időszak lejárta (2033. január 1.) után, indexálás előtt</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 xml:space="preserve">Gázolaj </w:t>
            </w:r>
          </w:p>
        </w:tc>
        <w:tc>
          <w:tcPr>
            <w:tcW w:w="26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rPr>
                <w:noProof/>
                <w:color w:val="000000"/>
                <w:sz w:val="18"/>
                <w:szCs w:val="20"/>
                <w:highlight w:val="lightGray"/>
              </w:rPr>
            </w:pPr>
            <w:r>
              <w:rPr>
                <w:noProof/>
                <w:color w:val="000000"/>
                <w:sz w:val="18"/>
                <w:szCs w:val="20"/>
                <w:highlight w:val="lightGray"/>
              </w:rPr>
              <w:t>Nehéz fűtőolaj</w:t>
            </w:r>
          </w:p>
        </w:tc>
        <w:tc>
          <w:tcPr>
            <w:tcW w:w="264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hideMark/>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Kerozin</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Szén és koksz</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fenntartható folyékony bio-energiahordozó</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A 4401 és a 4402 KN-kód alá tartozó nem fenntartható szilárd termék</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0,9</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 xml:space="preserve">Cseppfolyósított szénhidrogéngáz (LPG) </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0,6</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 xml:space="preserve">Földgáz </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0,6</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fenntartható biogáz</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0,6</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42"/>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biológiai eredetű nem megújuló üzemanyag</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0,6</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42"/>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Élelmiszer- és takarmánynövényekből előállított fenntartható folyékony bio-energiahordozó</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42"/>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Élelmiszer- és takarmánynövényekből előállított fenntartható biogáz</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0,9</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Fenntartható folyékony bio-energiahordozó</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Fenntartható biogáz</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A 4401 és a 4402 KN-kód alá tartozó fenntartható szilárd termék</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Alacsony kibocsátású üzemanyag</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0,45</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Nem biológiai eredetű megújuló üzemanyag</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r>
      <w:tr>
        <w:trPr>
          <w:trHeight w:val="275"/>
        </w:trPr>
        <w:tc>
          <w:tcPr>
            <w:tcW w:w="4789"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Fenntartható fejlett folyékony bio-energiahordozó, biogáz és a 4401 és a 4402 KN-kód alá tartozó termék</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c>
          <w:tcPr>
            <w:tcW w:w="2400"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r>
    </w:tbl>
    <w:p>
      <w:pPr>
        <w:rPr>
          <w:noProof/>
          <w:highlight w:val="lightGray"/>
        </w:rPr>
      </w:pPr>
    </w:p>
    <w:tbl>
      <w:tblPr>
        <w:tblpPr w:leftFromText="141" w:rightFromText="141" w:vertAnchor="text" w:horzAnchor="margin" w:tblpY="2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8"/>
        <w:gridCol w:w="2640"/>
        <w:gridCol w:w="3061"/>
      </w:tblGrid>
      <w:tr>
        <w:trPr>
          <w:trHeight w:val="275"/>
        </w:trPr>
        <w:tc>
          <w:tcPr>
            <w:tcW w:w="9889" w:type="dxa"/>
            <w:gridSpan w:val="3"/>
            <w:tcBorders>
              <w:top w:val="nil"/>
              <w:left w:val="nil"/>
              <w:bottom w:val="single" w:sz="4" w:space="0" w:color="auto"/>
              <w:right w:val="nil"/>
            </w:tcBorders>
            <w:noWrap/>
            <w:vAlign w:val="center"/>
          </w:tcPr>
          <w:p>
            <w:pPr>
              <w:pStyle w:val="NormalCentered"/>
              <w:rPr>
                <w:noProof/>
                <w:highlight w:val="lightGray"/>
              </w:rPr>
            </w:pPr>
            <w:r>
              <w:rPr>
                <w:noProof/>
                <w:highlight w:val="lightGray"/>
              </w:rPr>
              <w:t>D. táblázat – A villamos energiára alkalmazandó minimum adómértékek (EUR/gigajoule)</w:t>
            </w:r>
          </w:p>
        </w:tc>
      </w:tr>
      <w:tr>
        <w:trPr>
          <w:trHeight w:val="275"/>
        </w:trPr>
        <w:tc>
          <w:tcPr>
            <w:tcW w:w="4188"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sz w:val="18"/>
                <w:szCs w:val="20"/>
                <w:highlight w:val="lightGray"/>
              </w:rPr>
            </w:pPr>
            <w:r>
              <w:rPr>
                <w:noProof/>
                <w:color w:val="000000"/>
                <w:sz w:val="18"/>
                <w:szCs w:val="20"/>
                <w:highlight w:val="lightGray"/>
              </w:rPr>
              <w:t>Az átmeneti időszak kezdete (2023. január 1.)</w:t>
            </w:r>
          </w:p>
        </w:tc>
        <w:tc>
          <w:tcPr>
            <w:tcW w:w="3061" w:type="dxa"/>
            <w:tcBorders>
              <w:top w:val="single" w:sz="4" w:space="0" w:color="auto"/>
              <w:left w:val="single" w:sz="4" w:space="0" w:color="auto"/>
              <w:bottom w:val="single" w:sz="4" w:space="0" w:color="auto"/>
              <w:right w:val="single" w:sz="4" w:space="0" w:color="auto"/>
            </w:tcBorders>
            <w:noWrap/>
            <w:vAlign w:val="center"/>
          </w:tcPr>
          <w:p>
            <w:pPr>
              <w:spacing w:line="276" w:lineRule="auto"/>
              <w:jc w:val="center"/>
              <w:rPr>
                <w:noProof/>
                <w:color w:val="000000"/>
                <w:sz w:val="18"/>
                <w:szCs w:val="20"/>
                <w:highlight w:val="lightGray"/>
              </w:rPr>
            </w:pPr>
            <w:r>
              <w:rPr>
                <w:noProof/>
                <w:color w:val="000000"/>
                <w:sz w:val="18"/>
                <w:szCs w:val="20"/>
                <w:highlight w:val="lightGray"/>
              </w:rPr>
              <w:t>Végleges adómérték az átmeneti időszak lejárta (2033. január 1.) után, indexálás előtt</w:t>
            </w:r>
          </w:p>
        </w:tc>
      </w:tr>
      <w:tr>
        <w:trPr>
          <w:trHeight w:val="275"/>
        </w:trPr>
        <w:tc>
          <w:tcPr>
            <w:tcW w:w="4188" w:type="dxa"/>
            <w:tcBorders>
              <w:top w:val="single" w:sz="4" w:space="0" w:color="auto"/>
              <w:left w:val="single" w:sz="4" w:space="0" w:color="auto"/>
              <w:bottom w:val="single" w:sz="4" w:space="0" w:color="auto"/>
              <w:right w:val="single" w:sz="4" w:space="0" w:color="auto"/>
            </w:tcBorders>
            <w:noWrap/>
            <w:vAlign w:val="center"/>
          </w:tcPr>
          <w:p>
            <w:pPr>
              <w:spacing w:line="276" w:lineRule="auto"/>
              <w:rPr>
                <w:noProof/>
                <w:color w:val="000000"/>
                <w:sz w:val="18"/>
                <w:szCs w:val="20"/>
                <w:highlight w:val="lightGray"/>
              </w:rPr>
            </w:pPr>
            <w:r>
              <w:rPr>
                <w:noProof/>
                <w:color w:val="000000"/>
                <w:sz w:val="18"/>
                <w:szCs w:val="20"/>
                <w:highlight w:val="lightGray"/>
              </w:rPr>
              <w:t>Villamos energia</w:t>
            </w:r>
          </w:p>
        </w:tc>
        <w:tc>
          <w:tcPr>
            <w:tcW w:w="2640" w:type="dxa"/>
            <w:tcBorders>
              <w:top w:val="single" w:sz="4" w:space="0" w:color="auto"/>
              <w:left w:val="single" w:sz="4" w:space="0" w:color="auto"/>
              <w:bottom w:val="single" w:sz="4" w:space="0" w:color="auto"/>
              <w:right w:val="single" w:sz="4" w:space="0" w:color="auto"/>
            </w:tcBorders>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c>
          <w:tcPr>
            <w:tcW w:w="3061" w:type="dxa"/>
            <w:tcBorders>
              <w:top w:val="single" w:sz="4" w:space="0" w:color="auto"/>
              <w:left w:val="single" w:sz="4" w:space="0" w:color="auto"/>
              <w:bottom w:val="single" w:sz="4" w:space="0" w:color="auto"/>
              <w:right w:val="single" w:sz="4" w:space="0" w:color="auto"/>
            </w:tcBorders>
            <w:noWrap/>
            <w:vAlign w:val="center"/>
          </w:tcPr>
          <w:p>
            <w:pPr>
              <w:spacing w:line="276" w:lineRule="auto"/>
              <w:jc w:val="right"/>
              <w:rPr>
                <w:noProof/>
                <w:color w:val="000000"/>
                <w:sz w:val="18"/>
                <w:szCs w:val="20"/>
                <w:highlight w:val="lightGray"/>
              </w:rPr>
            </w:pPr>
            <w:r>
              <w:rPr>
                <w:noProof/>
                <w:color w:val="000000"/>
                <w:sz w:val="18"/>
                <w:szCs w:val="20"/>
                <w:highlight w:val="lightGray"/>
              </w:rPr>
              <w:t>0,15</w:t>
            </w:r>
          </w:p>
        </w:tc>
      </w:tr>
    </w:tbl>
    <w:p>
      <w:pPr>
        <w:adjustRightInd w:val="0"/>
        <w:spacing w:before="0" w:after="0"/>
        <w:jc w:val="left"/>
        <w:rPr>
          <w:noProof/>
          <w:highlight w:val="lightGray"/>
        </w:rPr>
      </w:pPr>
    </w:p>
    <w:p>
      <w:pPr>
        <w:adjustRightInd w:val="0"/>
        <w:spacing w:before="0" w:after="0"/>
        <w:jc w:val="left"/>
        <w:rPr>
          <w:noProof/>
          <w:highlight w:val="lightGray"/>
        </w:rPr>
        <w:sectPr>
          <w:pgSz w:w="11906" w:h="16838"/>
          <w:pgMar w:top="1134" w:right="1418" w:bottom="1134" w:left="1418" w:header="709" w:footer="709" w:gutter="0"/>
          <w:cols w:space="709"/>
          <w:docGrid w:linePitch="326"/>
        </w:sectPr>
      </w:pPr>
    </w:p>
    <w:p>
      <w:pPr>
        <w:pStyle w:val="CRSeparator"/>
        <w:rPr>
          <w:noProof/>
        </w:rPr>
      </w:pPr>
    </w:p>
    <w:p>
      <w:pPr>
        <w:pStyle w:val="CRReference"/>
        <w:rPr>
          <w:noProof/>
        </w:rPr>
      </w:pPr>
      <w:r>
        <w:rPr>
          <w:noProof/>
        </w:rPr>
        <w:fldChar w:fldCharType="begin" w:fldLock="1"/>
      </w:r>
      <w:r>
        <w:rPr>
          <w:noProof/>
        </w:rPr>
        <w:instrText xml:space="preserve"> QUOTE "é" </w:instrText>
      </w:r>
      <w:r>
        <w:rPr>
          <w:noProof/>
        </w:rPr>
        <w:fldChar w:fldCharType="separate"/>
      </w:r>
      <w:r>
        <w:rPr>
          <w:rStyle w:val="CRMarker"/>
          <w:noProof/>
        </w:rPr>
        <w:t>é</w:t>
      </w:r>
      <w:r>
        <w:rPr>
          <w:noProof/>
        </w:rPr>
        <w:fldChar w:fldCharType="end"/>
      </w:r>
    </w:p>
    <w:p>
      <w:pPr>
        <w:pStyle w:val="Annexetitre"/>
        <w:rPr>
          <w:noProof/>
        </w:rPr>
      </w:pPr>
      <w:r>
        <w:rPr>
          <w:noProof/>
        </w:rPr>
        <w:t>II. MELLÉKLET</w:t>
      </w:r>
    </w:p>
    <w:p>
      <w:pPr>
        <w:widowControl w:val="0"/>
        <w:tabs>
          <w:tab w:val="right" w:pos="9600"/>
        </w:tabs>
        <w:suppressAutoHyphens/>
        <w:spacing w:before="0" w:after="240"/>
        <w:jc w:val="center"/>
        <w:rPr>
          <w:noProof/>
        </w:rPr>
      </w:pPr>
      <w:r>
        <w:rPr>
          <w:noProof/>
        </w:rPr>
        <w:t>A. rész</w:t>
      </w:r>
    </w:p>
    <w:p>
      <w:pPr>
        <w:widowControl w:val="0"/>
        <w:tabs>
          <w:tab w:val="left" w:pos="-720"/>
          <w:tab w:val="center" w:pos="7344"/>
        </w:tabs>
        <w:suppressAutoHyphens/>
        <w:spacing w:before="0" w:after="240"/>
        <w:jc w:val="center"/>
        <w:rPr>
          <w:rFonts w:eastAsia="Times New Roman"/>
          <w:b/>
          <w:noProof/>
        </w:rPr>
      </w:pPr>
      <w:r>
        <w:rPr>
          <w:b/>
          <w:bCs/>
          <w:noProof/>
        </w:rPr>
        <w:t>A hatályon kívül helyezett irányelv és későbbi módosításainak jegyzéke</w:t>
      </w:r>
      <w:r>
        <w:rPr>
          <w:noProof/>
        </w:rPr>
        <w:t xml:space="preserve"> </w:t>
      </w:r>
      <w:r>
        <w:rPr>
          <w:noProof/>
        </w:rPr>
        <w:br/>
      </w:r>
      <w:r>
        <w:rPr>
          <w:b/>
          <w:noProof/>
        </w:rPr>
        <w:t>(a 32. cikkben említettek szerint)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426"/>
        <w:gridCol w:w="3650"/>
      </w:tblGrid>
      <w:tr>
        <w:tc>
          <w:tcPr>
            <w:tcW w:w="5211" w:type="dxa"/>
            <w:gridSpan w:val="2"/>
          </w:tcPr>
          <w:p>
            <w:pPr>
              <w:widowControl w:val="0"/>
              <w:tabs>
                <w:tab w:val="left" w:pos="-720"/>
                <w:tab w:val="center" w:pos="7344"/>
              </w:tabs>
              <w:suppressAutoHyphens/>
              <w:jc w:val="left"/>
              <w:rPr>
                <w:noProof/>
              </w:rPr>
            </w:pPr>
            <w:r>
              <w:rPr>
                <w:noProof/>
              </w:rPr>
              <w:t xml:space="preserve">A Tanács 2003/96/EK irányelve </w:t>
            </w:r>
            <w:r>
              <w:rPr>
                <w:noProof/>
              </w:rPr>
              <w:br/>
              <w:t>(HL L 283., 2003.10.31., 51. o.)</w:t>
            </w:r>
          </w:p>
        </w:tc>
        <w:tc>
          <w:tcPr>
            <w:tcW w:w="4076" w:type="dxa"/>
            <w:gridSpan w:val="2"/>
          </w:tcPr>
          <w:p>
            <w:pPr>
              <w:widowControl w:val="0"/>
              <w:tabs>
                <w:tab w:val="left" w:pos="-720"/>
                <w:tab w:val="center" w:pos="7344"/>
              </w:tabs>
              <w:suppressAutoHyphens/>
              <w:jc w:val="left"/>
              <w:rPr>
                <w:b/>
                <w:noProof/>
                <w:lang w:eastAsia="fr-BE"/>
              </w:rPr>
            </w:pPr>
          </w:p>
        </w:tc>
      </w:tr>
      <w:tr>
        <w:trPr>
          <w:gridBefore w:val="1"/>
          <w:wBefore w:w="534" w:type="dxa"/>
        </w:trPr>
        <w:tc>
          <w:tcPr>
            <w:tcW w:w="5103" w:type="dxa"/>
            <w:gridSpan w:val="2"/>
          </w:tcPr>
          <w:p>
            <w:pPr>
              <w:widowControl w:val="0"/>
              <w:tabs>
                <w:tab w:val="left" w:pos="-720"/>
                <w:tab w:val="center" w:pos="7344"/>
              </w:tabs>
              <w:suppressAutoHyphens/>
              <w:jc w:val="left"/>
              <w:rPr>
                <w:noProof/>
              </w:rPr>
            </w:pPr>
            <w:r>
              <w:rPr>
                <w:noProof/>
              </w:rPr>
              <w:t xml:space="preserve">A Tanács 2004/74/EK irányelve  </w:t>
            </w:r>
            <w:r>
              <w:rPr>
                <w:noProof/>
              </w:rPr>
              <w:br/>
              <w:t>(HL L 157., 2004.4.30., 87. o.)</w:t>
            </w:r>
          </w:p>
        </w:tc>
        <w:tc>
          <w:tcPr>
            <w:tcW w:w="3650" w:type="dxa"/>
          </w:tcPr>
          <w:p>
            <w:pPr>
              <w:widowControl w:val="0"/>
              <w:tabs>
                <w:tab w:val="left" w:pos="-720"/>
                <w:tab w:val="center" w:pos="7344"/>
              </w:tabs>
              <w:suppressAutoHyphens/>
              <w:jc w:val="left"/>
              <w:rPr>
                <w:b/>
                <w:noProof/>
                <w:lang w:eastAsia="fr-BE"/>
              </w:rPr>
            </w:pPr>
          </w:p>
        </w:tc>
      </w:tr>
      <w:tr>
        <w:trPr>
          <w:gridBefore w:val="1"/>
          <w:wBefore w:w="534" w:type="dxa"/>
        </w:trPr>
        <w:tc>
          <w:tcPr>
            <w:tcW w:w="5103" w:type="dxa"/>
            <w:gridSpan w:val="2"/>
          </w:tcPr>
          <w:p>
            <w:pPr>
              <w:widowControl w:val="0"/>
              <w:tabs>
                <w:tab w:val="left" w:pos="-720"/>
                <w:tab w:val="center" w:pos="7344"/>
              </w:tabs>
              <w:suppressAutoHyphens/>
              <w:jc w:val="left"/>
              <w:rPr>
                <w:noProof/>
              </w:rPr>
            </w:pPr>
            <w:r>
              <w:rPr>
                <w:noProof/>
              </w:rPr>
              <w:t xml:space="preserve">A Tanács 2004/75/EK irányelve </w:t>
            </w:r>
            <w:r>
              <w:rPr>
                <w:noProof/>
              </w:rPr>
              <w:br/>
              <w:t>(HL L 157., 2004.4.30., 100. o.)</w:t>
            </w:r>
          </w:p>
        </w:tc>
        <w:tc>
          <w:tcPr>
            <w:tcW w:w="3650" w:type="dxa"/>
          </w:tcPr>
          <w:p>
            <w:pPr>
              <w:widowControl w:val="0"/>
              <w:tabs>
                <w:tab w:val="left" w:pos="-720"/>
                <w:tab w:val="center" w:pos="7344"/>
              </w:tabs>
              <w:suppressAutoHyphens/>
              <w:jc w:val="left"/>
              <w:rPr>
                <w:b/>
                <w:noProof/>
                <w:lang w:eastAsia="fr-BE"/>
              </w:rPr>
            </w:pPr>
          </w:p>
        </w:tc>
      </w:tr>
      <w:tr>
        <w:trPr>
          <w:gridBefore w:val="1"/>
          <w:wBefore w:w="534" w:type="dxa"/>
        </w:trPr>
        <w:tc>
          <w:tcPr>
            <w:tcW w:w="5103" w:type="dxa"/>
            <w:gridSpan w:val="2"/>
          </w:tcPr>
          <w:p>
            <w:pPr>
              <w:widowControl w:val="0"/>
              <w:tabs>
                <w:tab w:val="left" w:pos="-720"/>
                <w:tab w:val="center" w:pos="7344"/>
              </w:tabs>
              <w:suppressAutoHyphens/>
              <w:jc w:val="left"/>
              <w:rPr>
                <w:noProof/>
              </w:rPr>
            </w:pPr>
            <w:r>
              <w:rPr>
                <w:noProof/>
              </w:rPr>
              <w:t xml:space="preserve">A Bizottság (EU) 2018/552 végrehajtási határozata  </w:t>
            </w:r>
            <w:r>
              <w:rPr>
                <w:noProof/>
              </w:rPr>
              <w:br/>
              <w:t>(HL L 91., 2018.4.9., 27. o.)</w:t>
            </w:r>
          </w:p>
        </w:tc>
        <w:tc>
          <w:tcPr>
            <w:tcW w:w="3650" w:type="dxa"/>
          </w:tcPr>
          <w:p>
            <w:pPr>
              <w:widowControl w:val="0"/>
              <w:tabs>
                <w:tab w:val="left" w:pos="-720"/>
                <w:tab w:val="center" w:pos="7344"/>
              </w:tabs>
              <w:suppressAutoHyphens/>
              <w:jc w:val="left"/>
              <w:rPr>
                <w:noProof/>
              </w:rPr>
            </w:pPr>
          </w:p>
        </w:tc>
      </w:tr>
    </w:tbl>
    <w:p>
      <w:pPr>
        <w:widowControl w:val="0"/>
        <w:tabs>
          <w:tab w:val="right" w:pos="9600"/>
        </w:tabs>
        <w:suppressAutoHyphens/>
        <w:spacing w:before="0" w:after="240"/>
        <w:jc w:val="center"/>
        <w:outlineLvl w:val="0"/>
        <w:rPr>
          <w:rFonts w:eastAsia="Times New Roman"/>
          <w:noProof/>
        </w:rPr>
      </w:pPr>
      <w:r>
        <w:rPr>
          <w:noProof/>
        </w:rPr>
        <w:t>B. rész</w:t>
      </w:r>
    </w:p>
    <w:p>
      <w:pPr>
        <w:widowControl w:val="0"/>
        <w:tabs>
          <w:tab w:val="right" w:pos="9600"/>
        </w:tabs>
        <w:suppressAutoHyphens/>
        <w:spacing w:before="0" w:after="240"/>
        <w:jc w:val="center"/>
        <w:rPr>
          <w:rFonts w:eastAsia="Times New Roman"/>
          <w:b/>
          <w:noProof/>
        </w:rPr>
      </w:pPr>
      <w:r>
        <w:rPr>
          <w:b/>
          <w:bCs/>
          <w:noProof/>
        </w:rPr>
        <w:t>A nemzeti jogba történő átültetésre vonatkozó határidők</w:t>
      </w:r>
      <w:r>
        <w:rPr>
          <w:noProof/>
        </w:rPr>
        <w:t xml:space="preserve"> </w:t>
      </w:r>
      <w:r>
        <w:rPr>
          <w:noProof/>
        </w:rPr>
        <w:br/>
      </w:r>
      <w:r>
        <w:rPr>
          <w:b/>
          <w:noProof/>
        </w:rPr>
        <w:t>(a 32. cikkben említettek szerint)</w:t>
      </w:r>
    </w:p>
    <w:tbl>
      <w:tblPr>
        <w:tblW w:w="0" w:type="auto"/>
        <w:jc w:val="center"/>
        <w:tblLook w:val="01E0" w:firstRow="1" w:lastRow="1" w:firstColumn="1" w:lastColumn="1" w:noHBand="0" w:noVBand="0"/>
      </w:tblPr>
      <w:tblGrid>
        <w:gridCol w:w="3079"/>
        <w:gridCol w:w="3107"/>
      </w:tblGrid>
      <w:tr>
        <w:trPr>
          <w:jc w:val="center"/>
        </w:trPr>
        <w:tc>
          <w:tcPr>
            <w:tcW w:w="3079" w:type="dxa"/>
            <w:tcBorders>
              <w:top w:val="single" w:sz="4" w:space="0" w:color="auto"/>
              <w:bottom w:val="single" w:sz="4" w:space="0" w:color="auto"/>
              <w:right w:val="single" w:sz="4" w:space="0" w:color="auto"/>
            </w:tcBorders>
          </w:tcPr>
          <w:p>
            <w:pPr>
              <w:widowControl w:val="0"/>
              <w:tabs>
                <w:tab w:val="right" w:pos="9600"/>
              </w:tabs>
              <w:suppressAutoHyphens/>
              <w:jc w:val="center"/>
              <w:rPr>
                <w:rFonts w:eastAsia="Times New Roman"/>
                <w:noProof/>
              </w:rPr>
            </w:pPr>
            <w:r>
              <w:rPr>
                <w:noProof/>
              </w:rPr>
              <w:t>Irányelv</w:t>
            </w:r>
          </w:p>
        </w:tc>
        <w:tc>
          <w:tcPr>
            <w:tcW w:w="3107" w:type="dxa"/>
            <w:tcBorders>
              <w:top w:val="single" w:sz="4" w:space="0" w:color="auto"/>
              <w:left w:val="single" w:sz="4" w:space="0" w:color="auto"/>
              <w:bottom w:val="single" w:sz="4" w:space="0" w:color="auto"/>
            </w:tcBorders>
          </w:tcPr>
          <w:p>
            <w:pPr>
              <w:widowControl w:val="0"/>
              <w:tabs>
                <w:tab w:val="right" w:pos="9600"/>
              </w:tabs>
              <w:suppressAutoHyphens/>
              <w:jc w:val="center"/>
              <w:rPr>
                <w:rFonts w:eastAsia="Times New Roman"/>
                <w:noProof/>
              </w:rPr>
            </w:pPr>
            <w:r>
              <w:rPr>
                <w:noProof/>
              </w:rPr>
              <w:t>Az átültetés határideje</w:t>
            </w:r>
          </w:p>
        </w:tc>
      </w:tr>
      <w:tr>
        <w:trPr>
          <w:jc w:val="center"/>
        </w:trPr>
        <w:tc>
          <w:tcPr>
            <w:tcW w:w="3079" w:type="dxa"/>
            <w:tcBorders>
              <w:right w:val="single" w:sz="4" w:space="0" w:color="auto"/>
            </w:tcBorders>
          </w:tcPr>
          <w:p>
            <w:pPr>
              <w:widowControl w:val="0"/>
              <w:tabs>
                <w:tab w:val="right" w:pos="9600"/>
              </w:tabs>
              <w:suppressAutoHyphens/>
              <w:jc w:val="center"/>
              <w:rPr>
                <w:rFonts w:eastAsia="Times New Roman"/>
                <w:noProof/>
              </w:rPr>
            </w:pPr>
            <w:r>
              <w:rPr>
                <w:noProof/>
              </w:rPr>
              <w:t xml:space="preserve"> 2003/96/EK</w:t>
            </w:r>
          </w:p>
        </w:tc>
        <w:tc>
          <w:tcPr>
            <w:tcW w:w="3107" w:type="dxa"/>
            <w:tcBorders>
              <w:left w:val="single" w:sz="4" w:space="0" w:color="auto"/>
            </w:tcBorders>
          </w:tcPr>
          <w:p>
            <w:pPr>
              <w:widowControl w:val="0"/>
              <w:tabs>
                <w:tab w:val="right" w:pos="9600"/>
              </w:tabs>
              <w:suppressAutoHyphens/>
              <w:jc w:val="center"/>
              <w:rPr>
                <w:rFonts w:eastAsia="Times New Roman"/>
                <w:noProof/>
              </w:rPr>
            </w:pPr>
            <w:r>
              <w:rPr>
                <w:noProof/>
                <w:color w:val="444444"/>
              </w:rPr>
              <w:t>2003. december 31.</w:t>
            </w:r>
          </w:p>
        </w:tc>
      </w:tr>
      <w:tr>
        <w:trPr>
          <w:jc w:val="center"/>
        </w:trPr>
        <w:tc>
          <w:tcPr>
            <w:tcW w:w="3079" w:type="dxa"/>
            <w:tcBorders>
              <w:right w:val="single" w:sz="4" w:space="0" w:color="auto"/>
            </w:tcBorders>
          </w:tcPr>
          <w:p>
            <w:pPr>
              <w:widowControl w:val="0"/>
              <w:tabs>
                <w:tab w:val="right" w:pos="9600"/>
              </w:tabs>
              <w:suppressAutoHyphens/>
              <w:jc w:val="center"/>
              <w:rPr>
                <w:rFonts w:eastAsia="Times New Roman"/>
                <w:noProof/>
              </w:rPr>
            </w:pPr>
            <w:r>
              <w:rPr>
                <w:noProof/>
              </w:rPr>
              <w:t>2004/74/EK</w:t>
            </w:r>
          </w:p>
        </w:tc>
        <w:tc>
          <w:tcPr>
            <w:tcW w:w="3107" w:type="dxa"/>
            <w:tcBorders>
              <w:left w:val="single" w:sz="4" w:space="0" w:color="auto"/>
            </w:tcBorders>
          </w:tcPr>
          <w:p>
            <w:pPr>
              <w:widowControl w:val="0"/>
              <w:tabs>
                <w:tab w:val="right" w:pos="9600"/>
              </w:tabs>
              <w:suppressAutoHyphens/>
              <w:jc w:val="center"/>
              <w:rPr>
                <w:rFonts w:eastAsia="Times New Roman"/>
                <w:noProof/>
              </w:rPr>
            </w:pPr>
            <w:r>
              <w:rPr>
                <w:noProof/>
                <w:color w:val="444444"/>
              </w:rPr>
              <w:t>2004. május 1.</w:t>
            </w:r>
          </w:p>
        </w:tc>
      </w:tr>
      <w:tr>
        <w:trPr>
          <w:jc w:val="center"/>
        </w:trPr>
        <w:tc>
          <w:tcPr>
            <w:tcW w:w="3079" w:type="dxa"/>
            <w:tcBorders>
              <w:right w:val="single" w:sz="4" w:space="0" w:color="auto"/>
            </w:tcBorders>
          </w:tcPr>
          <w:p>
            <w:pPr>
              <w:widowControl w:val="0"/>
              <w:tabs>
                <w:tab w:val="right" w:pos="9600"/>
              </w:tabs>
              <w:suppressAutoHyphens/>
              <w:jc w:val="center"/>
              <w:rPr>
                <w:noProof/>
              </w:rPr>
            </w:pPr>
            <w:r>
              <w:rPr>
                <w:noProof/>
              </w:rPr>
              <w:t>2004/75/EK</w:t>
            </w:r>
          </w:p>
        </w:tc>
        <w:tc>
          <w:tcPr>
            <w:tcW w:w="3107" w:type="dxa"/>
            <w:tcBorders>
              <w:left w:val="single" w:sz="4" w:space="0" w:color="auto"/>
            </w:tcBorders>
          </w:tcPr>
          <w:p>
            <w:pPr>
              <w:widowControl w:val="0"/>
              <w:tabs>
                <w:tab w:val="right" w:pos="9600"/>
              </w:tabs>
              <w:suppressAutoHyphens/>
              <w:jc w:val="center"/>
              <w:rPr>
                <w:noProof/>
                <w:color w:val="444444"/>
              </w:rPr>
            </w:pPr>
            <w:r>
              <w:rPr>
                <w:noProof/>
                <w:color w:val="444444"/>
              </w:rPr>
              <w:t>2004. május 1.</w:t>
            </w:r>
          </w:p>
          <w:p>
            <w:pPr>
              <w:widowControl w:val="0"/>
              <w:tabs>
                <w:tab w:val="right" w:pos="9600"/>
              </w:tabs>
              <w:suppressAutoHyphens/>
              <w:jc w:val="center"/>
              <w:rPr>
                <w:noProof/>
              </w:rPr>
            </w:pPr>
          </w:p>
        </w:tc>
      </w:tr>
    </w:tbl>
    <w:p>
      <w:pPr>
        <w:jc w:val="center"/>
        <w:rPr>
          <w:rFonts w:eastAsia="Times New Roman"/>
          <w:noProof/>
        </w:rPr>
      </w:pPr>
      <w:r>
        <w:rPr>
          <w:noProof/>
        </w:rPr>
        <w:t>_____________</w:t>
      </w:r>
    </w:p>
    <w:p>
      <w:pPr>
        <w:rPr>
          <w:noProof/>
          <w:lang w:eastAsia="en-GB"/>
        </w:rPr>
        <w:sectPr>
          <w:pgSz w:w="11907" w:h="16839"/>
          <w:pgMar w:top="1134" w:right="1417" w:bottom="1134" w:left="1417" w:header="709" w:footer="709" w:gutter="0"/>
          <w:cols w:space="708"/>
          <w:docGrid w:linePitch="360"/>
        </w:sectPr>
      </w:pPr>
    </w:p>
    <w:p>
      <w:pPr>
        <w:pStyle w:val="Annexetitre"/>
        <w:rPr>
          <w:b w:val="0"/>
          <w:noProof/>
          <w:szCs w:val="20"/>
        </w:rPr>
      </w:pPr>
      <w:r>
        <w:rPr>
          <w:noProof/>
        </w:rPr>
        <w:t>III. MELLÉKLET</w:t>
      </w:r>
    </w:p>
    <w:p>
      <w:pPr>
        <w:keepNext/>
        <w:spacing w:before="360"/>
        <w:jc w:val="center"/>
        <w:outlineLvl w:val="0"/>
        <w:rPr>
          <w:rFonts w:eastAsia="Times New Roman"/>
          <w:b/>
          <w:smallCaps/>
          <w:noProof/>
          <w:szCs w:val="20"/>
        </w:rPr>
      </w:pPr>
      <w:r>
        <w:rPr>
          <w:b/>
          <w:smallCaps/>
          <w:noProof/>
          <w:szCs w:val="20"/>
        </w:rPr>
        <w:t>Megfelelési táblázat</w:t>
      </w:r>
    </w:p>
    <w:tbl>
      <w:tblPr>
        <w:tblStyle w:val="TableGrid"/>
        <w:tblW w:w="9348" w:type="dxa"/>
        <w:tblLayout w:type="fixed"/>
        <w:tblLook w:val="04A0" w:firstRow="1" w:lastRow="0" w:firstColumn="1" w:lastColumn="0" w:noHBand="0" w:noVBand="1"/>
      </w:tblPr>
      <w:tblGrid>
        <w:gridCol w:w="4674"/>
        <w:gridCol w:w="4674"/>
      </w:tblGrid>
      <w:tr>
        <w:tc>
          <w:tcPr>
            <w:tcW w:w="4674" w:type="dxa"/>
          </w:tcPr>
          <w:p>
            <w:pPr>
              <w:jc w:val="center"/>
              <w:rPr>
                <w:rFonts w:eastAsia="Times New Roman"/>
                <w:noProof/>
              </w:rPr>
            </w:pPr>
            <w:r>
              <w:rPr>
                <w:noProof/>
              </w:rPr>
              <w:t>2003/96/EK irányelv</w:t>
            </w:r>
          </w:p>
        </w:tc>
        <w:tc>
          <w:tcPr>
            <w:tcW w:w="4674" w:type="dxa"/>
          </w:tcPr>
          <w:p>
            <w:pPr>
              <w:jc w:val="center"/>
              <w:rPr>
                <w:rFonts w:eastAsia="Times New Roman"/>
                <w:noProof/>
              </w:rPr>
            </w:pPr>
            <w:r>
              <w:rPr>
                <w:noProof/>
              </w:rPr>
              <w:t>Ez az irányelv</w:t>
            </w:r>
          </w:p>
        </w:tc>
      </w:tr>
      <w:tr>
        <w:tc>
          <w:tcPr>
            <w:tcW w:w="4674" w:type="dxa"/>
          </w:tcPr>
          <w:p>
            <w:pPr>
              <w:jc w:val="left"/>
              <w:rPr>
                <w:rFonts w:eastAsia="Times New Roman"/>
                <w:noProof/>
              </w:rPr>
            </w:pPr>
            <w:r>
              <w:rPr>
                <w:noProof/>
              </w:rPr>
              <w:t>1. cikk</w:t>
            </w:r>
          </w:p>
        </w:tc>
        <w:tc>
          <w:tcPr>
            <w:tcW w:w="4674" w:type="dxa"/>
          </w:tcPr>
          <w:p>
            <w:pPr>
              <w:jc w:val="left"/>
              <w:rPr>
                <w:rFonts w:eastAsia="Times New Roman"/>
                <w:noProof/>
              </w:rPr>
            </w:pPr>
            <w:r>
              <w:rPr>
                <w:noProof/>
              </w:rPr>
              <w:t>1. cikk (1) bekezdés</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1. cikk (2) bekezdés</w:t>
            </w:r>
          </w:p>
        </w:tc>
      </w:tr>
      <w:tr>
        <w:tc>
          <w:tcPr>
            <w:tcW w:w="4674" w:type="dxa"/>
          </w:tcPr>
          <w:p>
            <w:pPr>
              <w:jc w:val="left"/>
              <w:rPr>
                <w:rFonts w:eastAsia="Times New Roman"/>
                <w:noProof/>
              </w:rPr>
            </w:pPr>
            <w:r>
              <w:rPr>
                <w:noProof/>
              </w:rPr>
              <w:t xml:space="preserve">2. cikk (1) bekezdés, a) pont </w:t>
            </w:r>
          </w:p>
        </w:tc>
        <w:tc>
          <w:tcPr>
            <w:tcW w:w="4674" w:type="dxa"/>
          </w:tcPr>
          <w:p>
            <w:pPr>
              <w:jc w:val="left"/>
              <w:rPr>
                <w:rFonts w:eastAsia="Times New Roman"/>
                <w:noProof/>
              </w:rPr>
            </w:pPr>
            <w:r>
              <w:rPr>
                <w:noProof/>
              </w:rPr>
              <w:t>2. cikk (1) bekezdés, a) pont</w:t>
            </w:r>
          </w:p>
        </w:tc>
      </w:tr>
      <w:tr>
        <w:tc>
          <w:tcPr>
            <w:tcW w:w="4674" w:type="dxa"/>
          </w:tcPr>
          <w:p>
            <w:pPr>
              <w:jc w:val="left"/>
              <w:rPr>
                <w:rFonts w:eastAsia="Times New Roman"/>
                <w:noProof/>
              </w:rPr>
            </w:pPr>
            <w:r>
              <w:rPr>
                <w:noProof/>
              </w:rPr>
              <w:t xml:space="preserve">2. cikk (1) bekezdés, b)–h) pont </w:t>
            </w:r>
          </w:p>
        </w:tc>
        <w:tc>
          <w:tcPr>
            <w:tcW w:w="4674" w:type="dxa"/>
          </w:tcPr>
          <w:p>
            <w:pPr>
              <w:jc w:val="left"/>
              <w:rPr>
                <w:rFonts w:eastAsia="Times New Roman"/>
                <w:noProof/>
              </w:rPr>
            </w:pPr>
            <w:r>
              <w:rPr>
                <w:noProof/>
              </w:rPr>
              <w:t>–</w:t>
            </w:r>
          </w:p>
        </w:tc>
      </w:tr>
      <w:tr>
        <w:tc>
          <w:tcPr>
            <w:tcW w:w="4674" w:type="dxa"/>
          </w:tcPr>
          <w:p>
            <w:pPr>
              <w:tabs>
                <w:tab w:val="left" w:pos="1412"/>
              </w:tabs>
              <w:jc w:val="left"/>
              <w:rPr>
                <w:rFonts w:eastAsia="Times New Roman"/>
                <w:noProof/>
              </w:rPr>
            </w:pPr>
            <w:r>
              <w:rPr>
                <w:noProof/>
              </w:rPr>
              <w:t xml:space="preserve">– </w:t>
            </w:r>
            <w:r>
              <w:rPr>
                <w:noProof/>
              </w:rPr>
              <w:tab/>
            </w:r>
          </w:p>
        </w:tc>
        <w:tc>
          <w:tcPr>
            <w:tcW w:w="4674" w:type="dxa"/>
          </w:tcPr>
          <w:p>
            <w:pPr>
              <w:jc w:val="left"/>
              <w:rPr>
                <w:rFonts w:eastAsia="Times New Roman"/>
                <w:noProof/>
              </w:rPr>
            </w:pPr>
            <w:r>
              <w:rPr>
                <w:noProof/>
              </w:rPr>
              <w:t>2. cikk (1) bekezdés, b)–o) pont</w:t>
            </w:r>
          </w:p>
        </w:tc>
      </w:tr>
      <w:tr>
        <w:tc>
          <w:tcPr>
            <w:tcW w:w="4674" w:type="dxa"/>
          </w:tcPr>
          <w:p>
            <w:pPr>
              <w:jc w:val="left"/>
              <w:rPr>
                <w:rFonts w:eastAsia="Times New Roman"/>
                <w:noProof/>
              </w:rPr>
            </w:pPr>
            <w:r>
              <w:rPr>
                <w:noProof/>
              </w:rPr>
              <w:t>2. cikk (2) bekezdés</w:t>
            </w:r>
          </w:p>
        </w:tc>
        <w:tc>
          <w:tcPr>
            <w:tcW w:w="4674" w:type="dxa"/>
          </w:tcPr>
          <w:p>
            <w:pPr>
              <w:jc w:val="left"/>
              <w:rPr>
                <w:rFonts w:eastAsia="Times New Roman"/>
                <w:noProof/>
              </w:rPr>
            </w:pPr>
            <w:r>
              <w:rPr>
                <w:noProof/>
              </w:rPr>
              <w:t>2. cikk (2) bekezdés</w:t>
            </w:r>
          </w:p>
        </w:tc>
      </w:tr>
      <w:tr>
        <w:tc>
          <w:tcPr>
            <w:tcW w:w="4674" w:type="dxa"/>
          </w:tcPr>
          <w:p>
            <w:pPr>
              <w:jc w:val="left"/>
              <w:rPr>
                <w:rFonts w:eastAsia="Times New Roman"/>
                <w:noProof/>
              </w:rPr>
            </w:pPr>
            <w:r>
              <w:rPr>
                <w:noProof/>
              </w:rPr>
              <w:t>2. cikk (3) bekezdés, első albekezdés</w:t>
            </w:r>
          </w:p>
        </w:tc>
        <w:tc>
          <w:tcPr>
            <w:tcW w:w="4674" w:type="dxa"/>
          </w:tcPr>
          <w:p>
            <w:pPr>
              <w:jc w:val="left"/>
              <w:rPr>
                <w:rFonts w:eastAsia="Times New Roman"/>
                <w:noProof/>
              </w:rPr>
            </w:pPr>
            <w:r>
              <w:rPr>
                <w:noProof/>
              </w:rPr>
              <w:t>2. cikk (3) bekezdés, első albekezdés</w:t>
            </w:r>
          </w:p>
        </w:tc>
      </w:tr>
      <w:tr>
        <w:tc>
          <w:tcPr>
            <w:tcW w:w="4674" w:type="dxa"/>
          </w:tcPr>
          <w:p>
            <w:pPr>
              <w:jc w:val="left"/>
              <w:rPr>
                <w:rFonts w:eastAsia="Times New Roman"/>
                <w:noProof/>
              </w:rPr>
            </w:pPr>
            <w:r>
              <w:rPr>
                <w:noProof/>
              </w:rPr>
              <w:t>2. cikk (3) bekezdés, második és harmadik albekezdés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 cikk (3) bekezdés, második, harmadik és negyedik albekezdés</w:t>
            </w:r>
          </w:p>
        </w:tc>
      </w:tr>
      <w:tr>
        <w:tc>
          <w:tcPr>
            <w:tcW w:w="4674" w:type="dxa"/>
          </w:tcPr>
          <w:p>
            <w:pPr>
              <w:jc w:val="left"/>
              <w:rPr>
                <w:rFonts w:eastAsia="Times New Roman"/>
                <w:noProof/>
              </w:rPr>
            </w:pPr>
            <w:r>
              <w:rPr>
                <w:noProof/>
              </w:rPr>
              <w:t>2. cikk (4) és (5)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 cikk (4)–(8) bekezdés</w:t>
            </w:r>
          </w:p>
        </w:tc>
      </w:tr>
      <w:tr>
        <w:tc>
          <w:tcPr>
            <w:tcW w:w="4674" w:type="dxa"/>
          </w:tcPr>
          <w:p>
            <w:pPr>
              <w:jc w:val="left"/>
              <w:rPr>
                <w:rFonts w:eastAsia="Times New Roman"/>
                <w:noProof/>
              </w:rPr>
            </w:pPr>
            <w:r>
              <w:rPr>
                <w:noProof/>
              </w:rPr>
              <w:t>3.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3. cikk</w:t>
            </w:r>
          </w:p>
        </w:tc>
      </w:tr>
      <w:tr>
        <w:tc>
          <w:tcPr>
            <w:tcW w:w="4674" w:type="dxa"/>
          </w:tcPr>
          <w:p>
            <w:pPr>
              <w:jc w:val="left"/>
              <w:rPr>
                <w:rFonts w:eastAsia="Times New Roman"/>
                <w:noProof/>
              </w:rPr>
            </w:pPr>
            <w:r>
              <w:rPr>
                <w:noProof/>
              </w:rPr>
              <w:t>4. cikk</w:t>
            </w:r>
          </w:p>
        </w:tc>
        <w:tc>
          <w:tcPr>
            <w:tcW w:w="4674" w:type="dxa"/>
          </w:tcPr>
          <w:p>
            <w:pPr>
              <w:jc w:val="left"/>
              <w:rPr>
                <w:rFonts w:eastAsia="Times New Roman"/>
                <w:noProof/>
              </w:rPr>
            </w:pPr>
            <w:r>
              <w:rPr>
                <w:noProof/>
              </w:rPr>
              <w:t>4. cikk</w:t>
            </w:r>
          </w:p>
        </w:tc>
      </w:tr>
      <w:tr>
        <w:tc>
          <w:tcPr>
            <w:tcW w:w="4674" w:type="dxa"/>
          </w:tcPr>
          <w:p>
            <w:pPr>
              <w:jc w:val="left"/>
              <w:rPr>
                <w:rFonts w:eastAsia="Times New Roman"/>
                <w:noProof/>
              </w:rPr>
            </w:pPr>
            <w:r>
              <w:rPr>
                <w:noProof/>
              </w:rPr>
              <w:t>5.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5. cikk</w:t>
            </w:r>
          </w:p>
        </w:tc>
      </w:tr>
      <w:tr>
        <w:tc>
          <w:tcPr>
            <w:tcW w:w="4674" w:type="dxa"/>
          </w:tcPr>
          <w:p>
            <w:pPr>
              <w:jc w:val="left"/>
              <w:rPr>
                <w:rFonts w:eastAsia="Times New Roman"/>
                <w:noProof/>
              </w:rPr>
            </w:pPr>
            <w:r>
              <w:rPr>
                <w:noProof/>
              </w:rPr>
              <w:t>6. cikk</w:t>
            </w:r>
          </w:p>
        </w:tc>
        <w:tc>
          <w:tcPr>
            <w:tcW w:w="4674" w:type="dxa"/>
          </w:tcPr>
          <w:p>
            <w:pPr>
              <w:jc w:val="left"/>
              <w:rPr>
                <w:rFonts w:eastAsia="Times New Roman"/>
                <w:noProof/>
              </w:rPr>
            </w:pPr>
            <w:r>
              <w:rPr>
                <w:noProof/>
              </w:rPr>
              <w:t>6. cikk</w:t>
            </w:r>
          </w:p>
        </w:tc>
      </w:tr>
      <w:tr>
        <w:tc>
          <w:tcPr>
            <w:tcW w:w="4674" w:type="dxa"/>
          </w:tcPr>
          <w:p>
            <w:pPr>
              <w:jc w:val="left"/>
              <w:rPr>
                <w:rFonts w:eastAsia="Times New Roman"/>
                <w:noProof/>
              </w:rPr>
            </w:pPr>
            <w:r>
              <w:rPr>
                <w:noProof/>
              </w:rPr>
              <w:t>7.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7. cikk</w:t>
            </w:r>
          </w:p>
        </w:tc>
      </w:tr>
      <w:tr>
        <w:tc>
          <w:tcPr>
            <w:tcW w:w="4674" w:type="dxa"/>
          </w:tcPr>
          <w:p>
            <w:pPr>
              <w:jc w:val="left"/>
              <w:rPr>
                <w:rFonts w:eastAsia="Times New Roman"/>
                <w:noProof/>
              </w:rPr>
            </w:pPr>
            <w:r>
              <w:rPr>
                <w:noProof/>
              </w:rPr>
              <w:t>8. cikk (1)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8. cikk (1) bekezdés</w:t>
            </w:r>
          </w:p>
        </w:tc>
      </w:tr>
      <w:tr>
        <w:tc>
          <w:tcPr>
            <w:tcW w:w="4674" w:type="dxa"/>
          </w:tcPr>
          <w:p>
            <w:pPr>
              <w:jc w:val="left"/>
              <w:rPr>
                <w:rFonts w:eastAsia="Times New Roman"/>
                <w:noProof/>
              </w:rPr>
            </w:pPr>
            <w:r>
              <w:rPr>
                <w:noProof/>
              </w:rPr>
              <w:t>8. cikk (2) bekezdés</w:t>
            </w:r>
          </w:p>
        </w:tc>
        <w:tc>
          <w:tcPr>
            <w:tcW w:w="4674" w:type="dxa"/>
          </w:tcPr>
          <w:p>
            <w:pPr>
              <w:jc w:val="left"/>
              <w:rPr>
                <w:rFonts w:eastAsia="Times New Roman"/>
                <w:noProof/>
              </w:rPr>
            </w:pPr>
            <w:r>
              <w:rPr>
                <w:noProof/>
              </w:rPr>
              <w:t>8. cikk (2) bekezdés</w:t>
            </w:r>
          </w:p>
        </w:tc>
      </w:tr>
      <w:tr>
        <w:tc>
          <w:tcPr>
            <w:tcW w:w="4674" w:type="dxa"/>
          </w:tcPr>
          <w:p>
            <w:pPr>
              <w:jc w:val="left"/>
              <w:rPr>
                <w:rFonts w:eastAsia="Times New Roman"/>
                <w:noProof/>
              </w:rPr>
            </w:pPr>
            <w:r>
              <w:rPr>
                <w:noProof/>
              </w:rPr>
              <w:t>9. cikk (1)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9. cikk (1) bekezdés</w:t>
            </w:r>
          </w:p>
        </w:tc>
      </w:tr>
      <w:tr>
        <w:tc>
          <w:tcPr>
            <w:tcW w:w="4674" w:type="dxa"/>
          </w:tcPr>
          <w:p>
            <w:pPr>
              <w:jc w:val="left"/>
              <w:rPr>
                <w:rFonts w:eastAsia="Times New Roman"/>
                <w:noProof/>
              </w:rPr>
            </w:pPr>
            <w:r>
              <w:rPr>
                <w:noProof/>
              </w:rPr>
              <w:t>9. cikk (2)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10. cikk (1) bekezdés</w:t>
            </w:r>
          </w:p>
        </w:tc>
        <w:tc>
          <w:tcPr>
            <w:tcW w:w="4674" w:type="dxa"/>
          </w:tcPr>
          <w:p>
            <w:pPr>
              <w:jc w:val="left"/>
              <w:rPr>
                <w:rFonts w:eastAsia="Times New Roman"/>
                <w:noProof/>
              </w:rPr>
            </w:pPr>
            <w:r>
              <w:rPr>
                <w:noProof/>
              </w:rPr>
              <w:t>10. cikk</w:t>
            </w:r>
          </w:p>
        </w:tc>
      </w:tr>
      <w:tr>
        <w:tc>
          <w:tcPr>
            <w:tcW w:w="4674" w:type="dxa"/>
          </w:tcPr>
          <w:p>
            <w:pPr>
              <w:jc w:val="left"/>
              <w:rPr>
                <w:rFonts w:eastAsia="Times New Roman"/>
                <w:noProof/>
              </w:rPr>
            </w:pPr>
            <w:r>
              <w:rPr>
                <w:noProof/>
              </w:rPr>
              <w:t>10. cikk (2)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11.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12. cikk</w:t>
            </w:r>
          </w:p>
        </w:tc>
        <w:tc>
          <w:tcPr>
            <w:tcW w:w="4674" w:type="dxa"/>
          </w:tcPr>
          <w:p>
            <w:pPr>
              <w:jc w:val="left"/>
              <w:rPr>
                <w:rFonts w:eastAsia="Times New Roman"/>
                <w:noProof/>
              </w:rPr>
            </w:pPr>
            <w:r>
              <w:rPr>
                <w:noProof/>
              </w:rPr>
              <w:t>11. cikk</w:t>
            </w:r>
          </w:p>
        </w:tc>
      </w:tr>
      <w:tr>
        <w:tc>
          <w:tcPr>
            <w:tcW w:w="4674" w:type="dxa"/>
          </w:tcPr>
          <w:p>
            <w:pPr>
              <w:jc w:val="left"/>
              <w:rPr>
                <w:rFonts w:eastAsia="Times New Roman"/>
                <w:noProof/>
              </w:rPr>
            </w:pPr>
            <w:r>
              <w:rPr>
                <w:noProof/>
              </w:rPr>
              <w:t>13. cikk</w:t>
            </w:r>
          </w:p>
        </w:tc>
        <w:tc>
          <w:tcPr>
            <w:tcW w:w="4674" w:type="dxa"/>
          </w:tcPr>
          <w:p>
            <w:pPr>
              <w:jc w:val="left"/>
              <w:rPr>
                <w:rFonts w:eastAsia="Times New Roman"/>
                <w:noProof/>
              </w:rPr>
            </w:pPr>
            <w:r>
              <w:rPr>
                <w:noProof/>
              </w:rPr>
              <w:t>12. cikk</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13. cikk</w:t>
            </w:r>
          </w:p>
        </w:tc>
      </w:tr>
      <w:tr>
        <w:tc>
          <w:tcPr>
            <w:tcW w:w="4674" w:type="dxa"/>
          </w:tcPr>
          <w:p>
            <w:pPr>
              <w:jc w:val="left"/>
              <w:rPr>
                <w:rFonts w:eastAsia="Times New Roman"/>
                <w:noProof/>
              </w:rPr>
            </w:pPr>
            <w:r>
              <w:rPr>
                <w:noProof/>
              </w:rPr>
              <w:t>14.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14. és 15. cikk</w:t>
            </w:r>
          </w:p>
        </w:tc>
      </w:tr>
      <w:tr>
        <w:tc>
          <w:tcPr>
            <w:tcW w:w="4674" w:type="dxa"/>
          </w:tcPr>
          <w:p>
            <w:pPr>
              <w:jc w:val="left"/>
              <w:rPr>
                <w:rFonts w:eastAsia="Times New Roman"/>
                <w:noProof/>
              </w:rPr>
            </w:pPr>
            <w:r>
              <w:rPr>
                <w:noProof/>
              </w:rPr>
              <w:t>15. cikk (1) bekezdés, a) pont</w:t>
            </w:r>
          </w:p>
        </w:tc>
        <w:tc>
          <w:tcPr>
            <w:tcW w:w="4674" w:type="dxa"/>
          </w:tcPr>
          <w:p>
            <w:pPr>
              <w:jc w:val="left"/>
              <w:rPr>
                <w:rFonts w:eastAsia="Times New Roman"/>
                <w:noProof/>
              </w:rPr>
            </w:pPr>
            <w:r>
              <w:rPr>
                <w:noProof/>
              </w:rPr>
              <w:t>16. cikk, a) pont</w:t>
            </w:r>
          </w:p>
        </w:tc>
      </w:tr>
      <w:tr>
        <w:tc>
          <w:tcPr>
            <w:tcW w:w="4674" w:type="dxa"/>
          </w:tcPr>
          <w:p>
            <w:pPr>
              <w:jc w:val="left"/>
              <w:rPr>
                <w:rFonts w:eastAsia="Times New Roman"/>
                <w:noProof/>
              </w:rPr>
            </w:pPr>
            <w:r>
              <w:rPr>
                <w:noProof/>
              </w:rPr>
              <w:t>15. cikk (1) bekezdés, b) pont</w:t>
            </w:r>
          </w:p>
        </w:tc>
        <w:tc>
          <w:tcPr>
            <w:tcW w:w="4674" w:type="dxa"/>
          </w:tcPr>
          <w:p>
            <w:pPr>
              <w:jc w:val="left"/>
              <w:rPr>
                <w:rFonts w:eastAsia="Times New Roman"/>
                <w:noProof/>
              </w:rPr>
            </w:pPr>
            <w:r>
              <w:rPr>
                <w:noProof/>
              </w:rPr>
              <w:t>16. cikk, b) pont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16. cikk, b) pont, utolsó mondat</w:t>
            </w:r>
          </w:p>
        </w:tc>
      </w:tr>
      <w:tr>
        <w:tc>
          <w:tcPr>
            <w:tcW w:w="4674" w:type="dxa"/>
          </w:tcPr>
          <w:p>
            <w:pPr>
              <w:jc w:val="left"/>
              <w:rPr>
                <w:rFonts w:eastAsia="Times New Roman"/>
                <w:noProof/>
              </w:rPr>
            </w:pPr>
            <w:r>
              <w:rPr>
                <w:noProof/>
              </w:rPr>
              <w:t>15. cikk (1) bekezdés, c) pont</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15. cikk (1) bekezdés, d) pont</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16. cikk, c), d) és e) pont</w:t>
            </w:r>
          </w:p>
        </w:tc>
      </w:tr>
      <w:tr>
        <w:tc>
          <w:tcPr>
            <w:tcW w:w="4674" w:type="dxa"/>
          </w:tcPr>
          <w:p>
            <w:pPr>
              <w:jc w:val="left"/>
              <w:rPr>
                <w:rFonts w:eastAsia="Times New Roman"/>
                <w:noProof/>
              </w:rPr>
            </w:pPr>
            <w:r>
              <w:rPr>
                <w:noProof/>
              </w:rPr>
              <w:t>15. cikk (1) bekezdés, e)–l) pont</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15. cikk (2) és (3)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16.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17. cikk</w:t>
            </w:r>
          </w:p>
        </w:tc>
      </w:tr>
      <w:tr>
        <w:tc>
          <w:tcPr>
            <w:tcW w:w="4674" w:type="dxa"/>
          </w:tcPr>
          <w:p>
            <w:pPr>
              <w:jc w:val="left"/>
              <w:rPr>
                <w:rFonts w:eastAsia="Times New Roman"/>
                <w:noProof/>
              </w:rPr>
            </w:pPr>
            <w:r>
              <w:rPr>
                <w:noProof/>
              </w:rPr>
              <w:t>17.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18. cikk</w:t>
            </w:r>
          </w:p>
        </w:tc>
      </w:tr>
      <w:tr>
        <w:tc>
          <w:tcPr>
            <w:tcW w:w="4674" w:type="dxa"/>
          </w:tcPr>
          <w:p>
            <w:pPr>
              <w:jc w:val="left"/>
              <w:rPr>
                <w:rFonts w:eastAsia="Times New Roman"/>
                <w:noProof/>
              </w:rPr>
            </w:pPr>
            <w:r>
              <w:rPr>
                <w:noProof/>
              </w:rPr>
              <w:t>18.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18a. és 18b.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19. cikk</w:t>
            </w:r>
          </w:p>
        </w:tc>
      </w:tr>
      <w:tr>
        <w:tc>
          <w:tcPr>
            <w:tcW w:w="4674" w:type="dxa"/>
          </w:tcPr>
          <w:p>
            <w:pPr>
              <w:jc w:val="left"/>
              <w:rPr>
                <w:rFonts w:eastAsia="Times New Roman"/>
                <w:noProof/>
              </w:rPr>
            </w:pPr>
            <w:r>
              <w:rPr>
                <w:noProof/>
              </w:rPr>
              <w:t>19. cikk</w:t>
            </w:r>
          </w:p>
        </w:tc>
        <w:tc>
          <w:tcPr>
            <w:tcW w:w="4674" w:type="dxa"/>
          </w:tcPr>
          <w:p>
            <w:pPr>
              <w:jc w:val="left"/>
              <w:rPr>
                <w:rFonts w:eastAsia="Times New Roman"/>
                <w:noProof/>
              </w:rPr>
            </w:pPr>
            <w:r>
              <w:rPr>
                <w:noProof/>
              </w:rPr>
              <w:t>20. cikk</w:t>
            </w:r>
          </w:p>
        </w:tc>
      </w:tr>
      <w:tr>
        <w:tc>
          <w:tcPr>
            <w:tcW w:w="4674" w:type="dxa"/>
          </w:tcPr>
          <w:p>
            <w:pPr>
              <w:jc w:val="left"/>
              <w:rPr>
                <w:rFonts w:eastAsia="Times New Roman"/>
                <w:noProof/>
              </w:rPr>
            </w:pPr>
            <w:r>
              <w:rPr>
                <w:noProof/>
              </w:rPr>
              <w:t>20. cikk (1) bekezdés, a) pont</w:t>
            </w:r>
          </w:p>
        </w:tc>
        <w:tc>
          <w:tcPr>
            <w:tcW w:w="4674" w:type="dxa"/>
          </w:tcPr>
          <w:p>
            <w:pPr>
              <w:jc w:val="left"/>
              <w:rPr>
                <w:rFonts w:eastAsia="Times New Roman"/>
                <w:noProof/>
              </w:rPr>
            </w:pPr>
            <w:r>
              <w:rPr>
                <w:noProof/>
              </w:rPr>
              <w:t>21. cikk (1) bekezdés, a) pont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21. cikk (1) bekezdés, b) pont</w:t>
            </w:r>
          </w:p>
        </w:tc>
      </w:tr>
      <w:tr>
        <w:tc>
          <w:tcPr>
            <w:tcW w:w="4674" w:type="dxa"/>
          </w:tcPr>
          <w:p>
            <w:pPr>
              <w:jc w:val="left"/>
              <w:rPr>
                <w:rFonts w:eastAsia="Times New Roman"/>
                <w:noProof/>
              </w:rPr>
            </w:pPr>
            <w:r>
              <w:rPr>
                <w:noProof/>
              </w:rPr>
              <w:t>20. cikk (1) bekezdés, b) pont</w:t>
            </w:r>
          </w:p>
        </w:tc>
        <w:tc>
          <w:tcPr>
            <w:tcW w:w="4674" w:type="dxa"/>
          </w:tcPr>
          <w:p>
            <w:pPr>
              <w:jc w:val="left"/>
              <w:rPr>
                <w:rFonts w:eastAsia="Times New Roman"/>
                <w:noProof/>
              </w:rPr>
            </w:pPr>
            <w:r>
              <w:rPr>
                <w:noProof/>
              </w:rPr>
              <w:t>21. cikk (1) bekezdés, c) pont</w:t>
            </w:r>
          </w:p>
        </w:tc>
      </w:tr>
      <w:tr>
        <w:tc>
          <w:tcPr>
            <w:tcW w:w="4674" w:type="dxa"/>
          </w:tcPr>
          <w:p>
            <w:pPr>
              <w:jc w:val="left"/>
              <w:rPr>
                <w:rFonts w:eastAsia="Times New Roman"/>
                <w:noProof/>
              </w:rPr>
            </w:pPr>
            <w:r>
              <w:rPr>
                <w:noProof/>
              </w:rPr>
              <w:t>20. cikk (1) bekezdés, c) pont</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21. cikk (1) bekezdés, d) pont</w:t>
            </w:r>
          </w:p>
        </w:tc>
      </w:tr>
      <w:tr>
        <w:tc>
          <w:tcPr>
            <w:tcW w:w="4674" w:type="dxa"/>
          </w:tcPr>
          <w:p>
            <w:pPr>
              <w:jc w:val="left"/>
              <w:rPr>
                <w:rFonts w:eastAsia="Times New Roman"/>
                <w:noProof/>
              </w:rPr>
            </w:pPr>
            <w:r>
              <w:rPr>
                <w:noProof/>
              </w:rPr>
              <w:t>20. cikk (1) bekezdés, d)–g) pont</w:t>
            </w:r>
          </w:p>
        </w:tc>
        <w:tc>
          <w:tcPr>
            <w:tcW w:w="4674" w:type="dxa"/>
          </w:tcPr>
          <w:p>
            <w:pPr>
              <w:jc w:val="left"/>
              <w:rPr>
                <w:rFonts w:eastAsia="Times New Roman"/>
                <w:noProof/>
              </w:rPr>
            </w:pPr>
            <w:r>
              <w:rPr>
                <w:noProof/>
              </w:rPr>
              <w:t>21. cikk (1) bekezdés, e)–h) pont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21. cikk (1) bekezdés, i)–m) pont</w:t>
            </w:r>
          </w:p>
        </w:tc>
      </w:tr>
      <w:tr>
        <w:tc>
          <w:tcPr>
            <w:tcW w:w="4674" w:type="dxa"/>
          </w:tcPr>
          <w:p>
            <w:pPr>
              <w:jc w:val="left"/>
              <w:rPr>
                <w:rFonts w:eastAsia="Times New Roman"/>
                <w:noProof/>
              </w:rPr>
            </w:pPr>
            <w:r>
              <w:rPr>
                <w:noProof/>
              </w:rPr>
              <w:t>20. cikk (1) bekezdés, h) pont</w:t>
            </w:r>
          </w:p>
        </w:tc>
        <w:tc>
          <w:tcPr>
            <w:tcW w:w="4674" w:type="dxa"/>
          </w:tcPr>
          <w:p>
            <w:pPr>
              <w:jc w:val="left"/>
              <w:rPr>
                <w:rFonts w:eastAsia="Times New Roman"/>
                <w:noProof/>
              </w:rPr>
            </w:pPr>
            <w:r>
              <w:rPr>
                <w:noProof/>
              </w:rPr>
              <w:t>21. cikk (1) bekezdés, n) pont</w:t>
            </w:r>
          </w:p>
        </w:tc>
      </w:tr>
      <w:tr>
        <w:tc>
          <w:tcPr>
            <w:tcW w:w="4674" w:type="dxa"/>
          </w:tcPr>
          <w:p>
            <w:pPr>
              <w:jc w:val="left"/>
              <w:rPr>
                <w:noProof/>
              </w:rPr>
            </w:pPr>
            <w:r>
              <w:rPr>
                <w:noProof/>
              </w:rPr>
              <w:t>––</w:t>
            </w:r>
          </w:p>
        </w:tc>
        <w:tc>
          <w:tcPr>
            <w:tcW w:w="4674" w:type="dxa"/>
          </w:tcPr>
          <w:p>
            <w:pPr>
              <w:jc w:val="left"/>
              <w:rPr>
                <w:rFonts w:eastAsia="Times New Roman"/>
                <w:noProof/>
              </w:rPr>
            </w:pPr>
            <w:r>
              <w:rPr>
                <w:noProof/>
              </w:rPr>
              <w:t>21. cikk (1) bekezdés, második albekezdés</w:t>
            </w:r>
          </w:p>
        </w:tc>
      </w:tr>
      <w:tr>
        <w:tc>
          <w:tcPr>
            <w:tcW w:w="4674" w:type="dxa"/>
          </w:tcPr>
          <w:p>
            <w:pPr>
              <w:jc w:val="left"/>
              <w:rPr>
                <w:rFonts w:eastAsia="Times New Roman"/>
                <w:noProof/>
              </w:rPr>
            </w:pPr>
            <w:r>
              <w:rPr>
                <w:noProof/>
              </w:rPr>
              <w:t>20. cikk (2) bekezdés</w:t>
            </w:r>
          </w:p>
        </w:tc>
        <w:tc>
          <w:tcPr>
            <w:tcW w:w="4674" w:type="dxa"/>
          </w:tcPr>
          <w:p>
            <w:pPr>
              <w:jc w:val="left"/>
              <w:rPr>
                <w:rFonts w:eastAsia="Times New Roman"/>
                <w:noProof/>
              </w:rPr>
            </w:pPr>
            <w:r>
              <w:rPr>
                <w:noProof/>
              </w:rPr>
              <w:t>21. cikk (2) bekezdés</w:t>
            </w:r>
          </w:p>
        </w:tc>
      </w:tr>
      <w:tr>
        <w:tc>
          <w:tcPr>
            <w:tcW w:w="4674" w:type="dxa"/>
          </w:tcPr>
          <w:p>
            <w:pPr>
              <w:jc w:val="left"/>
              <w:rPr>
                <w:rFonts w:eastAsia="Times New Roman"/>
                <w:noProof/>
              </w:rPr>
            </w:pPr>
            <w:r>
              <w:rPr>
                <w:noProof/>
              </w:rPr>
              <w:t>20. cikk (3) bekezdés</w:t>
            </w:r>
          </w:p>
        </w:tc>
        <w:tc>
          <w:tcPr>
            <w:tcW w:w="4674" w:type="dxa"/>
          </w:tcPr>
          <w:p>
            <w:pPr>
              <w:jc w:val="left"/>
              <w:rPr>
                <w:rFonts w:eastAsia="Times New Roman"/>
                <w:noProof/>
              </w:rPr>
            </w:pPr>
            <w:r>
              <w:rPr>
                <w:noProof/>
              </w:rPr>
              <w:t>21. cikk (3) bekezdés</w:t>
            </w:r>
          </w:p>
        </w:tc>
      </w:tr>
      <w:tr>
        <w:tc>
          <w:tcPr>
            <w:tcW w:w="4674" w:type="dxa"/>
          </w:tcPr>
          <w:p>
            <w:pPr>
              <w:jc w:val="left"/>
              <w:rPr>
                <w:rFonts w:eastAsia="Times New Roman"/>
                <w:noProof/>
              </w:rPr>
            </w:pPr>
            <w:r>
              <w:rPr>
                <w:noProof/>
              </w:rPr>
              <w:t>21. cikk (1)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22. cikk (1) bekezdés</w:t>
            </w:r>
          </w:p>
        </w:tc>
      </w:tr>
      <w:tr>
        <w:tc>
          <w:tcPr>
            <w:tcW w:w="4674" w:type="dxa"/>
          </w:tcPr>
          <w:p>
            <w:pPr>
              <w:jc w:val="left"/>
              <w:rPr>
                <w:rFonts w:eastAsia="Times New Roman"/>
                <w:noProof/>
              </w:rPr>
            </w:pPr>
            <w:r>
              <w:rPr>
                <w:noProof/>
              </w:rPr>
              <w:t>21. cikk (2)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21. cikk (3) és (4) bekezdés</w:t>
            </w:r>
          </w:p>
        </w:tc>
        <w:tc>
          <w:tcPr>
            <w:tcW w:w="4674" w:type="dxa"/>
          </w:tcPr>
          <w:p>
            <w:pPr>
              <w:jc w:val="left"/>
              <w:rPr>
                <w:rFonts w:eastAsia="Times New Roman"/>
                <w:noProof/>
              </w:rPr>
            </w:pPr>
            <w:r>
              <w:rPr>
                <w:noProof/>
              </w:rPr>
              <w:t>22. cikk (2) és (3) bekezdés</w:t>
            </w:r>
          </w:p>
        </w:tc>
      </w:tr>
      <w:tr>
        <w:tc>
          <w:tcPr>
            <w:tcW w:w="4674" w:type="dxa"/>
          </w:tcPr>
          <w:p>
            <w:pPr>
              <w:jc w:val="left"/>
              <w:rPr>
                <w:rFonts w:eastAsia="Times New Roman"/>
                <w:noProof/>
              </w:rPr>
            </w:pPr>
            <w:r>
              <w:rPr>
                <w:noProof/>
              </w:rPr>
              <w:t>21. cikk (5)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22. cikk (4) bekezdés</w:t>
            </w:r>
          </w:p>
        </w:tc>
      </w:tr>
      <w:tr>
        <w:tc>
          <w:tcPr>
            <w:tcW w:w="4674" w:type="dxa"/>
          </w:tcPr>
          <w:p>
            <w:pPr>
              <w:jc w:val="left"/>
              <w:rPr>
                <w:rFonts w:eastAsia="Times New Roman"/>
                <w:noProof/>
              </w:rPr>
            </w:pPr>
            <w:r>
              <w:rPr>
                <w:noProof/>
              </w:rPr>
              <w:t>21. cikk (6) bekezdés</w:t>
            </w:r>
          </w:p>
        </w:tc>
        <w:tc>
          <w:tcPr>
            <w:tcW w:w="4674" w:type="dxa"/>
          </w:tcPr>
          <w:p>
            <w:pPr>
              <w:jc w:val="left"/>
              <w:rPr>
                <w:rFonts w:eastAsia="Times New Roman"/>
                <w:noProof/>
              </w:rPr>
            </w:pPr>
            <w:r>
              <w:rPr>
                <w:noProof/>
              </w:rPr>
              <w:t>22. cikk (5) bekezdés</w:t>
            </w:r>
          </w:p>
        </w:tc>
      </w:tr>
      <w:tr>
        <w:tc>
          <w:tcPr>
            <w:tcW w:w="4674" w:type="dxa"/>
          </w:tcPr>
          <w:p>
            <w:pPr>
              <w:jc w:val="left"/>
              <w:rPr>
                <w:rFonts w:eastAsia="Times New Roman"/>
                <w:noProof/>
              </w:rPr>
            </w:pPr>
            <w:r>
              <w:rPr>
                <w:noProof/>
              </w:rPr>
              <w:t>22. cikk</w:t>
            </w:r>
          </w:p>
        </w:tc>
        <w:tc>
          <w:tcPr>
            <w:tcW w:w="4674" w:type="dxa"/>
          </w:tcPr>
          <w:p>
            <w:pPr>
              <w:jc w:val="left"/>
              <w:rPr>
                <w:rFonts w:eastAsia="Times New Roman"/>
                <w:noProof/>
              </w:rPr>
            </w:pPr>
            <w:r>
              <w:rPr>
                <w:noProof/>
              </w:rPr>
              <w:t>23. cikk</w:t>
            </w:r>
          </w:p>
        </w:tc>
      </w:tr>
      <w:tr>
        <w:tc>
          <w:tcPr>
            <w:tcW w:w="4674" w:type="dxa"/>
          </w:tcPr>
          <w:p>
            <w:pPr>
              <w:jc w:val="left"/>
              <w:rPr>
                <w:rFonts w:eastAsia="Times New Roman"/>
                <w:noProof/>
              </w:rPr>
            </w:pPr>
            <w:r>
              <w:rPr>
                <w:noProof/>
              </w:rPr>
              <w:t>23. cikk</w:t>
            </w:r>
          </w:p>
        </w:tc>
        <w:tc>
          <w:tcPr>
            <w:tcW w:w="4674" w:type="dxa"/>
          </w:tcPr>
          <w:p>
            <w:pPr>
              <w:jc w:val="left"/>
              <w:rPr>
                <w:rFonts w:eastAsia="Times New Roman"/>
                <w:noProof/>
              </w:rPr>
            </w:pPr>
            <w:r>
              <w:rPr>
                <w:noProof/>
              </w:rPr>
              <w:t>24. cikk</w:t>
            </w:r>
          </w:p>
        </w:tc>
      </w:tr>
      <w:tr>
        <w:tc>
          <w:tcPr>
            <w:tcW w:w="4674" w:type="dxa"/>
          </w:tcPr>
          <w:p>
            <w:pPr>
              <w:jc w:val="left"/>
              <w:rPr>
                <w:rFonts w:eastAsia="Times New Roman"/>
                <w:noProof/>
              </w:rPr>
            </w:pPr>
            <w:r>
              <w:rPr>
                <w:noProof/>
              </w:rPr>
              <w:t>24. cikk (1) bekezdés</w:t>
            </w:r>
          </w:p>
        </w:tc>
        <w:tc>
          <w:tcPr>
            <w:tcW w:w="4674" w:type="dxa"/>
          </w:tcPr>
          <w:p>
            <w:pPr>
              <w:jc w:val="left"/>
              <w:rPr>
                <w:rFonts w:eastAsia="Times New Roman"/>
                <w:noProof/>
              </w:rPr>
            </w:pPr>
            <w:r>
              <w:rPr>
                <w:noProof/>
              </w:rPr>
              <w:t>25. cikk (1) bekezdés</w:t>
            </w:r>
          </w:p>
        </w:tc>
      </w:tr>
      <w:tr>
        <w:tc>
          <w:tcPr>
            <w:tcW w:w="4674" w:type="dxa"/>
          </w:tcPr>
          <w:p>
            <w:pPr>
              <w:jc w:val="left"/>
              <w:rPr>
                <w:rFonts w:eastAsia="Times New Roman"/>
                <w:noProof/>
              </w:rPr>
            </w:pPr>
            <w:r>
              <w:rPr>
                <w:noProof/>
              </w:rPr>
              <w:t>24. cikk (2)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25. cikk (2) bekezdés</w:t>
            </w:r>
          </w:p>
        </w:tc>
      </w:tr>
      <w:tr>
        <w:tc>
          <w:tcPr>
            <w:tcW w:w="4674" w:type="dxa"/>
          </w:tcPr>
          <w:p>
            <w:pPr>
              <w:jc w:val="left"/>
              <w:rPr>
                <w:rFonts w:eastAsia="Times New Roman"/>
                <w:noProof/>
              </w:rPr>
            </w:pPr>
            <w:r>
              <w:rPr>
                <w:noProof/>
              </w:rPr>
              <w:t>25. cikk (1)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26. cikk (1) bekezdés</w:t>
            </w:r>
          </w:p>
        </w:tc>
      </w:tr>
      <w:tr>
        <w:tc>
          <w:tcPr>
            <w:tcW w:w="4674" w:type="dxa"/>
          </w:tcPr>
          <w:p>
            <w:pPr>
              <w:jc w:val="left"/>
              <w:rPr>
                <w:rFonts w:eastAsia="Times New Roman"/>
                <w:noProof/>
              </w:rPr>
            </w:pPr>
            <w:r>
              <w:rPr>
                <w:noProof/>
              </w:rPr>
              <w:t>25. cikk (2) bekezdés</w:t>
            </w:r>
          </w:p>
        </w:tc>
        <w:tc>
          <w:tcPr>
            <w:tcW w:w="4674" w:type="dxa"/>
          </w:tcPr>
          <w:p>
            <w:pPr>
              <w:jc w:val="left"/>
              <w:rPr>
                <w:rFonts w:eastAsia="Times New Roman"/>
                <w:noProof/>
              </w:rPr>
            </w:pPr>
            <w:r>
              <w:rPr>
                <w:noProof/>
              </w:rPr>
              <w:t>26. cikk (2) bekezdés</w:t>
            </w:r>
          </w:p>
        </w:tc>
      </w:tr>
      <w:tr>
        <w:tc>
          <w:tcPr>
            <w:tcW w:w="4674" w:type="dxa"/>
          </w:tcPr>
          <w:p>
            <w:pPr>
              <w:jc w:val="left"/>
              <w:rPr>
                <w:rFonts w:eastAsia="Times New Roman"/>
                <w:noProof/>
              </w:rPr>
            </w:pPr>
            <w:r>
              <w:rPr>
                <w:noProof/>
              </w:rPr>
              <w:t>26. cikk (1) és (2) bekezdés</w:t>
            </w:r>
          </w:p>
        </w:tc>
        <w:tc>
          <w:tcPr>
            <w:tcW w:w="4674" w:type="dxa"/>
          </w:tcPr>
          <w:p>
            <w:pPr>
              <w:jc w:val="left"/>
              <w:rPr>
                <w:rFonts w:eastAsia="Times New Roman"/>
                <w:noProof/>
              </w:rPr>
            </w:pPr>
            <w:r>
              <w:rPr>
                <w:noProof/>
              </w:rPr>
              <w:t>27. cikk (1) és (2) bekezdés</w:t>
            </w:r>
          </w:p>
        </w:tc>
      </w:tr>
      <w:tr>
        <w:tc>
          <w:tcPr>
            <w:tcW w:w="4674" w:type="dxa"/>
          </w:tcPr>
          <w:p>
            <w:pPr>
              <w:jc w:val="left"/>
              <w:rPr>
                <w:rFonts w:eastAsia="Times New Roman"/>
                <w:noProof/>
              </w:rPr>
            </w:pPr>
            <w:r>
              <w:rPr>
                <w:noProof/>
              </w:rPr>
              <w:t>26. cikk (3) bekezdés</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27.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28. cikk</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29. cikk</w:t>
            </w:r>
          </w:p>
        </w:tc>
      </w:tr>
      <w:tr>
        <w:tc>
          <w:tcPr>
            <w:tcW w:w="4674" w:type="dxa"/>
          </w:tcPr>
          <w:p>
            <w:pPr>
              <w:jc w:val="left"/>
              <w:rPr>
                <w:rFonts w:eastAsia="Times New Roman"/>
                <w:noProof/>
              </w:rPr>
            </w:pPr>
            <w:r>
              <w:rPr>
                <w:noProof/>
              </w:rPr>
              <w:t>28.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30. cikk</w:t>
            </w:r>
          </w:p>
        </w:tc>
      </w:tr>
      <w:tr>
        <w:tc>
          <w:tcPr>
            <w:tcW w:w="4674" w:type="dxa"/>
          </w:tcPr>
          <w:p>
            <w:pPr>
              <w:jc w:val="left"/>
              <w:rPr>
                <w:rFonts w:eastAsia="Times New Roman"/>
                <w:noProof/>
              </w:rPr>
            </w:pPr>
            <w:r>
              <w:rPr>
                <w:noProof/>
              </w:rPr>
              <w:t>29.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31. cikk</w:t>
            </w:r>
          </w:p>
        </w:tc>
      </w:tr>
      <w:tr>
        <w:tc>
          <w:tcPr>
            <w:tcW w:w="4674" w:type="dxa"/>
          </w:tcPr>
          <w:p>
            <w:pPr>
              <w:jc w:val="left"/>
              <w:rPr>
                <w:rFonts w:eastAsia="Times New Roman"/>
                <w:noProof/>
              </w:rPr>
            </w:pPr>
            <w:r>
              <w:rPr>
                <w:noProof/>
              </w:rPr>
              <w:t>30.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32. cikk</w:t>
            </w:r>
          </w:p>
        </w:tc>
      </w:tr>
      <w:tr>
        <w:tc>
          <w:tcPr>
            <w:tcW w:w="4674" w:type="dxa"/>
          </w:tcPr>
          <w:p>
            <w:pPr>
              <w:jc w:val="left"/>
              <w:rPr>
                <w:rFonts w:eastAsia="Times New Roman"/>
                <w:noProof/>
              </w:rPr>
            </w:pPr>
            <w:r>
              <w:rPr>
                <w:noProof/>
              </w:rPr>
              <w:t>31. cikk</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33. cikk</w:t>
            </w:r>
          </w:p>
        </w:tc>
      </w:tr>
      <w:tr>
        <w:tc>
          <w:tcPr>
            <w:tcW w:w="4674" w:type="dxa"/>
          </w:tcPr>
          <w:p>
            <w:pPr>
              <w:jc w:val="left"/>
              <w:rPr>
                <w:rFonts w:eastAsia="Times New Roman"/>
                <w:noProof/>
              </w:rPr>
            </w:pPr>
            <w:r>
              <w:rPr>
                <w:noProof/>
              </w:rPr>
              <w:t>32. cikk</w:t>
            </w:r>
          </w:p>
        </w:tc>
        <w:tc>
          <w:tcPr>
            <w:tcW w:w="4674" w:type="dxa"/>
          </w:tcPr>
          <w:p>
            <w:pPr>
              <w:jc w:val="left"/>
              <w:rPr>
                <w:rFonts w:eastAsia="Times New Roman"/>
                <w:noProof/>
              </w:rPr>
            </w:pPr>
            <w:r>
              <w:rPr>
                <w:noProof/>
              </w:rPr>
              <w:t>34. cikk</w:t>
            </w:r>
          </w:p>
        </w:tc>
      </w:tr>
      <w:tr>
        <w:tc>
          <w:tcPr>
            <w:tcW w:w="4674" w:type="dxa"/>
          </w:tcPr>
          <w:p>
            <w:pPr>
              <w:jc w:val="left"/>
              <w:rPr>
                <w:rFonts w:eastAsia="Times New Roman"/>
                <w:noProof/>
              </w:rPr>
            </w:pPr>
            <w:r>
              <w:rPr>
                <w:noProof/>
              </w:rPr>
              <w:t>I., II. és III. melléklet</w:t>
            </w:r>
          </w:p>
        </w:tc>
        <w:tc>
          <w:tcPr>
            <w:tcW w:w="4674" w:type="dxa"/>
          </w:tcPr>
          <w:p>
            <w:pPr>
              <w:jc w:val="left"/>
              <w:rPr>
                <w:rFonts w:eastAsia="Times New Roman"/>
                <w:noProof/>
              </w:rPr>
            </w:pPr>
            <w:r>
              <w:rPr>
                <w:noProof/>
              </w:rPr>
              <w:t>–</w:t>
            </w:r>
          </w:p>
        </w:tc>
      </w:tr>
      <w:tr>
        <w:tc>
          <w:tcPr>
            <w:tcW w:w="4674" w:type="dxa"/>
          </w:tcPr>
          <w:p>
            <w:pPr>
              <w:jc w:val="left"/>
              <w:rPr>
                <w:rFonts w:eastAsia="Times New Roman"/>
                <w:noProof/>
              </w:rPr>
            </w:pPr>
            <w:r>
              <w:rPr>
                <w:noProof/>
              </w:rPr>
              <w:t>–</w:t>
            </w:r>
          </w:p>
        </w:tc>
        <w:tc>
          <w:tcPr>
            <w:tcW w:w="4674" w:type="dxa"/>
          </w:tcPr>
          <w:p>
            <w:pPr>
              <w:jc w:val="left"/>
              <w:rPr>
                <w:rFonts w:eastAsia="Times New Roman"/>
                <w:noProof/>
              </w:rPr>
            </w:pPr>
            <w:r>
              <w:rPr>
                <w:noProof/>
              </w:rPr>
              <w:t>I., II. és III. melléklet</w:t>
            </w:r>
          </w:p>
        </w:tc>
      </w:tr>
    </w:tbl>
    <w:p>
      <w:pPr>
        <w:jc w:val="center"/>
        <w:rPr>
          <w:noProof/>
        </w:rPr>
      </w:pPr>
      <w:r>
        <w:rPr>
          <w:noProof/>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6690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B87C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7B209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ECAD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624A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52CC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0C2E76"/>
    <w:lvl w:ilvl="0">
      <w:start w:val="1"/>
      <w:numFmt w:val="decimal"/>
      <w:pStyle w:val="ListNumber"/>
      <w:lvlText w:val="%1."/>
      <w:lvlJc w:val="left"/>
      <w:pPr>
        <w:tabs>
          <w:tab w:val="num" w:pos="360"/>
        </w:tabs>
        <w:ind w:left="360" w:hanging="360"/>
      </w:pPr>
    </w:lvl>
  </w:abstractNum>
  <w:abstractNum w:abstractNumId="7">
    <w:nsid w:val="FFFFFF89"/>
    <w:multiLevelType w:val="singleLevel"/>
    <w:tmpl w:val="03BCAD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2"/>
  </w:num>
  <w:num w:numId="27">
    <w:abstractNumId w:val="21"/>
  </w:num>
  <w:num w:numId="28">
    <w:abstractNumId w:val="11"/>
  </w:num>
  <w:num w:numId="29">
    <w:abstractNumId w:val="13"/>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283"/>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10 12:28: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 w:val="a következ\u337?höz:"/>
    <w:docVar w:name="LW_ACCOMPAGNANT.CP" w:val="a következ\u337?höz:"/>
    <w:docVar w:name="LW_ANNEX_NBR_FIRST" w:val="1"/>
    <w:docVar w:name="LW_ANNEX_NBR_LAST" w:val="3"/>
    <w:docVar w:name="LW_ANNEX_UNIQUE" w:val="0"/>
    <w:docVar w:name="LW_CORRIGENDUM" w:val="&lt;UNUSED&gt;"/>
    <w:docVar w:name="LW_COVERPAGE_EXISTS" w:val="True"/>
    <w:docVar w:name="LW_COVERPAGE_GUID" w:val="4D228768-7143-4C2D-8C13-3D6358D5EF5A"/>
    <w:docVar w:name="LW_COVERPAGE_TYPE" w:val="1"/>
    <w:docVar w:name="LW_CROSSREFERENCE" w:val="{SEC(2021) 663 final} - {SWD(2021) 640 final} - {SWD(2021) 641 final} - {SWD(2021) 642 final}"/>
    <w:docVar w:name="LW_DocType" w:val="ANNEX"/>
    <w:docVar w:name="LW_EMISSION" w:val="2021.7.14."/>
    <w:docVar w:name="LW_EMISSION_ISODATE" w:val="2021-07-14"/>
    <w:docVar w:name="LW_EMISSION_LOCATION" w:val="BRX"/>
    <w:docVar w:name="LW_EMISSION_PREFIX" w:val="Brüsszel, "/>
    <w:docVar w:name="LW_EMISSION_SUFFIX" w:val=" "/>
    <w:docVar w:name="LW_ID_DOCSTRUCTURE" w:val="COM/ANNEX"/>
    <w:docVar w:name="LW_ID_DOCTYPE" w:val="SG-017"/>
    <w:docVar w:name="LW_LANGUE" w:val="HU"/>
    <w:docVar w:name="LW_LEVEL_OF_SENSITIVITY" w:val="Standard treatment"/>
    <w:docVar w:name="LW_NOM.INST" w:val="EURÓPAI BIZOTTSÁG"/>
    <w:docVar w:name="LW_NOM.INST_JOINTDOC" w:val="&lt;EMPTY&gt;"/>
    <w:docVar w:name="LW_OBJETACTEPRINCIPAL" w:val="&lt;FMT:Font=Calibri CE&gt;az energiatermékek és a villamos energia uniós adóztatási keretének átszervezésér\u337?l (átdolgozás)&lt;/FMT&gt;&lt;FMT:Font=Calibri&gt;_x000d__x000d_&lt;/FMT&gt;_x000d__x000d__x000b_&lt;FMT:Font=Calibri&gt;_x000d__x000d__x000d__x000d__x000d__x000d_&lt;/FMT&gt;_x000d__x000d__x000b_&lt;FMT:Font=Calibri,Bold&gt;(EGT-vonatkozású szöveg)&lt;/FMT&gt;"/>
    <w:docVar w:name="LW_OBJETACTEPRINCIPAL.CP" w:val="&lt;FMT:Font=Calibri CE&gt;az energiatermékek és a villamos energia uniós adóztatási keretének átszervezésér\u337?l (átdolgozás)&lt;/FMT&gt;&lt;FMT:Font=Calibri&gt;_x000d__x000d_&lt;/FMT&gt;_x000d__x000d__x000b_&lt;FMT:Font=Calibri&gt;_x000d__x000d__x000d__x000d__x000d__x000d_&lt;/FMT&gt;_x000d__x000d__x000b_&lt;FMT:Font=Calibri,Bold&gt;(EGT-vonatkozású szöveg)&lt;/FMT&gt;"/>
    <w:docVar w:name="LW_PART_NBR" w:val="&lt;UNUSED&gt;"/>
    <w:docVar w:name="LW_PART_NBR_TOTAL" w:val="&lt;UNUSED&gt;"/>
    <w:docVar w:name="LW_REF.INST.NEW" w:val="COM"/>
    <w:docVar w:name="LW_REF.INST.NEW_ADOPTED" w:val="final"/>
    <w:docVar w:name="LW_REF.INST.NEW_TEXT" w:val="(2021) 5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MELLÉKLETEK"/>
    <w:docVar w:name="LW_TYPE.DOC.CP" w:val="MELLÉKLETEK"/>
    <w:docVar w:name="LW_TYPEACTEPRINCIPAL" w:val="JAVASLAT_x000b_A TANÁCS IRÁNYELVE_x000b_"/>
    <w:docVar w:name="LW_TYPEACTEPRINCIPAL.CP" w:val="JAVASLAT_x000b_A TANÁCS IRÁNYELVE_x000b_"/>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link w:val="CRSeparatorChar"/>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CRSeparatorChar">
    <w:name w:val="CR Separator Char"/>
    <w:basedOn w:val="DefaultParagraphFont"/>
    <w:link w:val="CRSeparator"/>
    <w:locked/>
    <w:rPr>
      <w:rFonts w:ascii="Times New Roman" w:eastAsiaTheme="minorEastAsia" w:hAnsi="Times New Roman" w:cs="Times New Roman"/>
      <w:sz w:val="24"/>
      <w:szCs w:val="24"/>
      <w:lang w:val="hu-HU" w:eastAsia="en-GB"/>
    </w:rPr>
  </w:style>
  <w:style w:type="character" w:customStyle="1" w:styleId="CRReferenceChar">
    <w:name w:val="CR Reference Char"/>
    <w:basedOn w:val="DefaultParagraphFont"/>
    <w:link w:val="CRReference"/>
    <w:locked/>
    <w:rPr>
      <w:rFonts w:ascii="Times New Roman" w:eastAsiaTheme="minorEastAsia" w:hAnsi="Times New Roman" w:cs="Times New Roman"/>
      <w:sz w:val="24"/>
      <w:szCs w:val="24"/>
      <w:lang w:val="hu-HU"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customStyle="1" w:styleId="CRRefonteDeleted">
    <w:name w:val="CR Refonte Deleted"/>
    <w:basedOn w:val="DefaultParagraphFont"/>
    <w:rPr>
      <w:strike w:val="0"/>
      <w:dstrik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link w:val="CRSeparatorChar"/>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customStyle="1" w:styleId="CRSeparatorChar">
    <w:name w:val="CR Separator Char"/>
    <w:basedOn w:val="DefaultParagraphFont"/>
    <w:link w:val="CRSeparator"/>
    <w:locked/>
    <w:rPr>
      <w:rFonts w:ascii="Times New Roman" w:eastAsiaTheme="minorEastAsia" w:hAnsi="Times New Roman" w:cs="Times New Roman"/>
      <w:sz w:val="24"/>
      <w:szCs w:val="24"/>
      <w:lang w:val="hu-HU" w:eastAsia="en-GB"/>
    </w:rPr>
  </w:style>
  <w:style w:type="character" w:customStyle="1" w:styleId="CRReferenceChar">
    <w:name w:val="CR Reference Char"/>
    <w:basedOn w:val="DefaultParagraphFont"/>
    <w:link w:val="CRReference"/>
    <w:locked/>
    <w:rPr>
      <w:rFonts w:ascii="Times New Roman" w:eastAsiaTheme="minorEastAsia" w:hAnsi="Times New Roman" w:cs="Times New Roman"/>
      <w:sz w:val="24"/>
      <w:szCs w:val="24"/>
      <w:lang w:val="hu-HU"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character" w:customStyle="1" w:styleId="CRRefonteDeleted">
    <w:name w:val="CR Refonte Deleted"/>
    <w:basedOn w:val="DefaultParagraphFont"/>
    <w:rPr>
      <w:strike w:val="0"/>
      <w:dstrik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zachaio\AppData\Local\Microsoft\Windows\INetCache\Content.MSO\E8761871.xlsx"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e612c5b1-42b4-4dfc-ad0a-11711e4d1848">EN</EC_Collab_DocumentLanguage>
    <EC_Collab_Reference xmlns="e612c5b1-42b4-4dfc-ad0a-11711e4d1848" xsi:nil="true"/>
    <EC_Collab_Status xmlns="e612c5b1-42b4-4dfc-ad0a-11711e4d1848">Not Started</EC_Collab_Status>
    <_Status xmlns="http://schemas.microsoft.com/sharepoint/v3/fields">Not Started</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BB2692E4C43E04E96282352541176AA" ma:contentTypeVersion="0" ma:contentTypeDescription="Create a new document in this library." ma:contentTypeScope="" ma:versionID="2914185865f7771a262f11f307e7e05b">
  <xsd:schema xmlns:xsd="http://www.w3.org/2001/XMLSchema" xmlns:xs="http://www.w3.org/2001/XMLSchema" xmlns:p="http://schemas.microsoft.com/office/2006/metadata/properties" xmlns:ns2="http://schemas.microsoft.com/sharepoint/v3/fields" xmlns:ns3="e612c5b1-42b4-4dfc-ad0a-11711e4d1848" targetNamespace="http://schemas.microsoft.com/office/2006/metadata/properties" ma:root="true" ma:fieldsID="18cc5138467ee2bfb2ea10dc7acde7aa" ns2:_="" ns3:_="">
    <xsd:import namespace="http://schemas.microsoft.com/sharepoint/v3/fields"/>
    <xsd:import namespace="e612c5b1-42b4-4dfc-ad0a-11711e4d184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12c5b1-42b4-4dfc-ad0a-11711e4d18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C55B8-C60A-48E7-BF61-03B648F336A4}">
  <ds:schemaRefs>
    <ds:schemaRef ds:uri="http://schemas.microsoft.com/sharepoint/v3/contenttype/forms"/>
  </ds:schemaRefs>
</ds:datastoreItem>
</file>

<file path=customXml/itemProps2.xml><?xml version="1.0" encoding="utf-8"?>
<ds:datastoreItem xmlns:ds="http://schemas.openxmlformats.org/officeDocument/2006/customXml" ds:itemID="{A18A14B9-03C3-4D3E-AD6F-9EB76C671CD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e612c5b1-42b4-4dfc-ad0a-11711e4d1848"/>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421A9A97-362A-442A-8B3F-AB3E68E94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612c5b1-42b4-4dfc-ad0a-11711e4d1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5EFA4-D9E1-43B7-8A7E-82E499FF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20</Pages>
  <Words>4668</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ILIESCU Silviu Bogdan (SJ)</dc:creator>
  <cp:keywords/>
  <dc:description/>
  <cp:lastModifiedBy>WES PDFC Administrator</cp:lastModifiedBy>
  <cp:revision>22</cp:revision>
  <dcterms:created xsi:type="dcterms:W3CDTF">2021-09-09T07:05:00Z</dcterms:created>
  <dcterms:modified xsi:type="dcterms:W3CDTF">2021-09-10T10:28:00Z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0x010100258AA79CEB83498886A3A08681123250002BB2692E4C43E04E96282352541176AA</vt:lpwstr>
  </property>
  <property fmtid="{D5CDD505-2E9C-101B-9397-08002B2CF9AE}" pid="14" name="DQCStatus">
    <vt:lpwstr>Green (DQC version 03)</vt:lpwstr>
  </property>
</Properties>
</file>