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7706DC2-F186-408F-9746-309DD6EE7AC0" style="width:454.55pt;height:32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numPr>
          <w:ilvl w:val="0"/>
          <w:numId w:val="20"/>
        </w:numPr>
        <w:pBdr>
          <w:top w:val="nil"/>
          <w:left w:val="nil"/>
          <w:bottom w:val="nil"/>
          <w:right w:val="nil"/>
          <w:between w:val="nil"/>
          <w:bar w:val="nil"/>
        </w:pBdr>
        <w:spacing w:before="120" w:after="120" w:line="240" w:lineRule="auto"/>
        <w:ind w:right="-426"/>
        <w:contextualSpacing/>
        <w:jc w:val="both"/>
        <w:rPr>
          <w:rFonts w:ascii="Times New Roman" w:eastAsia="Arial Unicode MS" w:hAnsi="Times New Roman" w:cs="Times New Roman"/>
          <w:b/>
          <w:bCs/>
          <w:i/>
          <w:noProof/>
          <w:color w:val="000000"/>
          <w:sz w:val="24"/>
          <w:szCs w:val="24"/>
          <w:u w:color="000000"/>
          <w:bdr w:val="nil"/>
        </w:rPr>
      </w:pPr>
      <w:bookmarkStart w:id="1" w:name="_GoBack"/>
      <w:bookmarkEnd w:id="1"/>
      <w:r>
        <w:rPr>
          <w:rFonts w:ascii="Times New Roman" w:hAnsi="Times New Roman"/>
          <w:b/>
          <w:bCs/>
          <w:noProof/>
          <w:color w:val="000000"/>
          <w:sz w:val="24"/>
          <w:szCs w:val="24"/>
          <w:u w:color="000000"/>
          <w:bdr w:val="nil"/>
        </w:rPr>
        <w:lastRenderedPageBreak/>
        <w:t xml:space="preserve">Ievads </w:t>
      </w:r>
    </w:p>
    <w:p>
      <w:pPr>
        <w:spacing w:after="0" w:line="240" w:lineRule="auto"/>
        <w:ind w:right="-567"/>
        <w:contextualSpacing/>
        <w:jc w:val="both"/>
        <w:rPr>
          <w:rFonts w:ascii="Times New Roman" w:eastAsia="Cambria" w:hAnsi="Times New Roman" w:cs="Times New Roman"/>
          <w:noProof/>
          <w:sz w:val="24"/>
          <w:szCs w:val="20"/>
        </w:rPr>
      </w:pPr>
      <w:r>
        <w:rPr>
          <w:rFonts w:ascii="Times New Roman" w:hAnsi="Times New Roman"/>
          <w:noProof/>
          <w:sz w:val="24"/>
          <w:szCs w:val="20"/>
        </w:rPr>
        <w:t>Meži un citas kokaugiem klātas zemes</w:t>
      </w:r>
      <w:r>
        <w:rPr>
          <w:rFonts w:ascii="Times New Roman" w:eastAsia="Cambria" w:hAnsi="Times New Roman" w:cs="Times New Roman"/>
          <w:noProof/>
          <w:sz w:val="24"/>
          <w:szCs w:val="20"/>
          <w:vertAlign w:val="superscript"/>
        </w:rPr>
        <w:footnoteReference w:id="1"/>
      </w:r>
      <w:r>
        <w:rPr>
          <w:rFonts w:ascii="Times New Roman" w:hAnsi="Times New Roman"/>
          <w:noProof/>
          <w:sz w:val="24"/>
          <w:szCs w:val="20"/>
        </w:rPr>
        <w:t xml:space="preserve"> aizņem vairāk nekā 43,5 %</w:t>
      </w:r>
      <w:r>
        <w:rPr>
          <w:rFonts w:ascii="Times New Roman" w:eastAsia="Cambria" w:hAnsi="Times New Roman" w:cs="Times New Roman"/>
          <w:noProof/>
          <w:sz w:val="24"/>
          <w:szCs w:val="20"/>
          <w:vertAlign w:val="superscript"/>
        </w:rPr>
        <w:footnoteReference w:id="2"/>
      </w:r>
      <w:r>
        <w:rPr>
          <w:rFonts w:ascii="Times New Roman" w:hAnsi="Times New Roman"/>
          <w:noProof/>
          <w:sz w:val="24"/>
          <w:szCs w:val="20"/>
        </w:rPr>
        <w:t xml:space="preserve"> ES sauszemes teritorijas, un tie ir būtiski visu Eiropas iedzīvotāju veselībai un labbūtībai. Tie sagādā mums gaisu, ko elpot, un ūdeni, ko dzert, un to bagātīgā biodaudzveidība un unikālā dabas sistēma dod mājvietu lielākajai daļai pasaules sugu, kas sastopamas uz sauszemes</w:t>
      </w:r>
      <w:r>
        <w:rPr>
          <w:rFonts w:ascii="Times New Roman" w:eastAsia="Cambria" w:hAnsi="Times New Roman" w:cs="Times New Roman"/>
          <w:noProof/>
          <w:sz w:val="24"/>
          <w:szCs w:val="20"/>
          <w:vertAlign w:val="superscript"/>
        </w:rPr>
        <w:footnoteReference w:id="3"/>
      </w:r>
      <w:r>
        <w:rPr>
          <w:rFonts w:ascii="Times New Roman" w:hAnsi="Times New Roman"/>
          <w:noProof/>
          <w:sz w:val="24"/>
          <w:szCs w:val="20"/>
        </w:rPr>
        <w:t xml:space="preserve">. </w:t>
      </w:r>
      <w:r>
        <w:rPr>
          <w:rFonts w:ascii="Times New Roman" w:hAnsi="Times New Roman"/>
          <w:noProof/>
          <w:sz w:val="24"/>
        </w:rPr>
        <w:t>Tie ir vieta, kur varam izjust saikni ar dabu, tātad palīdz stiprināt mūsu fizisko un garīgo veselību, un tiem ir svarīga nozīme lauku apvidu dzīvīguma un pārticības saglabāšanā.</w:t>
      </w:r>
    </w:p>
    <w:p>
      <w:pPr>
        <w:spacing w:after="0" w:line="240" w:lineRule="auto"/>
        <w:ind w:right="-567"/>
        <w:contextualSpacing/>
        <w:jc w:val="both"/>
        <w:rPr>
          <w:rFonts w:ascii="Times New Roman" w:eastAsia="Cambria" w:hAnsi="Times New Roman" w:cs="Times New Roman"/>
          <w:noProof/>
          <w:sz w:val="24"/>
          <w:szCs w:val="24"/>
        </w:rPr>
      </w:pPr>
    </w:p>
    <w:p>
      <w:pPr>
        <w:spacing w:after="0" w:line="240" w:lineRule="auto"/>
        <w:ind w:right="-567"/>
        <w:contextualSpacing/>
        <w:jc w:val="both"/>
        <w:rPr>
          <w:rFonts w:ascii="Times New Roman" w:eastAsia="Cambria" w:hAnsi="Times New Roman" w:cs="Times New Roman"/>
          <w:noProof/>
          <w:sz w:val="24"/>
          <w:szCs w:val="20"/>
        </w:rPr>
      </w:pPr>
      <w:r>
        <w:rPr>
          <w:rFonts w:ascii="Times New Roman" w:hAnsi="Times New Roman"/>
          <w:noProof/>
          <w:sz w:val="24"/>
          <w:szCs w:val="20"/>
        </w:rPr>
        <w:t>Meži ilgstoši ir ieņēmuši nozīmīgu vietu mūsu ekonomikā un sabiedrībā, jo tie palīdzējuši radīt darbvietas un sagādāt pārtiku, zāles, materiālus, tīru ūdeni un daudz ko citu. Gadsimtiem ilgi meži bijuši plaukstošs kultūras mantojuma un amatniecības, tradīciju un inovācijas centrs. Taču, lai kāda arī būtu bijusi to nozīme pagātnē, tagad tie ir būtiski mūsu nākotnei. Meži mums ir dabisks sabiedrotais, kas palīdz pielāgoties klimata pārmaiņām un cīnīties pret tām, un tiem būs izšķirīga loma centienos panākt, lai Eiropa līdz 2050. gadam kļūtu par pirmo klimatneitrālo pasaules daļu. Meža ekosistēmu aizsardzība mazina arī zoonožu un globālu pandēmiju risku. Tāpēc cilvēku un planētas veselība un labklājība nākotnē ir atkarīga no tā, vai visā Eiropā un pasaulē augs veselīgi, biodaudzveidīgi un izturētspējīgi meži.</w:t>
      </w:r>
    </w:p>
    <w:p>
      <w:pPr>
        <w:spacing w:after="0" w:line="240" w:lineRule="auto"/>
        <w:ind w:right="-567"/>
        <w:contextualSpacing/>
        <w:jc w:val="both"/>
        <w:rPr>
          <w:rFonts w:ascii="Times New Roman" w:eastAsia="Cambria" w:hAnsi="Times New Roman" w:cs="Times New Roman"/>
          <w:noProof/>
          <w:sz w:val="24"/>
          <w:szCs w:val="24"/>
        </w:rPr>
      </w:pPr>
    </w:p>
    <w:p>
      <w:pPr>
        <w:shd w:val="clear" w:color="auto" w:fill="FFFFFF" w:themeFill="background1"/>
        <w:spacing w:after="0" w:line="240" w:lineRule="auto"/>
        <w:ind w:right="-567"/>
        <w:jc w:val="both"/>
        <w:rPr>
          <w:rFonts w:ascii="Times New Roman" w:eastAsia="Cambria" w:hAnsi="Times New Roman" w:cs="Times New Roman"/>
          <w:noProof/>
          <w:color w:val="000000" w:themeColor="text1"/>
          <w:sz w:val="24"/>
          <w:szCs w:val="20"/>
        </w:rPr>
      </w:pPr>
      <w:r>
        <w:rPr>
          <w:rFonts w:ascii="Times New Roman" w:hAnsi="Times New Roman"/>
          <w:noProof/>
          <w:sz w:val="24"/>
          <w:szCs w:val="20"/>
        </w:rPr>
        <w:t>Neraugoties uz šo imperatīvu, uz Eiropas mežiem gulst arvien lielāks slogs, kam par cēloni daļēji ir dabiski procesi, bet daļēji – cilvēka darbības un noslodžu pieaugums. Lai gan, pateicoties dabiskiem procesiem, apmežošanai, ilgtspējīgai apsaimniekošanai un aktīvai atjaunošanai, meža platība pēdējās desmitgadēs ir palielinājusies un vairākas tendences tāpēc ir uzlabojušās, meža saglabāšanās stāvoklis būtu vērā ņemami jāuzlabo; tas attiecas arī uz 27 % ES meža platības, kas ir aizsargājami un kam vajadzētu būt visveselīgākajiem</w:t>
      </w:r>
      <w:r>
        <w:rPr>
          <w:rFonts w:ascii="Times New Roman" w:eastAsia="Cambria" w:hAnsi="Times New Roman" w:cs="Times New Roman"/>
          <w:noProof/>
          <w:sz w:val="24"/>
          <w:szCs w:val="20"/>
          <w:vertAlign w:val="superscript"/>
        </w:rPr>
        <w:footnoteReference w:id="4"/>
      </w:r>
      <w:r>
        <w:rPr>
          <w:rFonts w:ascii="Times New Roman" w:hAnsi="Times New Roman"/>
          <w:noProof/>
          <w:sz w:val="24"/>
          <w:szCs w:val="20"/>
        </w:rPr>
        <w:t xml:space="preserve">. Eiropas mežus joprojām nelabvēlīgi ietekmē klimata pārmaiņas, it īpaši, taču ne tikai apgabalos, kuros ir viensugas un vienādvecuma mežaudzes. </w:t>
      </w:r>
      <w:r>
        <w:rPr>
          <w:rFonts w:ascii="Times New Roman" w:hAnsi="Times New Roman"/>
          <w:noProof/>
          <w:sz w:val="24"/>
        </w:rPr>
        <w:t>Klimata pārmaiņas ir cēlušas gaismā arī iepriekš apslēptus vājo punktus, kas pastiprina citas postošas noslodzes, tādas kā kaitēkļi, piesārņojums un slimības, un tās ietekmē meža ugunsgrēku režīmu, jo noved pie apstākļiem, kuros meža ugunsgrēku apmērs un intensitāte ES nākamajos gados palielināsies</w:t>
      </w:r>
      <w:r>
        <w:rPr>
          <w:rFonts w:ascii="Times New Roman" w:eastAsia="Times New Roman" w:hAnsi="Times New Roman" w:cs="Times New Roman"/>
          <w:noProof/>
          <w:sz w:val="24"/>
          <w:szCs w:val="24"/>
          <w:vertAlign w:val="superscript"/>
        </w:rPr>
        <w:footnoteReference w:id="5"/>
      </w:r>
      <w:r>
        <w:rPr>
          <w:rFonts w:ascii="Times New Roman" w:hAnsi="Times New Roman"/>
          <w:noProof/>
          <w:sz w:val="24"/>
        </w:rPr>
        <w:t>.</w:t>
      </w:r>
      <w:r>
        <w:rPr>
          <w:rFonts w:ascii="Times New Roman" w:hAnsi="Times New Roman"/>
          <w:noProof/>
          <w:color w:val="000000" w:themeColor="text1"/>
          <w:sz w:val="24"/>
          <w:szCs w:val="20"/>
        </w:rPr>
        <w:t xml:space="preserve"> Koku klājums pēdējos desmit gados izzūd arvien straujāk gan ekstrēmu laikapstākļu notikumu, gan dažādiem ekonomiskiem mērķiem notiekošas mežizstrādes pieauguma dēļ</w:t>
      </w:r>
      <w:r>
        <w:rPr>
          <w:rFonts w:ascii="Times New Roman" w:eastAsia="Cambria" w:hAnsi="Times New Roman" w:cs="Times New Roman"/>
          <w:noProof/>
          <w:color w:val="000000" w:themeColor="text1"/>
          <w:sz w:val="24"/>
          <w:szCs w:val="20"/>
          <w:vertAlign w:val="superscript"/>
        </w:rPr>
        <w:footnoteReference w:id="6"/>
      </w:r>
      <w:r>
        <w:rPr>
          <w:rFonts w:ascii="Times New Roman" w:hAnsi="Times New Roman"/>
          <w:noProof/>
          <w:color w:val="000000" w:themeColor="text1"/>
          <w:sz w:val="24"/>
          <w:szCs w:val="20"/>
        </w:rPr>
        <w:t>.</w:t>
      </w:r>
    </w:p>
    <w:p>
      <w:pPr>
        <w:shd w:val="clear" w:color="auto" w:fill="FFFFFF"/>
        <w:spacing w:after="0" w:line="240" w:lineRule="auto"/>
        <w:ind w:right="-567"/>
        <w:jc w:val="both"/>
        <w:rPr>
          <w:rFonts w:ascii="Times New Roman" w:eastAsia="Cambria" w:hAnsi="Times New Roman" w:cs="Times New Roman"/>
          <w:noProof/>
          <w:color w:val="000000" w:themeColor="text1"/>
          <w:sz w:val="24"/>
          <w:szCs w:val="20"/>
        </w:rPr>
      </w:pPr>
    </w:p>
    <w:p>
      <w:pPr>
        <w:shd w:val="clear" w:color="auto" w:fill="FFFFFF" w:themeFill="background1"/>
        <w:spacing w:after="0" w:line="240" w:lineRule="auto"/>
        <w:ind w:right="-567"/>
        <w:jc w:val="both"/>
        <w:rPr>
          <w:rFonts w:ascii="Times New Roman" w:eastAsia="Cambria" w:hAnsi="Times New Roman" w:cs="Times New Roman"/>
          <w:noProof/>
          <w:sz w:val="24"/>
          <w:szCs w:val="20"/>
        </w:rPr>
      </w:pPr>
      <w:r>
        <w:rPr>
          <w:rFonts w:ascii="Times New Roman" w:hAnsi="Times New Roman"/>
          <w:noProof/>
          <w:sz w:val="24"/>
          <w:szCs w:val="20"/>
        </w:rPr>
        <w:lastRenderedPageBreak/>
        <w:t>Šīs jaunās ES Meža stratēģijas mērķis ir, pilnībā ņemot vērā subsidiaritātes principu, labākos pieejamos zinātniskos pierādījumus un labāka regulējuma prasības, pārvarēt šīs grūtības un atraisīt mežu potenciālu mūsu nākotnes vārdā. Tā sakņojas Eiropas zaļajā kursā un ES Biodaudzveidības stratēģijā 2030. gadam, un tajā ir atzīta mežu svarīgā un daudzfunkcionālā loma un mežsaimnieku un visas meža resursu vērtības ķēdes devums ilgtspējīgas un klimatneitrālas ekonomikas izveidē līdz 2050. gadam, bet tajā pašā laikā tā tiecas nodrošināt, ka visas ekosistēmas ir atjaunotas, izturētspējīgas un pienācīgi aizsargātas. Šī stratēģija aizstāj ES Meža stratēģiju, kas pieņemta 2013. gadā</w:t>
      </w:r>
      <w:r>
        <w:rPr>
          <w:rFonts w:ascii="Times New Roman" w:eastAsia="Times New Roman" w:hAnsi="Times New Roman" w:cs="Times New Roman"/>
          <w:noProof/>
          <w:sz w:val="24"/>
          <w:szCs w:val="20"/>
          <w:vertAlign w:val="superscript"/>
        </w:rPr>
        <w:footnoteReference w:id="7"/>
      </w:r>
      <w:r>
        <w:rPr>
          <w:rFonts w:ascii="Times New Roman" w:hAnsi="Times New Roman"/>
          <w:noProof/>
          <w:sz w:val="24"/>
          <w:szCs w:val="20"/>
        </w:rPr>
        <w:t xml:space="preserve"> un izvērtēta 2018. gadā</w:t>
      </w:r>
      <w:r>
        <w:rPr>
          <w:rFonts w:ascii="Times New Roman" w:eastAsia="Times New Roman" w:hAnsi="Times New Roman" w:cs="Times New Roman"/>
          <w:noProof/>
          <w:sz w:val="24"/>
          <w:szCs w:val="20"/>
          <w:vertAlign w:val="superscript"/>
        </w:rPr>
        <w:footnoteReference w:id="8"/>
      </w:r>
      <w:r>
        <w:rPr>
          <w:rFonts w:ascii="Times New Roman" w:hAnsi="Times New Roman"/>
          <w:noProof/>
          <w:sz w:val="24"/>
          <w:szCs w:val="20"/>
        </w:rPr>
        <w:t>.</w:t>
      </w:r>
    </w:p>
    <w:p>
      <w:pPr>
        <w:shd w:val="clear" w:color="auto" w:fill="FFFFFF" w:themeFill="background1"/>
        <w:spacing w:after="0" w:line="240" w:lineRule="auto"/>
        <w:ind w:right="-567"/>
        <w:jc w:val="both"/>
        <w:rPr>
          <w:rFonts w:ascii="Times New Roman" w:eastAsia="Cambria" w:hAnsi="Times New Roman" w:cs="Times New Roman"/>
          <w:noProof/>
          <w:sz w:val="24"/>
          <w:szCs w:val="20"/>
        </w:rPr>
      </w:pPr>
    </w:p>
    <w:p>
      <w:pPr>
        <w:shd w:val="clear" w:color="auto" w:fill="FFFFFF" w:themeFill="background1"/>
        <w:spacing w:after="0" w:line="240" w:lineRule="auto"/>
        <w:ind w:right="-567"/>
        <w:jc w:val="both"/>
        <w:rPr>
          <w:rFonts w:ascii="Times New Roman" w:eastAsia="Cambria" w:hAnsi="Times New Roman" w:cs="Times New Roman"/>
          <w:noProof/>
          <w:sz w:val="24"/>
          <w:szCs w:val="20"/>
        </w:rPr>
      </w:pPr>
      <w:r>
        <w:rPr>
          <w:rFonts w:ascii="Times New Roman" w:hAnsi="Times New Roman"/>
          <w:noProof/>
          <w:sz w:val="24"/>
          <w:szCs w:val="24"/>
        </w:rPr>
        <w:t>Stratēģijā ierosinātās saistības un darbības palīdzēs sasniegt Eiropas Klimata aktā</w:t>
      </w:r>
      <w:r>
        <w:rPr>
          <w:rFonts w:ascii="Times New Roman" w:eastAsia="Cambria" w:hAnsi="Times New Roman" w:cs="Times New Roman"/>
          <w:noProof/>
          <w:sz w:val="24"/>
          <w:szCs w:val="24"/>
          <w:vertAlign w:val="superscript"/>
        </w:rPr>
        <w:footnoteReference w:id="9"/>
      </w:r>
      <w:r>
        <w:rPr>
          <w:rFonts w:ascii="Times New Roman" w:hAnsi="Times New Roman"/>
          <w:noProof/>
          <w:sz w:val="24"/>
          <w:szCs w:val="24"/>
        </w:rPr>
        <w:t xml:space="preserve"> nosprausto ES 2030. gada mērķrādītāju, kas paredz siltumnīcefekta gāzu emisijas samazināt vismaz par 55 % un tiks īstenots ar paketē “Gatavi mērķrādītājam 55 %”</w:t>
      </w:r>
      <w:r>
        <w:rPr>
          <w:rFonts w:ascii="Times New Roman" w:eastAsia="Cambria" w:hAnsi="Times New Roman" w:cs="Times New Roman"/>
          <w:noProof/>
          <w:sz w:val="24"/>
          <w:szCs w:val="24"/>
          <w:vertAlign w:val="superscript"/>
        </w:rPr>
        <w:footnoteReference w:id="10"/>
      </w:r>
      <w:r>
        <w:rPr>
          <w:rFonts w:ascii="Times New Roman" w:hAnsi="Times New Roman"/>
          <w:noProof/>
          <w:sz w:val="24"/>
          <w:szCs w:val="24"/>
        </w:rPr>
        <w:t xml:space="preserve"> izklāstītajiem pasākumiem. </w:t>
      </w:r>
      <w:r>
        <w:rPr>
          <w:rFonts w:ascii="Times New Roman" w:hAnsi="Times New Roman"/>
          <w:bCs/>
          <w:noProof/>
          <w:sz w:val="24"/>
          <w:szCs w:val="20"/>
        </w:rPr>
        <w:t>Saskaņā ar Klimata aktu, lai sasniegtu 2030. gada mērķrādītāju un klimatneitralitātes mērķi, attiecīgajām ES iestādēm un dalībvalstīm par prioritāti jāizvirza ātra un prognozējama emisiju samazināšana un vienlaikus jāpanāk lielāka piesaiste dabiskajos oglekļa piesaistītājos.</w:t>
      </w:r>
      <w:r>
        <w:rPr>
          <w:rFonts w:ascii="Times New Roman" w:hAnsi="Times New Roman"/>
          <w:b/>
          <w:bCs/>
          <w:noProof/>
          <w:sz w:val="24"/>
          <w:szCs w:val="20"/>
        </w:rPr>
        <w:t xml:space="preserve"> </w:t>
      </w:r>
      <w:r>
        <w:rPr>
          <w:rFonts w:ascii="Times New Roman" w:hAnsi="Times New Roman"/>
          <w:noProof/>
          <w:sz w:val="24"/>
          <w:szCs w:val="24"/>
        </w:rPr>
        <w:t>Kā izklāstīts priekšlikumā pārskatītajai Regulai par zemes izmantošanu, zemes izmantošanas maiņu un mežsaimniecību</w:t>
      </w:r>
      <w:r>
        <w:rPr>
          <w:rFonts w:ascii="Times New Roman" w:eastAsia="Cambria" w:hAnsi="Times New Roman" w:cs="Times New Roman"/>
          <w:noProof/>
          <w:sz w:val="24"/>
          <w:szCs w:val="24"/>
          <w:vertAlign w:val="superscript"/>
        </w:rPr>
        <w:footnoteReference w:id="11"/>
      </w:r>
      <w:r>
        <w:rPr>
          <w:rFonts w:ascii="Times New Roman" w:hAnsi="Times New Roman"/>
          <w:noProof/>
          <w:sz w:val="24"/>
          <w:szCs w:val="24"/>
        </w:rPr>
        <w:t xml:space="preserve">, siltumnīcefekta gāzu emisijām un piesaistījumiem, ko rada meži un meža produkti, būs izšķirīga nozīme centienos sasniegt Savienības vērienīgo neto piesaistījumu mērķrādītāju, kas ir –310 milj. tonnu oglekļa dioksīda ekvivalenta. </w:t>
      </w:r>
      <w:r>
        <w:rPr>
          <w:rFonts w:ascii="Times New Roman" w:hAnsi="Times New Roman"/>
          <w:noProof/>
          <w:sz w:val="24"/>
        </w:rPr>
        <w:t>Stratēģijā noteikts arī rīcībpolitikas satvars, kura uzdevums ir nodrošināt, lai ES būtu augoši, veselīgi, daudzveidīgi un izturētspējīgi meži, kas vērā ņemami palīdz īstenot mūsu biodaudzveidības ieceri, sagādā iztikas līdzekļus lauku apvidos un ārpus tiem un atbalsta ilgtspējīgu meža resursu bioekonomiku, kura balstās uz pašu ilgtspējīgāko meža apsaimniekošanas praksi.</w:t>
      </w:r>
      <w:r>
        <w:rPr>
          <w:rFonts w:ascii="Times New Roman" w:hAnsi="Times New Roman"/>
          <w:noProof/>
          <w:sz w:val="24"/>
          <w:szCs w:val="24"/>
        </w:rPr>
        <w:t xml:space="preserve"> </w:t>
      </w:r>
      <w:r>
        <w:rPr>
          <w:rFonts w:ascii="Times New Roman" w:hAnsi="Times New Roman"/>
          <w:noProof/>
          <w:sz w:val="24"/>
        </w:rPr>
        <w:t>Tās pamatā ir atzīta un starptautiski saskaņota un dinamiska ilgtspējīgas meža apsaimniekošanas koncepcija, kurā ņemta vērā mežu daudzfunkcionalitāte un dažādība un trīs savstarpēji atkarīgie ilgtspējas pīlāri.</w:t>
      </w:r>
    </w:p>
    <w:p>
      <w:pPr>
        <w:shd w:val="clear" w:color="auto" w:fill="FFFFFF"/>
        <w:spacing w:after="0" w:line="240" w:lineRule="auto"/>
        <w:ind w:right="-567"/>
        <w:jc w:val="both"/>
        <w:rPr>
          <w:rFonts w:ascii="Times New Roman" w:eastAsia="Cambria" w:hAnsi="Times New Roman" w:cs="Times New Roman"/>
          <w:noProof/>
          <w:sz w:val="24"/>
          <w:szCs w:val="24"/>
        </w:rPr>
      </w:pPr>
    </w:p>
    <w:p>
      <w:pPr>
        <w:shd w:val="clear" w:color="auto" w:fill="FFFFFF" w:themeFill="background1"/>
        <w:spacing w:after="0" w:line="240" w:lineRule="auto"/>
        <w:ind w:right="-567"/>
        <w:jc w:val="both"/>
        <w:rPr>
          <w:rFonts w:ascii="Times New Roman" w:eastAsia="Cambria" w:hAnsi="Times New Roman" w:cs="Times New Roman"/>
          <w:noProof/>
          <w:sz w:val="24"/>
          <w:szCs w:val="20"/>
        </w:rPr>
      </w:pPr>
      <w:r>
        <w:rPr>
          <w:rFonts w:ascii="Times New Roman" w:hAnsi="Times New Roman"/>
          <w:noProof/>
          <w:sz w:val="24"/>
        </w:rPr>
        <w:t>Lai šī pārkārtošanās noritētu sekmīgi, būs vajadzīgi lielāki, veselīgāki un daudzveidīgāki meži nekā patlaban, un to uzdevums būs uzglabāt un sekvestrēt oglekli, mazināt gaisa piesārņojuma ietekmi uz cilvēka veselību un apturēt dzīvotņu un sugu izzušanu.</w:t>
      </w:r>
      <w:r>
        <w:rPr>
          <w:rFonts w:ascii="Times New Roman" w:hAnsi="Times New Roman"/>
          <w:noProof/>
          <w:sz w:val="24"/>
          <w:szCs w:val="20"/>
        </w:rPr>
        <w:t xml:space="preserve"> Tas ir priekšnosacījums tam, lai meži nākamajās desmitgadēs spētu nodrošināt iztikas līdzekļus un pildīt savas sociālekonomiskās funkcijas. Šajā nolūkā būs jāapvērš negatīvās tendences, jāpilnveido monitorings, lai labāk apsekotu mūsu mežu stāvokli, kā arī jāpastiprina centieni aizsargāt un atjaunot meža biodaudzveidību un līdz ar to nodrošināt meža izturētspēju. Tikpat svarīgi ir garantēt koksnes pieejamību, kā arī veicināt uz meža nekoksnes resursiem balstītas saimnieciskās darbības, lai dažādotu vietējo ekonomiku un darbvietas lauku apvidos.</w:t>
      </w:r>
    </w:p>
    <w:p>
      <w:pPr>
        <w:spacing w:after="0" w:line="240" w:lineRule="auto"/>
        <w:ind w:right="-567"/>
        <w:contextualSpacing/>
        <w:jc w:val="both"/>
        <w:rPr>
          <w:rFonts w:ascii="Times New Roman" w:eastAsia="Cambria" w:hAnsi="Times New Roman" w:cs="Times New Roman"/>
          <w:noProof/>
          <w:sz w:val="24"/>
          <w:szCs w:val="20"/>
        </w:rPr>
      </w:pPr>
    </w:p>
    <w:p>
      <w:pPr>
        <w:spacing w:after="0" w:line="240" w:lineRule="auto"/>
        <w:ind w:right="-567"/>
        <w:contextualSpacing/>
        <w:jc w:val="both"/>
        <w:rPr>
          <w:rFonts w:ascii="Times New Roman" w:eastAsia="Cambria" w:hAnsi="Times New Roman" w:cs="Times New Roman"/>
          <w:noProof/>
          <w:sz w:val="24"/>
          <w:szCs w:val="20"/>
        </w:rPr>
      </w:pPr>
      <w:r>
        <w:rPr>
          <w:rFonts w:ascii="Times New Roman" w:hAnsi="Times New Roman"/>
          <w:noProof/>
          <w:sz w:val="24"/>
          <w:szCs w:val="20"/>
        </w:rPr>
        <w:t>Ņemot vērā augošās un dažkārt konkurējošās vajadzības, kas jāapmierina mežiem, mums jāgādā arī par to, lai izmantotās koksnes daudzums nepārsniegtu ilgtspējas robežas</w:t>
      </w:r>
      <w:r>
        <w:rPr>
          <w:rFonts w:ascii="Times New Roman" w:eastAsia="Cambria" w:hAnsi="Times New Roman" w:cs="Times New Roman"/>
          <w:noProof/>
          <w:sz w:val="24"/>
          <w:szCs w:val="20"/>
          <w:vertAlign w:val="superscript"/>
        </w:rPr>
        <w:footnoteReference w:id="12"/>
      </w:r>
      <w:r>
        <w:rPr>
          <w:rFonts w:ascii="Times New Roman" w:hAnsi="Times New Roman"/>
          <w:noProof/>
          <w:sz w:val="24"/>
          <w:szCs w:val="20"/>
        </w:rPr>
        <w:t xml:space="preserve"> un tiktu optimāli izmantots saskaņā ar kaskādes principu</w:t>
      </w:r>
      <w:r>
        <w:rPr>
          <w:rFonts w:ascii="Times New Roman" w:eastAsia="Cambria" w:hAnsi="Times New Roman" w:cs="Times New Roman"/>
          <w:noProof/>
          <w:sz w:val="24"/>
          <w:szCs w:val="20"/>
          <w:vertAlign w:val="superscript"/>
        </w:rPr>
        <w:footnoteReference w:id="13"/>
      </w:r>
      <w:r>
        <w:rPr>
          <w:rFonts w:ascii="Times New Roman" w:hAnsi="Times New Roman"/>
          <w:noProof/>
          <w:sz w:val="24"/>
          <w:szCs w:val="20"/>
        </w:rPr>
        <w:t xml:space="preserve"> un aprites ekonomikas pieeju. Tādā veidā koksne, ciktāl iespējams, palīdz fosilos materiālus un produktus aizstāt ar ilglietojamiem apritīgiem materiāliem un produktiem, kas oglekļa uzglabāšanas un aprites ekonomikas ziņā ir visvērtīgākie.</w:t>
      </w:r>
    </w:p>
    <w:p>
      <w:pPr>
        <w:spacing w:after="0" w:line="240" w:lineRule="auto"/>
        <w:ind w:right="-567"/>
        <w:contextualSpacing/>
        <w:jc w:val="both"/>
        <w:rPr>
          <w:rFonts w:ascii="Times New Roman" w:eastAsia="Cambria" w:hAnsi="Times New Roman" w:cs="Times New Roman"/>
          <w:noProof/>
          <w:sz w:val="24"/>
          <w:szCs w:val="24"/>
        </w:rPr>
      </w:pPr>
    </w:p>
    <w:p>
      <w:pPr>
        <w:spacing w:after="0" w:line="240" w:lineRule="auto"/>
        <w:ind w:right="-567"/>
        <w:contextualSpacing/>
        <w:jc w:val="both"/>
        <w:rPr>
          <w:rFonts w:ascii="Times New Roman" w:eastAsia="Cambria" w:hAnsi="Times New Roman" w:cs="Times New Roman"/>
          <w:noProof/>
          <w:sz w:val="24"/>
          <w:szCs w:val="20"/>
        </w:rPr>
      </w:pPr>
      <w:r>
        <w:rPr>
          <w:rFonts w:ascii="Times New Roman" w:hAnsi="Times New Roman"/>
          <w:noProof/>
          <w:sz w:val="24"/>
          <w:szCs w:val="20"/>
        </w:rPr>
        <w:t xml:space="preserve">ES Meža stratēģija tiek izstrādāta laikā, kad klimata un biodaudzveidības krīze strauji saasinās. Nākamajai desmitgadei ir izšķirīga nozīme, tāpēc stratēģijā iekļauts konkrēts līdz 2030. gadam īstenojams plāns, kurā apvienoti regulatīvi, finansiāli un brīvprātīgi pasākumi. </w:t>
      </w:r>
    </w:p>
    <w:p>
      <w:pPr>
        <w:spacing w:after="0" w:line="240" w:lineRule="auto"/>
        <w:ind w:right="-567"/>
        <w:contextualSpacing/>
        <w:jc w:val="both"/>
        <w:rPr>
          <w:rFonts w:ascii="Times New Roman" w:eastAsia="Cambria" w:hAnsi="Times New Roman" w:cs="Times New Roman"/>
          <w:noProof/>
          <w:sz w:val="24"/>
          <w:szCs w:val="20"/>
        </w:rPr>
      </w:pPr>
    </w:p>
    <w:p>
      <w:pPr>
        <w:spacing w:after="0" w:line="240" w:lineRule="auto"/>
        <w:ind w:right="-567"/>
        <w:contextualSpacing/>
        <w:jc w:val="both"/>
        <w:rPr>
          <w:rFonts w:ascii="Times New Roman" w:eastAsia="Cambria" w:hAnsi="Times New Roman" w:cs="Times New Roman"/>
          <w:noProof/>
          <w:sz w:val="24"/>
          <w:szCs w:val="20"/>
        </w:rPr>
      </w:pPr>
      <w:r>
        <w:rPr>
          <w:rFonts w:ascii="Times New Roman" w:hAnsi="Times New Roman"/>
          <w:noProof/>
          <w:sz w:val="24"/>
          <w:szCs w:val="20"/>
        </w:rPr>
        <w:t>Plānā ietverti pasākumi, kuri stiprina meža aizsardzību un atjaunošanu, veicina ilgtspējīgu meža apsaimniekošanu un uzlabo ES meža monitoringu un rezultatīvu decentralizētu plānošanu un kuru mērķis ir nodrošināt izturētspējīgas meža ekosistēmas un gādāt par to, lai meži spētu pildīt savu daudzfunkcionālo lomu. Lai vēl vairāk atbalstītu ilgtspējīgu meža resursu bioekonomiku klimatneitrālas nākotnes labā, stratēģijā ierosināti inovācijas un veicināšanas pasākumi, kas vērsti uz jauniem materiāliem un produktiem, kuri aizstās fosilos materiālus un produktus, kā arī pasākumi, kas sekmē meža nekoksnes resursu ekonomiku, tai skaitā ekotūrismu. Liela uzmanība stratēģijā pievērsta arī ilgtspējīgai atkārtotai un pirmreizējai apmežošanai, un tai pievienots ceļvedis, kā līdz 2030. gadam ES iestādīt vēl vismaz 3 miljardus koku.</w:t>
      </w:r>
    </w:p>
    <w:p>
      <w:pPr>
        <w:spacing w:after="0" w:line="240" w:lineRule="auto"/>
        <w:ind w:right="-567"/>
        <w:contextualSpacing/>
        <w:jc w:val="both"/>
        <w:rPr>
          <w:rFonts w:ascii="Times New Roman" w:eastAsia="Cambria" w:hAnsi="Times New Roman" w:cs="Times New Roman"/>
          <w:noProof/>
          <w:sz w:val="24"/>
          <w:szCs w:val="20"/>
        </w:rPr>
      </w:pPr>
    </w:p>
    <w:p>
      <w:pPr>
        <w:spacing w:after="0" w:line="240" w:lineRule="auto"/>
        <w:ind w:right="-567"/>
        <w:contextualSpacing/>
        <w:jc w:val="both"/>
        <w:rPr>
          <w:rFonts w:ascii="Times New Roman" w:eastAsia="Cambria" w:hAnsi="Times New Roman" w:cs="Times New Roman"/>
          <w:noProof/>
          <w:sz w:val="24"/>
          <w:szCs w:val="24"/>
        </w:rPr>
      </w:pPr>
      <w:r>
        <w:rPr>
          <w:rFonts w:ascii="Times New Roman" w:hAnsi="Times New Roman"/>
          <w:noProof/>
          <w:sz w:val="24"/>
          <w:szCs w:val="24"/>
        </w:rPr>
        <w:t>Šajā stratēģijā Komisija izklāsta vērienīgu redzējumu, kurš balstīts uz visu meža un zemes īpašnieku un apsaimniekotāju ciešu iesaistīšanos, motivāciju un apņēmību. Viņu loma ekosistēmas pakalpojumu nodrošināšanā ir milzīga, un tai nepieciešams atbalsts. Viena no stratēģijas iecerēm ir izstrādāt finansiālus, jo īpaši privātiem meža īpašniekiem un apsaimniekotājiem domātus, stimulus, kas sekmētu šo ekosistēmas pakalpojumu sniegšanu.</w:t>
      </w:r>
    </w:p>
    <w:p>
      <w:pPr>
        <w:spacing w:after="0" w:line="240" w:lineRule="auto"/>
        <w:ind w:right="-567"/>
        <w:contextualSpacing/>
        <w:jc w:val="both"/>
        <w:rPr>
          <w:rFonts w:ascii="Times New Roman" w:eastAsia="Cambria" w:hAnsi="Times New Roman" w:cs="Times New Roman"/>
          <w:noProof/>
          <w:sz w:val="24"/>
          <w:szCs w:val="24"/>
        </w:rPr>
      </w:pPr>
    </w:p>
    <w:p>
      <w:pPr>
        <w:spacing w:after="0" w:line="240" w:lineRule="auto"/>
        <w:ind w:right="-567"/>
        <w:contextualSpacing/>
        <w:jc w:val="both"/>
        <w:rPr>
          <w:rFonts w:ascii="Times New Roman" w:eastAsia="Cambria" w:hAnsi="Times New Roman" w:cs="Times New Roman"/>
          <w:noProof/>
          <w:sz w:val="24"/>
          <w:szCs w:val="20"/>
        </w:rPr>
      </w:pPr>
      <w:r>
        <w:rPr>
          <w:rFonts w:ascii="Times New Roman" w:hAnsi="Times New Roman"/>
          <w:noProof/>
          <w:sz w:val="24"/>
          <w:szCs w:val="20"/>
        </w:rPr>
        <w:t>Visi pasākumi jāizstrādā un jāīsteno ciešā sadarbībā ar dalībvalstīm, kā arī publiskiem un privātiem meža īpašniekiem un citiem meža kopējiem, jo tieši viņi iespējo vajadzīgās pārmaiņas un dinamisku un ilgtspējīgu meža resursu bioekonomiku Eiropas Savienībā. Stratēģija tiecas aktīvi iesaistīt visus relevantos aktorus un pārvaldības līmeņus, sākot ar dalībvalstīm un beidzot ar meža īpašniekiem un apsaimniekotājiem, meža resursu industriju, zinātniekiem, pilsonisko sabiedrību un citām ieinteresētajām personām.</w:t>
      </w:r>
    </w:p>
    <w:p>
      <w:pPr>
        <w:spacing w:after="0" w:line="240" w:lineRule="auto"/>
        <w:ind w:right="-567"/>
        <w:contextualSpacing/>
        <w:jc w:val="both"/>
        <w:rPr>
          <w:rFonts w:ascii="Times New Roman" w:eastAsia="Cambria" w:hAnsi="Times New Roman" w:cs="Times New Roman"/>
          <w:noProof/>
          <w:sz w:val="24"/>
          <w:szCs w:val="24"/>
        </w:rPr>
      </w:pPr>
    </w:p>
    <w:p>
      <w:pPr>
        <w:spacing w:after="240" w:line="240" w:lineRule="auto"/>
        <w:ind w:right="-567"/>
        <w:contextualSpacing/>
        <w:jc w:val="both"/>
        <w:rPr>
          <w:rFonts w:ascii="Times New Roman" w:eastAsia="Cambria" w:hAnsi="Times New Roman" w:cs="Times New Roman"/>
          <w:noProof/>
          <w:sz w:val="24"/>
          <w:szCs w:val="20"/>
        </w:rPr>
      </w:pPr>
      <w:r>
        <w:rPr>
          <w:rFonts w:ascii="Times New Roman" w:hAnsi="Times New Roman"/>
          <w:noProof/>
          <w:sz w:val="24"/>
          <w:szCs w:val="20"/>
        </w:rPr>
        <w:t>Lai gan stratēģija pievēršas tikai ES mežiem un tās mērķis ir sniegt nozīmīgu devumu ANO 2030. gada ilgtspējīgas attīstības mērķu, jo īpaši 15. mērķa</w:t>
      </w:r>
      <w:r>
        <w:rPr>
          <w:rFonts w:ascii="Times New Roman" w:eastAsia="Cambria" w:hAnsi="Times New Roman" w:cs="Times New Roman"/>
          <w:noProof/>
          <w:sz w:val="24"/>
          <w:szCs w:val="20"/>
          <w:vertAlign w:val="superscript"/>
        </w:rPr>
        <w:footnoteReference w:id="14"/>
      </w:r>
      <w:r>
        <w:rPr>
          <w:rFonts w:ascii="Times New Roman" w:hAnsi="Times New Roman"/>
          <w:noProof/>
          <w:sz w:val="24"/>
          <w:szCs w:val="20"/>
        </w:rPr>
        <w:t>, sasniegšanā, tajā atzīts, ka ar mežu saistītās problēmas savā būtībā ir globālas un ka meža platība pasaulē turpina samazināties satraucošā ātrumā, proti, vidēji par 4,7 miljoniem hektāru gadā, un atmežošanas temps sasniedz 10 miljonus hektāru gadā</w:t>
      </w:r>
      <w:r>
        <w:rPr>
          <w:rFonts w:ascii="Times New Roman" w:eastAsia="Cambria" w:hAnsi="Times New Roman" w:cs="Times New Roman"/>
          <w:noProof/>
          <w:color w:val="000000" w:themeColor="text1"/>
          <w:sz w:val="24"/>
          <w:szCs w:val="20"/>
          <w:vertAlign w:val="superscript"/>
        </w:rPr>
        <w:footnoteReference w:id="15"/>
      </w:r>
      <w:r>
        <w:rPr>
          <w:rFonts w:ascii="Times New Roman" w:hAnsi="Times New Roman"/>
          <w:noProof/>
          <w:sz w:val="24"/>
          <w:szCs w:val="20"/>
        </w:rPr>
        <w:t xml:space="preserve">. </w:t>
      </w:r>
      <w:r>
        <w:rPr>
          <w:rFonts w:ascii="Times New Roman" w:hAnsi="Times New Roman"/>
          <w:noProof/>
          <w:sz w:val="24"/>
        </w:rPr>
        <w:t>Komisija atkārtoti apstiprina savu apņemšanos pilnībā īstenot 2019. gada Paziņojumu par pasaules mežu aizsardzību un atjaunošanu</w:t>
      </w:r>
      <w:r>
        <w:rPr>
          <w:rFonts w:ascii="Times New Roman" w:eastAsia="Cambria" w:hAnsi="Times New Roman" w:cs="Times New Roman"/>
          <w:noProof/>
          <w:sz w:val="24"/>
          <w:szCs w:val="20"/>
          <w:vertAlign w:val="superscript"/>
        </w:rPr>
        <w:footnoteReference w:id="16"/>
      </w:r>
      <w:r>
        <w:rPr>
          <w:rFonts w:ascii="Times New Roman" w:hAnsi="Times New Roman"/>
          <w:noProof/>
          <w:sz w:val="24"/>
        </w:rPr>
        <w:t>, un tālab tā cieši sadarbosies ar saviem globālajiem partneriem meža aizsardzības, atjaunošanas un ilgtspējīgas meža apsaimniekošanas jomā, kā arī pieņems tiesību akta priekšlikumu ar mērķi nodrošināt, ka ES tirgū pārdotie produkti – neatkarīgi no tā, vai tie iegūti ES vai trešās valstīs – neveicina pasaules atmežošanu.</w:t>
      </w:r>
      <w:r>
        <w:rPr>
          <w:rFonts w:ascii="Times New Roman" w:hAnsi="Times New Roman"/>
          <w:noProof/>
          <w:sz w:val="24"/>
          <w:szCs w:val="24"/>
        </w:rPr>
        <w:t xml:space="preserve"> ES sadarbība veicinās tādas integrētas pieejas mežiem, kas pievēršas vērtības ķēžu pārvaldībai, ilgtspējai un likumībai, biodaudzveidībai un vietējo iedzīvotāju iztikas līdzekļiem. </w:t>
      </w:r>
      <w:r>
        <w:rPr>
          <w:rFonts w:ascii="Times New Roman" w:hAnsi="Times New Roman"/>
          <w:noProof/>
          <w:sz w:val="24"/>
        </w:rPr>
        <w:t>Tālejošās ieceres mežu jomā saskan ar ES centieniem uzņemties vadību klimata jomā un īstenot ES Biodaudzveidības stratēģiju 2030. gadam, arī ar vērienīga globālā biodaudzveidības satvara palīdzību.</w:t>
      </w:r>
    </w:p>
    <w:p>
      <w:pPr>
        <w:spacing w:after="0" w:line="240" w:lineRule="auto"/>
        <w:ind w:right="-567"/>
        <w:contextualSpacing/>
        <w:jc w:val="both"/>
        <w:rPr>
          <w:rFonts w:ascii="Times New Roman" w:eastAsia="Cambria" w:hAnsi="Times New Roman" w:cs="Times New Roman"/>
          <w:noProof/>
          <w:sz w:val="24"/>
          <w:szCs w:val="24"/>
        </w:rPr>
      </w:pPr>
    </w:p>
    <w:p>
      <w:pPr>
        <w:numPr>
          <w:ilvl w:val="0"/>
          <w:numId w:val="21"/>
        </w:numPr>
        <w:pBdr>
          <w:top w:val="nil"/>
          <w:left w:val="nil"/>
          <w:bottom w:val="nil"/>
          <w:right w:val="nil"/>
          <w:between w:val="nil"/>
          <w:bar w:val="nil"/>
        </w:pBdr>
        <w:spacing w:after="0" w:line="240" w:lineRule="auto"/>
        <w:ind w:right="-426"/>
        <w:contextualSpacing/>
        <w:jc w:val="both"/>
        <w:rPr>
          <w:rFonts w:ascii="Times New Roman" w:eastAsia="Arial Unicode MS" w:hAnsi="Times New Roman" w:cs="Times New Roman"/>
          <w:b/>
          <w:bCs/>
          <w:noProof/>
          <w:color w:val="000000"/>
          <w:sz w:val="24"/>
          <w:szCs w:val="24"/>
          <w:u w:color="000000"/>
          <w:bdr w:val="nil"/>
        </w:rPr>
      </w:pPr>
      <w:r>
        <w:rPr>
          <w:rFonts w:ascii="Times New Roman" w:hAnsi="Times New Roman"/>
          <w:b/>
          <w:noProof/>
          <w:color w:val="000000"/>
          <w:sz w:val="24"/>
          <w:szCs w:val="24"/>
          <w:u w:color="000000"/>
          <w:bdr w:val="nil"/>
        </w:rPr>
        <w:t>Atbalstīt mežu sociālekonomiskās funkcijas, kas gādā par lauku apvidu uzplaukumu, un veicināt meža resursu bioekonomiku, kas nepārsniedz ilgtspējas robežas</w:t>
      </w:r>
    </w:p>
    <w:p>
      <w:pPr>
        <w:spacing w:after="0" w:line="240" w:lineRule="auto"/>
        <w:ind w:right="-454"/>
        <w:contextualSpacing/>
        <w:jc w:val="both"/>
        <w:rPr>
          <w:rFonts w:ascii="Times New Roman" w:eastAsia="Cambria"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bCs/>
          <w:iCs/>
          <w:noProof/>
          <w:sz w:val="24"/>
          <w:szCs w:val="24"/>
        </w:rPr>
      </w:pPr>
      <w:r>
        <w:rPr>
          <w:rFonts w:ascii="Times New Roman" w:hAnsi="Times New Roman"/>
          <w:noProof/>
          <w:sz w:val="24"/>
        </w:rPr>
        <w:t>Meži un meža nozare nodrošina daudzas sociālekonomiskas funkcijas un ieguvumus, kuru vidū jāmin papildu darbvietas un izaugsmes iespējas lauku apvidos un atpūtas funkcijas, kas nāk par labu iedzīvotāju fiziskajai un garīgajai veselībai.</w:t>
      </w:r>
    </w:p>
    <w:p>
      <w:pPr>
        <w:spacing w:after="0" w:line="240" w:lineRule="auto"/>
        <w:ind w:right="-454"/>
        <w:jc w:val="both"/>
        <w:rPr>
          <w:rFonts w:ascii="Times New Roman" w:eastAsia="Arial Unicode MS" w:hAnsi="Times New Roman" w:cs="Times New Roman"/>
          <w:noProof/>
          <w:sz w:val="24"/>
          <w:szCs w:val="20"/>
          <w:bdr w:val="nil"/>
        </w:rPr>
      </w:pPr>
    </w:p>
    <w:p>
      <w:pPr>
        <w:spacing w:after="0" w:line="240" w:lineRule="auto"/>
        <w:ind w:right="-454"/>
        <w:jc w:val="both"/>
        <w:rPr>
          <w:rFonts w:ascii="Times New Roman" w:eastAsia="Arial Unicode MS" w:hAnsi="Times New Roman" w:cs="Times New Roman"/>
          <w:noProof/>
          <w:sz w:val="24"/>
          <w:szCs w:val="20"/>
        </w:rPr>
      </w:pPr>
      <w:r>
        <w:rPr>
          <w:rFonts w:ascii="Times New Roman" w:hAnsi="Times New Roman"/>
          <w:noProof/>
          <w:sz w:val="24"/>
          <w:szCs w:val="20"/>
          <w:bdr w:val="nil"/>
        </w:rPr>
        <w:t xml:space="preserve">Tiek lēsts, ka ES ir 16 miljoni privātmeža īpašnieku, bet 40 % mežu ir dažādu publisko tiesību subjektu īpašumā. </w:t>
      </w:r>
      <w:r>
        <w:rPr>
          <w:rFonts w:ascii="Times New Roman" w:hAnsi="Times New Roman"/>
          <w:noProof/>
          <w:sz w:val="24"/>
          <w:szCs w:val="20"/>
        </w:rPr>
        <w:t>2018. gadā Eiropas Savienībā tradicionālajā meža nozarē (meža apsaimniekošana, mežizstrāde, kokzāģēšana, koksnes produkti, korķis, pulpa un papīrs) bija nodarbināts 2,1 miljons cilvēku</w:t>
      </w:r>
      <w:r>
        <w:rPr>
          <w:rFonts w:ascii="Times New Roman" w:eastAsia="Arial Unicode MS" w:hAnsi="Times New Roman" w:cs="Times New Roman"/>
          <w:noProof/>
          <w:sz w:val="24"/>
          <w:szCs w:val="20"/>
          <w:bdr w:val="nil"/>
          <w:vertAlign w:val="superscript"/>
          <w:lang w:val="en-US"/>
        </w:rPr>
        <w:footnoteReference w:id="17"/>
      </w:r>
      <w:r>
        <w:rPr>
          <w:rFonts w:ascii="Times New Roman" w:hAnsi="Times New Roman"/>
          <w:noProof/>
          <w:sz w:val="24"/>
          <w:szCs w:val="20"/>
        </w:rPr>
        <w:t xml:space="preserve">, kuru radītā bruto pievienotā vērtība sasniedza 109 855 miljonus EUR. </w:t>
      </w:r>
      <w:r>
        <w:rPr>
          <w:rFonts w:ascii="Times New Roman" w:hAnsi="Times New Roman"/>
          <w:noProof/>
          <w:sz w:val="24"/>
          <w:szCs w:val="20"/>
          <w:bdr w:val="nil"/>
        </w:rPr>
        <w:t>Vēl 1,2 miljoni cilvēku strādāja koka mēbeļu ražošanā un poligrāfijā, piemēram, grāmatu un laikrakstu iespiešanā, un šo nozaru bruto pievienotā vērtība bija attiecīgi 25 miljardi un 31 miljards EUR</w:t>
      </w:r>
      <w:r>
        <w:rPr>
          <w:rFonts w:ascii="Times New Roman" w:eastAsia="Arial Unicode MS" w:hAnsi="Times New Roman" w:cs="Times New Roman"/>
          <w:noProof/>
          <w:sz w:val="24"/>
          <w:szCs w:val="20"/>
          <w:bdr w:val="nil"/>
          <w:vertAlign w:val="superscript"/>
          <w:lang w:val="en-US"/>
        </w:rPr>
        <w:footnoteReference w:id="18"/>
      </w:r>
      <w:r>
        <w:rPr>
          <w:rFonts w:ascii="Times New Roman" w:hAnsi="Times New Roman"/>
          <w:noProof/>
          <w:sz w:val="24"/>
          <w:szCs w:val="20"/>
          <w:bdr w:val="nil"/>
        </w:rPr>
        <w:t>. 2018. gadā koksnes resursu industrijā darbojās 397 000 uzņēmumu, kas atbilst 20 % ES ražošanas uzņēmumu. Ja pieskaita arī iespieddarbu izdošanu, siltumenerģijas un elektroenerģijas ražošanu no koksnes, kā arī koka būvniecību, iegūst, ka paplašinātās meža resursu vērtības ķēdes zaļajā ekonomikā uzturēja 4 miljonus darbvietu. Laikā no 2008. līdz 2013. gadam šis skaitlis samazinājās par aptuveni 20 %, taču kopš tā laika tas saglabājies diezgan stabils</w:t>
      </w:r>
      <w:r>
        <w:rPr>
          <w:rFonts w:ascii="Times New Roman" w:eastAsia="Arial Unicode MS" w:hAnsi="Times New Roman" w:cs="Times New Roman"/>
          <w:noProof/>
          <w:sz w:val="24"/>
          <w:szCs w:val="20"/>
          <w:bdr w:val="nil"/>
          <w:vertAlign w:val="superscript"/>
          <w:lang w:val="en-US"/>
        </w:rPr>
        <w:footnoteReference w:id="19"/>
      </w:r>
      <w:r>
        <w:rPr>
          <w:rFonts w:ascii="Times New Roman" w:hAnsi="Times New Roman"/>
          <w:noProof/>
          <w:sz w:val="24"/>
          <w:szCs w:val="20"/>
          <w:bdr w:val="nil"/>
        </w:rPr>
        <w:t>.</w:t>
      </w:r>
    </w:p>
    <w:p>
      <w:pPr>
        <w:spacing w:after="0" w:line="240" w:lineRule="auto"/>
        <w:ind w:right="-454"/>
        <w:jc w:val="both"/>
        <w:rPr>
          <w:rFonts w:ascii="Times New Roman" w:eastAsia="Arial Unicode MS" w:hAnsi="Times New Roman" w:cs="Times New Roman"/>
          <w:noProof/>
          <w:sz w:val="24"/>
          <w:szCs w:val="20"/>
        </w:rPr>
      </w:pPr>
    </w:p>
    <w:p>
      <w:pPr>
        <w:spacing w:after="0" w:line="240" w:lineRule="auto"/>
        <w:ind w:right="-426"/>
        <w:contextualSpacing/>
        <w:jc w:val="both"/>
        <w:rPr>
          <w:rFonts w:ascii="Times New Roman" w:eastAsia="Cambria" w:hAnsi="Times New Roman" w:cs="Times New Roman"/>
          <w:noProof/>
          <w:sz w:val="24"/>
          <w:szCs w:val="20"/>
        </w:rPr>
      </w:pPr>
      <w:r>
        <w:rPr>
          <w:rFonts w:ascii="Times New Roman" w:hAnsi="Times New Roman"/>
          <w:noProof/>
          <w:sz w:val="24"/>
          <w:szCs w:val="20"/>
        </w:rPr>
        <w:t>ES pārejā uz ilgtspējīgu klimatneitrālu ekonomiku būtiska nozīme ir ilgtspējīgiem jēlkoksnes un nekoksnes materiāliem un produktiem.</w:t>
      </w:r>
    </w:p>
    <w:p>
      <w:pPr>
        <w:spacing w:after="0" w:line="240" w:lineRule="auto"/>
        <w:ind w:right="-426"/>
        <w:contextualSpacing/>
        <w:jc w:val="both"/>
        <w:rPr>
          <w:rFonts w:ascii="Times New Roman" w:eastAsia="Cambria"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Ilgtspējīgi ražoti un ilglietojami koksnes produkti var palīdzēt sasniegt klimatneitralitāti, jo tie uzglabā oglekli un aizstāj fosilos materiālus un to iemiesotais ogleklis papildina oglekļa piesaistījumus, kas citādi rodas bioloģiskos procesos</w:t>
      </w:r>
      <w:r>
        <w:rPr>
          <w:rFonts w:ascii="Times New Roman" w:eastAsia="Times New Roman" w:hAnsi="Times New Roman" w:cs="Times New Roman"/>
          <w:noProof/>
          <w:sz w:val="24"/>
          <w:szCs w:val="20"/>
          <w:vertAlign w:val="superscript"/>
          <w:lang w:val="en-IE"/>
        </w:rPr>
        <w:footnoteReference w:id="20"/>
      </w:r>
      <w:r>
        <w:rPr>
          <w:rFonts w:ascii="Times New Roman" w:hAnsi="Times New Roman"/>
          <w:noProof/>
          <w:sz w:val="24"/>
          <w:szCs w:val="20"/>
        </w:rPr>
        <w:t>. Koki oglekli atmosfērā izdala mežizstrādes vai dabiskās atmiršanas laikā, piemēram, ugunsgrēkos, sadedzināšanā enerģijas ieguvei, incinerācijā vai laika gaitā noritošu dabisku trūdēšanas procesu rezultātā. Oglekļa piesaistīšanas periodu var vērā ņemami pagarināt, koksnes biomasu pārveidojot par koksnes materiāliem un produktiem ar ilgu kalpošanas laiku. Zemes izmantošanas, zemes izmantošanas maiņas un mežsaimniecības (ZIZIMM) regula</w:t>
      </w:r>
      <w:r>
        <w:rPr>
          <w:rFonts w:ascii="Times New Roman" w:eastAsia="Times New Roman" w:hAnsi="Times New Roman" w:cs="Times New Roman"/>
          <w:noProof/>
          <w:sz w:val="24"/>
          <w:szCs w:val="20"/>
          <w:vertAlign w:val="superscript"/>
          <w:lang w:val="en-IE"/>
        </w:rPr>
        <w:footnoteReference w:id="21"/>
      </w:r>
      <w:r>
        <w:rPr>
          <w:rFonts w:ascii="Times New Roman" w:hAnsi="Times New Roman"/>
          <w:noProof/>
          <w:sz w:val="24"/>
          <w:szCs w:val="20"/>
        </w:rPr>
        <w:t xml:space="preserve"> nodrošina, ka dalībvalstis uzskaita oglekļa uzkrājumu izmaiņas ne tikai mežos, bet arī nocirstas koksnes produktu oglekļa krātuvēs un ziņo par tām, un ar pārskatīto regulu, kas ierosināta kā daļa no paketes “Gatavi mērķrādītājam 55 %”, šīs prasības tiks vēl pastiprinātas. Nocirstas koksnes produkti ES veido aktīvu oglekļa neto piesaistītāju, kas piesaista aptuveni –40 Mt CO</w:t>
      </w:r>
      <w:r>
        <w:rPr>
          <w:rFonts w:ascii="Times New Roman" w:hAnsi="Times New Roman"/>
          <w:noProof/>
          <w:sz w:val="24"/>
          <w:szCs w:val="20"/>
          <w:vertAlign w:val="subscript"/>
        </w:rPr>
        <w:t>2</w:t>
      </w:r>
      <w:r>
        <w:rPr>
          <w:rFonts w:ascii="Times New Roman" w:hAnsi="Times New Roman"/>
          <w:noProof/>
          <w:sz w:val="24"/>
          <w:szCs w:val="20"/>
        </w:rPr>
        <w:t xml:space="preserve"> ekvivalenta gadā, un sagādā arī klimatiskus ieguvumus, proti, to materiālu aizstāšanas efekta vērtības sniedzas no –18 līdz –43 Mt CO</w:t>
      </w:r>
      <w:r>
        <w:rPr>
          <w:rFonts w:ascii="Times New Roman" w:hAnsi="Times New Roman"/>
          <w:noProof/>
          <w:sz w:val="24"/>
          <w:szCs w:val="20"/>
          <w:vertAlign w:val="subscript"/>
        </w:rPr>
        <w:t>2</w:t>
      </w:r>
      <w:r>
        <w:rPr>
          <w:rFonts w:ascii="Times New Roman" w:hAnsi="Times New Roman"/>
          <w:noProof/>
          <w:sz w:val="24"/>
          <w:szCs w:val="20"/>
        </w:rPr>
        <w:t xml:space="preserve"> ekvivalenta gadā</w:t>
      </w:r>
      <w:r>
        <w:rPr>
          <w:rFonts w:ascii="Times New Roman" w:eastAsia="Times New Roman" w:hAnsi="Times New Roman" w:cs="Times New Roman"/>
          <w:noProof/>
          <w:sz w:val="24"/>
          <w:szCs w:val="20"/>
          <w:vertAlign w:val="superscript"/>
          <w:lang w:val="en-IE"/>
        </w:rPr>
        <w:footnoteReference w:id="22"/>
      </w:r>
      <w:r>
        <w:rPr>
          <w:rFonts w:ascii="Times New Roman" w:hAnsi="Times New Roman"/>
          <w:noProof/>
          <w:sz w:val="24"/>
          <w:szCs w:val="20"/>
        </w:rPr>
        <w:t>. Jo ilgāks ir produkta kalpošanas laiks, jo vairāk tas palīdz klimata pārmaiņu mīkstināšanā, un šis ieguvums atspoguļojas kā lielāki neto piesaistījumi dalībvalstu ZIZIMM ziņojumos un uzskaitē, savukārt aizstāšanas efekts ziņojumos un uzskaitē parādās netieši – kā mazākas emisijas citos sektoros.</w:t>
      </w:r>
    </w:p>
    <w:p>
      <w:pPr>
        <w:spacing w:after="0" w:line="240" w:lineRule="auto"/>
        <w:ind w:right="-426"/>
        <w:contextualSpacing/>
        <w:jc w:val="both"/>
        <w:rPr>
          <w:rFonts w:ascii="Times New Roman" w:hAnsi="Times New Roman" w:cs="Times New Roman"/>
          <w:noProof/>
          <w:sz w:val="24"/>
          <w:szCs w:val="24"/>
        </w:rPr>
      </w:pPr>
      <w:r>
        <w:rPr>
          <w:rFonts w:ascii="Times New Roman" w:hAnsi="Times New Roman"/>
          <w:noProof/>
          <w:sz w:val="24"/>
          <w:szCs w:val="20"/>
        </w:rPr>
        <w:t xml:space="preserve">Ilgtspējīgas un klimatneitrālas ekonomikas veidošanā ļoti svarīgi ir optimizēt kaskādes principam atbilstošu koksnes izmantošanu, it īpaši ar tirgus stimulu palīdzību. </w:t>
      </w:r>
      <w:r>
        <w:rPr>
          <w:rFonts w:ascii="Times New Roman" w:hAnsi="Times New Roman"/>
          <w:noProof/>
          <w:sz w:val="24"/>
        </w:rPr>
        <w:t>Tas nozīmē, ka koksne pēc iespējas būtu jāizmanto ilglietojamiem materiāliem un produktiem, kas aizstāj oglekļietilpīgus un fosilus materiālus un produktus, piemēram, ēku un mēbeļu ražošanā, taču jāatzīst, ka ne visa koksne ir šādam nolūkam piemērota.</w:t>
      </w:r>
      <w:r>
        <w:rPr>
          <w:rFonts w:ascii="Times New Roman" w:hAnsi="Times New Roman"/>
          <w:noProof/>
          <w:sz w:val="24"/>
          <w:szCs w:val="24"/>
        </w:rPr>
        <w:t xml:space="preserve"> Biobāzētus materiālus un produktus, kam ir mazāka vidiskā pēda nekā fosilajiem materiāliem un produktiem, var radīt arī pārstrādes inovācijas šajā jomā.</w:t>
      </w:r>
    </w:p>
    <w:p>
      <w:pPr>
        <w:spacing w:after="0" w:line="240" w:lineRule="auto"/>
        <w:ind w:right="-426"/>
        <w:contextualSpacing/>
        <w:jc w:val="both"/>
        <w:rPr>
          <w:rFonts w:ascii="Times New Roman" w:hAnsi="Times New Roman" w:cs="Times New Roman"/>
          <w:noProof/>
          <w:sz w:val="24"/>
          <w:szCs w:val="24"/>
        </w:rPr>
      </w:pPr>
      <w:r>
        <w:rPr>
          <w:rFonts w:ascii="Times New Roman" w:hAnsi="Times New Roman"/>
          <w:noProof/>
          <w:sz w:val="24"/>
          <w:szCs w:val="24"/>
        </w:rPr>
        <w:t>Sava nozīme ir arī īslaicīgi lietojamiem koksnes produktiem, īpaši tad, ja tie aizstāj izstrādājumus, kas ražoti no fosilām izejvielām. Tomēr šādu īslaicīgi lietojamu produktu un arī enerģijas ražošanā būtu jāizmanto koksne, kas ilglietojamiem materiāliem un produktiem nav derīga, un sekundārā koksnes biomasa, piemēram, kokzāģētavu blakusprodukti, atlikumi un reciklēti materiāli. Tehnoloģiskais progress jau sekmē koksnes biomasas atlieku un atkritumu pārstrādi, kurā iegūst apritīgus inovatīvus materiālus un produktus, tādējādi dažādojot biobāzēto produktu klāstu un piedāvājot klimatam labvēlīgus risinājumus jaunām vai potenciālām izmantošanas jomām.</w:t>
      </w:r>
    </w:p>
    <w:p>
      <w:pPr>
        <w:spacing w:after="0" w:line="240" w:lineRule="auto"/>
        <w:ind w:right="-426"/>
        <w:contextualSpacing/>
        <w:jc w:val="both"/>
        <w:rPr>
          <w:rFonts w:ascii="Times New Roman" w:eastAsia="Times New Roman" w:hAnsi="Times New Roman" w:cs="Times New Roman"/>
          <w:noProof/>
          <w:sz w:val="24"/>
          <w:szCs w:val="24"/>
        </w:rPr>
      </w:pPr>
    </w:p>
    <w:p>
      <w:pPr>
        <w:spacing w:after="0" w:line="240" w:lineRule="auto"/>
        <w:ind w:right="-426"/>
        <w:contextualSpacing/>
        <w:jc w:val="both"/>
        <w:rPr>
          <w:rFonts w:ascii="Times New Roman" w:eastAsia="Times New Roman" w:hAnsi="Times New Roman" w:cs="Times New Roman"/>
          <w:noProof/>
          <w:sz w:val="24"/>
          <w:szCs w:val="24"/>
        </w:rPr>
      </w:pPr>
      <w:r>
        <w:rPr>
          <w:rFonts w:ascii="Times New Roman" w:hAnsi="Times New Roman"/>
          <w:noProof/>
          <w:sz w:val="24"/>
          <w:szCs w:val="24"/>
        </w:rPr>
        <w:t>Izšķirīga ir arī aprites ekonomikas principu ievērošana. Par prioritāti būtu jāizvirza visu – arī, piemēram, būvlaukumos un nojaucamos objektos iegūto – koksnes produktu labāka izmantošana, atkalizmantošana un reciklēšana, jo lielāks produktu apritīgums dod iespēju visus koksnes produktus dažādām vajadzībām ekonomikā izmantot ilgāku laiku.</w:t>
      </w:r>
    </w:p>
    <w:p>
      <w:pPr>
        <w:spacing w:after="0" w:line="240" w:lineRule="auto"/>
        <w:ind w:right="-426"/>
        <w:contextualSpacing/>
        <w:jc w:val="both"/>
        <w:rPr>
          <w:rFonts w:ascii="Times New Roman" w:eastAsia="Times New Roman"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Koksnes produktu sagādei būtu jānorit sinerģijā ar Eiropas un pasaules mežu saglabāšanās stāvokļa uzlabošanu un biodaudzveidības saglabāšanu un atjaunošanu meža izturētspējas, klimatadaptācijas un daudzfunkcionalitātes labā. Nevajadzētu izmantot koksni ar lielu ekoloģisko vērtību, un koksnes resursu bioekonomikai būtu jāiekļaujas ilgtspējas robežās un jābūt saderīgai ar ES 2030. un 2050. gada klimata mērķrādītājiem un biodaudzveidības mērķiem. Kā liecina neseni pētījumi</w:t>
      </w:r>
      <w:r>
        <w:rPr>
          <w:rFonts w:ascii="Times New Roman" w:eastAsia="Times New Roman" w:hAnsi="Times New Roman" w:cs="Times New Roman"/>
          <w:noProof/>
          <w:sz w:val="24"/>
          <w:szCs w:val="20"/>
          <w:vertAlign w:val="superscript"/>
        </w:rPr>
        <w:footnoteReference w:id="23"/>
      </w:r>
      <w:r>
        <w:rPr>
          <w:rFonts w:ascii="Times New Roman" w:hAnsi="Times New Roman"/>
          <w:noProof/>
          <w:sz w:val="24"/>
          <w:szCs w:val="20"/>
        </w:rPr>
        <w:t>, ir maz ticams, ka potenciālie papildu ieguvumi, ko rada nocirstas koksnes produkti un materiālu aizstāšana, īsā līdz vidējā termiņā, proti, līdz 2050. gadam, kompensēs meža kā neto piesaistītāja funkcijas samazināšanos, kas saistīta ar mežizstrādes apjoma pieaugumu. Dalībvalstīm būtu jāpievērš uzmanība šim riskam, kas saskaņā ar relevantajiem piemērojamajiem tiesību aktiem ir to atbildībā.</w:t>
      </w:r>
    </w:p>
    <w:p>
      <w:pPr>
        <w:tabs>
          <w:tab w:val="left" w:pos="3660"/>
        </w:tabs>
        <w:spacing w:after="0" w:line="240" w:lineRule="auto"/>
        <w:ind w:right="-426"/>
        <w:contextualSpacing/>
        <w:jc w:val="both"/>
        <w:rPr>
          <w:rFonts w:ascii="Times New Roman" w:eastAsia="Cambria" w:hAnsi="Times New Roman" w:cs="Times New Roman"/>
          <w:noProof/>
          <w:sz w:val="24"/>
          <w:szCs w:val="20"/>
        </w:rPr>
      </w:pPr>
    </w:p>
    <w:p>
      <w:pPr>
        <w:spacing w:after="0" w:line="240" w:lineRule="auto"/>
        <w:ind w:right="-426"/>
        <w:contextualSpacing/>
        <w:jc w:val="both"/>
        <w:rPr>
          <w:rFonts w:ascii="Times New Roman" w:eastAsia="Cambria" w:hAnsi="Times New Roman" w:cs="Times New Roman"/>
          <w:noProof/>
          <w:sz w:val="24"/>
          <w:szCs w:val="20"/>
        </w:rPr>
      </w:pPr>
      <w:r>
        <w:rPr>
          <w:rFonts w:ascii="Times New Roman" w:hAnsi="Times New Roman"/>
          <w:noProof/>
          <w:sz w:val="24"/>
          <w:szCs w:val="20"/>
        </w:rPr>
        <w:t>Papildus koksnes resursu ekonomikai meži piedāvā dažādus tikpat svarīgus papildu produktus un pakalpojumus – sākot ar pārtiku un beidzot ar ekotūrismu –, kas dod labumu lauku apvidu ekonomikai un sociālajai struktūrai. Lēš, ka visu iegūto nekoksnes produktu vērtība Eiropā ir 19,5 miljardi EUR gadā, tātad 77,80 EUR uz hektāru gadā. 86 % no iegūtajiem nekoksnes produktiem ir domāti personīgam patēriņam</w:t>
      </w:r>
      <w:r>
        <w:rPr>
          <w:rFonts w:ascii="Times New Roman" w:eastAsia="Cambria" w:hAnsi="Times New Roman" w:cs="Times New Roman"/>
          <w:noProof/>
          <w:sz w:val="24"/>
          <w:szCs w:val="20"/>
          <w:vertAlign w:val="superscript"/>
        </w:rPr>
        <w:footnoteReference w:id="24"/>
      </w:r>
      <w:r>
        <w:rPr>
          <w:rFonts w:ascii="Times New Roman" w:hAnsi="Times New Roman"/>
          <w:noProof/>
          <w:sz w:val="24"/>
          <w:szCs w:val="20"/>
        </w:rPr>
        <w:t>.</w:t>
      </w:r>
    </w:p>
    <w:p>
      <w:pPr>
        <w:spacing w:after="0" w:line="240" w:lineRule="auto"/>
        <w:ind w:right="-426"/>
        <w:contextualSpacing/>
        <w:jc w:val="both"/>
        <w:rPr>
          <w:rFonts w:ascii="Times New Roman" w:eastAsia="Cambria" w:hAnsi="Times New Roman" w:cs="Times New Roman"/>
          <w:noProof/>
          <w:sz w:val="24"/>
          <w:szCs w:val="20"/>
        </w:rPr>
      </w:pPr>
    </w:p>
    <w:p>
      <w:pPr>
        <w:spacing w:after="0" w:line="240" w:lineRule="auto"/>
        <w:ind w:right="-426"/>
        <w:contextualSpacing/>
        <w:jc w:val="both"/>
        <w:rPr>
          <w:rFonts w:ascii="Times New Roman" w:eastAsia="Cambria" w:hAnsi="Times New Roman" w:cs="Times New Roman"/>
          <w:noProof/>
          <w:sz w:val="24"/>
          <w:szCs w:val="20"/>
        </w:rPr>
      </w:pPr>
      <w:r>
        <w:rPr>
          <w:rFonts w:ascii="Times New Roman" w:hAnsi="Times New Roman"/>
          <w:noProof/>
          <w:sz w:val="24"/>
          <w:szCs w:val="20"/>
        </w:rPr>
        <w:t>ES Meža stratēģija atzīst un tiecas veicināt visu ilgtspējīgo meža resursu bioekonomiku tā, lai tā darbotos sinerģijā ar ES vērienīgākajām klimata un biodaudzveidības iecerēm.</w:t>
      </w:r>
    </w:p>
    <w:p>
      <w:pPr>
        <w:spacing w:after="0" w:line="240" w:lineRule="auto"/>
        <w:ind w:right="-426"/>
        <w:contextualSpacing/>
        <w:jc w:val="both"/>
        <w:rPr>
          <w:rFonts w:ascii="Times New Roman" w:eastAsia="Cambria" w:hAnsi="Times New Roman" w:cs="Times New Roman"/>
          <w:noProof/>
          <w:sz w:val="24"/>
          <w:szCs w:val="20"/>
        </w:rPr>
      </w:pPr>
    </w:p>
    <w:p>
      <w:pPr>
        <w:numPr>
          <w:ilvl w:val="1"/>
          <w:numId w:val="21"/>
        </w:numPr>
        <w:autoSpaceDE w:val="0"/>
        <w:autoSpaceDN w:val="0"/>
        <w:adjustRightInd w:val="0"/>
        <w:spacing w:after="0" w:line="240" w:lineRule="auto"/>
        <w:jc w:val="both"/>
        <w:rPr>
          <w:rFonts w:ascii="Times New Roman" w:hAnsi="Times New Roman" w:cs="Times New Roman"/>
          <w:i/>
          <w:iCs/>
          <w:noProof/>
        </w:rPr>
      </w:pPr>
      <w:r>
        <w:rPr>
          <w:rFonts w:ascii="Times New Roman" w:hAnsi="Times New Roman"/>
          <w:i/>
          <w:iCs/>
          <w:noProof/>
        </w:rPr>
        <w:t>Veicināt ilgtspējīgu meža resursu bioekonomiku, kas sagādā ilglietojamus koksnes produktus</w:t>
      </w: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 xml:space="preserve"> </w:t>
      </w: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Meža nozarei piemīt milzīgs ekonomiskais potenciāls uzlabot veidu, kā, nepārsniedzot koksnes ilgtspējīgas pieejamības un piedāvājuma robežas, saražot ilgtspējīgu un likumīgi iegūtu koksni apritīgiem un ilglietojamiem materiāliem un produktiem. Lai to panāktu, ir jāstimulē pieprasījums lejupējās nozarēs un jāpopularizē meža apsaimniekošanas prakses, ražošanas rīki un procesi, kas ir labāk pielāgoti dažādiem nākotnes meža resursiem.</w:t>
      </w:r>
    </w:p>
    <w:p>
      <w:pPr>
        <w:spacing w:after="0" w:line="240" w:lineRule="auto"/>
        <w:ind w:right="-426"/>
        <w:contextualSpacing/>
        <w:jc w:val="both"/>
        <w:rPr>
          <w:rFonts w:ascii="Times New Roman" w:eastAsia="Times New Roman" w:hAnsi="Times New Roman" w:cs="Times New Roman"/>
          <w:bCs/>
          <w:iCs/>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Lai palielinātu ilglietojamu koksnes produktu piedāvājumu, ir vajadzīgas investīcijas visā kokapstrādes ķēdē. Būtu jāpalīdz kokapstrādes industrijai labāk pielāgoties mainīgajiem un daudzveidīgajiem mežu resursiem. Investīcijām vajadzētu būt vērstām arī uz ilglietojamu koksnes produktu ražošanu no zemākas kvalitātes apaļkokiem un no lielāka skaita cietkoksnes sugu un uz gatavību spēcīgākām ražošanas svārstībām laika gaitā.</w:t>
      </w:r>
    </w:p>
    <w:p>
      <w:pPr>
        <w:spacing w:after="0" w:line="240" w:lineRule="auto"/>
        <w:ind w:right="-426"/>
        <w:contextualSpacing/>
        <w:jc w:val="both"/>
        <w:rPr>
          <w:rFonts w:ascii="Times New Roman" w:eastAsia="Times New Roman"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 xml:space="preserve">No šā skatpunkta raugoties, svarīgākā </w:t>
      </w:r>
      <w:r>
        <w:rPr>
          <w:rFonts w:ascii="Times New Roman" w:hAnsi="Times New Roman"/>
          <w:b/>
          <w:bCs/>
          <w:noProof/>
          <w:sz w:val="24"/>
          <w:szCs w:val="20"/>
        </w:rPr>
        <w:t>koksnes produktu loma ir palīdzēt būvniecības nozarei no siltumnīcefekta gāzu emisiju avota pārtapt par oglekļa piesaistītāju</w:t>
      </w:r>
      <w:r>
        <w:rPr>
          <w:rFonts w:ascii="Times New Roman" w:hAnsi="Times New Roman"/>
          <w:noProof/>
          <w:sz w:val="24"/>
          <w:szCs w:val="20"/>
        </w:rPr>
        <w:t>, kā izklāstīts Renovācijas viļņa stratēģijā</w:t>
      </w:r>
      <w:r>
        <w:rPr>
          <w:rFonts w:ascii="Times New Roman" w:eastAsia="Times New Roman" w:hAnsi="Times New Roman" w:cs="Times New Roman"/>
          <w:noProof/>
          <w:sz w:val="24"/>
          <w:szCs w:val="20"/>
          <w:vertAlign w:val="superscript"/>
          <w:lang w:val="en-IE"/>
        </w:rPr>
        <w:footnoteReference w:id="25"/>
      </w:r>
      <w:r>
        <w:rPr>
          <w:rFonts w:ascii="Times New Roman" w:hAnsi="Times New Roman"/>
          <w:noProof/>
          <w:sz w:val="24"/>
          <w:szCs w:val="20"/>
        </w:rPr>
        <w:t xml:space="preserve"> un iniciatīvā “Jauns Eiropas “Bauhaus””</w:t>
      </w:r>
      <w:r>
        <w:rPr>
          <w:rFonts w:ascii="Times New Roman" w:eastAsia="Times New Roman" w:hAnsi="Times New Roman" w:cs="Times New Roman"/>
          <w:noProof/>
          <w:sz w:val="24"/>
          <w:szCs w:val="20"/>
          <w:vertAlign w:val="superscript"/>
          <w:lang w:val="en-IE"/>
        </w:rPr>
        <w:footnoteReference w:id="26"/>
      </w:r>
      <w:r>
        <w:rPr>
          <w:rFonts w:ascii="Times New Roman" w:hAnsi="Times New Roman"/>
          <w:noProof/>
          <w:sz w:val="24"/>
          <w:szCs w:val="20"/>
        </w:rPr>
        <w:t>. Uzlabošanas iespējas ir plašas. Koksnes produktu daļa būvmateriālu tirgū ir mazāka par 3 %, tātad Eiropā tie veido vien niecīgu daļu no būvmateriāliem, kuru piedāvājumā joprojām dominē energoietilpīgi materiāli uz fosilo kurināmo bāzes</w:t>
      </w:r>
      <w:r>
        <w:rPr>
          <w:rFonts w:ascii="Times New Roman" w:eastAsia="Times New Roman" w:hAnsi="Times New Roman" w:cs="Times New Roman"/>
          <w:noProof/>
          <w:sz w:val="24"/>
          <w:szCs w:val="20"/>
          <w:vertAlign w:val="superscript"/>
          <w:lang w:val="en-IE"/>
        </w:rPr>
        <w:footnoteReference w:id="27"/>
      </w:r>
      <w:r>
        <w:rPr>
          <w:rFonts w:ascii="Times New Roman" w:hAnsi="Times New Roman"/>
          <w:noProof/>
          <w:sz w:val="24"/>
          <w:szCs w:val="20"/>
        </w:rPr>
        <w:t xml:space="preserve">. </w:t>
      </w:r>
      <w:r>
        <w:rPr>
          <w:rFonts w:ascii="Times New Roman" w:hAnsi="Times New Roman"/>
          <w:b/>
          <w:bCs/>
          <w:noProof/>
          <w:sz w:val="24"/>
          <w:szCs w:val="20"/>
        </w:rPr>
        <w:t>Komisija izstrādās 2050. gadam domātu ceļvedi, kā samazināt oglekļa emisijas visā ēku dzīves ciklā</w:t>
      </w:r>
      <w:r>
        <w:rPr>
          <w:rFonts w:ascii="Times New Roman" w:hAnsi="Times New Roman"/>
          <w:noProof/>
          <w:sz w:val="24"/>
          <w:szCs w:val="20"/>
        </w:rPr>
        <w:t>. Būvizstrādājumu regulas</w:t>
      </w:r>
      <w:r>
        <w:rPr>
          <w:rFonts w:ascii="Times New Roman" w:eastAsia="Times New Roman" w:hAnsi="Times New Roman" w:cs="Times New Roman"/>
          <w:noProof/>
          <w:sz w:val="24"/>
          <w:szCs w:val="20"/>
          <w:vertAlign w:val="superscript"/>
          <w:lang w:val="en-IE"/>
        </w:rPr>
        <w:footnoteReference w:id="28"/>
      </w:r>
      <w:r>
        <w:rPr>
          <w:rFonts w:ascii="Times New Roman" w:hAnsi="Times New Roman"/>
          <w:noProof/>
          <w:sz w:val="24"/>
          <w:szCs w:val="20"/>
        </w:rPr>
        <w:t xml:space="preserve"> pārskatīšanas kontekstā </w:t>
      </w:r>
      <w:r>
        <w:rPr>
          <w:rFonts w:ascii="Times New Roman" w:hAnsi="Times New Roman"/>
          <w:b/>
          <w:bCs/>
          <w:noProof/>
          <w:sz w:val="24"/>
          <w:szCs w:val="20"/>
        </w:rPr>
        <w:t>Komisija izstrādās stabilu un pārredzamu standarta metodiku, kas ļaus koksnes būvizstrādājumu un citu būvmateriālu radītos klimatiskos ieguvumus izteikt skaitliski</w:t>
      </w:r>
      <w:r>
        <w:rPr>
          <w:rFonts w:ascii="Times New Roman" w:hAnsi="Times New Roman"/>
          <w:noProof/>
          <w:sz w:val="24"/>
          <w:szCs w:val="20"/>
        </w:rPr>
        <w:t>.</w:t>
      </w:r>
    </w:p>
    <w:p>
      <w:pPr>
        <w:spacing w:after="0" w:line="240" w:lineRule="auto"/>
        <w:ind w:right="-426"/>
        <w:contextualSpacing/>
        <w:jc w:val="both"/>
        <w:rPr>
          <w:rFonts w:ascii="Times New Roman" w:eastAsia="Times New Roman"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Lai veicinātu koksnes produktu izmantošanu ES, jārīkojas arī pieprasījuma pusē, piemēram, jācīnās pret maldīgiem priekšstatiem par ugunsbīstamību un nepietiekamu ilglietojamību un jāizceļ koksnes produktu daudzējādās priekšrocības tādos aspektos kā piesārņojuma un energopatēriņa samazināšana celtniecības, ekspluatācijas un nojaukšanas posmā. Būvinženieri un arhitekti būtu jāstimulē projektēt ēkas ar koka elementiem. Būvuzņēmumiem savās riska prēmijās un uzņēmējdarbības modeļos būtu pilnībā jāatspoguļo koka būvniecības priekšrocības, vadoties pēc dzīves cikla koncepcijas un apritīguma principiem.</w:t>
      </w:r>
    </w:p>
    <w:p>
      <w:pPr>
        <w:spacing w:after="0" w:line="240" w:lineRule="auto"/>
        <w:ind w:right="-426"/>
        <w:contextualSpacing/>
        <w:jc w:val="both"/>
        <w:rPr>
          <w:rFonts w:ascii="Times New Roman" w:eastAsia="Times New Roman"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Sekojot iniciatīvai “</w:t>
      </w:r>
      <w:r>
        <w:rPr>
          <w:rFonts w:ascii="Times New Roman" w:hAnsi="Times New Roman"/>
          <w:b/>
          <w:bCs/>
          <w:noProof/>
          <w:sz w:val="24"/>
          <w:szCs w:val="20"/>
        </w:rPr>
        <w:t>Jauns Eiropas “Bauhaus”</w:t>
      </w:r>
      <w:r>
        <w:rPr>
          <w:rFonts w:ascii="Times New Roman" w:hAnsi="Times New Roman"/>
          <w:noProof/>
          <w:sz w:val="24"/>
          <w:szCs w:val="20"/>
        </w:rPr>
        <w:t>”</w:t>
      </w:r>
      <w:r>
        <w:rPr>
          <w:rFonts w:ascii="Times New Roman" w:eastAsia="Times New Roman" w:hAnsi="Times New Roman" w:cs="Times New Roman"/>
          <w:noProof/>
          <w:sz w:val="24"/>
          <w:szCs w:val="20"/>
          <w:vertAlign w:val="superscript"/>
          <w:lang w:val="en-IE"/>
        </w:rPr>
        <w:footnoteReference w:id="29"/>
      </w:r>
      <w:r>
        <w:rPr>
          <w:rFonts w:ascii="Times New Roman" w:hAnsi="Times New Roman"/>
          <w:noProof/>
          <w:sz w:val="24"/>
          <w:szCs w:val="20"/>
        </w:rPr>
        <w:t>, būtu jāizvērš pētniecība un inovācija arhitektūras, zaļās projektēšanas un būvmateriālu jomā, arī attiecībā uz tehnoloģiskiem uzlabojumiem, kas ļauj izmantot vairāk zemākas šķiras koksnes, sevišķi cietkoksnes sugu koksnes, un attiecībā uz to, kā sekmēt kaskādveida izmantošanu un palielināt apritīgumu, koncentrējoties uz esošās koksnes atgūšanu inženierkoksnes produktu ražošanas vajadzībām. It īpaši Inovāciju fonds</w:t>
      </w:r>
      <w:r>
        <w:rPr>
          <w:rFonts w:ascii="Times New Roman" w:eastAsia="Times New Roman" w:hAnsi="Times New Roman" w:cs="Times New Roman"/>
          <w:noProof/>
          <w:sz w:val="24"/>
          <w:szCs w:val="20"/>
          <w:vertAlign w:val="superscript"/>
          <w:lang w:val="en-IE"/>
        </w:rPr>
        <w:footnoteReference w:id="30"/>
      </w:r>
      <w:r>
        <w:rPr>
          <w:rFonts w:ascii="Times New Roman" w:hAnsi="Times New Roman"/>
          <w:noProof/>
          <w:sz w:val="24"/>
          <w:szCs w:val="20"/>
        </w:rPr>
        <w:t>, kas iecerēts inovatīvu mazoglekļa tehnoloģiju finansēšanai, paver iespējas atbalstīt inovatīvus projektus būvniecībā, arī koka būvniecībā.</w:t>
      </w:r>
    </w:p>
    <w:p>
      <w:pPr>
        <w:spacing w:after="0" w:line="240" w:lineRule="auto"/>
        <w:ind w:right="-426"/>
        <w:contextualSpacing/>
        <w:jc w:val="both"/>
        <w:rPr>
          <w:rFonts w:ascii="Times New Roman" w:eastAsia="Times New Roman"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Uzmanība jāpievērš arī regulatīvām pieejām. Izvērst ilglietojamu koksnes produktu ražošanu traucē būvniecības noteikumi, piemēram, ugunsdrošības noteikumi, kuros modernu koka konstrukciju tehniskās iespējas pagaidām nav atspoguļotas pilnībā. Dalībvalstis būtu jārosina ņemt vērā labākās pieejamās zinātnes atziņas ilglietojamiem koksnes produktiem labvēlīgu noteikumu izstrādē. Šajā sakarā būtu jāveic ar ēku un būvizstrādājumu energoefektivitāti un vidisko sniegumu saistīti pasākumi, jāpopularizē ekomarķējums, kas saistīts ar oglekļa sekvestrēšanu un labāku apritīgumu, un jāpievēršas ēku dzīves cikla izšķirīgajiem posmiem, pie kuriem pieder celtniecība, renovācija un nojaukšana.</w:t>
      </w:r>
    </w:p>
    <w:p>
      <w:pPr>
        <w:spacing w:after="0" w:line="240" w:lineRule="auto"/>
        <w:ind w:right="-426"/>
        <w:contextualSpacing/>
        <w:jc w:val="both"/>
        <w:rPr>
          <w:rFonts w:ascii="Times New Roman" w:eastAsia="Times New Roman"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Paredzot stimulus, kas tieši balstīti uz oglekļa sekvestrēšanu, gaidāmajā oglekļsaistīgas lauksaimniecības iniciatīvā un oglekļa piesaistījumu sertifikācijas satvarā būtu jāiekļauj darbības, kas īpaši vērstas uz ilglietojamu koksnes produktu ražošanu un izmantošanu pilnīgā saskaņā ar biodaudzveidības mērķiem. Šādi stimuli, kas darbojas atsevišķu aktoru līmenī, papildina un palīdz sasniegt ES klimata mērķrādītājus.</w:t>
      </w:r>
    </w:p>
    <w:p>
      <w:pPr>
        <w:spacing w:after="0" w:line="240" w:lineRule="auto"/>
        <w:ind w:right="-426"/>
        <w:contextualSpacing/>
        <w:jc w:val="both"/>
        <w:rPr>
          <w:rFonts w:ascii="Times New Roman" w:eastAsia="Times New Roman" w:hAnsi="Times New Roman" w:cs="Times New Roman"/>
          <w:noProof/>
          <w:sz w:val="24"/>
          <w:szCs w:val="20"/>
        </w:rPr>
      </w:pPr>
    </w:p>
    <w:p>
      <w:pPr>
        <w:numPr>
          <w:ilvl w:val="1"/>
          <w:numId w:val="21"/>
        </w:numPr>
        <w:pBdr>
          <w:top w:val="nil"/>
          <w:left w:val="nil"/>
          <w:bottom w:val="nil"/>
          <w:right w:val="nil"/>
          <w:between w:val="nil"/>
          <w:bar w:val="nil"/>
        </w:pBdr>
        <w:spacing w:after="0" w:line="240" w:lineRule="auto"/>
        <w:ind w:right="-426"/>
        <w:contextualSpacing/>
        <w:jc w:val="both"/>
        <w:rPr>
          <w:rFonts w:ascii="Times New Roman" w:eastAsia="Arial Unicode MS" w:hAnsi="Times New Roman" w:cs="Times New Roman"/>
          <w:i/>
          <w:iCs/>
          <w:noProof/>
          <w:color w:val="000000"/>
          <w:u w:color="000000"/>
          <w:bdr w:val="nil"/>
        </w:rPr>
      </w:pPr>
      <w:r>
        <w:rPr>
          <w:rFonts w:ascii="Times New Roman" w:hAnsi="Times New Roman"/>
          <w:i/>
          <w:iCs/>
          <w:noProof/>
          <w:color w:val="000000"/>
          <w:u w:color="000000"/>
          <w:bdr w:val="nil"/>
        </w:rPr>
        <w:t>Nodrošināt koksnes resursu ilgtspējīgu izmantošanu bioenerģijas vajadzībām</w:t>
      </w:r>
    </w:p>
    <w:p>
      <w:pPr>
        <w:spacing w:after="0" w:line="240" w:lineRule="auto"/>
        <w:ind w:right="-426"/>
        <w:contextualSpacing/>
        <w:jc w:val="both"/>
        <w:rPr>
          <w:rFonts w:ascii="Times New Roman" w:eastAsia="Times New Roman" w:hAnsi="Times New Roman" w:cs="Times New Roman"/>
          <w:noProof/>
          <w:sz w:val="24"/>
          <w:szCs w:val="20"/>
        </w:rPr>
      </w:pPr>
    </w:p>
    <w:p>
      <w:pPr>
        <w:spacing w:after="0" w:line="240" w:lineRule="auto"/>
        <w:ind w:right="-454"/>
        <w:contextualSpacing/>
        <w:jc w:val="both"/>
        <w:rPr>
          <w:rFonts w:ascii="Times New Roman" w:eastAsia="Times New Roman" w:hAnsi="Times New Roman" w:cs="Times New Roman"/>
          <w:noProof/>
          <w:sz w:val="24"/>
          <w:szCs w:val="24"/>
        </w:rPr>
      </w:pPr>
      <w:r>
        <w:rPr>
          <w:rFonts w:ascii="Times New Roman" w:hAnsi="Times New Roman"/>
          <w:noProof/>
          <w:sz w:val="24"/>
          <w:szCs w:val="24"/>
        </w:rPr>
        <w:t>No koksnes ražota bioenerģija patlaban ir galvenais atjaunīgās enerģijas avots, un tā veido 60 % ES atjaunīgās enerģijas izmantojuma. Lai sasniegtu 2030. gadam noteikto emisiju samazināšanas mērķrādītāju – vismaz par 55 % –, dalībvalstīm būs pamatīgi jāpalielina atjaunīgo energoresursu daļa savā energoresursu struktūrā. Bioenerģija šajā struktūrā arī turpmāk ieņems nozīmīgu vietu, ja biomasa tiks ražota ilgtspējīgi un izmantota efektīvi saskaņā ar kaskādes principu un ņemot vērā Savienības nospraustos oglekļa piesaistītāju un biodaudzveidības mērķus, kā arī koksnes vispārējo pieejamību ilgtspējas robežās (2030. gada perspektīvā)</w:t>
      </w:r>
      <w:r>
        <w:rPr>
          <w:rFonts w:ascii="Times New Roman" w:eastAsia="Times New Roman" w:hAnsi="Times New Roman" w:cs="Times New Roman"/>
          <w:noProof/>
          <w:sz w:val="24"/>
          <w:szCs w:val="24"/>
          <w:vertAlign w:val="superscript"/>
        </w:rPr>
        <w:footnoteReference w:id="31"/>
      </w:r>
      <w:r>
        <w:rPr>
          <w:rFonts w:ascii="Times New Roman" w:hAnsi="Times New Roman"/>
          <w:noProof/>
          <w:sz w:val="24"/>
          <w:szCs w:val="24"/>
        </w:rPr>
        <w:t>.</w:t>
      </w:r>
    </w:p>
    <w:p>
      <w:pPr>
        <w:spacing w:after="0" w:line="240" w:lineRule="auto"/>
        <w:ind w:right="-453"/>
        <w:contextualSpacing/>
        <w:jc w:val="both"/>
        <w:rPr>
          <w:rFonts w:ascii="Times New Roman" w:eastAsia="Times New Roman" w:hAnsi="Times New Roman" w:cs="Times New Roman"/>
          <w:noProof/>
          <w:sz w:val="24"/>
          <w:szCs w:val="24"/>
        </w:rPr>
      </w:pPr>
    </w:p>
    <w:p>
      <w:pPr>
        <w:spacing w:after="0" w:line="240" w:lineRule="auto"/>
        <w:ind w:right="-426"/>
        <w:contextualSpacing/>
        <w:jc w:val="both"/>
        <w:rPr>
          <w:rFonts w:ascii="Times New Roman" w:hAnsi="Times New Roman" w:cs="Times New Roman"/>
          <w:noProof/>
          <w:sz w:val="24"/>
          <w:szCs w:val="24"/>
        </w:rPr>
      </w:pPr>
      <w:r>
        <w:rPr>
          <w:rFonts w:ascii="Times New Roman" w:hAnsi="Times New Roman"/>
          <w:noProof/>
          <w:sz w:val="24"/>
        </w:rPr>
        <w:t>Situācijās, kurās efektīva koksnes materiālu izmantošana nav iespējama, bioenerģijai arī turpmāk būs liela nozīme primāro ražotāju, proti, mežsaimnieku un lauksaimnieku, iztikas līdzekļu uzlabošanā un uz meža resursiem balstītu ekonomisko iespēju dažādošanā lauku apvidos.</w:t>
      </w:r>
      <w:r>
        <w:rPr>
          <w:rFonts w:ascii="Times New Roman" w:hAnsi="Times New Roman"/>
          <w:noProof/>
          <w:sz w:val="24"/>
          <w:szCs w:val="24"/>
        </w:rPr>
        <w:t xml:space="preserve"> Papildu ieņēmumi no bioenerģijas tirgiem var meža īpašniekiem un apsaimniekotājiem sagādāt ienākumus visos ilgtspējīgas meža apsaimniekošanas posmos un tādā veidā palīdzēt no zemes gūt regulārus ienākumus.</w:t>
      </w:r>
    </w:p>
    <w:p>
      <w:pPr>
        <w:spacing w:after="0" w:line="240" w:lineRule="auto"/>
        <w:ind w:right="-426"/>
        <w:contextualSpacing/>
        <w:jc w:val="both"/>
        <w:rPr>
          <w:rFonts w:ascii="Times New Roman" w:eastAsia="Cambria" w:hAnsi="Times New Roman" w:cs="Times New Roman"/>
          <w:noProof/>
          <w:sz w:val="24"/>
          <w:szCs w:val="24"/>
        </w:rPr>
      </w:pPr>
    </w:p>
    <w:p>
      <w:pPr>
        <w:spacing w:after="0" w:line="240" w:lineRule="auto"/>
        <w:ind w:right="-453"/>
        <w:jc w:val="both"/>
        <w:rPr>
          <w:rFonts w:ascii="Times New Roman" w:eastAsia="Cambria" w:hAnsi="Times New Roman" w:cs="Times New Roman"/>
          <w:noProof/>
          <w:sz w:val="24"/>
          <w:szCs w:val="24"/>
        </w:rPr>
      </w:pPr>
      <w:r>
        <w:rPr>
          <w:rFonts w:ascii="Times New Roman" w:hAnsi="Times New Roman"/>
          <w:noProof/>
          <w:sz w:val="24"/>
          <w:szCs w:val="24"/>
        </w:rPr>
        <w:t xml:space="preserve">Lai nodrošinātu gan koksnes bioenerģijas radītos sociālekonomiskos ieguvumus, gan vidisko ilgtspēju, 2018. gada Atjaunojamo energoresursu direktīvā tika iekļauti stingrāki </w:t>
      </w:r>
      <w:r>
        <w:rPr>
          <w:rFonts w:ascii="Times New Roman" w:hAnsi="Times New Roman"/>
          <w:b/>
          <w:noProof/>
          <w:sz w:val="24"/>
          <w:szCs w:val="24"/>
        </w:rPr>
        <w:t>ilgtspējas kritēriji attiecībā uz visu veidu biomasu, ko izmanto enerģijas ražošanai</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Tagad dalībvalstīm tie jāievieš, un pašreizējās Atjaunojamo energoresursu direktīvas vispārējās īstenošanas kontekstā Komisija cieši sekos līdzi šo pasākumu pareizai transponēšanai un vajadzības gadījumā rīkosies, lai panāktu izpildi.</w:t>
      </w:r>
    </w:p>
    <w:p>
      <w:pPr>
        <w:spacing w:after="0" w:line="240" w:lineRule="auto"/>
        <w:ind w:right="-453"/>
        <w:jc w:val="both"/>
        <w:rPr>
          <w:rFonts w:ascii="Times New Roman" w:eastAsia="Cambria" w:hAnsi="Times New Roman" w:cs="Times New Roman"/>
          <w:noProof/>
          <w:sz w:val="24"/>
          <w:szCs w:val="24"/>
        </w:rPr>
      </w:pPr>
    </w:p>
    <w:p>
      <w:pPr>
        <w:spacing w:after="0" w:line="240" w:lineRule="auto"/>
        <w:ind w:right="-426"/>
        <w:contextualSpacing/>
        <w:jc w:val="both"/>
        <w:rPr>
          <w:rFonts w:ascii="Times New Roman" w:eastAsia="Times New Roman" w:hAnsi="Times New Roman" w:cs="Times New Roman"/>
          <w:noProof/>
          <w:sz w:val="24"/>
          <w:szCs w:val="24"/>
        </w:rPr>
      </w:pPr>
      <w:r>
        <w:rPr>
          <w:rFonts w:ascii="Times New Roman" w:hAnsi="Times New Roman"/>
          <w:noProof/>
          <w:sz w:val="24"/>
          <w:szCs w:val="24"/>
          <w:shd w:val="clear" w:color="auto" w:fill="FFFFFF"/>
        </w:rPr>
        <w:t xml:space="preserve">Turklāt, ņemot vērā jaunākos zinātniskos pierādījumus un ES vērienīgākās ieceres klimata un biodaudzveidības jomā, meža resursu bioenerģijas ilgtspējas garantijas nepieciešams vēl pastiprināt. </w:t>
      </w:r>
      <w:r>
        <w:rPr>
          <w:rFonts w:ascii="Times New Roman" w:hAnsi="Times New Roman"/>
          <w:noProof/>
          <w:sz w:val="24"/>
          <w:szCs w:val="24"/>
        </w:rPr>
        <w:t>Nesens Komisijas ziņojums</w:t>
      </w:r>
      <w:r>
        <w:rPr>
          <w:rFonts w:ascii="Times New Roman" w:eastAsia="Times New Roman" w:hAnsi="Times New Roman" w:cs="Times New Roman"/>
          <w:noProof/>
          <w:sz w:val="24"/>
          <w:szCs w:val="24"/>
          <w:vertAlign w:val="superscript"/>
        </w:rPr>
        <w:footnoteReference w:id="32"/>
      </w:r>
      <w:r>
        <w:rPr>
          <w:rFonts w:ascii="Times New Roman" w:hAnsi="Times New Roman"/>
          <w:noProof/>
          <w:sz w:val="24"/>
          <w:szCs w:val="24"/>
        </w:rPr>
        <w:t xml:space="preserve"> par koksnes biomasas izmantošanu enerģijas ražošanā ES liecina, ka pēdējo divu desmitgažu laikā koksnes biomasas izmantošanas apjoms ES ir audzis (kopš 2000. gada aptuveni par 20 %), un palielinātais atjaunīgās enerģijas mērķrādītājs šo efektu varētu vēl pastiprināt. Pētījumā salīdzināta arī dažādu apsaimniekošanas prakšu ietekme gan uz biodaudzveidību, gan uz klimata pārmaiņām un identificētas apsaimniekošanas prakses, kas nāk par labu abiem aspektiem.</w:t>
      </w:r>
    </w:p>
    <w:p>
      <w:pPr>
        <w:spacing w:after="0" w:line="240" w:lineRule="auto"/>
        <w:ind w:right="-426"/>
        <w:contextualSpacing/>
        <w:jc w:val="both"/>
        <w:rPr>
          <w:rFonts w:ascii="Times New Roman" w:eastAsia="Cambria" w:hAnsi="Times New Roman" w:cs="Times New Roman"/>
          <w:noProof/>
          <w:sz w:val="24"/>
          <w:szCs w:val="24"/>
        </w:rPr>
      </w:pPr>
    </w:p>
    <w:p>
      <w:pPr>
        <w:spacing w:after="0" w:line="240" w:lineRule="auto"/>
        <w:ind w:right="-311"/>
        <w:contextualSpacing/>
        <w:jc w:val="both"/>
        <w:rPr>
          <w:rFonts w:ascii="Times New Roman" w:eastAsia="Cambria" w:hAnsi="Times New Roman" w:cs="Times New Roman"/>
          <w:noProof/>
          <w:sz w:val="24"/>
          <w:szCs w:val="24"/>
        </w:rPr>
      </w:pPr>
      <w:r>
        <w:rPr>
          <w:rFonts w:ascii="Times New Roman" w:hAnsi="Times New Roman"/>
          <w:noProof/>
          <w:sz w:val="24"/>
          <w:szCs w:val="24"/>
        </w:rPr>
        <w:t>Lai mazinātu ar koksnes bioenerģijas izmantošanu saistītos potenciālos klimatiskos un vidiskos riskus un maksimalizētu tās labvēlīgo ietekmi uz klimatu, ES Biodaudzveidības stratēģijā 2030. gadam teikts, ka veselu koku izmantošana enerģijas ražošanā būtu jāsamazina līdz minimumam neatkarīgi no tā, vai tie ir auguši ES vai importēti.</w:t>
      </w:r>
    </w:p>
    <w:p>
      <w:pPr>
        <w:spacing w:after="0" w:line="240" w:lineRule="auto"/>
        <w:ind w:right="-311"/>
        <w:contextualSpacing/>
        <w:jc w:val="both"/>
        <w:rPr>
          <w:rFonts w:ascii="Times New Roman" w:eastAsia="Cambria" w:hAnsi="Times New Roman" w:cs="Times New Roman"/>
          <w:noProof/>
          <w:sz w:val="24"/>
          <w:szCs w:val="24"/>
        </w:rPr>
      </w:pPr>
    </w:p>
    <w:p>
      <w:pPr>
        <w:spacing w:after="0" w:line="240" w:lineRule="auto"/>
        <w:ind w:right="-311"/>
        <w:contextualSpacing/>
        <w:jc w:val="both"/>
        <w:rPr>
          <w:rFonts w:ascii="Times New Roman" w:eastAsia="Times New Roman" w:hAnsi="Times New Roman" w:cs="Times New Roman"/>
          <w:noProof/>
          <w:sz w:val="24"/>
          <w:szCs w:val="24"/>
        </w:rPr>
      </w:pPr>
      <w:r>
        <w:rPr>
          <w:rFonts w:ascii="Times New Roman" w:hAnsi="Times New Roman"/>
          <w:noProof/>
          <w:sz w:val="24"/>
          <w:szCs w:val="24"/>
        </w:rPr>
        <w:t xml:space="preserve">Pārskatītās Atjaunojamo energoresursu direktīvas priekšlikumā, kas ietilpst paketē “Gatavi mērķrādītājam 55 %”, ir noteiktas konkrētas papildu garantijas. Priekšlikumā iekļauti </w:t>
      </w:r>
      <w:r>
        <w:rPr>
          <w:rFonts w:ascii="Times New Roman" w:hAnsi="Times New Roman"/>
          <w:b/>
          <w:bCs/>
          <w:noProof/>
          <w:sz w:val="24"/>
          <w:szCs w:val="24"/>
        </w:rPr>
        <w:t>stingrāki bioenerģijas ilgtspējas kritēriji</w:t>
      </w:r>
      <w:r>
        <w:rPr>
          <w:rFonts w:ascii="Times New Roman" w:hAnsi="Times New Roman"/>
          <w:noProof/>
          <w:sz w:val="24"/>
          <w:szCs w:val="24"/>
        </w:rPr>
        <w:t>, proti, ir paplašināta to piemērošanas joma un teritorijas, kurās biomasas ieguve nav atļauta. Tas nozīmē, ka meža biomasas ieguve pirmatnējos mežos ir aizliegta, bet ļoti biodaudzveidīgos mežos – ierobežota, lai neradītu konfliktus ar dabas aizsardzības mērķiem.</w:t>
      </w:r>
    </w:p>
    <w:p>
      <w:pPr>
        <w:spacing w:after="0" w:line="240" w:lineRule="auto"/>
        <w:ind w:right="-28"/>
        <w:jc w:val="both"/>
        <w:rPr>
          <w:rFonts w:ascii="Times New Roman" w:eastAsia="Cambria" w:hAnsi="Times New Roman" w:cs="Times New Roman"/>
          <w:noProof/>
          <w:sz w:val="24"/>
          <w:szCs w:val="24"/>
        </w:rPr>
      </w:pPr>
    </w:p>
    <w:p>
      <w:pPr>
        <w:spacing w:after="0" w:line="240" w:lineRule="auto"/>
        <w:ind w:right="-311"/>
        <w:jc w:val="both"/>
        <w:rPr>
          <w:rFonts w:ascii="Times New Roman" w:eastAsia="Cambria" w:hAnsi="Times New Roman" w:cs="Times New Roman"/>
          <w:noProof/>
          <w:sz w:val="24"/>
          <w:szCs w:val="24"/>
        </w:rPr>
      </w:pPr>
      <w:r>
        <w:rPr>
          <w:rFonts w:ascii="Times New Roman" w:hAnsi="Times New Roman"/>
          <w:noProof/>
          <w:sz w:val="24"/>
          <w:szCs w:val="24"/>
        </w:rPr>
        <w:t>Priekšlikums paredz arī siltumnīcefekta gāzu emisiju aiztaupījuma kritērijus piemērot esošām iekārtām un paplašina ilgtspējas un siltumnīcefekta gāzu emisiju aiztaupījuma kritēriju darbības jomu tā, lai aptvertu iekārtas, kuru jauda ir 5 MW vai lielāka.</w:t>
      </w:r>
    </w:p>
    <w:p>
      <w:pPr>
        <w:spacing w:after="0" w:line="240" w:lineRule="auto"/>
        <w:ind w:right="-311"/>
        <w:contextualSpacing/>
        <w:jc w:val="both"/>
        <w:rPr>
          <w:rFonts w:ascii="Times New Roman" w:eastAsia="Times New Roman" w:hAnsi="Times New Roman" w:cs="Times New Roman"/>
          <w:noProof/>
          <w:sz w:val="24"/>
          <w:szCs w:val="24"/>
        </w:rPr>
      </w:pPr>
    </w:p>
    <w:p>
      <w:pPr>
        <w:spacing w:after="0" w:line="240" w:lineRule="auto"/>
        <w:ind w:right="-311"/>
        <w:jc w:val="both"/>
        <w:rPr>
          <w:rFonts w:ascii="Times New Roman" w:eastAsia="Times New Roman" w:hAnsi="Times New Roman" w:cs="Times New Roman"/>
          <w:noProof/>
          <w:sz w:val="24"/>
          <w:szCs w:val="24"/>
        </w:rPr>
      </w:pPr>
      <w:r>
        <w:rPr>
          <w:rFonts w:ascii="Times New Roman" w:hAnsi="Times New Roman"/>
          <w:noProof/>
          <w:sz w:val="24"/>
          <w:szCs w:val="24"/>
        </w:rPr>
        <w:t xml:space="preserve">Turklāt priekšlikums </w:t>
      </w:r>
      <w:r>
        <w:rPr>
          <w:rFonts w:ascii="Times New Roman" w:hAnsi="Times New Roman"/>
          <w:b/>
          <w:noProof/>
          <w:sz w:val="24"/>
          <w:szCs w:val="24"/>
        </w:rPr>
        <w:t>pastiprina kaskādes principa</w:t>
      </w:r>
      <w:r>
        <w:rPr>
          <w:rFonts w:ascii="Times New Roman" w:hAnsi="Times New Roman"/>
          <w:noProof/>
          <w:sz w:val="24"/>
          <w:szCs w:val="24"/>
        </w:rPr>
        <w:t xml:space="preserve"> – galvenā bioenerģijas rīcībpolitiku izmaiņu virzītāja – </w:t>
      </w:r>
      <w:r>
        <w:rPr>
          <w:rFonts w:ascii="Times New Roman" w:hAnsi="Times New Roman"/>
          <w:b/>
          <w:noProof/>
          <w:sz w:val="24"/>
          <w:szCs w:val="24"/>
        </w:rPr>
        <w:t>īstenošanu</w:t>
      </w:r>
      <w:r>
        <w:rPr>
          <w:rFonts w:ascii="Times New Roman" w:hAnsi="Times New Roman"/>
          <w:noProof/>
          <w:sz w:val="24"/>
          <w:szCs w:val="24"/>
        </w:rPr>
        <w:t>, tiecoties nodrošināt taisnīgu piekļuvi biomasas izejvielu tirgum un līdz ar to veicināt tādu inovatīvu biobāzētu risinājumu izstrādi, kam ir augsta pievienotā vērtība, un palīdzēt attīstīties ilgtspējīgai aprites bioekonomikai.</w:t>
      </w:r>
    </w:p>
    <w:p>
      <w:pPr>
        <w:spacing w:after="0" w:line="240" w:lineRule="auto"/>
        <w:ind w:right="-311"/>
        <w:jc w:val="both"/>
        <w:rPr>
          <w:rFonts w:ascii="Times New Roman" w:eastAsia="Times New Roman" w:hAnsi="Times New Roman" w:cs="Times New Roman"/>
          <w:noProof/>
          <w:sz w:val="24"/>
          <w:szCs w:val="24"/>
        </w:rPr>
      </w:pPr>
    </w:p>
    <w:p>
      <w:pPr>
        <w:spacing w:after="0" w:line="240" w:lineRule="auto"/>
        <w:ind w:right="-311"/>
        <w:jc w:val="both"/>
        <w:rPr>
          <w:rFonts w:ascii="Times New Roman" w:eastAsia="Times New Roman" w:hAnsi="Times New Roman" w:cs="Times New Roman"/>
          <w:noProof/>
          <w:sz w:val="24"/>
          <w:szCs w:val="24"/>
        </w:rPr>
      </w:pPr>
      <w:r>
        <w:rPr>
          <w:rFonts w:ascii="Times New Roman" w:hAnsi="Times New Roman"/>
          <w:noProof/>
          <w:sz w:val="24"/>
          <w:szCs w:val="24"/>
        </w:rPr>
        <w:t>Ņemot vērā atkritumu apsaimniekošanas hierarhiju</w:t>
      </w:r>
      <w:r>
        <w:rPr>
          <w:rFonts w:ascii="Times New Roman" w:eastAsia="Times New Roman" w:hAnsi="Times New Roman" w:cs="Times New Roman"/>
          <w:noProof/>
          <w:sz w:val="24"/>
          <w:szCs w:val="24"/>
          <w:vertAlign w:val="superscript"/>
          <w:lang w:val="en-IE"/>
        </w:rPr>
        <w:footnoteReference w:id="33"/>
      </w:r>
      <w:r>
        <w:rPr>
          <w:rFonts w:ascii="Times New Roman" w:hAnsi="Times New Roman"/>
          <w:noProof/>
          <w:sz w:val="24"/>
          <w:szCs w:val="24"/>
        </w:rPr>
        <w:t xml:space="preserve"> un kaskādes principu, priekšlikumā ierosināts, ka </w:t>
      </w:r>
      <w:r>
        <w:rPr>
          <w:rFonts w:ascii="Times New Roman" w:hAnsi="Times New Roman"/>
          <w:b/>
          <w:noProof/>
          <w:sz w:val="24"/>
          <w:szCs w:val="24"/>
        </w:rPr>
        <w:t>biomasas izmantošanai enerģijas ražošanā domātās atbalsta shēmas dalībvalstis izstrādā tā, lai minimalizētu nepienācīgu kropļojošu ietekmi uz biomasas izejvielu tirgu un nelabvēlīgu ietekmi uz biodaudzveidību</w:t>
      </w:r>
      <w:r>
        <w:rPr>
          <w:rFonts w:ascii="Times New Roman" w:hAnsi="Times New Roman"/>
          <w:noProof/>
          <w:sz w:val="24"/>
          <w:szCs w:val="24"/>
        </w:rPr>
        <w:t>. Lai konkretizētu kaskādes principa piemērošanu biomasai, it sevišķi to, kā minimalizēt kvalitatīvu apaļkoku izmantojumu enerģijas ražošanā, Komisija pieņems deleģēto aktu.</w:t>
      </w:r>
    </w:p>
    <w:p>
      <w:pPr>
        <w:spacing w:after="0" w:line="240" w:lineRule="auto"/>
        <w:ind w:right="-311"/>
        <w:jc w:val="both"/>
        <w:rPr>
          <w:rFonts w:ascii="Times New Roman" w:eastAsia="Times New Roman" w:hAnsi="Times New Roman" w:cs="Times New Roman"/>
          <w:noProof/>
          <w:sz w:val="24"/>
          <w:szCs w:val="24"/>
        </w:rPr>
      </w:pPr>
    </w:p>
    <w:p>
      <w:pPr>
        <w:spacing w:after="0" w:line="240" w:lineRule="auto"/>
        <w:ind w:right="-311"/>
        <w:jc w:val="both"/>
        <w:rPr>
          <w:rFonts w:ascii="Times New Roman" w:eastAsia="Times New Roman" w:hAnsi="Times New Roman" w:cs="Times New Roman"/>
          <w:noProof/>
          <w:sz w:val="24"/>
          <w:szCs w:val="24"/>
        </w:rPr>
      </w:pPr>
      <w:r>
        <w:rPr>
          <w:rFonts w:ascii="Times New Roman" w:hAnsi="Times New Roman"/>
          <w:noProof/>
          <w:sz w:val="24"/>
          <w:szCs w:val="24"/>
        </w:rPr>
        <w:t>Turklāt saskaņā ar priekšlikumu vairs netiks piešķirts atbalsts enerģijas ražošanai no zāģbaļķiem, finierklučiem, celmiem un saknēm.</w:t>
      </w:r>
    </w:p>
    <w:p>
      <w:pPr>
        <w:spacing w:after="0" w:line="240" w:lineRule="auto"/>
        <w:ind w:right="-311"/>
        <w:jc w:val="both"/>
        <w:rPr>
          <w:rFonts w:ascii="Times New Roman" w:eastAsia="Times New Roman" w:hAnsi="Times New Roman" w:cs="Times New Roman"/>
          <w:noProof/>
          <w:sz w:val="24"/>
          <w:szCs w:val="24"/>
        </w:rPr>
      </w:pPr>
    </w:p>
    <w:p>
      <w:pPr>
        <w:spacing w:after="0" w:line="240" w:lineRule="auto"/>
        <w:ind w:right="-311"/>
        <w:jc w:val="both"/>
        <w:rPr>
          <w:rFonts w:ascii="Times New Roman" w:eastAsia="Times New Roman" w:hAnsi="Times New Roman" w:cs="Times New Roman"/>
          <w:noProof/>
          <w:sz w:val="24"/>
          <w:szCs w:val="24"/>
        </w:rPr>
      </w:pPr>
      <w:r>
        <w:rPr>
          <w:rFonts w:ascii="Times New Roman" w:hAnsi="Times New Roman"/>
          <w:noProof/>
          <w:sz w:val="24"/>
          <w:szCs w:val="24"/>
        </w:rPr>
        <w:t>Ir ieviests arī papildu elements, kura uzdevums ir, ierobežojot valsts atbalstu stacijām, kurās ražo tikai elektroenerģiju, nodrošināt efektīvāku koksnes biomasas izmantošanu enerģētiskām vajadzībām.</w:t>
      </w:r>
    </w:p>
    <w:p>
      <w:pPr>
        <w:spacing w:after="0" w:line="240" w:lineRule="auto"/>
        <w:ind w:right="-311"/>
        <w:contextualSpacing/>
        <w:jc w:val="both"/>
        <w:rPr>
          <w:rFonts w:ascii="Times New Roman" w:eastAsia="Times New Roman" w:hAnsi="Times New Roman" w:cs="Times New Roman"/>
          <w:noProof/>
          <w:sz w:val="24"/>
          <w:szCs w:val="24"/>
        </w:rPr>
      </w:pPr>
    </w:p>
    <w:p>
      <w:pPr>
        <w:spacing w:after="0" w:line="240" w:lineRule="auto"/>
        <w:ind w:right="-311"/>
        <w:contextualSpacing/>
        <w:jc w:val="both"/>
        <w:rPr>
          <w:rFonts w:ascii="Times New Roman" w:eastAsia="Cambria" w:hAnsi="Times New Roman" w:cs="Times New Roman"/>
          <w:noProof/>
          <w:sz w:val="24"/>
          <w:szCs w:val="24"/>
        </w:rPr>
      </w:pPr>
      <w:r>
        <w:rPr>
          <w:rFonts w:ascii="Times New Roman" w:hAnsi="Times New Roman"/>
          <w:noProof/>
          <w:sz w:val="24"/>
          <w:szCs w:val="24"/>
        </w:rPr>
        <w:t>Komisija turpinās analizēt nacionālo atbalsta shēmu ietekmi uz biomasas piedāvājumu un pieprasījumu, to ietekmi uz biodaudzveidību, oglekļa piesaistītājiem un iespējamiem tirgus izkropļojumiem un novērtēs iespēju attiecībā uz meža biomasas atbalsta shēmām noteikt tālākus ierobežojumus. Savienības vispārējam mērķim vajadzētu būt gādāt par to, lai meža resursu bioenerģijas īpatsvars ES atjaunīgo energoresursu struktūrā nepārsniegtu ilgtspējas robežas un iespējamās negatīvās eksternalitātes tiktu pienācīgi mazinātas.</w:t>
      </w:r>
    </w:p>
    <w:p>
      <w:pPr>
        <w:spacing w:after="0" w:line="240" w:lineRule="auto"/>
        <w:ind w:right="-426"/>
        <w:contextualSpacing/>
        <w:jc w:val="both"/>
        <w:rPr>
          <w:rFonts w:ascii="Times New Roman" w:eastAsia="Cambria" w:hAnsi="Times New Roman" w:cs="Times New Roman"/>
          <w:noProof/>
          <w:sz w:val="24"/>
          <w:szCs w:val="20"/>
        </w:rPr>
      </w:pPr>
    </w:p>
    <w:p>
      <w:pPr>
        <w:numPr>
          <w:ilvl w:val="1"/>
          <w:numId w:val="21"/>
        </w:numPr>
        <w:autoSpaceDE w:val="0"/>
        <w:autoSpaceDN w:val="0"/>
        <w:adjustRightInd w:val="0"/>
        <w:spacing w:after="0" w:line="240" w:lineRule="auto"/>
        <w:jc w:val="both"/>
        <w:rPr>
          <w:rFonts w:ascii="Times New Roman" w:hAnsi="Times New Roman" w:cs="Times New Roman"/>
          <w:i/>
          <w:iCs/>
          <w:noProof/>
        </w:rPr>
      </w:pPr>
      <w:r>
        <w:rPr>
          <w:rFonts w:ascii="Times New Roman" w:hAnsi="Times New Roman"/>
          <w:i/>
          <w:iCs/>
          <w:noProof/>
        </w:rPr>
        <w:t>Veicināt meža nekoksnes resursu bioekonomiku, arī ekotūrismu</w:t>
      </w:r>
    </w:p>
    <w:p>
      <w:pPr>
        <w:pBdr>
          <w:top w:val="nil"/>
          <w:left w:val="nil"/>
          <w:bottom w:val="nil"/>
          <w:right w:val="nil"/>
          <w:between w:val="nil"/>
          <w:bar w:val="nil"/>
        </w:pBdr>
        <w:spacing w:after="0" w:line="240" w:lineRule="auto"/>
        <w:ind w:left="720"/>
        <w:rPr>
          <w:rFonts w:ascii="Times New Roman" w:eastAsia="Arial Unicode MS" w:hAnsi="Times New Roman" w:cs="Times New Roman"/>
          <w:b/>
          <w:i/>
          <w:noProof/>
          <w:u w:color="000000"/>
          <w:bdr w:val="nil"/>
          <w:lang w:eastAsia="en-GB"/>
        </w:rPr>
      </w:pPr>
    </w:p>
    <w:p>
      <w:pPr>
        <w:spacing w:after="0" w:line="240" w:lineRule="auto"/>
        <w:ind w:right="-426"/>
        <w:contextualSpacing/>
        <w:jc w:val="both"/>
        <w:rPr>
          <w:rFonts w:ascii="Times New Roman" w:eastAsia="Cambria" w:hAnsi="Times New Roman" w:cs="Times New Roman"/>
          <w:noProof/>
          <w:sz w:val="24"/>
          <w:szCs w:val="20"/>
        </w:rPr>
      </w:pPr>
      <w:r>
        <w:rPr>
          <w:rFonts w:ascii="Times New Roman" w:hAnsi="Times New Roman"/>
          <w:noProof/>
          <w:sz w:val="24"/>
          <w:szCs w:val="20"/>
        </w:rPr>
        <w:t>ES meži nodrošina ļoti vērtīgus nekoksnes produktus, piemēram, korķi (80 % pasaules produkcijas), sveķus, tanīnus, rupjo lopbarību, ārstniecības augus un aromātiskos augus, augļus, ogas, riekstus, saknes, sēnes, sēklas, medu, dekoratīvos augus un medījumu, kas bieži dod labumu vietējām kopienām. Tie veido aptuveni 20 % tirgojamās mežu vērtības</w:t>
      </w:r>
      <w:r>
        <w:rPr>
          <w:rFonts w:ascii="Times New Roman" w:eastAsia="Cambria" w:hAnsi="Times New Roman" w:cs="Times New Roman"/>
          <w:noProof/>
          <w:sz w:val="24"/>
          <w:szCs w:val="20"/>
          <w:vertAlign w:val="superscript"/>
        </w:rPr>
        <w:footnoteReference w:id="34"/>
      </w:r>
      <w:r>
        <w:rPr>
          <w:rFonts w:ascii="Times New Roman" w:hAnsi="Times New Roman"/>
          <w:noProof/>
          <w:sz w:val="24"/>
          <w:szCs w:val="20"/>
        </w:rPr>
        <w:t>, un sadarbībā ar valsts un vietējām iestādēm un aktoriem to potenciālu radīt papildu ieņēmumus kopienām, kurām meži pieder, iespējams veicināt un atbalstīt vēl vairāk.</w:t>
      </w:r>
    </w:p>
    <w:p>
      <w:pPr>
        <w:spacing w:after="0" w:line="240" w:lineRule="auto"/>
        <w:ind w:right="-426"/>
        <w:contextualSpacing/>
        <w:jc w:val="both"/>
        <w:rPr>
          <w:rFonts w:ascii="Times New Roman" w:eastAsia="Cambria" w:hAnsi="Times New Roman" w:cs="Times New Roman"/>
          <w:noProof/>
          <w:sz w:val="24"/>
          <w:szCs w:val="20"/>
        </w:rPr>
      </w:pPr>
    </w:p>
    <w:p>
      <w:pPr>
        <w:spacing w:after="0" w:line="240" w:lineRule="auto"/>
        <w:ind w:right="-426"/>
        <w:contextualSpacing/>
        <w:jc w:val="both"/>
        <w:rPr>
          <w:rFonts w:ascii="Times New Roman" w:eastAsia="Cambria" w:hAnsi="Times New Roman" w:cs="Times New Roman"/>
          <w:noProof/>
          <w:sz w:val="24"/>
          <w:szCs w:val="20"/>
        </w:rPr>
      </w:pPr>
      <w:r>
        <w:rPr>
          <w:rFonts w:ascii="Times New Roman" w:hAnsi="Times New Roman"/>
          <w:noProof/>
          <w:sz w:val="24"/>
          <w:szCs w:val="20"/>
        </w:rPr>
        <w:t>Tas jo īpaši attiecas uz tūrisma nozari, kas saistīta ar dabu un kam piemīt būtisks izaugsmes potenciāls. Eiropas tūrisma nozare Covid-19 laikā ir cietusi īpaši smagi, taču pandēmija ir arī palielinājusi pieprasījumu pēc vietējā tūrisma un mazāk noslogotiem galamērķiem dabā un svaigā gaisā. Dabas tūrismam un dabā balstītiem labbūtības pakalpojumiem ir tendence vērsties plašumā, un, ja vien tiek respektēta vides panestspēja un relevantie tiesību akti, tie paver iespēju paātrināt tūrisma sektora zaļo pārkārtošanos, nodrošināt būtiskas ienākumu gūšanas iespējas lauku apvidos un uzlabot lauku labklājību un tajā pašā laikā veicina biodaudzveidības un oglekļa uzkrājumu saglabāšanu.</w:t>
      </w:r>
    </w:p>
    <w:p>
      <w:pPr>
        <w:spacing w:after="0" w:line="240" w:lineRule="auto"/>
        <w:ind w:right="-426"/>
        <w:contextualSpacing/>
        <w:jc w:val="both"/>
        <w:rPr>
          <w:rFonts w:ascii="Times New Roman" w:eastAsia="Cambria" w:hAnsi="Times New Roman" w:cs="Times New Roman"/>
          <w:noProof/>
          <w:sz w:val="24"/>
          <w:szCs w:val="20"/>
        </w:rPr>
      </w:pPr>
    </w:p>
    <w:p>
      <w:pPr>
        <w:spacing w:after="0" w:line="240" w:lineRule="auto"/>
        <w:ind w:right="-426"/>
        <w:contextualSpacing/>
        <w:jc w:val="both"/>
        <w:rPr>
          <w:rFonts w:ascii="Times New Roman" w:eastAsia="Calibri" w:hAnsi="Times New Roman" w:cs="Times New Roman"/>
          <w:noProof/>
          <w:sz w:val="24"/>
          <w:szCs w:val="20"/>
        </w:rPr>
      </w:pPr>
      <w:r>
        <w:rPr>
          <w:rFonts w:ascii="Times New Roman" w:hAnsi="Times New Roman"/>
          <w:noProof/>
          <w:sz w:val="24"/>
          <w:szCs w:val="20"/>
        </w:rPr>
        <w:t>Lai mežaino apvidu lauku kopienas varētu izmantot nekoksnes produktu sagādātās priekšrocības un lai atbalstītu ražotāju organizācijas, Komisija rosinās izstrādāt koordinētas un integrētas reģionāla, nacionāla un subnacionāla līmeņa programmas</w:t>
      </w:r>
      <w:r>
        <w:rPr>
          <w:rFonts w:ascii="Times New Roman" w:eastAsia="Calibri" w:hAnsi="Times New Roman" w:cs="Times New Roman"/>
          <w:noProof/>
          <w:sz w:val="24"/>
          <w:szCs w:val="20"/>
          <w:vertAlign w:val="superscript"/>
        </w:rPr>
        <w:footnoteReference w:id="35"/>
      </w:r>
      <w:r>
        <w:rPr>
          <w:rFonts w:ascii="Times New Roman" w:hAnsi="Times New Roman"/>
          <w:noProof/>
          <w:sz w:val="24"/>
          <w:szCs w:val="20"/>
        </w:rPr>
        <w:t xml:space="preserve"> par meža nekoksnes produktu ilgtspējīgu ražošanu.</w:t>
      </w:r>
    </w:p>
    <w:p>
      <w:pPr>
        <w:spacing w:after="0" w:line="240" w:lineRule="auto"/>
        <w:ind w:right="-426"/>
        <w:contextualSpacing/>
        <w:jc w:val="both"/>
        <w:rPr>
          <w:rFonts w:ascii="Times New Roman" w:eastAsia="Calibri" w:hAnsi="Times New Roman" w:cs="Times New Roman"/>
          <w:noProof/>
          <w:sz w:val="24"/>
          <w:szCs w:val="20"/>
        </w:rPr>
      </w:pPr>
    </w:p>
    <w:p>
      <w:pPr>
        <w:spacing w:after="0" w:line="240" w:lineRule="auto"/>
        <w:ind w:right="-426"/>
        <w:contextualSpacing/>
        <w:jc w:val="both"/>
        <w:rPr>
          <w:rFonts w:ascii="Times New Roman" w:eastAsia="Calibri" w:hAnsi="Times New Roman" w:cs="Times New Roman"/>
          <w:noProof/>
          <w:sz w:val="24"/>
          <w:szCs w:val="20"/>
        </w:rPr>
      </w:pPr>
      <w:r>
        <w:rPr>
          <w:rFonts w:ascii="Times New Roman" w:hAnsi="Times New Roman"/>
          <w:noProof/>
          <w:sz w:val="24"/>
          <w:szCs w:val="20"/>
        </w:rPr>
        <w:t>Lai sekmētu ES meža ekotūrismu, Komisija veicinās sadarbību starp tūrisma nozari, meža īpašniekiem un dabas aizsardzības dienestiem, kā arī ekotūrisma aktivitāšu standartu un normu izstrādi. Tūrisma industrijai būtu cieši jāsadarbojas ar meža apsaimniekotājiem, lai izstrādātu ilgtspējīgus tūrisma produktus, kas nāk par labu cilvēka veselībai, bet neatstāj nelabvēlīgu ietekmi uz plānoto galamērķu dabiskajām vērtībām, aizsargājamajās teritorijās jo īpaši.</w:t>
      </w:r>
    </w:p>
    <w:p>
      <w:pPr>
        <w:tabs>
          <w:tab w:val="left" w:pos="8380"/>
        </w:tabs>
        <w:spacing w:after="0" w:line="240" w:lineRule="auto"/>
        <w:ind w:right="-426"/>
        <w:contextualSpacing/>
        <w:jc w:val="both"/>
        <w:rPr>
          <w:rFonts w:ascii="Times New Roman" w:eastAsia="Calibri" w:hAnsi="Times New Roman" w:cs="Times New Roman"/>
          <w:noProof/>
          <w:sz w:val="24"/>
          <w:szCs w:val="20"/>
        </w:rPr>
      </w:pPr>
    </w:p>
    <w:p>
      <w:pPr>
        <w:numPr>
          <w:ilvl w:val="1"/>
          <w:numId w:val="21"/>
        </w:numPr>
        <w:autoSpaceDE w:val="0"/>
        <w:autoSpaceDN w:val="0"/>
        <w:adjustRightInd w:val="0"/>
        <w:spacing w:after="0" w:line="240" w:lineRule="auto"/>
        <w:jc w:val="both"/>
        <w:rPr>
          <w:rFonts w:ascii="Times New Roman" w:hAnsi="Times New Roman" w:cs="Times New Roman"/>
          <w:b/>
          <w:bCs/>
          <w:i/>
          <w:iCs/>
          <w:noProof/>
        </w:rPr>
      </w:pPr>
      <w:r>
        <w:rPr>
          <w:rFonts w:ascii="Times New Roman" w:hAnsi="Times New Roman"/>
          <w:i/>
          <w:iCs/>
          <w:noProof/>
        </w:rPr>
        <w:t>Attīstīt prasmes un iespēcināt cilvēkus ilgtspējīgas meža resursu bioekonomikas vajadzībām</w:t>
      </w:r>
      <w:r>
        <w:rPr>
          <w:noProof/>
        </w:rPr>
        <w:t xml:space="preserve"> </w:t>
      </w:r>
      <w:r>
        <w:rPr>
          <w:noProof/>
        </w:rPr>
        <w:br/>
      </w:r>
    </w:p>
    <w:p>
      <w:pPr>
        <w:spacing w:after="0" w:line="240" w:lineRule="auto"/>
        <w:ind w:right="-426"/>
        <w:contextualSpacing/>
        <w:jc w:val="both"/>
        <w:rPr>
          <w:rFonts w:ascii="Times New Roman" w:eastAsia="Times New Roman" w:hAnsi="Times New Roman" w:cs="Times New Roman"/>
          <w:noProof/>
          <w:sz w:val="24"/>
          <w:szCs w:val="23"/>
        </w:rPr>
      </w:pPr>
      <w:r>
        <w:rPr>
          <w:rFonts w:ascii="Times New Roman" w:hAnsi="Times New Roman"/>
          <w:noProof/>
          <w:sz w:val="24"/>
          <w:szCs w:val="20"/>
        </w:rPr>
        <w:t>Daudzie pakalpojumi, ko sniedz meži, nav iespējami bez cilvēkiem ar daudzām un dažādām prasmēm. Tā kā mežu daudzfunkcionālā loma pārejā uz ilgtspējīgu un klimatneitrālu nākotni aizvien pieaugs, būs vajadzīgs plašāks prasmju kopums, piemēram, eksperti, kuri pārzina uzlabotas ilgtspējīgas meža apsaimniekošanas prakses, tai skaitā adaptīvu atkārtoto un pirmreizējo apmežošanu un meža atjaunošanu, arhitekti, inženieri un dizaineri, pārtikas eksperti, datu speciālisti, ķīmiķi, ekotūrisma veicinātāji. Ir svarīgi izstrādāt attiecīgas mācību programmas, attīstīt zināšanas un prasmes.</w:t>
      </w:r>
    </w:p>
    <w:p>
      <w:pPr>
        <w:spacing w:after="0" w:line="240" w:lineRule="auto"/>
        <w:ind w:right="-426"/>
        <w:contextualSpacing/>
        <w:jc w:val="both"/>
        <w:rPr>
          <w:rFonts w:ascii="Times New Roman" w:eastAsia="Times New Roman" w:hAnsi="Times New Roman" w:cs="Times New Roman"/>
          <w:noProof/>
          <w:sz w:val="24"/>
          <w:szCs w:val="23"/>
        </w:rPr>
      </w:pPr>
    </w:p>
    <w:p>
      <w:pPr>
        <w:spacing w:after="0" w:line="240" w:lineRule="auto"/>
        <w:ind w:right="-426"/>
        <w:contextualSpacing/>
        <w:jc w:val="both"/>
        <w:rPr>
          <w:rFonts w:ascii="Times New Roman" w:eastAsia="Times New Roman" w:hAnsi="Times New Roman" w:cs="Times New Roman"/>
          <w:bCs/>
          <w:noProof/>
          <w:sz w:val="24"/>
          <w:szCs w:val="20"/>
        </w:rPr>
      </w:pPr>
      <w:r>
        <w:rPr>
          <w:rFonts w:ascii="Times New Roman" w:hAnsi="Times New Roman"/>
          <w:bCs/>
          <w:noProof/>
          <w:sz w:val="24"/>
          <w:szCs w:val="20"/>
        </w:rPr>
        <w:t xml:space="preserve">Komisija mudinās arī mežsaimniecībā ieinteresētās personas pievienoties Prasmju pilnveides paktam. </w:t>
      </w:r>
      <w:r>
        <w:rPr>
          <w:rFonts w:ascii="Times New Roman" w:hAnsi="Times New Roman"/>
          <w:noProof/>
          <w:sz w:val="24"/>
          <w:szCs w:val="20"/>
        </w:rPr>
        <w:t>Pakta mērķis ir mobilizēt un stimulēt privātā un publiskā sektora ieinteresēto personu konkrētu rīcību. Attiecīgo mežsaimniecībā ieinteresēto personu – gan publiskā, gan privātā sektora – apņemšanās nodrošināt mežsaimniecības nozarei vajadzīgo prasmju pilnveidi un pārkvalifikāciju var realizēties dažādos veidos, piemēram, kā liela mēroga partnerības, reģionālas/vietējas partnerības, trīspusējas vienošanās vai atsevišķu subjektu saistības.</w:t>
      </w:r>
      <w:r>
        <w:rPr>
          <w:rFonts w:ascii="Times New Roman" w:hAnsi="Times New Roman"/>
          <w:bCs/>
          <w:noProof/>
          <w:sz w:val="24"/>
          <w:szCs w:val="20"/>
        </w:rPr>
        <w:t xml:space="preserve"> </w:t>
      </w:r>
      <w:r>
        <w:rPr>
          <w:rFonts w:ascii="Times New Roman" w:hAnsi="Times New Roman"/>
          <w:noProof/>
          <w:sz w:val="24"/>
          <w:szCs w:val="20"/>
        </w:rPr>
        <w:t>Mežā un mežsaimniecībā ieinteresētās personas saskaņā ar paktu varētu sadarboties, lai mežsaimnieku izglītību un apmācību pielāgotu mūsdienu faktiskajiem uzdevumiem un vajadzībām.</w:t>
      </w:r>
      <w:r>
        <w:rPr>
          <w:rFonts w:ascii="Times New Roman" w:hAnsi="Times New Roman"/>
          <w:bCs/>
          <w:noProof/>
          <w:sz w:val="24"/>
          <w:szCs w:val="20"/>
        </w:rPr>
        <w:t xml:space="preserve"> Lai nozarei piesaistītu jauniešus un palīdzētu viņiem apgūt prasmes, kas vajadzīgas darbam ilgtspējīgā meža bioekonomikā, ir vajadzīga kvalitatīva un rezultatīva māceklība, arī darba vidē organizētas mācības.</w:t>
      </w:r>
    </w:p>
    <w:p>
      <w:pPr>
        <w:spacing w:after="0" w:line="240" w:lineRule="auto"/>
        <w:ind w:right="-426"/>
        <w:contextualSpacing/>
        <w:jc w:val="both"/>
        <w:rPr>
          <w:rFonts w:ascii="Times New Roman" w:eastAsia="Times New Roman" w:hAnsi="Times New Roman" w:cs="Times New Roman"/>
          <w:bCs/>
          <w:noProof/>
          <w:sz w:val="24"/>
          <w:szCs w:val="20"/>
        </w:rPr>
      </w:pPr>
      <w:r>
        <w:rPr>
          <w:noProof/>
        </w:rPr>
        <w:br/>
      </w:r>
      <w:r>
        <w:rPr>
          <w:rFonts w:ascii="Times New Roman" w:hAnsi="Times New Roman"/>
          <w:bCs/>
          <w:noProof/>
          <w:sz w:val="24"/>
          <w:szCs w:val="20"/>
        </w:rPr>
        <w:t>Lai mežsaimniecības nozares profesionāļiem nodrošinātu pārejā uz ilgtspējīgākām apsaimniekošanas praksēm noderīgās prasmes, dalībvalstis var izmantot Eiropas Sociālo fondu Plus (ESF+). Fondu var izmantot arī tam, lai nodarbinātību un uzņēmējdarbību veicinātu ar jauniem uzņēmumiem, kas valorizē mežsaimniecības produktu un pakalpojumu ilgtspējīgu izmantošanu, piemēram, organizē ekotūrismu, vai ar izglītojošām programmām par meža biodaudzveidību.</w:t>
      </w:r>
    </w:p>
    <w:p>
      <w:pPr>
        <w:spacing w:after="120" w:line="240" w:lineRule="auto"/>
        <w:ind w:right="-454"/>
        <w:contextualSpacing/>
        <w:jc w:val="both"/>
        <w:rPr>
          <w:rFonts w:ascii="Times New Roman" w:eastAsia="Times New Roman" w:hAnsi="Times New Roman" w:cs="Times New Roman"/>
          <w:bCs/>
          <w:noProof/>
          <w:sz w:val="24"/>
          <w:szCs w:val="20"/>
        </w:rPr>
      </w:pPr>
    </w:p>
    <w:p>
      <w:pPr>
        <w:spacing w:after="120" w:line="240" w:lineRule="auto"/>
        <w:ind w:right="-454"/>
        <w:contextualSpacing/>
        <w:jc w:val="both"/>
        <w:rPr>
          <w:rFonts w:ascii="Times New Roman" w:eastAsia="Times New Roman" w:hAnsi="Times New Roman" w:cs="Times New Roman"/>
          <w:bCs/>
          <w:noProof/>
          <w:sz w:val="24"/>
          <w:szCs w:val="20"/>
        </w:rPr>
      </w:pPr>
      <w:r>
        <w:rPr>
          <w:rFonts w:ascii="Times New Roman" w:hAnsi="Times New Roman"/>
          <w:bCs/>
          <w:noProof/>
          <w:sz w:val="24"/>
          <w:szCs w:val="20"/>
        </w:rPr>
        <w:t>Izmantojot Klimatizglītības koalīciju, Komisija turpinās veicināt sadarbību un piesaistīt skolēnu, studentu, skolotāju un ieinteresēto personu uzmanību mežu lomai</w:t>
      </w:r>
      <w:r>
        <w:rPr>
          <w:rFonts w:ascii="Times New Roman" w:eastAsia="Times New Roman" w:hAnsi="Times New Roman" w:cs="Times New Roman"/>
          <w:bCs/>
          <w:noProof/>
          <w:sz w:val="24"/>
          <w:szCs w:val="20"/>
          <w:vertAlign w:val="superscript"/>
        </w:rPr>
        <w:footnoteReference w:id="36"/>
      </w:r>
      <w:r>
        <w:rPr>
          <w:rFonts w:ascii="Times New Roman" w:hAnsi="Times New Roman"/>
          <w:bCs/>
          <w:noProof/>
          <w:sz w:val="24"/>
          <w:szCs w:val="20"/>
        </w:rPr>
        <w:t>, arī ieguvumiem, ko rada mācības brīvā dabā.</w:t>
      </w:r>
    </w:p>
    <w:p>
      <w:pPr>
        <w:spacing w:after="120" w:line="240" w:lineRule="auto"/>
        <w:ind w:right="-454"/>
        <w:contextualSpacing/>
        <w:jc w:val="both"/>
        <w:rPr>
          <w:rFonts w:ascii="Times New Roman" w:eastAsia="Times New Roman" w:hAnsi="Times New Roman" w:cs="Times New Roman"/>
          <w:bCs/>
          <w:noProof/>
          <w:sz w:val="24"/>
          <w:szCs w:val="20"/>
        </w:rPr>
      </w:pPr>
    </w:p>
    <w:p>
      <w:pPr>
        <w:spacing w:after="0" w:line="240" w:lineRule="auto"/>
        <w:ind w:right="-426"/>
        <w:contextualSpacing/>
        <w:jc w:val="both"/>
        <w:rPr>
          <w:rFonts w:ascii="Times New Roman" w:eastAsia="Cambria" w:hAnsi="Times New Roman" w:cs="Times New Roman"/>
          <w:noProof/>
          <w:sz w:val="24"/>
          <w:szCs w:val="20"/>
        </w:rPr>
      </w:pPr>
    </w:p>
    <w:tbl>
      <w:tblPr>
        <w:tblStyle w:val="TableGrid"/>
        <w:tblW w:w="9180" w:type="dxa"/>
        <w:tblLook w:val="04A0" w:firstRow="1" w:lastRow="0" w:firstColumn="1" w:lastColumn="0" w:noHBand="0" w:noVBand="1"/>
      </w:tblPr>
      <w:tblGrid>
        <w:gridCol w:w="9396"/>
      </w:tblGrid>
      <w:tr>
        <w:trPr>
          <w:trHeight w:val="416"/>
        </w:trPr>
        <w:tc>
          <w:tcPr>
            <w:tcW w:w="9180" w:type="dxa"/>
          </w:tcPr>
          <w:p>
            <w:pPr>
              <w:ind w:right="-426"/>
              <w:contextualSpacing/>
              <w:jc w:val="both"/>
              <w:rPr>
                <w:rFonts w:ascii="Times New Roman" w:eastAsia="Cambria" w:hAnsi="Times New Roman" w:cs="Times New Roman"/>
                <w:noProof/>
              </w:rPr>
            </w:pPr>
            <w:r>
              <w:rPr>
                <w:rFonts w:ascii="Times New Roman" w:hAnsi="Times New Roman"/>
                <w:noProof/>
              </w:rPr>
              <w:t>Komisijas ieceres</w:t>
            </w:r>
          </w:p>
          <w:tbl>
            <w:tblPr>
              <w:tblStyle w:val="TableGrid"/>
              <w:tblW w:w="9180" w:type="dxa"/>
              <w:tblLook w:val="04A0" w:firstRow="1" w:lastRow="0" w:firstColumn="1" w:lastColumn="0" w:noHBand="0" w:noVBand="1"/>
            </w:tblPr>
            <w:tblGrid>
              <w:gridCol w:w="9180"/>
            </w:tblGrid>
            <w:tr>
              <w:trPr>
                <w:trHeight w:val="416"/>
              </w:trPr>
              <w:tc>
                <w:tcPr>
                  <w:tcW w:w="9180" w:type="dxa"/>
                  <w:tcBorders>
                    <w:top w:val="nil"/>
                    <w:left w:val="nil"/>
                    <w:bottom w:val="nil"/>
                    <w:right w:val="nil"/>
                  </w:tcBorders>
                </w:tcPr>
                <w:p>
                  <w:pPr>
                    <w:numPr>
                      <w:ilvl w:val="0"/>
                      <w:numId w:val="22"/>
                    </w:numPr>
                    <w:jc w:val="both"/>
                    <w:rPr>
                      <w:rFonts w:ascii="Times New Roman" w:hAnsi="Times New Roman" w:cs="Times New Roman"/>
                      <w:noProof/>
                    </w:rPr>
                  </w:pPr>
                  <w:r>
                    <w:rPr>
                      <w:rFonts w:ascii="Times New Roman" w:hAnsi="Times New Roman"/>
                      <w:b/>
                      <w:bCs/>
                      <w:noProof/>
                    </w:rPr>
                    <w:t>Būvizstrādājumu regulas</w:t>
                  </w:r>
                  <w:r>
                    <w:rPr>
                      <w:rFonts w:ascii="Times New Roman" w:hAnsi="Times New Roman" w:cs="Times New Roman"/>
                      <w:noProof/>
                      <w:vertAlign w:val="superscript"/>
                      <w:lang w:val="en-IE"/>
                    </w:rPr>
                    <w:footnoteReference w:id="37"/>
                  </w:r>
                  <w:r>
                    <w:rPr>
                      <w:rFonts w:ascii="Times New Roman" w:hAnsi="Times New Roman"/>
                      <w:b/>
                      <w:bCs/>
                      <w:noProof/>
                    </w:rPr>
                    <w:t xml:space="preserve"> izskatīšanas</w:t>
                  </w:r>
                  <w:r>
                    <w:rPr>
                      <w:rFonts w:ascii="Times New Roman" w:hAnsi="Times New Roman"/>
                      <w:noProof/>
                    </w:rPr>
                    <w:t xml:space="preserve"> satvarā izstrādāt </w:t>
                  </w:r>
                  <w:r>
                    <w:rPr>
                      <w:rFonts w:ascii="Times New Roman" w:hAnsi="Times New Roman"/>
                      <w:b/>
                      <w:bCs/>
                      <w:noProof/>
                    </w:rPr>
                    <w:t>stabilu un pārredzamu standartmetodiku, kas ļauj koksnes būvizstrādājumu un citu būvmateriālu radītos klimatiskos ieguvumus izteikt skaitliski</w:t>
                  </w:r>
                  <w:r>
                    <w:rPr>
                      <w:rFonts w:ascii="Times New Roman" w:hAnsi="Times New Roman"/>
                      <w:noProof/>
                    </w:rPr>
                    <w:t>, izmantojot visprogresīvākos dzīves cikla dinamiskās analīzes paņēmienus.</w:t>
                  </w:r>
                </w:p>
                <w:p>
                  <w:pPr>
                    <w:numPr>
                      <w:ilvl w:val="0"/>
                      <w:numId w:val="22"/>
                    </w:numPr>
                    <w:jc w:val="both"/>
                    <w:rPr>
                      <w:rFonts w:ascii="Times New Roman" w:eastAsia="Cambria" w:hAnsi="Times New Roman" w:cs="Times New Roman"/>
                      <w:noProof/>
                    </w:rPr>
                  </w:pPr>
                  <w:r>
                    <w:rPr>
                      <w:rFonts w:ascii="Times New Roman" w:hAnsi="Times New Roman"/>
                      <w:noProof/>
                    </w:rPr>
                    <w:t xml:space="preserve">Lai palielinātu mežam domāto atbalstu, kopējās lauksaimniecības politikas satvarā nodrošināt </w:t>
                  </w:r>
                  <w:r>
                    <w:rPr>
                      <w:rFonts w:ascii="Times New Roman" w:hAnsi="Times New Roman"/>
                      <w:b/>
                      <w:noProof/>
                    </w:rPr>
                    <w:t>jaunus līdzekļus, ar kuriem iespējams kopīgot informāciju par</w:t>
                  </w:r>
                  <w:r>
                    <w:rPr>
                      <w:rFonts w:ascii="Times New Roman" w:hAnsi="Times New Roman"/>
                      <w:noProof/>
                    </w:rPr>
                    <w:t xml:space="preserve"> mežam relevanto intervenču </w:t>
                  </w:r>
                  <w:r>
                    <w:rPr>
                      <w:rFonts w:ascii="Times New Roman" w:hAnsi="Times New Roman"/>
                      <w:b/>
                      <w:bCs/>
                      <w:noProof/>
                    </w:rPr>
                    <w:t>izstrādes un īstenošanas paraugpraksi</w:t>
                  </w:r>
                  <w:r>
                    <w:rPr>
                      <w:rFonts w:ascii="Times New Roman" w:hAnsi="Times New Roman"/>
                      <w:noProof/>
                    </w:rPr>
                    <w:t>.</w:t>
                  </w:r>
                </w:p>
                <w:p>
                  <w:pPr>
                    <w:numPr>
                      <w:ilvl w:val="0"/>
                      <w:numId w:val="22"/>
                    </w:numPr>
                    <w:jc w:val="both"/>
                    <w:rPr>
                      <w:rFonts w:ascii="Times New Roman" w:hAnsi="Times New Roman" w:cs="Times New Roman"/>
                      <w:noProof/>
                    </w:rPr>
                  </w:pPr>
                  <w:r>
                    <w:rPr>
                      <w:rFonts w:ascii="Times New Roman" w:hAnsi="Times New Roman"/>
                      <w:b/>
                      <w:bCs/>
                      <w:noProof/>
                    </w:rPr>
                    <w:t xml:space="preserve">Popularizēt </w:t>
                  </w:r>
                  <w:r>
                    <w:rPr>
                      <w:rFonts w:ascii="Times New Roman" w:hAnsi="Times New Roman"/>
                      <w:b/>
                      <w:bCs/>
                      <w:i/>
                      <w:iCs/>
                      <w:noProof/>
                    </w:rPr>
                    <w:t>Natura 2000</w:t>
                  </w:r>
                  <w:r>
                    <w:rPr>
                      <w:rFonts w:ascii="Times New Roman" w:hAnsi="Times New Roman"/>
                      <w:b/>
                      <w:bCs/>
                      <w:noProof/>
                    </w:rPr>
                    <w:t xml:space="preserve"> logotipa izmantošanu meža nekoksnes produktiem un pakalpojumiem</w:t>
                  </w:r>
                  <w:r>
                    <w:rPr>
                      <w:rFonts w:ascii="Times New Roman" w:hAnsi="Times New Roman"/>
                      <w:bCs/>
                      <w:noProof/>
                    </w:rPr>
                    <w:t>.</w:t>
                  </w:r>
                </w:p>
                <w:p>
                  <w:pPr>
                    <w:numPr>
                      <w:ilvl w:val="0"/>
                      <w:numId w:val="22"/>
                    </w:numPr>
                    <w:jc w:val="both"/>
                    <w:rPr>
                      <w:rFonts w:ascii="Times New Roman" w:eastAsia="Cambria" w:hAnsi="Times New Roman" w:cs="Times New Roman"/>
                      <w:noProof/>
                    </w:rPr>
                  </w:pPr>
                  <w:r>
                    <w:rPr>
                      <w:rFonts w:ascii="Times New Roman" w:hAnsi="Times New Roman"/>
                      <w:noProof/>
                    </w:rPr>
                    <w:t xml:space="preserve">Izskatīt, papildināt un atjaunināt Taksonomijas regulas Deleģētajā aktā par klimatisko komponentu iekļautos tehniskās pārbaudes kritērijus attiecībā uz mežsaimniecību un bioenerģiju, kur tas vajadzīgs, lai labāk ņemtu vērā biodaudzveidībai labvēlīgas prakses, kas patlaban ir izstrādes procesā, tādas kā dabai tuva mežsaimniecība. Apsvērt iespēju </w:t>
                  </w:r>
                  <w:r>
                    <w:rPr>
                      <w:rFonts w:ascii="Times New Roman" w:hAnsi="Times New Roman"/>
                      <w:b/>
                      <w:bCs/>
                      <w:noProof/>
                    </w:rPr>
                    <w:t>ar koksnes produktu ieguvi, ražošanu un izmantošanu saistītas ilgtspējīgas darbības iekļaut</w:t>
                  </w:r>
                  <w:r>
                    <w:rPr>
                      <w:rFonts w:ascii="Times New Roman" w:hAnsi="Times New Roman"/>
                      <w:noProof/>
                    </w:rPr>
                    <w:t xml:space="preserve"> gaidāmajos Taksonomijas regulas</w:t>
                  </w:r>
                  <w:r>
                    <w:rPr>
                      <w:rFonts w:ascii="Times New Roman" w:hAnsi="Times New Roman" w:cs="Times New Roman"/>
                      <w:noProof/>
                      <w:vertAlign w:val="superscript"/>
                      <w:lang w:val="en-IE"/>
                    </w:rPr>
                    <w:footnoteReference w:id="38"/>
                  </w:r>
                  <w:r>
                    <w:rPr>
                      <w:rFonts w:ascii="Times New Roman" w:hAnsi="Times New Roman"/>
                      <w:noProof/>
                    </w:rPr>
                    <w:t xml:space="preserve"> deleģētajos aktos par citiem vidiskiem mērķiem.</w:t>
                  </w:r>
                </w:p>
                <w:p>
                  <w:pPr>
                    <w:numPr>
                      <w:ilvl w:val="0"/>
                      <w:numId w:val="22"/>
                    </w:numPr>
                    <w:jc w:val="both"/>
                    <w:rPr>
                      <w:rFonts w:ascii="Times New Roman" w:eastAsia="Cambria" w:hAnsi="Times New Roman" w:cs="Times New Roman"/>
                      <w:noProof/>
                    </w:rPr>
                  </w:pPr>
                  <w:r>
                    <w:rPr>
                      <w:rFonts w:ascii="Times New Roman" w:hAnsi="Times New Roman"/>
                      <w:noProof/>
                    </w:rPr>
                    <w:t xml:space="preserve">Izveidot </w:t>
                  </w:r>
                  <w:r>
                    <w:rPr>
                      <w:rFonts w:ascii="Times New Roman" w:hAnsi="Times New Roman"/>
                      <w:b/>
                      <w:bCs/>
                      <w:noProof/>
                    </w:rPr>
                    <w:t>jaunu tūrisma profesionāļu un mežsaimnieku aliansi</w:t>
                  </w:r>
                  <w:r>
                    <w:rPr>
                      <w:rFonts w:ascii="Times New Roman" w:hAnsi="Times New Roman"/>
                      <w:noProof/>
                    </w:rPr>
                    <w:t>, kurā iesaistīta Pasaules Tūrisma organizācija un Eiropas dabas un kultūras mantojuma tīkls.</w:t>
                  </w:r>
                </w:p>
                <w:p>
                  <w:pPr>
                    <w:numPr>
                      <w:ilvl w:val="0"/>
                      <w:numId w:val="22"/>
                    </w:numPr>
                    <w:jc w:val="both"/>
                    <w:rPr>
                      <w:rFonts w:ascii="Times New Roman" w:eastAsia="Cambria" w:hAnsi="Times New Roman" w:cs="Times New Roman"/>
                      <w:noProof/>
                    </w:rPr>
                  </w:pPr>
                  <w:r>
                    <w:rPr>
                      <w:rFonts w:ascii="Times New Roman" w:hAnsi="Times New Roman"/>
                      <w:b/>
                      <w:bCs/>
                      <w:noProof/>
                    </w:rPr>
                    <w:t>Izveidot rīkkopu</w:t>
                  </w:r>
                  <w:r>
                    <w:rPr>
                      <w:rFonts w:ascii="Times New Roman" w:hAnsi="Times New Roman"/>
                      <w:noProof/>
                    </w:rPr>
                    <w:t>, kas palīdzēs dalībvalstīm izstrādāt mežsaimniekiem domātas mūžilgas programmas un konsultācijas, izglītību un apmācību pielāgot mūsdienu meža problēmām, vajadzībām un realitātei un attīstīt nodarbinātības iespējas.</w:t>
                  </w:r>
                </w:p>
                <w:p>
                  <w:pPr>
                    <w:numPr>
                      <w:ilvl w:val="0"/>
                      <w:numId w:val="22"/>
                    </w:numPr>
                    <w:jc w:val="both"/>
                    <w:rPr>
                      <w:rFonts w:ascii="Times New Roman" w:eastAsia="Cambria" w:hAnsi="Times New Roman" w:cs="Times New Roman"/>
                      <w:noProof/>
                    </w:rPr>
                  </w:pPr>
                  <w:r>
                    <w:rPr>
                      <w:rFonts w:ascii="Times New Roman" w:hAnsi="Times New Roman"/>
                      <w:bCs/>
                      <w:noProof/>
                    </w:rPr>
                    <w:t xml:space="preserve">Mežā un mežsaimniecībā ieinteresētās personas mudināt </w:t>
                  </w:r>
                  <w:r>
                    <w:rPr>
                      <w:rFonts w:ascii="Times New Roman" w:hAnsi="Times New Roman"/>
                      <w:b/>
                      <w:bCs/>
                      <w:noProof/>
                    </w:rPr>
                    <w:t>Prasmju pakta paspārnē izveidot prasmju partnerību</w:t>
                  </w:r>
                  <w:r>
                    <w:rPr>
                      <w:rFonts w:ascii="Times New Roman" w:hAnsi="Times New Roman"/>
                      <w:bCs/>
                      <w:noProof/>
                    </w:rPr>
                    <w:t xml:space="preserve"> un izmantot Eiropas Sociālo fondu Plus, lai kopīgi strādātu pie prasmju pilnveides un pārkvalifikācijas iespēju palielināšanas mežsaimniecībā.</w:t>
                  </w:r>
                </w:p>
              </w:tc>
            </w:tr>
          </w:tbl>
          <w:p>
            <w:pPr>
              <w:pBdr>
                <w:top w:val="nil"/>
                <w:left w:val="nil"/>
                <w:bottom w:val="nil"/>
                <w:right w:val="nil"/>
                <w:between w:val="nil"/>
                <w:bar w:val="nil"/>
              </w:pBdr>
              <w:ind w:left="709"/>
              <w:rPr>
                <w:rFonts w:ascii="Times New Roman" w:eastAsia="Cambria" w:hAnsi="Times New Roman" w:cs="Times New Roman"/>
                <w:noProof/>
                <w:color w:val="000000"/>
                <w:u w:color="000000"/>
                <w:bdr w:val="nil"/>
                <w:lang w:eastAsia="en-GB"/>
              </w:rPr>
            </w:pPr>
          </w:p>
        </w:tc>
      </w:tr>
    </w:tbl>
    <w:p>
      <w:pPr>
        <w:autoSpaceDE w:val="0"/>
        <w:autoSpaceDN w:val="0"/>
        <w:adjustRightInd w:val="0"/>
        <w:spacing w:after="0" w:line="240" w:lineRule="auto"/>
        <w:ind w:left="720"/>
        <w:jc w:val="both"/>
        <w:rPr>
          <w:rFonts w:ascii="Times New Roman" w:hAnsi="Times New Roman" w:cs="Times New Roman"/>
          <w:b/>
          <w:i/>
          <w:noProof/>
          <w:sz w:val="24"/>
          <w:szCs w:val="24"/>
        </w:rPr>
      </w:pPr>
    </w:p>
    <w:p>
      <w:pPr>
        <w:numPr>
          <w:ilvl w:val="0"/>
          <w:numId w:val="21"/>
        </w:numPr>
        <w:pBdr>
          <w:top w:val="nil"/>
          <w:left w:val="nil"/>
          <w:bottom w:val="nil"/>
          <w:right w:val="nil"/>
          <w:between w:val="nil"/>
          <w:bar w:val="nil"/>
        </w:pBdr>
        <w:spacing w:after="0" w:line="240" w:lineRule="auto"/>
        <w:ind w:right="-426"/>
        <w:contextualSpacing/>
        <w:jc w:val="both"/>
        <w:rPr>
          <w:rFonts w:ascii="Times New Roman" w:eastAsia="Arial Unicode MS" w:hAnsi="Times New Roman" w:cs="Times New Roman"/>
          <w:b/>
          <w:bCs/>
          <w:noProof/>
          <w:color w:val="000000"/>
          <w:sz w:val="24"/>
          <w:szCs w:val="24"/>
          <w:u w:color="000000"/>
          <w:bdr w:val="nil"/>
        </w:rPr>
      </w:pPr>
      <w:r>
        <w:rPr>
          <w:rFonts w:ascii="Times New Roman" w:hAnsi="Times New Roman"/>
          <w:b/>
          <w:bCs/>
          <w:noProof/>
          <w:color w:val="000000"/>
          <w:sz w:val="24"/>
          <w:szCs w:val="24"/>
          <w:u w:color="000000"/>
          <w:bdr w:val="nil"/>
        </w:rPr>
        <w:t>Aizsargāt, atjaunot un paplašināt ES mežus, lai cīnītos pret klimata pārmaiņām, apvērstu biodaudzveidības izzušanu un nodrošinātu izturētspējīgas un daudzfunkcionālas meža ekosistēmas</w:t>
      </w:r>
    </w:p>
    <w:p>
      <w:pPr>
        <w:spacing w:after="0" w:line="240" w:lineRule="auto"/>
        <w:ind w:right="-426"/>
        <w:contextualSpacing/>
        <w:jc w:val="both"/>
        <w:rPr>
          <w:rFonts w:ascii="Times New Roman" w:eastAsia="Times New Roman" w:hAnsi="Times New Roman" w:cs="Times New Roman"/>
          <w:noProof/>
          <w:sz w:val="24"/>
          <w:szCs w:val="20"/>
        </w:rPr>
      </w:pPr>
    </w:p>
    <w:p>
      <w:pPr>
        <w:spacing w:after="120" w:line="240" w:lineRule="auto"/>
        <w:ind w:right="-453"/>
        <w:jc w:val="both"/>
        <w:rPr>
          <w:rFonts w:ascii="Calibri" w:eastAsia="Arial Unicode MS" w:hAnsi="Calibri" w:cs="Arial Unicode MS"/>
          <w:noProof/>
        </w:rPr>
      </w:pPr>
      <w:r>
        <w:rPr>
          <w:rFonts w:ascii="Times New Roman" w:hAnsi="Times New Roman"/>
          <w:noProof/>
          <w:sz w:val="24"/>
          <w:szCs w:val="20"/>
        </w:rPr>
        <w:t>Ņemot vērā klimata pārmaiņas un biodaudzveidības zudumu, ir steidzami vajadzīga adaptīva meža atjaunošana un uz ekosistēmām balstītas apsaimniekošanas pieejas, kas stiprina ES mežu izturētspēju. Tas ir priekšnosacījums tam, lai meži spētu pildīt savas sociālekonomiskās un vidiskās funkcijas arī nākamo paaudžu dzīves laikā un lai meža resursu bioekonomika nākamajās desmitgadēs varētu uzplaukt. Taču jādomā arī par to, kā nepieļaut meža katastrofu radīto sociālekonomisko izmaksu drastisku pieaugumu, pasargāt cilvēkus, zemi un mājas no plūdiem, ugunsgrēkiem un zemes noslīdeņiem un saglabāt oglekļa uzkrājēja un piesaistītāja funkciju, kā arī citus mežu nodrošinātos ekosistēmu pakalpojumus, kas ir vitāli svarīgi cilvēka veselībai un labbūtībai, tādus kā tīrs gaiss, ūdensrežīma regulēšana un dzīvotnes dažādām sugām, kas tajos mitinās.</w:t>
      </w:r>
    </w:p>
    <w:p>
      <w:pPr>
        <w:spacing w:after="0" w:line="240" w:lineRule="auto"/>
        <w:ind w:right="-426"/>
        <w:contextualSpacing/>
        <w:jc w:val="both"/>
        <w:rPr>
          <w:rFonts w:ascii="Times New Roman" w:eastAsia="Cambria" w:hAnsi="Times New Roman" w:cs="Times New Roman"/>
          <w:noProof/>
          <w:sz w:val="24"/>
          <w:szCs w:val="20"/>
        </w:rPr>
      </w:pPr>
      <w:r>
        <w:rPr>
          <w:rFonts w:ascii="Times New Roman" w:hAnsi="Times New Roman"/>
          <w:noProof/>
          <w:sz w:val="24"/>
          <w:szCs w:val="20"/>
        </w:rPr>
        <w:t>Lai uzlabotu meža izturētspēju un pielāgotiesspēju, arvien intensīvāk jāaizsargā un jāatjauno meža biodaudzveidība un jāievieš biodaudzveidībai labvēlīgas meža apsaimniekošanas prakses. Tas sagādā arī lielisku ekonomisko izdevību, ja meža īpašnieki un apsaimniekotāji pārkārtošanās procesā tiek pienācīgi atbalstīti. Pasaules Ekonomikas foruma dati liecina, ka mežu saglabāšana, atjaunošana un ilgtspējīga apsaimniekošana visā pasaulē līdz 2030. gadam varētu radīt uzņēmējdarbības iespējas 190 miljardu EUR vērtībā un 16 miljonus darbvietu</w:t>
      </w:r>
      <w:r>
        <w:rPr>
          <w:rFonts w:ascii="Times New Roman" w:eastAsia="Cambria" w:hAnsi="Times New Roman" w:cs="Times New Roman"/>
          <w:noProof/>
          <w:sz w:val="24"/>
          <w:szCs w:val="20"/>
          <w:vertAlign w:val="superscript"/>
        </w:rPr>
        <w:footnoteReference w:id="39"/>
      </w:r>
      <w:r>
        <w:rPr>
          <w:rFonts w:ascii="Times New Roman" w:hAnsi="Times New Roman"/>
          <w:noProof/>
          <w:sz w:val="24"/>
          <w:szCs w:val="20"/>
        </w:rPr>
        <w:t>.</w:t>
      </w:r>
    </w:p>
    <w:p>
      <w:pPr>
        <w:spacing w:after="0" w:line="240" w:lineRule="auto"/>
        <w:ind w:right="-426"/>
        <w:contextualSpacing/>
        <w:jc w:val="both"/>
        <w:rPr>
          <w:rFonts w:ascii="Times New Roman" w:eastAsia="Times New Roman"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Turklāt, ņemot vērā ar nākotnes mežiem saistīto būtisko nenoteiktību, ir vajadzīgas stabilas pieejas riska mazināšanai. Klimata pārmaiņas nozīmē meža pārmaiņas. Eiropas veģetācijas zonas ir sākušas pārvietoties uz augšu un uz ziemeļiem, un vairumā gadījumu tas izraisīs meža ekosistēmu pārveidošanos. Tas nozīmē, ka tikai pavisam nedaudzi meži būs tādi, kurus klimata pārmaiņas neskars smagi vai kuriem nebūs vajadzīga tūlītēja apsaimniekošana, kas mazinātu to neaizsargātību pret klimata pārmaiņām.</w:t>
      </w:r>
    </w:p>
    <w:p>
      <w:pPr>
        <w:spacing w:after="0" w:line="240" w:lineRule="auto"/>
        <w:ind w:right="-426"/>
        <w:contextualSpacing/>
        <w:jc w:val="both"/>
        <w:rPr>
          <w:rFonts w:ascii="Times New Roman" w:eastAsia="Times New Roman"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Meža īpašnieki un apsaimniekotāji visā Eiropā jau skaidri apzinās klimata pārmaiņas un ir nobažījušies par to ietekmi. Šai izpratnei jāpāraug pietiekamās un taustāmās pielāgošanās darbībās un izturētspēju veicinošās meža apsaimniekošanas praksēs. Šajā nolūkā jāpilnveido tehniskās zināšanas un informācija un jāizstrādā mērķorientēti regulatīvie un finansiālie stimuli un atbalsts. Šīs stratēģijas mērķis ir pievērsties šiem jautājumiem, lai atbalstītu meža īpašnieku un apsaimniekotāju centienus, izvērstu paraugprakses un nākamajās desmitgadēs nodrošinātu ES mežainuma palielināšanos un uzlabošanos.</w:t>
      </w:r>
    </w:p>
    <w:p>
      <w:pPr>
        <w:autoSpaceDE w:val="0"/>
        <w:autoSpaceDN w:val="0"/>
        <w:adjustRightInd w:val="0"/>
        <w:spacing w:after="0" w:line="240" w:lineRule="auto"/>
        <w:jc w:val="both"/>
        <w:rPr>
          <w:rFonts w:ascii="Times New Roman" w:hAnsi="Times New Roman" w:cs="Times New Roman"/>
          <w:noProof/>
          <w:sz w:val="24"/>
          <w:szCs w:val="24"/>
        </w:rPr>
      </w:pPr>
    </w:p>
    <w:p>
      <w:pPr>
        <w:numPr>
          <w:ilvl w:val="1"/>
          <w:numId w:val="21"/>
        </w:numPr>
        <w:autoSpaceDE w:val="0"/>
        <w:autoSpaceDN w:val="0"/>
        <w:adjustRightInd w:val="0"/>
        <w:spacing w:after="0" w:line="240" w:lineRule="auto"/>
        <w:ind w:right="-426"/>
        <w:jc w:val="both"/>
        <w:rPr>
          <w:rFonts w:ascii="Arial" w:eastAsia="Cambria" w:hAnsi="Arial" w:cs="Arial"/>
          <w:noProof/>
          <w:color w:val="000000"/>
          <w:sz w:val="24"/>
          <w:szCs w:val="24"/>
        </w:rPr>
      </w:pPr>
      <w:r>
        <w:rPr>
          <w:rFonts w:ascii="Times New Roman" w:hAnsi="Times New Roman"/>
          <w:i/>
          <w:iCs/>
          <w:noProof/>
        </w:rPr>
        <w:t>Aizsargāt pēdējos atlikušos ES pirmatnējos un senos mežus</w:t>
      </w:r>
    </w:p>
    <w:p>
      <w:pPr>
        <w:tabs>
          <w:tab w:val="left" w:pos="3780"/>
        </w:tabs>
        <w:spacing w:after="0" w:line="240" w:lineRule="auto"/>
        <w:ind w:right="-426"/>
        <w:jc w:val="both"/>
        <w:rPr>
          <w:rFonts w:ascii="Times New Roman" w:eastAsia="Cambria" w:hAnsi="Times New Roman" w:cs="Times New Roman"/>
          <w:noProof/>
          <w:sz w:val="24"/>
          <w:szCs w:val="20"/>
        </w:rPr>
      </w:pPr>
    </w:p>
    <w:p>
      <w:pPr>
        <w:tabs>
          <w:tab w:val="left" w:pos="3780"/>
        </w:tabs>
        <w:spacing w:after="0" w:line="240" w:lineRule="auto"/>
        <w:ind w:right="-426"/>
        <w:jc w:val="both"/>
        <w:rPr>
          <w:rFonts w:ascii="Times New Roman" w:eastAsia="Cambria" w:hAnsi="Times New Roman" w:cs="Times New Roman"/>
          <w:noProof/>
          <w:sz w:val="24"/>
          <w:szCs w:val="20"/>
        </w:rPr>
      </w:pPr>
      <w:r>
        <w:rPr>
          <w:rFonts w:ascii="Times New Roman" w:hAnsi="Times New Roman"/>
          <w:noProof/>
          <w:sz w:val="24"/>
          <w:szCs w:val="20"/>
        </w:rPr>
        <w:t>Lai dabai būtu vieta, kur uzplaukt, ES Biodaudzveidības stratēģijā 2030. gadam ir ierosināts vispārējs mērķrādītājs, kas paredz, ka vismaz 30 % ES sauszemes teritorijas būtu jāaizsargā un sekmīgi jāpārvalda un no tiem 10 % ES sauszemes teritorijas būtu stingri juridiski jāaizsargā. Šā mērķrādītāja sasniegšanā sava nozīme būs arī meža ekosistēmām.</w:t>
      </w:r>
    </w:p>
    <w:p>
      <w:pPr>
        <w:tabs>
          <w:tab w:val="left" w:pos="3780"/>
        </w:tabs>
        <w:spacing w:after="0" w:line="240" w:lineRule="auto"/>
        <w:ind w:right="-426"/>
        <w:jc w:val="both"/>
        <w:rPr>
          <w:rFonts w:ascii="Times New Roman" w:eastAsia="Cambria" w:hAnsi="Times New Roman" w:cs="Times New Roman"/>
          <w:noProof/>
          <w:sz w:val="24"/>
          <w:szCs w:val="24"/>
        </w:rPr>
      </w:pPr>
    </w:p>
    <w:p>
      <w:pPr>
        <w:tabs>
          <w:tab w:val="left" w:pos="3780"/>
        </w:tabs>
        <w:spacing w:after="0" w:line="240" w:lineRule="auto"/>
        <w:ind w:right="-426"/>
        <w:jc w:val="both"/>
        <w:rPr>
          <w:rFonts w:ascii="Times New Roman" w:eastAsia="Cambria" w:hAnsi="Times New Roman" w:cs="Times New Roman"/>
          <w:noProof/>
          <w:sz w:val="24"/>
          <w:szCs w:val="20"/>
        </w:rPr>
      </w:pPr>
      <w:r>
        <w:rPr>
          <w:rFonts w:ascii="Times New Roman" w:hAnsi="Times New Roman"/>
          <w:noProof/>
          <w:sz w:val="24"/>
          <w:szCs w:val="20"/>
        </w:rPr>
        <w:t>It īpaši būs stingri jāaizsargā visi pirmatnējie un senie meži. To aplēstā platība ir tikai aptuveni 3 % no ES mežiem klātās zemes, un parasti tie ir mazi un sadrumstaloti. Pirmatnējie un senie meži ir ne tikai vienas no bagātākajām ES meža ekosistēmām, bet arī glabā lielus oglekļa uzkrājumus un piesaista oglekli no atmosfēras, un tajā pašā laikā tie ir ārkārtīgi nozīmīgi biodaudzveidības un izšķirīgu ekosistēmas pakalpojumu sniegšanas aspektā</w:t>
      </w:r>
      <w:r>
        <w:rPr>
          <w:rFonts w:ascii="Times New Roman" w:eastAsia="Times New Roman" w:hAnsi="Times New Roman" w:cs="Times New Roman"/>
          <w:noProof/>
          <w:sz w:val="24"/>
          <w:szCs w:val="20"/>
          <w:vertAlign w:val="superscript"/>
        </w:rPr>
        <w:footnoteReference w:id="40"/>
      </w:r>
      <w:r>
        <w:rPr>
          <w:rFonts w:ascii="Times New Roman" w:hAnsi="Times New Roman"/>
          <w:noProof/>
          <w:sz w:val="24"/>
          <w:szCs w:val="20"/>
        </w:rPr>
        <w:t>.</w:t>
      </w:r>
    </w:p>
    <w:p>
      <w:pPr>
        <w:tabs>
          <w:tab w:val="left" w:pos="3780"/>
        </w:tabs>
        <w:spacing w:after="0" w:line="240" w:lineRule="auto"/>
        <w:ind w:right="-426"/>
        <w:jc w:val="both"/>
        <w:rPr>
          <w:rFonts w:ascii="Times New Roman" w:eastAsia="Cambria" w:hAnsi="Times New Roman" w:cs="Times New Roman"/>
          <w:noProof/>
          <w:sz w:val="24"/>
          <w:szCs w:val="20"/>
        </w:rPr>
      </w:pPr>
    </w:p>
    <w:p>
      <w:pPr>
        <w:tabs>
          <w:tab w:val="left" w:pos="3780"/>
        </w:tabs>
        <w:spacing w:after="0" w:line="240" w:lineRule="auto"/>
        <w:ind w:right="-426"/>
        <w:jc w:val="both"/>
        <w:rPr>
          <w:rFonts w:ascii="Times New Roman" w:eastAsia="Cambria" w:hAnsi="Times New Roman" w:cs="Times New Roman"/>
          <w:noProof/>
          <w:sz w:val="24"/>
          <w:szCs w:val="20"/>
        </w:rPr>
      </w:pPr>
      <w:r>
        <w:rPr>
          <w:rFonts w:ascii="Times New Roman" w:hAnsi="Times New Roman"/>
          <w:noProof/>
          <w:sz w:val="24"/>
          <w:szCs w:val="20"/>
        </w:rPr>
        <w:t xml:space="preserve">Taču joprojām pastāv </w:t>
      </w:r>
      <w:r>
        <w:rPr>
          <w:rFonts w:ascii="Times New Roman" w:hAnsi="Times New Roman"/>
          <w:b/>
          <w:noProof/>
          <w:sz w:val="24"/>
          <w:szCs w:val="20"/>
        </w:rPr>
        <w:t>steidzama vajadzība kartēt pirmatnējos un senos mežus un izveidot to aizsardzības režīmu</w:t>
      </w:r>
      <w:r>
        <w:rPr>
          <w:rFonts w:ascii="Times New Roman" w:hAnsi="Times New Roman"/>
          <w:noProof/>
          <w:sz w:val="24"/>
          <w:szCs w:val="20"/>
        </w:rPr>
        <w:t>, tāpat arī pastiprināt centienus aizsargāt Savienības tālāko reģionu un aizjūras teritoriju pirmatnējos mežus, ņemot vērā to ārkārtīgi augsto un unikālo vērtību biodaudzveidības ziņā. Lai stingri aizsargājamie meži savā būtībā paliktu netraucēti, ir svarīgi meža cikla dinamiku šajos mežos pēc iespējas atstāt dabisko procesu ziņā, ierobežot cilvēka darbības, kas saistītas ar ieguvi, un vienlaikus rast sinerģijas ar ilgtspējīgu ekotūrismu un atpūtas iespējām.</w:t>
      </w:r>
    </w:p>
    <w:p>
      <w:pPr>
        <w:spacing w:after="0" w:line="240" w:lineRule="auto"/>
        <w:ind w:right="-426"/>
        <w:jc w:val="both"/>
        <w:rPr>
          <w:rFonts w:ascii="Times New Roman" w:eastAsia="Cambria" w:hAnsi="Times New Roman" w:cs="Times New Roman"/>
          <w:noProof/>
          <w:sz w:val="24"/>
          <w:szCs w:val="20"/>
        </w:rPr>
      </w:pPr>
    </w:p>
    <w:p>
      <w:pPr>
        <w:spacing w:after="0" w:line="240" w:lineRule="auto"/>
        <w:ind w:right="-426"/>
        <w:jc w:val="both"/>
        <w:rPr>
          <w:rFonts w:ascii="Times New Roman" w:eastAsia="Cambria" w:hAnsi="Times New Roman" w:cs="Times New Roman"/>
          <w:b/>
          <w:noProof/>
          <w:sz w:val="24"/>
          <w:szCs w:val="20"/>
        </w:rPr>
      </w:pPr>
      <w:r>
        <w:rPr>
          <w:rFonts w:ascii="Times New Roman" w:hAnsi="Times New Roman"/>
          <w:noProof/>
          <w:sz w:val="24"/>
          <w:szCs w:val="20"/>
        </w:rPr>
        <w:t xml:space="preserve">Komisija sadarbojas ar dalībvalstīm un ieinteresētajām personām, lai līdz 2021. gada beigām vienotos par </w:t>
      </w:r>
      <w:r>
        <w:rPr>
          <w:rFonts w:ascii="Times New Roman" w:hAnsi="Times New Roman"/>
          <w:b/>
          <w:bCs/>
          <w:noProof/>
          <w:sz w:val="24"/>
          <w:szCs w:val="20"/>
        </w:rPr>
        <w:t>pirmatnējo un seno mežu kopīgu definīciju</w:t>
      </w:r>
      <w:r>
        <w:rPr>
          <w:rFonts w:ascii="Times New Roman" w:hAnsi="Times New Roman"/>
          <w:noProof/>
          <w:sz w:val="24"/>
          <w:szCs w:val="20"/>
        </w:rPr>
        <w:t xml:space="preserve"> un stingras aizsardzības režīmu. </w:t>
      </w:r>
      <w:r>
        <w:rPr>
          <w:rFonts w:ascii="Times New Roman" w:hAnsi="Times New Roman"/>
          <w:b/>
          <w:noProof/>
          <w:sz w:val="24"/>
          <w:szCs w:val="20"/>
        </w:rPr>
        <w:t>Dalībvalstīm būtu steidzami jārīkojas, lai pabeigtu šo mežu kartēšanu, veiktu to monitoringu un nodrošinātu, ka tie netiek noplicināti, pirms tās sākušas piemērot aizsardzības režīmu.</w:t>
      </w:r>
    </w:p>
    <w:p>
      <w:pPr>
        <w:spacing w:after="0" w:line="240" w:lineRule="auto"/>
        <w:ind w:right="-426"/>
        <w:contextualSpacing/>
        <w:jc w:val="both"/>
        <w:rPr>
          <w:rFonts w:ascii="Times New Roman" w:eastAsia="Cambria" w:hAnsi="Times New Roman" w:cs="Times New Roman"/>
          <w:noProof/>
          <w:color w:val="000000" w:themeColor="text1"/>
          <w:sz w:val="24"/>
          <w:szCs w:val="20"/>
        </w:rPr>
      </w:pPr>
    </w:p>
    <w:p>
      <w:pPr>
        <w:numPr>
          <w:ilvl w:val="1"/>
          <w:numId w:val="21"/>
        </w:numPr>
        <w:autoSpaceDE w:val="0"/>
        <w:autoSpaceDN w:val="0"/>
        <w:adjustRightInd w:val="0"/>
        <w:spacing w:after="0" w:line="240" w:lineRule="auto"/>
        <w:jc w:val="both"/>
        <w:rPr>
          <w:rFonts w:ascii="Times New Roman" w:hAnsi="Times New Roman" w:cs="Times New Roman"/>
          <w:i/>
          <w:iCs/>
          <w:noProof/>
        </w:rPr>
      </w:pPr>
      <w:r>
        <w:rPr>
          <w:rFonts w:ascii="Times New Roman" w:hAnsi="Times New Roman"/>
          <w:i/>
          <w:iCs/>
          <w:noProof/>
        </w:rPr>
        <w:t>Nodrošināt meža atjaunošanu un uzlabotu ilgtspējīgu meža apsaimniekošanu, kas nāk par labu klimatadaptācijai un meža izturētspējai</w:t>
      </w:r>
    </w:p>
    <w:p>
      <w:pPr>
        <w:autoSpaceDE w:val="0"/>
        <w:autoSpaceDN w:val="0"/>
        <w:adjustRightInd w:val="0"/>
        <w:spacing w:after="0" w:line="240" w:lineRule="auto"/>
        <w:jc w:val="both"/>
        <w:rPr>
          <w:rFonts w:ascii="Arial" w:eastAsia="Cambria" w:hAnsi="Arial" w:cs="Arial"/>
          <w:noProof/>
          <w:color w:val="000000"/>
          <w:sz w:val="24"/>
          <w:szCs w:val="24"/>
        </w:rPr>
      </w:pPr>
    </w:p>
    <w:p>
      <w:pPr>
        <w:spacing w:after="120" w:line="240" w:lineRule="auto"/>
        <w:ind w:right="-454"/>
        <w:jc w:val="both"/>
        <w:rPr>
          <w:rFonts w:ascii="Times New Roman" w:eastAsia="Times New Roman" w:hAnsi="Times New Roman" w:cs="Times New Roman"/>
          <w:noProof/>
          <w:sz w:val="24"/>
          <w:szCs w:val="20"/>
        </w:rPr>
      </w:pPr>
      <w:r>
        <w:rPr>
          <w:rFonts w:ascii="Times New Roman" w:hAnsi="Times New Roman"/>
          <w:noProof/>
          <w:sz w:val="24"/>
          <w:szCs w:val="20"/>
        </w:rPr>
        <w:t>Meža apsaimniekošanas prakses, kas saglabā un atjauno biodaudzveidību, palīdz veidot izturētspējīgākus mežus, kuri var pildīt savas sociālekonomiskās un vidiskās funkcijas. Tāpēc visi meži arvien vairāk būtu jāapsaimnieko tā, lai tie būtu pietiekami biodaudzveidīgi, ņemot vērā dabisko apstākļu, bioģeogrāfisko reģionu un meža tipoloģijas atšķirības. Pastāv plašas iespējas veikt visām pusēm izdevīgus pasākumus, kas vienlaikus uzlabo meža produktivitāti, kokmateriālu ieguvi, biodaudzveidību, oglekļa piesaistītāja funkciju, veselīgas augsnes īpašības un klimatnoturību. Lielāka meža ekosistēmu un sugu daudzveidība un labi pielāgojušos ģenētisko resursu un uz ekosistēmām balstītu pieeju izmantošana meža apsaimniekošanā var uzlabot meža ilgtermiņa pielāgotiesspēju un atkopšanās un pašregulācijas spēju.</w:t>
      </w:r>
    </w:p>
    <w:p>
      <w:pPr>
        <w:spacing w:after="120" w:line="240" w:lineRule="auto"/>
        <w:ind w:right="-454"/>
        <w:jc w:val="both"/>
        <w:rPr>
          <w:rFonts w:ascii="Times New Roman" w:eastAsia="Times New Roman" w:hAnsi="Times New Roman" w:cs="Times New Roman"/>
          <w:noProof/>
          <w:sz w:val="24"/>
          <w:szCs w:val="24"/>
        </w:rPr>
      </w:pPr>
      <w:r>
        <w:rPr>
          <w:rFonts w:ascii="Times New Roman" w:hAnsi="Times New Roman"/>
          <w:noProof/>
          <w:sz w:val="24"/>
          <w:szCs w:val="20"/>
        </w:rPr>
        <w:t>Turklāt būtiskas šajā kontekstā ir dažas apsaimniekošanas prakses, kas veicina biodaudzveidību un izturētspēju, piemēram, monokultūru plantāciju vietā vēlams ierīkot un uzturēt audzes un ainavas līmenī ģenētiski un funkcionāli daudzveidīgus jauktos mežus, kuros aug vairāk platlapju un vasarzaļo sugu koku un sastopamas sugas ar dažādu biotisko un abiotisko jutīgumu un pēctraucējumu atkopšanās mehānismiem. Arī tādas apsaimniekošanas prakses kā dažādvecuma audžu un nepārtraukta meža klājuma mežsaimniecība, pietiekams atmirušās koksnes daudzums, savvaļas dzīvnieku blīvuma regulēšana un aizsargājamo dzīvotņu laukumu vai neapsaimniekotu platību ierīkošana saimnieciskajos mežos palīdz nodrošināt mežu ilgtermiņa vidisko un sociālekonomisko dzīvotspēju. Turklāt ar mežu saistītas riska pārvaldības prakses, piemēram, integrētas ainavu ugunsgrēku pārvaldības sistēmas, palielinās meža noturību pret dabas ugunsgrēkiem, kaitēkļiem, slimībām un radīs citus labvēlīgus blakusefektus. Šādas prakses kalpo par sava veida apdrošināšanu un garantē to, ka arī mainīgā un neskaidrā nākotnē meži var nodrošināt plašu un daudzfunkcionālu preču un pakalpojumu klāstu.</w:t>
      </w:r>
    </w:p>
    <w:p>
      <w:pPr>
        <w:autoSpaceDE w:val="0"/>
        <w:autoSpaceDN w:val="0"/>
        <w:adjustRightInd w:val="0"/>
        <w:spacing w:after="0" w:line="240" w:lineRule="auto"/>
        <w:ind w:right="-454"/>
        <w:jc w:val="both"/>
        <w:rPr>
          <w:rFonts w:ascii="Times New Roman" w:eastAsia="Cambria" w:hAnsi="Times New Roman" w:cs="Times New Roman"/>
          <w:noProof/>
          <w:color w:val="000000"/>
          <w:sz w:val="24"/>
          <w:szCs w:val="24"/>
        </w:rPr>
      </w:pPr>
      <w:r>
        <w:rPr>
          <w:rFonts w:ascii="Times New Roman" w:hAnsi="Times New Roman"/>
          <w:noProof/>
          <w:color w:val="000000"/>
          <w:sz w:val="24"/>
          <w:szCs w:val="24"/>
        </w:rPr>
        <w:t>Savukārt dažas citas prakses būtu jāpiekopj piesardzīgi</w:t>
      </w:r>
      <w:r>
        <w:rPr>
          <w:rFonts w:ascii="Times New Roman" w:eastAsia="Cambria" w:hAnsi="Times New Roman" w:cs="Times New Roman"/>
          <w:noProof/>
          <w:color w:val="000000"/>
          <w:sz w:val="24"/>
          <w:szCs w:val="24"/>
          <w:vertAlign w:val="superscript"/>
        </w:rPr>
        <w:footnoteReference w:id="41"/>
      </w:r>
      <w:r>
        <w:rPr>
          <w:rFonts w:ascii="Times New Roman" w:hAnsi="Times New Roman"/>
          <w:noProof/>
          <w:color w:val="000000"/>
          <w:sz w:val="24"/>
          <w:szCs w:val="24"/>
        </w:rPr>
        <w:t xml:space="preserve">, īpaši tās, kas ietekmē virszemes biodaudzveidību un izraisa saknēs uzkrātā oglekļa un daļēju augsnē uzkrātā oglekļa zudumu. </w:t>
      </w:r>
      <w:r>
        <w:rPr>
          <w:rFonts w:ascii="Times New Roman" w:hAnsi="Times New Roman"/>
          <w:noProof/>
          <w:sz w:val="24"/>
          <w:szCs w:val="24"/>
        </w:rPr>
        <w:t>Pie šādām mežkopības praksēm pieder kailcirtes, kuru sakarā arvien vairāk būtu jāņem vērā vidiskie un ekosistēmiskie apsvērumi, arī konkrētu sugu vajadzības.</w:t>
      </w:r>
      <w:r>
        <w:rPr>
          <w:rFonts w:ascii="Times New Roman" w:hAnsi="Times New Roman"/>
          <w:noProof/>
          <w:sz w:val="24"/>
        </w:rPr>
        <w:t xml:space="preserve"> </w:t>
      </w:r>
      <w:r>
        <w:rPr>
          <w:rFonts w:ascii="Times New Roman" w:hAnsi="Times New Roman"/>
          <w:noProof/>
          <w:color w:val="000000"/>
          <w:sz w:val="24"/>
          <w:szCs w:val="24"/>
        </w:rPr>
        <w:t>Šīs prakses būtu jāizmanto tikai pienācīgi pamatotos gadījumos. Tāpat būtu jāatsakās arī no celmu un sakņu izvākšanas – tie būtu jāatstāj mežā. Mežizstrāde putnu ligzdošanas periodā jāveic saskaņā ar Putnu direktīvu</w:t>
      </w:r>
      <w:r>
        <w:rPr>
          <w:rFonts w:ascii="Times New Roman" w:eastAsia="Cambria" w:hAnsi="Times New Roman" w:cs="Times New Roman"/>
          <w:noProof/>
          <w:color w:val="000000"/>
          <w:sz w:val="24"/>
          <w:szCs w:val="24"/>
          <w:vertAlign w:val="superscript"/>
        </w:rPr>
        <w:footnoteReference w:id="42"/>
      </w:r>
      <w:r>
        <w:rPr>
          <w:rFonts w:ascii="Times New Roman" w:hAnsi="Times New Roman"/>
          <w:noProof/>
          <w:color w:val="000000"/>
          <w:sz w:val="24"/>
          <w:szCs w:val="24"/>
        </w:rPr>
        <w:t>.</w:t>
      </w:r>
    </w:p>
    <w:p>
      <w:pPr>
        <w:spacing w:after="0" w:line="240" w:lineRule="auto"/>
        <w:ind w:right="-454"/>
        <w:contextualSpacing/>
        <w:jc w:val="both"/>
        <w:rPr>
          <w:rFonts w:ascii="Times New Roman" w:eastAsia="Times New Roman" w:hAnsi="Times New Roman" w:cs="Times New Roman"/>
          <w:noProof/>
          <w:sz w:val="24"/>
          <w:szCs w:val="24"/>
        </w:rPr>
      </w:pPr>
    </w:p>
    <w:p>
      <w:pPr>
        <w:spacing w:after="0" w:line="240" w:lineRule="auto"/>
        <w:ind w:right="-454"/>
        <w:contextualSpacing/>
        <w:jc w:val="both"/>
        <w:rPr>
          <w:rFonts w:ascii="Times New Roman" w:eastAsia="Cambria" w:hAnsi="Times New Roman" w:cs="Times New Roman"/>
          <w:noProof/>
          <w:sz w:val="24"/>
          <w:szCs w:val="20"/>
        </w:rPr>
      </w:pPr>
      <w:r>
        <w:rPr>
          <w:rFonts w:ascii="Times New Roman" w:hAnsi="Times New Roman"/>
          <w:noProof/>
          <w:sz w:val="24"/>
          <w:szCs w:val="20"/>
        </w:rPr>
        <w:t>Īpaši svarīgi ir rūpēties par meža augsni, jo starp kokiem un augsni, kurā tie aug, pastāv cieša savstarpējā atkarība. Lai koki varētu augt, koku saknēm no augsnes jāuzņem visi svarīgie elementi un barības vielas. Tāpēc augsnes īpašības un augsnes ekosistēmas pakalpojumi jāaizsargā, jo tie ir veselīgu un produktīvu mežu pamatu pamats. Piemēram, nedrīkstētu pieļaut, ka bez vajadzības tiek izmantota nepiemērota tehnika, kas nelabvēlīgi ietekmē vidi, piemēram, sablīvē augsni.</w:t>
      </w:r>
    </w:p>
    <w:p>
      <w:pPr>
        <w:spacing w:after="0" w:line="240" w:lineRule="auto"/>
        <w:ind w:right="-454"/>
        <w:contextualSpacing/>
        <w:jc w:val="both"/>
        <w:rPr>
          <w:rFonts w:ascii="Times New Roman" w:eastAsia="Cambria" w:hAnsi="Times New Roman" w:cs="Times New Roman"/>
          <w:noProof/>
          <w:sz w:val="24"/>
          <w:szCs w:val="24"/>
        </w:rPr>
      </w:pPr>
    </w:p>
    <w:p>
      <w:pPr>
        <w:spacing w:after="0" w:line="240" w:lineRule="auto"/>
        <w:ind w:right="-454"/>
        <w:contextualSpacing/>
        <w:jc w:val="both"/>
        <w:rPr>
          <w:rFonts w:ascii="Times New Roman" w:eastAsia="Cambria" w:hAnsi="Times New Roman" w:cs="Times New Roman"/>
          <w:noProof/>
          <w:sz w:val="24"/>
          <w:szCs w:val="20"/>
        </w:rPr>
      </w:pPr>
      <w:r>
        <w:rPr>
          <w:rFonts w:ascii="Times New Roman" w:hAnsi="Times New Roman"/>
          <w:noProof/>
          <w:sz w:val="24"/>
          <w:szCs w:val="20"/>
        </w:rPr>
        <w:t>Daudzi Eiropas meža īpašnieki un apsaimniekotāji iepriekš minētos ilgtspējīgākos principus un prakses jau ir ieviesuši ilgtspējīgā meža apsaimniekošanā, un nākotnē tiem jābūt šādas apsaimniekošanas pamatā.</w:t>
      </w:r>
    </w:p>
    <w:p>
      <w:pPr>
        <w:spacing w:after="0" w:line="240" w:lineRule="auto"/>
        <w:ind w:right="-454"/>
        <w:contextualSpacing/>
        <w:jc w:val="both"/>
        <w:rPr>
          <w:rFonts w:ascii="Times New Roman" w:eastAsia="Cambria" w:hAnsi="Times New Roman" w:cs="Times New Roman"/>
          <w:noProof/>
          <w:sz w:val="24"/>
          <w:szCs w:val="20"/>
        </w:rPr>
      </w:pPr>
    </w:p>
    <w:p>
      <w:pPr>
        <w:spacing w:after="0" w:line="240" w:lineRule="auto"/>
        <w:ind w:right="-454"/>
        <w:contextualSpacing/>
        <w:jc w:val="both"/>
        <w:rPr>
          <w:rFonts w:ascii="Times New Roman" w:eastAsia="Cambria" w:hAnsi="Times New Roman" w:cs="Times New Roman"/>
          <w:noProof/>
          <w:sz w:val="24"/>
          <w:szCs w:val="24"/>
        </w:rPr>
      </w:pPr>
    </w:p>
    <w:p>
      <w:pPr>
        <w:spacing w:after="0" w:line="240" w:lineRule="auto"/>
        <w:ind w:right="-454"/>
        <w:contextualSpacing/>
        <w:jc w:val="both"/>
        <w:rPr>
          <w:rFonts w:ascii="Times New Roman" w:eastAsia="Cambria"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120" w:line="240" w:lineRule="auto"/>
        <w:ind w:right="-454"/>
        <w:jc w:val="center"/>
        <w:rPr>
          <w:rFonts w:ascii="Times New Roman" w:eastAsia="Cambria" w:hAnsi="Times New Roman" w:cs="Times New Roman"/>
          <w:b/>
          <w:bCs/>
          <w:noProof/>
          <w:sz w:val="24"/>
          <w:szCs w:val="20"/>
        </w:rPr>
      </w:pPr>
      <w:r>
        <w:rPr>
          <w:rFonts w:ascii="Times New Roman" w:hAnsi="Times New Roman"/>
          <w:b/>
          <w:bCs/>
          <w:noProof/>
          <w:sz w:val="24"/>
          <w:szCs w:val="20"/>
        </w:rPr>
        <w:t>Laba meža apsaimniekošanas prakse, kas palīdz saglabāt un atjaunot biodaudzveidību (piemēri)</w:t>
      </w:r>
    </w:p>
    <w:p>
      <w:pPr>
        <w:pBdr>
          <w:top w:val="single" w:sz="4" w:space="1" w:color="auto"/>
          <w:left w:val="single" w:sz="4" w:space="4" w:color="auto"/>
          <w:bottom w:val="single" w:sz="4" w:space="1" w:color="auto"/>
          <w:right w:val="single" w:sz="4" w:space="4" w:color="auto"/>
        </w:pBdr>
        <w:spacing w:after="120" w:line="240" w:lineRule="auto"/>
        <w:ind w:right="-454"/>
        <w:jc w:val="both"/>
        <w:rPr>
          <w:rFonts w:ascii="Times New Roman" w:eastAsia="Arial Unicode MS" w:hAnsi="Times New Roman" w:cs="Times New Roman"/>
          <w:noProof/>
          <w:bdr w:val="nil"/>
        </w:rPr>
      </w:pPr>
      <w:r>
        <w:rPr>
          <w:rFonts w:ascii="Times New Roman" w:hAnsi="Times New Roman"/>
          <w:noProof/>
          <w:bdr w:val="nil"/>
        </w:rPr>
        <w:t>* Ir izveidots starptautisks mežsaimnieku tīkls, kas aptver vairāk nekā simts references mežu, un tā mērķis ir dalīties pieredzē, praksē, zināšanās un mācībās, veicināt pāreju uz noturīgāku mežkopību, kuras pamatā ir meža ekosistēmas dabiskie procesi:</w:t>
      </w:r>
      <w:r>
        <w:rPr>
          <w:rFonts w:ascii="Times New Roman" w:hAnsi="Times New Roman"/>
          <w:noProof/>
          <w:bdr w:val="none" w:sz="0" w:space="0" w:color="auto" w:frame="1"/>
        </w:rPr>
        <w:t xml:space="preserve"> </w:t>
      </w:r>
      <w:r>
        <w:rPr>
          <w:rFonts w:ascii="Times New Roman" w:hAnsi="Times New Roman"/>
          <w:noProof/>
        </w:rPr>
        <w:t>sugu mistrošana ar atsevišķiem kokiem vai koku grupām, dabiskā atjaunošanās (reģenerācija) vai jauktu sugu stādīšana nelielās platībās, nepārtraukts meža klājums, kurā pēc iespējas netiek veiktas kailcirtes un pieļauti tām piemītošie trūkumi, pakāpeniska audžu vecumstruktūras dažādošana, apsaimniekošana koka vai koku grupas mērogā un uzlabota spēja sekmēt biodaudzveidību</w:t>
      </w:r>
      <w:r>
        <w:rPr>
          <w:rFonts w:ascii="Times New Roman" w:eastAsia="Arial Unicode MS" w:hAnsi="Times New Roman" w:cs="Times New Roman"/>
          <w:noProof/>
          <w:bdr w:val="nil"/>
          <w:vertAlign w:val="superscript"/>
          <w:lang w:val="en-US"/>
        </w:rPr>
        <w:footnoteReference w:id="43"/>
      </w:r>
      <w:r>
        <w:rPr>
          <w:rFonts w:ascii="Times New Roman" w:hAnsi="Times New Roman"/>
          <w:noProof/>
        </w:rPr>
        <w:t>.</w:t>
      </w:r>
    </w:p>
    <w:p>
      <w:pPr>
        <w:pBdr>
          <w:top w:val="single" w:sz="4" w:space="1" w:color="auto"/>
          <w:left w:val="single" w:sz="4" w:space="4" w:color="auto"/>
          <w:bottom w:val="single" w:sz="4" w:space="1" w:color="auto"/>
          <w:right w:val="single" w:sz="4" w:space="4" w:color="auto"/>
        </w:pBdr>
        <w:spacing w:after="120" w:line="240" w:lineRule="auto"/>
        <w:ind w:right="-454"/>
        <w:jc w:val="both"/>
        <w:rPr>
          <w:rFonts w:ascii="Times New Roman" w:eastAsia="Arial Unicode MS" w:hAnsi="Times New Roman" w:cs="Times New Roman"/>
          <w:noProof/>
          <w:bdr w:val="nil"/>
        </w:rPr>
      </w:pPr>
      <w:r>
        <w:rPr>
          <w:rFonts w:ascii="Times New Roman" w:hAnsi="Times New Roman"/>
          <w:noProof/>
          <w:bdr w:val="nil"/>
        </w:rPr>
        <w:t xml:space="preserve">* Tīkls </w:t>
      </w:r>
      <w:r>
        <w:rPr>
          <w:rFonts w:ascii="Times New Roman" w:hAnsi="Times New Roman"/>
          <w:i/>
          <w:iCs/>
          <w:noProof/>
          <w:bdr w:val="nil"/>
        </w:rPr>
        <w:t>INTEGRATE</w:t>
      </w:r>
      <w:r>
        <w:rPr>
          <w:rFonts w:ascii="Times New Roman" w:hAnsi="Times New Roman"/>
          <w:noProof/>
          <w:bdr w:val="nil"/>
        </w:rPr>
        <w:t xml:space="preserve"> ir dažādu Eiropas valstu pārstāvju alianse, kas palīdz dabas saglabāšanu integrēt ilgtspējīgā meža apsaimniekošanā rīcībpolitikas, prakses un pētniecības līmenī</w:t>
      </w:r>
      <w:r>
        <w:rPr>
          <w:rFonts w:ascii="Times New Roman" w:eastAsia="Arial Unicode MS" w:hAnsi="Times New Roman" w:cs="Times New Roman"/>
          <w:noProof/>
          <w:bdr w:val="nil"/>
          <w:vertAlign w:val="superscript"/>
          <w:lang w:val="en-US"/>
        </w:rPr>
        <w:footnoteReference w:id="44"/>
      </w:r>
      <w:r>
        <w:rPr>
          <w:rFonts w:ascii="Times New Roman" w:hAnsi="Times New Roman"/>
          <w:noProof/>
          <w:bdr w:val="nil"/>
        </w:rPr>
        <w:t>.</w:t>
      </w:r>
    </w:p>
    <w:p>
      <w:pPr>
        <w:pBdr>
          <w:top w:val="single" w:sz="4" w:space="1" w:color="auto"/>
          <w:left w:val="single" w:sz="4" w:space="4" w:color="auto"/>
          <w:bottom w:val="single" w:sz="4" w:space="1" w:color="auto"/>
          <w:right w:val="single" w:sz="4" w:space="4" w:color="auto"/>
        </w:pBdr>
        <w:spacing w:after="120" w:line="240" w:lineRule="auto"/>
        <w:ind w:right="-454"/>
        <w:jc w:val="both"/>
        <w:rPr>
          <w:rFonts w:ascii="Times New Roman" w:eastAsia="Cambria" w:hAnsi="Times New Roman" w:cs="Times New Roman"/>
          <w:noProof/>
        </w:rPr>
      </w:pPr>
      <w:r>
        <w:rPr>
          <w:rFonts w:ascii="Times New Roman" w:hAnsi="Times New Roman"/>
          <w:noProof/>
        </w:rPr>
        <w:t xml:space="preserve">* Lai pārstrukturētu mežus un uzlabotu to biodaudzveidību un klimatnoturību, Vācijā izmanto procesu </w:t>
      </w:r>
      <w:r>
        <w:rPr>
          <w:rFonts w:ascii="Times New Roman" w:hAnsi="Times New Roman"/>
          <w:i/>
          <w:noProof/>
        </w:rPr>
        <w:t>Waldumbau</w:t>
      </w:r>
      <w:r>
        <w:rPr>
          <w:rFonts w:ascii="Times New Roman" w:hAnsi="Times New Roman"/>
          <w:noProof/>
        </w:rPr>
        <w:t xml:space="preserve">. </w:t>
      </w:r>
      <w:r>
        <w:rPr>
          <w:rFonts w:ascii="Times New Roman" w:hAnsi="Times New Roman"/>
          <w:i/>
          <w:noProof/>
        </w:rPr>
        <w:t>Waldumbau</w:t>
      </w:r>
      <w:r>
        <w:rPr>
          <w:rFonts w:ascii="Times New Roman" w:hAnsi="Times New Roman"/>
          <w:noProof/>
        </w:rPr>
        <w:t xml:space="preserve"> var veikt, atkārtoti stādot mežu pēc tādiem traucējumiem kā vētras vai kukaiņu savairošanās, vai arī profilaktiski, lai šādus kaitējumus nepieļautu. Mērķis ir veidot dabiskākas struktūras un dzīves ciklus, ko panāk, audzē dažādojot koku sugas un vecumklases. Šādā veidā </w:t>
      </w:r>
      <w:r>
        <w:rPr>
          <w:rFonts w:ascii="Times New Roman" w:hAnsi="Times New Roman"/>
          <w:i/>
          <w:noProof/>
        </w:rPr>
        <w:t>Waldumbau</w:t>
      </w:r>
      <w:r>
        <w:rPr>
          <w:rFonts w:ascii="Times New Roman" w:hAnsi="Times New Roman"/>
          <w:noProof/>
        </w:rPr>
        <w:t xml:space="preserve"> arī palīdz saglabāt mežus, tātad to oglekļa piesaistītāja funkciju, un sagādā lielisku ekonomisko izdevību, ja meža īpašnieki un apsaimniekotāji pārkārtošanās procesā tiek pienācīgi atbalstīti</w:t>
      </w:r>
      <w:r>
        <w:rPr>
          <w:rFonts w:ascii="Times New Roman" w:eastAsia="Times New Roman" w:hAnsi="Times New Roman" w:cs="Times New Roman"/>
          <w:noProof/>
          <w:vertAlign w:val="superscript"/>
        </w:rPr>
        <w:footnoteReference w:id="45"/>
      </w:r>
      <w:r>
        <w:rPr>
          <w:rFonts w:ascii="Times New Roman" w:hAnsi="Times New Roman"/>
          <w:noProof/>
        </w:rPr>
        <w:t>.</w:t>
      </w:r>
    </w:p>
    <w:p>
      <w:pPr>
        <w:spacing w:after="0" w:line="240" w:lineRule="auto"/>
        <w:ind w:right="-454"/>
        <w:contextualSpacing/>
        <w:jc w:val="both"/>
        <w:rPr>
          <w:rFonts w:ascii="Times New Roman" w:eastAsia="Cambria" w:hAnsi="Times New Roman" w:cs="Times New Roman"/>
          <w:noProof/>
          <w:sz w:val="24"/>
          <w:szCs w:val="20"/>
        </w:rPr>
      </w:pPr>
      <w:r>
        <w:rPr>
          <w:rFonts w:ascii="Times New Roman" w:hAnsi="Times New Roman"/>
          <w:noProof/>
          <w:sz w:val="24"/>
          <w:szCs w:val="20"/>
        </w:rPr>
        <w:t>Ministru konferencē par mežu aizsardzību Eiropā (</w:t>
      </w:r>
      <w:r>
        <w:rPr>
          <w:rFonts w:ascii="Times New Roman" w:hAnsi="Times New Roman"/>
          <w:i/>
          <w:iCs/>
          <w:noProof/>
          <w:sz w:val="24"/>
          <w:szCs w:val="20"/>
        </w:rPr>
        <w:t>Forest Europe</w:t>
      </w:r>
      <w:r>
        <w:rPr>
          <w:rFonts w:ascii="Times New Roman" w:hAnsi="Times New Roman"/>
          <w:noProof/>
          <w:sz w:val="24"/>
          <w:szCs w:val="20"/>
        </w:rPr>
        <w:t xml:space="preserve">) ir panākta vienošanās par vienotu ilgtspējīgas meža apsaimniekošanas izpratni, kas ietver brīvprātīgus principus, vadlīnijas un indikatorus, kurus parakstītājvalstis izmanto, lai monitorētu norises savos mežos. Meža ilgtspējīga apsaimniekošana ir </w:t>
      </w:r>
      <w:r>
        <w:rPr>
          <w:rFonts w:ascii="Times New Roman" w:hAnsi="Times New Roman"/>
          <w:i/>
          <w:iCs/>
          <w:noProof/>
          <w:sz w:val="24"/>
          <w:szCs w:val="20"/>
        </w:rPr>
        <w:t>meža zemju uzraudzība un izmantošana tādā veidā un intensitātē, kas ļauj saglabāt to biodaudzveidību, produktivitāti, atjaunošanās spēju, vitalitāti un potenciālu gan tagad, gan nākotnē īstenot attiecīgas ekoloģiskas, ekonomiskas un sociālas funkcijas vietējā, valsts un pasaules mērogā, nenodarot kaitējumu citām ekosistēmām</w:t>
      </w:r>
      <w:r>
        <w:rPr>
          <w:rFonts w:ascii="Times New Roman" w:hAnsi="Times New Roman"/>
          <w:noProof/>
          <w:sz w:val="24"/>
          <w:szCs w:val="20"/>
        </w:rPr>
        <w:t>.</w:t>
      </w:r>
    </w:p>
    <w:p>
      <w:pPr>
        <w:spacing w:after="0" w:line="240" w:lineRule="auto"/>
        <w:ind w:right="-454"/>
        <w:contextualSpacing/>
        <w:jc w:val="both"/>
        <w:rPr>
          <w:rFonts w:ascii="Times New Roman" w:eastAsia="Cambria" w:hAnsi="Times New Roman" w:cs="Times New Roman"/>
          <w:noProof/>
          <w:sz w:val="24"/>
          <w:szCs w:val="20"/>
        </w:rPr>
      </w:pPr>
    </w:p>
    <w:p>
      <w:pPr>
        <w:spacing w:after="0" w:line="240" w:lineRule="auto"/>
        <w:ind w:right="-454"/>
        <w:contextualSpacing/>
        <w:jc w:val="both"/>
        <w:rPr>
          <w:rFonts w:ascii="Times New Roman" w:eastAsia="Times New Roman" w:hAnsi="Times New Roman" w:cs="Times New Roman"/>
          <w:noProof/>
          <w:sz w:val="24"/>
          <w:szCs w:val="24"/>
        </w:rPr>
      </w:pPr>
      <w:r>
        <w:rPr>
          <w:rFonts w:ascii="Times New Roman" w:hAnsi="Times New Roman"/>
          <w:noProof/>
          <w:sz w:val="24"/>
          <w:szCs w:val="20"/>
        </w:rPr>
        <w:t>Tiecoties labāk reaģēt uz jaunām problēmām un vajadzībām un ņemot vērā mežu arvien augošo nozīmi ES kopīgi noteikto klimata un biodaudzveidības mērķu sasniegšanā, ilgtspējīgas meža apsaimniekošanas satvars būs jāpilnveido – jo īpaši attiecībā uz kritērijiem, kas saistīti ar ekosistēmas veselību, biodaudzveidību un klimata pārmaiņām, – lai tas kļūtu par detalizētāku izvērtēšanas rīku, ar ko var konstatēt un salīdzināt dažādas apsaimniekošanas pieejas, to ietekmi un ES mežu vispārējo stāvokli. Ilgtspējīga meža apsaimniekošana jau aptver vairākus relevantus indikatorus, tādus kā atmirusi koksne un sugu daudzveidība, taču sliekšņi vai diapazoni, kas kalpotu par vēlamā stāvokļa etalonu, vēl nav noteikti.</w:t>
      </w:r>
    </w:p>
    <w:p>
      <w:pPr>
        <w:spacing w:after="0" w:line="240" w:lineRule="auto"/>
        <w:ind w:right="-454"/>
        <w:contextualSpacing/>
        <w:jc w:val="both"/>
        <w:rPr>
          <w:rFonts w:ascii="Times New Roman" w:eastAsia="Times New Roman" w:hAnsi="Times New Roman" w:cs="Times New Roman"/>
          <w:noProof/>
          <w:sz w:val="24"/>
          <w:szCs w:val="24"/>
        </w:rPr>
      </w:pPr>
    </w:p>
    <w:p>
      <w:pPr>
        <w:spacing w:after="0" w:line="240" w:lineRule="auto"/>
        <w:ind w:right="-454"/>
        <w:contextualSpacing/>
        <w:jc w:val="both"/>
        <w:rPr>
          <w:rFonts w:ascii="Times New Roman" w:eastAsia="Times New Roman" w:hAnsi="Times New Roman" w:cs="Times New Roman"/>
          <w:noProof/>
          <w:sz w:val="24"/>
          <w:szCs w:val="20"/>
        </w:rPr>
      </w:pPr>
      <w:r>
        <w:rPr>
          <w:rFonts w:ascii="Times New Roman" w:hAnsi="Times New Roman"/>
          <w:noProof/>
          <w:sz w:val="24"/>
          <w:szCs w:val="20"/>
        </w:rPr>
        <w:t xml:space="preserve">Tāpēc, pamatojoties uz </w:t>
      </w:r>
      <w:r>
        <w:rPr>
          <w:rFonts w:ascii="Times New Roman" w:hAnsi="Times New Roman"/>
          <w:i/>
          <w:iCs/>
          <w:noProof/>
          <w:sz w:val="24"/>
          <w:szCs w:val="20"/>
        </w:rPr>
        <w:t>Forest Europe</w:t>
      </w:r>
      <w:r>
        <w:rPr>
          <w:rFonts w:ascii="Times New Roman" w:hAnsi="Times New Roman"/>
          <w:noProof/>
          <w:sz w:val="24"/>
          <w:szCs w:val="20"/>
        </w:rPr>
        <w:t xml:space="preserve"> ilgtspējīgas meža apsaimniekošanas kritērijiem, Komisija kopā ar dalībvalstīm un ciešā sadarbībā ar dažādām mežā ieinteresētajām personām noteiks ar meža ekosistēmas apstākļiem saistītus ilgtspējīgas meža apsaimniekošanas papildu indikatorus, kā arī sliekšņus vai diapazonus tādiem aspektiem kā veselība, biodaudzveidība un klimata mērķi.</w:t>
      </w:r>
      <w:r>
        <w:rPr>
          <w:rFonts w:ascii="Times New Roman" w:hAnsi="Times New Roman"/>
          <w:bCs/>
          <w:noProof/>
          <w:sz w:val="24"/>
          <w:szCs w:val="20"/>
        </w:rPr>
        <w:t xml:space="preserve"> </w:t>
      </w:r>
      <w:r>
        <w:rPr>
          <w:rFonts w:ascii="Times New Roman" w:hAnsi="Times New Roman"/>
          <w:noProof/>
          <w:sz w:val="24"/>
          <w:szCs w:val="20"/>
        </w:rPr>
        <w:t>Padziļināti apspriežoties ar dalībvalstīm, Komisija novērtēs, kā tos vislabāk izmantot, ievērojot subsidiaritātes principu un sākot brīvprātīgā kārtā, lai nodrošinātu labāku salīdzinošo izpratni par ES mežu vispārējo ilgtspēju un parādītu ilgtspējīgas meža apsaimniekošanas devumu ES mērķu, jo īpaši ar klimatu, biodaudzveidību un aprites ekonomiku saistīto mērķu, sasniegšanā.</w:t>
      </w:r>
    </w:p>
    <w:p>
      <w:pPr>
        <w:spacing w:after="0" w:line="240" w:lineRule="auto"/>
        <w:ind w:right="-454"/>
        <w:contextualSpacing/>
        <w:jc w:val="both"/>
        <w:rPr>
          <w:rFonts w:ascii="Times New Roman" w:eastAsia="Times New Roman" w:hAnsi="Times New Roman" w:cs="Times New Roman"/>
          <w:noProof/>
          <w:sz w:val="24"/>
          <w:szCs w:val="20"/>
        </w:rPr>
      </w:pPr>
    </w:p>
    <w:p>
      <w:pPr>
        <w:spacing w:after="0" w:line="240" w:lineRule="auto"/>
        <w:ind w:right="-454"/>
        <w:contextualSpacing/>
        <w:jc w:val="both"/>
        <w:rPr>
          <w:rFonts w:ascii="Times New Roman" w:eastAsia="Times New Roman" w:hAnsi="Times New Roman" w:cs="Times New Roman"/>
          <w:noProof/>
          <w:sz w:val="24"/>
          <w:szCs w:val="24"/>
        </w:rPr>
      </w:pPr>
      <w:r>
        <w:rPr>
          <w:rFonts w:ascii="Times New Roman" w:hAnsi="Times New Roman"/>
          <w:noProof/>
          <w:sz w:val="24"/>
          <w:szCs w:val="20"/>
        </w:rPr>
        <w:t>Indikatoru, sliekšņu vai diapazonu noteikšanā būtu jābalstās uz jau paveikto un jāņem vērā meža mainīgums, bioģeogrāfiskie reģioni un meža tipoloģija, kā arī jāpieļauj vajadzīgā elastība. Komisija patlaban izstrādā vadlīnijas par dabai tuvāku mežsaimniecību</w:t>
      </w:r>
      <w:r>
        <w:rPr>
          <w:rFonts w:ascii="Times New Roman" w:eastAsia="Times New Roman" w:hAnsi="Times New Roman" w:cs="Times New Roman"/>
          <w:noProof/>
          <w:sz w:val="24"/>
          <w:szCs w:val="20"/>
          <w:vertAlign w:val="superscript"/>
        </w:rPr>
        <w:footnoteReference w:id="46"/>
      </w:r>
      <w:r>
        <w:rPr>
          <w:rFonts w:ascii="Times New Roman" w:hAnsi="Times New Roman"/>
          <w:noProof/>
          <w:sz w:val="24"/>
          <w:szCs w:val="20"/>
        </w:rPr>
        <w:t>, un tās tiks liktas lietā darbā pie ilgtspējīgas meža apsaimniekošanas indikatoriem un jauniem sliekšņiem, kas ciešā partnerībā un sadarbībā ar dalībvalstīm norit saskaņā ar atjaunināto ES meža pārvaldības satvaru.</w:t>
      </w:r>
    </w:p>
    <w:p>
      <w:pPr>
        <w:spacing w:after="0" w:line="240" w:lineRule="auto"/>
        <w:ind w:right="-454"/>
        <w:contextualSpacing/>
        <w:jc w:val="both"/>
        <w:rPr>
          <w:rFonts w:ascii="Times New Roman" w:eastAsia="Times New Roman" w:hAnsi="Times New Roman" w:cs="Times New Roman"/>
          <w:noProof/>
          <w:sz w:val="24"/>
          <w:szCs w:val="20"/>
        </w:rPr>
      </w:pPr>
    </w:p>
    <w:p>
      <w:pPr>
        <w:spacing w:after="0" w:line="240" w:lineRule="auto"/>
        <w:ind w:right="-454"/>
        <w:contextualSpacing/>
        <w:jc w:val="both"/>
        <w:rPr>
          <w:rFonts w:ascii="Times New Roman" w:eastAsia="Cambria" w:hAnsi="Times New Roman" w:cs="Times New Roman"/>
          <w:noProof/>
          <w:sz w:val="24"/>
          <w:szCs w:val="20"/>
        </w:rPr>
      </w:pPr>
      <w:r>
        <w:rPr>
          <w:rFonts w:ascii="Times New Roman" w:hAnsi="Times New Roman"/>
          <w:noProof/>
          <w:sz w:val="24"/>
          <w:szCs w:val="20"/>
        </w:rPr>
        <w:t xml:space="preserve">Balstoties uz šīm vadlīnijām, ko izstrādā kopā ar dalībvalstīm, Komisija atkarībā no ietekmes novērtējuma un ieinteresēto personu iesaistes izstrādās arī </w:t>
      </w:r>
      <w:r>
        <w:rPr>
          <w:rFonts w:ascii="Times New Roman" w:hAnsi="Times New Roman"/>
          <w:b/>
          <w:noProof/>
          <w:sz w:val="24"/>
          <w:szCs w:val="20"/>
        </w:rPr>
        <w:t>“dabai tuvākas prakses” brīvprātīgas sertifikācijas shēmu</w:t>
      </w:r>
      <w:r>
        <w:rPr>
          <w:rFonts w:ascii="Times New Roman" w:hAnsi="Times New Roman"/>
          <w:noProof/>
          <w:sz w:val="24"/>
          <w:szCs w:val="20"/>
        </w:rPr>
        <w:t>, lai biodaudzveidībai vislabvēlīgākās apsaimniekošanas prakses varētu gūt labumu no ES kvalitātes zīmes.</w:t>
      </w:r>
    </w:p>
    <w:p>
      <w:pPr>
        <w:autoSpaceDE w:val="0"/>
        <w:autoSpaceDN w:val="0"/>
        <w:adjustRightInd w:val="0"/>
        <w:spacing w:after="0" w:line="240" w:lineRule="auto"/>
        <w:jc w:val="both"/>
        <w:rPr>
          <w:rFonts w:ascii="Times New Roman" w:eastAsia="Cambria" w:hAnsi="Times New Roman" w:cs="Times New Roman"/>
          <w:b/>
          <w:noProof/>
          <w:color w:val="000000"/>
          <w:sz w:val="24"/>
          <w:szCs w:val="24"/>
        </w:rPr>
      </w:pPr>
    </w:p>
    <w:p>
      <w:pPr>
        <w:autoSpaceDE w:val="0"/>
        <w:autoSpaceDN w:val="0"/>
        <w:adjustRightInd w:val="0"/>
        <w:spacing w:after="0" w:line="240" w:lineRule="auto"/>
        <w:ind w:right="-454"/>
        <w:jc w:val="both"/>
        <w:rPr>
          <w:rFonts w:ascii="Times New Roman" w:eastAsia="Cambria" w:hAnsi="Times New Roman" w:cs="Times New Roman"/>
          <w:noProof/>
          <w:color w:val="000000"/>
          <w:sz w:val="24"/>
          <w:szCs w:val="24"/>
        </w:rPr>
      </w:pPr>
      <w:r>
        <w:rPr>
          <w:rFonts w:ascii="Times New Roman" w:hAnsi="Times New Roman"/>
          <w:b/>
          <w:bCs/>
          <w:noProof/>
          <w:sz w:val="24"/>
          <w:szCs w:val="24"/>
        </w:rPr>
        <w:t>2030. gadam izstrādātās ES Biodaudzveidības stratēģijas īstenošanas sakarā Komisija ierosinās juridiski saistošu ekosistēmu atjaunošanas instrumentu</w:t>
      </w:r>
      <w:r>
        <w:rPr>
          <w:rFonts w:ascii="Times New Roman" w:hAnsi="Times New Roman"/>
          <w:noProof/>
          <w:sz w:val="24"/>
          <w:szCs w:val="24"/>
        </w:rPr>
        <w:t>, kas attieksies jo īpaši uz tām ekosistēmām, kurām ir vislielākais oglekļa uztveršanas un uzglabāšanas, kā arī dabas katastrofu novēršanas un ietekmes mazināšanas potenciāls.</w:t>
      </w:r>
      <w:r>
        <w:rPr>
          <w:rFonts w:ascii="Times New Roman" w:hAnsi="Times New Roman"/>
          <w:bCs/>
          <w:noProof/>
          <w:sz w:val="24"/>
          <w:szCs w:val="24"/>
        </w:rPr>
        <w:t xml:space="preserve"> </w:t>
      </w:r>
      <w:r>
        <w:rPr>
          <w:rFonts w:ascii="Times New Roman" w:hAnsi="Times New Roman"/>
          <w:noProof/>
          <w:sz w:val="24"/>
          <w:szCs w:val="24"/>
        </w:rPr>
        <w:t>Tas ietvers meža ekosistēmu atjaunošanas mērķrādītājus, ciktāl tie ir noteikti ES dabas tiesību aktos</w:t>
      </w:r>
      <w:r>
        <w:rPr>
          <w:rFonts w:ascii="Times New Roman" w:hAnsi="Times New Roman" w:cs="Times New Roman"/>
          <w:noProof/>
          <w:color w:val="000000"/>
          <w:sz w:val="24"/>
          <w:szCs w:val="24"/>
          <w:vertAlign w:val="superscript"/>
        </w:rPr>
        <w:footnoteReference w:id="47"/>
      </w:r>
      <w:r>
        <w:rPr>
          <w:rFonts w:ascii="Times New Roman" w:hAnsi="Times New Roman"/>
          <w:noProof/>
          <w:sz w:val="24"/>
          <w:szCs w:val="24"/>
        </w:rPr>
        <w:t>.</w:t>
      </w:r>
    </w:p>
    <w:p>
      <w:pPr>
        <w:spacing w:after="0" w:line="240" w:lineRule="auto"/>
        <w:ind w:right="-426"/>
        <w:contextualSpacing/>
        <w:jc w:val="both"/>
        <w:rPr>
          <w:rFonts w:ascii="Times New Roman" w:eastAsia="Times New Roman"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 xml:space="preserve">Papildus adaptīvai mežu atjaunošanai un uz ekosistēmām balstītām apsaimniekošanas praksēm </w:t>
      </w:r>
      <w:r>
        <w:rPr>
          <w:rFonts w:ascii="Times New Roman" w:hAnsi="Times New Roman"/>
          <w:b/>
          <w:noProof/>
          <w:sz w:val="24"/>
          <w:szCs w:val="20"/>
        </w:rPr>
        <w:t>klimatadaptācijai ir vajadzīgas investīcijas arī katastrofu profilaksē, sagatavotībā un reaģēšanā uz tām un meža pēckatastrofu atkopšanās sekmēšanā</w:t>
      </w:r>
      <w:r>
        <w:rPr>
          <w:rFonts w:ascii="Times New Roman" w:hAnsi="Times New Roman"/>
          <w:noProof/>
          <w:sz w:val="24"/>
          <w:szCs w:val="20"/>
        </w:rPr>
        <w:t>. Pirms ieguldīt līdzekļus vajadzīgajā aprīkojumā un operācijās, būtu jādara viss iespējamais, lai novērstu ar klimatu saistītus kaitējumus un palielinātu meža izturētspēju. Turklāt uz izdevumiem, kas paredzēti reaģēšanai uz katastrofām un pēckatastrofu atkopšanās sekmēšanai, būtu jāattiecina vismaz nosacījums “atjaunot un atkārtoti apmežot labāk” saskaņā ar iepriekš aprakstītajām apsaimniekošanas praksēm, kas uzlabo meža izturētspēju.</w:t>
      </w:r>
    </w:p>
    <w:p>
      <w:pPr>
        <w:spacing w:after="0" w:line="240" w:lineRule="auto"/>
        <w:ind w:right="-426"/>
        <w:contextualSpacing/>
        <w:jc w:val="both"/>
        <w:rPr>
          <w:rFonts w:ascii="Times New Roman" w:eastAsia="Times New Roman" w:hAnsi="Times New Roman" w:cs="Times New Roman"/>
          <w:noProof/>
          <w:sz w:val="24"/>
          <w:szCs w:val="20"/>
        </w:rPr>
      </w:pPr>
    </w:p>
    <w:p>
      <w:pPr>
        <w:spacing w:after="0" w:line="240" w:lineRule="auto"/>
        <w:ind w:right="-426"/>
        <w:contextualSpacing/>
        <w:jc w:val="both"/>
        <w:rPr>
          <w:rFonts w:ascii="Times New Roman" w:eastAsia="Cambria" w:hAnsi="Times New Roman" w:cs="Times New Roman"/>
          <w:noProof/>
          <w:sz w:val="24"/>
          <w:szCs w:val="24"/>
        </w:rPr>
      </w:pPr>
      <w:r>
        <w:rPr>
          <w:rFonts w:ascii="Times New Roman" w:hAnsi="Times New Roman"/>
          <w:noProof/>
          <w:sz w:val="24"/>
          <w:szCs w:val="20"/>
        </w:rPr>
        <w:t xml:space="preserve">Mežu adaptācijai klimata pārmaiņām un atjaunošanai pēc klimatiskiem postījumiem būs vajadzīgs arī liels daudzums piemērota meža reproduktīvā materiāla. Tātad būs jācenšas, balstoties uz ekoloģiskajiem principiem, nodrošināt un ilgtspējīgi izmantot ģenētiskos resursus, no kuriem atkarīga klimatdrošāka mežsaimniecība, palielināt šāda materiāla ražošanas apjomu un pieejamību, sniegt labāku informāciju par tā piemērotību nākotnes klimatiskajiem apstākļiem, veicināt pētījumus par atbalstītas meža sugu migrācijas principiem un pielietošanas metodēm un uzlabot meža reproduktīvā materiāla sadarbīgu ražošanu un nodošanu pāri valstu robežām. </w:t>
      </w:r>
      <w:r>
        <w:rPr>
          <w:rFonts w:ascii="Times New Roman" w:hAnsi="Times New Roman"/>
          <w:b/>
          <w:bCs/>
          <w:noProof/>
          <w:sz w:val="24"/>
          <w:szCs w:val="20"/>
        </w:rPr>
        <w:t>Pārskatīdama tiesību aktus par meža reproduktīvo materiālu</w:t>
      </w:r>
      <w:r>
        <w:rPr>
          <w:rFonts w:ascii="Times New Roman" w:hAnsi="Times New Roman"/>
          <w:noProof/>
          <w:sz w:val="24"/>
          <w:szCs w:val="20"/>
        </w:rPr>
        <w:t xml:space="preserve">, Komisija tos papildinās ar pasākumiem, kas sekmē nākotnes klimatiskajiem apstākļiem piemērota meža reproduktīvā materiāla ražošanu. </w:t>
      </w:r>
      <w:r>
        <w:rPr>
          <w:rFonts w:ascii="Times New Roman" w:hAnsi="Times New Roman"/>
          <w:noProof/>
          <w:sz w:val="24"/>
          <w:szCs w:val="24"/>
        </w:rPr>
        <w:t>Tāpat būtu jāveicina pētniecība un inovācija, kā arī nākotnes apstākļiem piemērotu sugu un provenienču izmēģinājumi un selekcija.</w:t>
      </w:r>
    </w:p>
    <w:p>
      <w:pPr>
        <w:jc w:val="both"/>
        <w:rPr>
          <w:rFonts w:ascii="Times New Roman" w:hAnsi="Times New Roman" w:cs="Times New Roman"/>
          <w:noProof/>
          <w:sz w:val="24"/>
          <w:szCs w:val="24"/>
        </w:rPr>
      </w:pPr>
    </w:p>
    <w:p>
      <w:pPr>
        <w:ind w:right="-453"/>
        <w:jc w:val="both"/>
        <w:rPr>
          <w:rFonts w:ascii="Times New Roman" w:hAnsi="Times New Roman" w:cs="Times New Roman"/>
          <w:noProof/>
          <w:sz w:val="24"/>
          <w:szCs w:val="24"/>
        </w:rPr>
      </w:pPr>
      <w:r>
        <w:rPr>
          <w:rFonts w:ascii="Times New Roman" w:hAnsi="Times New Roman"/>
          <w:noProof/>
          <w:sz w:val="24"/>
          <w:szCs w:val="24"/>
        </w:rPr>
        <w:t>Pēdējā, taču nebūt ne mazsvarīgākā iecere – Komisija sadarbībā ar dalībvalstīm monitorēs ES koku veselības stāvokli, tostarp invazīvu svešzemju sugu, slimību un kaitēkļu, piemēram, mizgraužu, ietekmi, un mudinās veikt profilaktiskus pasākumus, kas vajadzīgi agrīnai atklāšanai un izskaušanai. Pie tiem pieder kaitēkļu apkarošanas stratēģijas, kas ļauj identificēt visvairāk apdraudētās teritorijas, paraugprakses apmaiņa, atbalsts un sadarbība fitosanitāro kontroļu jomā, kā arī inovatīvu un ilgtspējīgu augu aizsardzības rīku izstrāde, kurā ņemti vērā biodaudzveidībai labvēlīgi ekoloģiskie principi.</w:t>
      </w:r>
    </w:p>
    <w:p>
      <w:pPr>
        <w:autoSpaceDE w:val="0"/>
        <w:autoSpaceDN w:val="0"/>
        <w:adjustRightInd w:val="0"/>
        <w:spacing w:after="0" w:line="240" w:lineRule="auto"/>
        <w:jc w:val="both"/>
        <w:rPr>
          <w:rFonts w:ascii="Times New Roman" w:hAnsi="Times New Roman" w:cs="Times New Roman"/>
          <w:i/>
          <w:noProof/>
        </w:rPr>
      </w:pPr>
    </w:p>
    <w:p>
      <w:pPr>
        <w:numPr>
          <w:ilvl w:val="1"/>
          <w:numId w:val="21"/>
        </w:numPr>
        <w:autoSpaceDE w:val="0"/>
        <w:autoSpaceDN w:val="0"/>
        <w:adjustRightInd w:val="0"/>
        <w:spacing w:after="0" w:line="240" w:lineRule="auto"/>
        <w:jc w:val="both"/>
        <w:rPr>
          <w:rFonts w:ascii="Times New Roman" w:hAnsi="Times New Roman" w:cs="Times New Roman"/>
          <w:i/>
          <w:iCs/>
          <w:noProof/>
        </w:rPr>
      </w:pPr>
      <w:r>
        <w:rPr>
          <w:rFonts w:ascii="Times New Roman" w:hAnsi="Times New Roman"/>
          <w:i/>
          <w:iCs/>
          <w:noProof/>
        </w:rPr>
        <w:t>Atkārtota un pirmreizēja apmežošana, kuras mērķis ir biodaudzveidīgi meži</w:t>
      </w:r>
    </w:p>
    <w:p>
      <w:pPr>
        <w:autoSpaceDE w:val="0"/>
        <w:autoSpaceDN w:val="0"/>
        <w:adjustRightInd w:val="0"/>
        <w:spacing w:after="0" w:line="240" w:lineRule="auto"/>
        <w:jc w:val="both"/>
        <w:rPr>
          <w:rFonts w:ascii="Times New Roman" w:hAnsi="Times New Roman" w:cs="Times New Roman"/>
          <w:b/>
          <w:i/>
          <w:noProof/>
        </w:rPr>
      </w:pPr>
    </w:p>
    <w:p>
      <w:pPr>
        <w:spacing w:after="0" w:line="240" w:lineRule="auto"/>
        <w:ind w:right="-426"/>
        <w:jc w:val="both"/>
        <w:rPr>
          <w:rFonts w:ascii="Times New Roman" w:eastAsia="Cambria" w:hAnsi="Times New Roman" w:cs="Times New Roman"/>
          <w:noProof/>
          <w:sz w:val="24"/>
          <w:szCs w:val="20"/>
        </w:rPr>
      </w:pPr>
      <w:r>
        <w:rPr>
          <w:rFonts w:ascii="Times New Roman" w:hAnsi="Times New Roman"/>
          <w:noProof/>
          <w:sz w:val="24"/>
          <w:szCs w:val="20"/>
        </w:rPr>
        <w:t>Spontāna meža ataugšana dabiskās sukcesijas ceļā ir galvenais faktors, kas veicina meža platību palielināšanos ES un ir saistīts galvenokārt ar lauksaimniecības zemju un lauku apvidu pamešanu. Taču meža un koku klājumu ES iespējams palielināt arī ar aktīvu un ilgtspējīgu atkārtotu un pirmreizēju apmežošanu un koku stādīšanu.</w:t>
      </w:r>
    </w:p>
    <w:p>
      <w:pPr>
        <w:spacing w:after="0" w:line="240" w:lineRule="auto"/>
        <w:ind w:right="-426"/>
        <w:jc w:val="both"/>
        <w:rPr>
          <w:rFonts w:ascii="Times New Roman" w:eastAsia="Cambria" w:hAnsi="Times New Roman" w:cs="Times New Roman"/>
          <w:noProof/>
          <w:sz w:val="24"/>
          <w:szCs w:val="20"/>
        </w:rPr>
      </w:pPr>
    </w:p>
    <w:p>
      <w:pPr>
        <w:spacing w:after="0" w:line="240" w:lineRule="auto"/>
        <w:ind w:right="-426"/>
        <w:jc w:val="both"/>
        <w:rPr>
          <w:rFonts w:ascii="Times New Roman" w:eastAsia="Times New Roman" w:hAnsi="Times New Roman" w:cs="Times New Roman"/>
          <w:noProof/>
          <w:sz w:val="24"/>
          <w:szCs w:val="24"/>
          <w:shd w:val="clear" w:color="auto" w:fill="FFFFFF"/>
        </w:rPr>
      </w:pPr>
      <w:r>
        <w:rPr>
          <w:rFonts w:ascii="Times New Roman" w:hAnsi="Times New Roman"/>
          <w:noProof/>
          <w:sz w:val="24"/>
        </w:rPr>
        <w:t>Tas attiecas galvenokārt uz pilsētu un piepilsētu teritorijām (aptver, piemēram, pilsētu parkus, publiskos un privātos īpašumos augošus kokus, ēku un infrastruktūras apzaļumošanu un urbānos dārzus) un uz lauksaimniecības platībām (aptver, piemēram, pamestas teritorijas, agromežsaimniecības platības un meža ganības, ainavas elementus un ekoloģisko koridoru izveidi).</w:t>
      </w:r>
      <w:r>
        <w:rPr>
          <w:rFonts w:ascii="Times New Roman" w:hAnsi="Times New Roman"/>
          <w:noProof/>
          <w:sz w:val="24"/>
          <w:szCs w:val="20"/>
        </w:rPr>
        <w:t xml:space="preserve"> </w:t>
      </w:r>
      <w:r>
        <w:rPr>
          <w:rFonts w:ascii="Times New Roman" w:hAnsi="Times New Roman"/>
          <w:noProof/>
          <w:sz w:val="24"/>
        </w:rPr>
        <w:t>Ir svarīgi šo potenciālu izmantot, jo intensīvāka apmežošana ir arī viena no meža nozares iedarbīgākajām klimata pārmaiņu un katastrofu riska mīkstināšanas stratēģijām un var radīt vērā ņemamas darba iespējas, kas saistītas, piemēram, ar sēklu ievākšanu un audzēšanu, sējeņu izstādīšanu un to ieaugšanas nodrošināšanu, kā arī sagādāt sociālekonomiskos ieguvumus vietējām kopienām.</w:t>
      </w:r>
      <w:r>
        <w:rPr>
          <w:rFonts w:ascii="Times New Roman" w:hAnsi="Times New Roman"/>
          <w:noProof/>
          <w:sz w:val="24"/>
          <w:szCs w:val="24"/>
        </w:rPr>
        <w:t xml:space="preserve"> Turklāt uzturēšanās zaļās un mežainās vietās var būtiski uzlabot cilvēku fizisko un garīgo veselību.</w:t>
      </w:r>
    </w:p>
    <w:p>
      <w:pPr>
        <w:spacing w:after="0" w:line="240" w:lineRule="auto"/>
        <w:ind w:right="-426"/>
        <w:jc w:val="both"/>
        <w:rPr>
          <w:rFonts w:ascii="Times New Roman" w:eastAsia="Cambria" w:hAnsi="Times New Roman" w:cs="Times New Roman"/>
          <w:noProof/>
          <w:sz w:val="24"/>
          <w:szCs w:val="24"/>
        </w:rPr>
      </w:pPr>
    </w:p>
    <w:p>
      <w:pPr>
        <w:spacing w:after="0" w:line="240" w:lineRule="auto"/>
        <w:ind w:right="-426"/>
        <w:jc w:val="both"/>
        <w:rPr>
          <w:rFonts w:ascii="Times New Roman" w:eastAsia="Cambria" w:hAnsi="Times New Roman" w:cs="Times New Roman"/>
          <w:b/>
          <w:bCs/>
          <w:noProof/>
          <w:sz w:val="24"/>
          <w:szCs w:val="20"/>
        </w:rPr>
      </w:pPr>
      <w:r>
        <w:rPr>
          <w:rFonts w:ascii="Times New Roman" w:hAnsi="Times New Roman"/>
          <w:noProof/>
          <w:sz w:val="24"/>
        </w:rPr>
        <w:t xml:space="preserve">ES Biodaudzveidības stratēģijā 2030. gadam ir dots </w:t>
      </w:r>
      <w:r>
        <w:rPr>
          <w:rFonts w:ascii="Times New Roman" w:hAnsi="Times New Roman"/>
          <w:b/>
          <w:bCs/>
          <w:noProof/>
          <w:sz w:val="24"/>
        </w:rPr>
        <w:t>solījums</w:t>
      </w:r>
      <w:r>
        <w:rPr>
          <w:rFonts w:ascii="Times New Roman" w:hAnsi="Times New Roman"/>
          <w:noProof/>
          <w:sz w:val="24"/>
        </w:rPr>
        <w:t xml:space="preserve"> pilnīgā saskaņā ar ekoloģiskajiem principiem </w:t>
      </w:r>
      <w:r>
        <w:rPr>
          <w:rFonts w:ascii="Times New Roman" w:hAnsi="Times New Roman"/>
          <w:b/>
          <w:bCs/>
          <w:noProof/>
          <w:sz w:val="24"/>
        </w:rPr>
        <w:t>līdz 2030. gadam iestādīt vēl vismaz 3 miljardus koku</w:t>
      </w:r>
      <w:r>
        <w:rPr>
          <w:rFonts w:ascii="Times New Roman" w:hAnsi="Times New Roman"/>
          <w:noProof/>
          <w:sz w:val="24"/>
        </w:rPr>
        <w:t>.</w:t>
      </w:r>
      <w:r>
        <w:rPr>
          <w:rFonts w:ascii="Times New Roman" w:hAnsi="Times New Roman"/>
          <w:noProof/>
          <w:sz w:val="24"/>
          <w:szCs w:val="20"/>
        </w:rPr>
        <w:t xml:space="preserve"> Šī iniciatīva būs vērsta pret pašreizējo tendenci, proti, ES meža platības neto pieauguma palēnināšanos. Laika gaitā tā palīdzēs arī palielināt ES mežainumu un līdz ar to arī ES zemes kā oglekļa piesaistītāja funkciju un tās oglekļa uzkrājumu.  Turklāt tā vairos sabiedrības informētību un apņēmību un tādā veidā palīdzēs sasniegt mērķi līdz 2050. gadam kļūt par pirmo klimatneitrālo pasaules daļu, atjaunot biodaudzveidību un veicināt aprites ekonomiku. Šajā stratēģijā ir iekļauts ceļvedis, kā īstenot solījumu, kura pamatā ir vispārējais princips </w:t>
      </w:r>
      <w:r>
        <w:rPr>
          <w:rFonts w:ascii="Times New Roman" w:hAnsi="Times New Roman"/>
          <w:b/>
          <w:bCs/>
          <w:noProof/>
          <w:sz w:val="24"/>
          <w:szCs w:val="20"/>
        </w:rPr>
        <w:t>iestādīt un izaudzēt īsto koku īstajā vietā un īstajā nolūkā</w:t>
      </w:r>
      <w:r>
        <w:rPr>
          <w:rFonts w:ascii="Times New Roman" w:hAnsi="Times New Roman"/>
          <w:noProof/>
          <w:sz w:val="24"/>
          <w:szCs w:val="20"/>
        </w:rPr>
        <w:t>.</w:t>
      </w:r>
    </w:p>
    <w:p>
      <w:pPr>
        <w:spacing w:after="0" w:line="240" w:lineRule="auto"/>
        <w:ind w:right="-426"/>
        <w:jc w:val="both"/>
        <w:rPr>
          <w:rFonts w:ascii="Times New Roman" w:eastAsia="Cambria" w:hAnsi="Times New Roman" w:cs="Times New Roman"/>
          <w:noProof/>
          <w:sz w:val="24"/>
          <w:szCs w:val="20"/>
        </w:rPr>
      </w:pPr>
    </w:p>
    <w:tbl>
      <w:tblPr>
        <w:tblStyle w:val="TableGrid"/>
        <w:tblW w:w="9322" w:type="dxa"/>
        <w:tblLook w:val="04A0" w:firstRow="1" w:lastRow="0" w:firstColumn="1" w:lastColumn="0" w:noHBand="0" w:noVBand="1"/>
      </w:tblPr>
      <w:tblGrid>
        <w:gridCol w:w="9322"/>
      </w:tblGrid>
      <w:tr>
        <w:trPr>
          <w:trHeight w:val="416"/>
        </w:trPr>
        <w:tc>
          <w:tcPr>
            <w:tcW w:w="9322" w:type="dxa"/>
          </w:tcPr>
          <w:p>
            <w:pPr>
              <w:spacing w:after="120"/>
              <w:jc w:val="center"/>
              <w:rPr>
                <w:rFonts w:ascii="Times New Roman" w:eastAsia="Cambria" w:hAnsi="Times New Roman" w:cs="Times New Roman"/>
                <w:b/>
                <w:bCs/>
                <w:noProof/>
              </w:rPr>
            </w:pPr>
            <w:r>
              <w:rPr>
                <w:rFonts w:ascii="Times New Roman" w:hAnsi="Times New Roman"/>
                <w:b/>
                <w:bCs/>
                <w:noProof/>
              </w:rPr>
              <w:t>Ceļvedis, kā līdz 2030. gadam iestādīt vēl vismaz 3 miljardus koku</w:t>
            </w:r>
            <w:r>
              <w:rPr>
                <w:rFonts w:ascii="Times New Roman" w:eastAsia="Cambria" w:hAnsi="Times New Roman" w:cs="Times New Roman"/>
                <w:b/>
                <w:bCs/>
                <w:noProof/>
                <w:vertAlign w:val="superscript"/>
              </w:rPr>
              <w:footnoteReference w:id="48"/>
            </w:r>
          </w:p>
          <w:p>
            <w:pPr>
              <w:spacing w:after="120"/>
              <w:jc w:val="both"/>
              <w:rPr>
                <w:rFonts w:ascii="Times New Roman" w:eastAsia="Cambria" w:hAnsi="Times New Roman" w:cs="Times New Roman"/>
                <w:noProof/>
              </w:rPr>
            </w:pPr>
            <w:r>
              <w:rPr>
                <w:rFonts w:ascii="Times New Roman" w:hAnsi="Times New Roman"/>
                <w:noProof/>
              </w:rPr>
              <w:t>Ceļvedī ir noteikti skaidri koku stādīšanas, skaitīšanas un monitoringa kritēriji. To papildina tīmekļvietne, papildu elementu, tostarp koku skaitītāja, izstrādes grafiks, patlaban notiekošā biodaudzveidībai labvēlīgas atkārtotās un pirmreizējās apmežošanas vadlīniju un dabai tuvākas mežsaimniecības kritēriju izstrāde un paraugprakses apmaiņas platformas.</w:t>
            </w:r>
          </w:p>
          <w:p>
            <w:pPr>
              <w:spacing w:after="120"/>
              <w:jc w:val="both"/>
              <w:rPr>
                <w:rFonts w:ascii="Times New Roman" w:eastAsia="Cambria" w:hAnsi="Times New Roman" w:cs="Times New Roman"/>
                <w:b/>
                <w:bCs/>
                <w:noProof/>
              </w:rPr>
            </w:pPr>
            <w:r>
              <w:rPr>
                <w:rFonts w:ascii="Times New Roman" w:hAnsi="Times New Roman"/>
                <w:noProof/>
              </w:rPr>
              <w:t>Ceļvedī paredzēts spēcīgs monitoringa elements, kas katrā ziņā vajadzīgs, lai varētu sekot līdzi virzībai uz mērķrādītāju. Tas balstīsies uz Komisijas un Eiropas Vides aģentūras speciālajām zināšanām. Pamatojoties uz monitoringa datiem, Komisija un Eiropas Vides aģentūra novērtēs tendences un īstenošanas stāvokli. Lai apkopotu informāciju par stādīšanas solījumiem nacionālā, reģionālā un vietējā līmenī, tiks meklētas sinerģijas ar tehnoloģiskiem risinājumiem, kas jau tiek izmantoti, piemēram, gaisa kvalitātes monitoringam.</w:t>
            </w:r>
          </w:p>
        </w:tc>
      </w:tr>
    </w:tbl>
    <w:p>
      <w:pPr>
        <w:spacing w:after="0" w:line="240" w:lineRule="auto"/>
        <w:ind w:right="-426"/>
        <w:contextualSpacing/>
        <w:jc w:val="both"/>
        <w:rPr>
          <w:rFonts w:ascii="Times New Roman" w:eastAsia="Cambria" w:hAnsi="Times New Roman" w:cs="Times New Roman"/>
          <w:noProof/>
          <w:sz w:val="24"/>
          <w:szCs w:val="20"/>
        </w:rPr>
      </w:pPr>
    </w:p>
    <w:p>
      <w:pPr>
        <w:numPr>
          <w:ilvl w:val="1"/>
          <w:numId w:val="21"/>
        </w:numPr>
        <w:autoSpaceDE w:val="0"/>
        <w:autoSpaceDN w:val="0"/>
        <w:adjustRightInd w:val="0"/>
        <w:spacing w:after="0" w:line="240" w:lineRule="auto"/>
        <w:jc w:val="both"/>
        <w:rPr>
          <w:rFonts w:ascii="Times New Roman" w:hAnsi="Times New Roman" w:cs="Times New Roman"/>
          <w:i/>
          <w:iCs/>
          <w:noProof/>
        </w:rPr>
      </w:pPr>
      <w:r>
        <w:rPr>
          <w:rFonts w:ascii="Times New Roman" w:hAnsi="Times New Roman"/>
          <w:i/>
          <w:iCs/>
          <w:noProof/>
        </w:rPr>
        <w:t>Finansiāli stimuli, kas rosina meža īpašniekus un apsaimniekotājus uzlabot ES mežu kvalitāti un palielināt to platību</w:t>
      </w:r>
    </w:p>
    <w:p>
      <w:pPr>
        <w:autoSpaceDE w:val="0"/>
        <w:autoSpaceDN w:val="0"/>
        <w:adjustRightInd w:val="0"/>
        <w:spacing w:after="0" w:line="240" w:lineRule="auto"/>
        <w:ind w:right="-454"/>
        <w:jc w:val="both"/>
        <w:rPr>
          <w:rFonts w:ascii="Times New Roman" w:hAnsi="Times New Roman" w:cs="Times New Roman"/>
          <w:noProof/>
          <w:sz w:val="24"/>
          <w:szCs w:val="24"/>
        </w:rPr>
      </w:pPr>
    </w:p>
    <w:p>
      <w:pPr>
        <w:autoSpaceDE w:val="0"/>
        <w:autoSpaceDN w:val="0"/>
        <w:adjustRightInd w:val="0"/>
        <w:spacing w:after="0" w:line="240" w:lineRule="auto"/>
        <w:ind w:right="-454"/>
        <w:jc w:val="both"/>
        <w:rPr>
          <w:rFonts w:ascii="Times New Roman" w:hAnsi="Times New Roman" w:cs="Times New Roman"/>
          <w:noProof/>
          <w:color w:val="000000"/>
          <w:sz w:val="24"/>
          <w:szCs w:val="24"/>
        </w:rPr>
      </w:pPr>
      <w:r>
        <w:rPr>
          <w:rFonts w:ascii="Times New Roman" w:hAnsi="Times New Roman"/>
          <w:noProof/>
          <w:sz w:val="24"/>
          <w:szCs w:val="24"/>
        </w:rPr>
        <w:t>Meža aizsardzības un atjaunošanas stiprināšana un biodaudzveidībai labvēlīgāka ilgtspējīga meža apsaimniekošana ir pareizā rīcība, kas palīdzēs nodrošināt mežu izturētspēju un produktivitāti nākamajās desmitgadēs. Tomēr jāatzīst, ka bez Eiropas meža īpašnieku un apsaimniekotāju – galveno meža kopēju – motivācijas, iesaistīšanās un darbošanās tas nenotiks. Turklāt pareizajai rīcībai jābūt ekonomiski dzīvotspējīgai, un paraugprakses piemēri liecina, ka tas ir iespējams.</w:t>
      </w:r>
    </w:p>
    <w:p>
      <w:pPr>
        <w:autoSpaceDE w:val="0"/>
        <w:autoSpaceDN w:val="0"/>
        <w:adjustRightInd w:val="0"/>
        <w:spacing w:after="0" w:line="240" w:lineRule="auto"/>
        <w:ind w:right="-454"/>
        <w:jc w:val="both"/>
        <w:rPr>
          <w:rFonts w:ascii="Times New Roman" w:hAnsi="Times New Roman" w:cs="Times New Roman"/>
          <w:noProof/>
          <w:color w:val="000000"/>
          <w:sz w:val="24"/>
          <w:szCs w:val="24"/>
        </w:rPr>
      </w:pPr>
    </w:p>
    <w:p>
      <w:pPr>
        <w:autoSpaceDE w:val="0"/>
        <w:autoSpaceDN w:val="0"/>
        <w:adjustRightInd w:val="0"/>
        <w:spacing w:after="0" w:line="240" w:lineRule="auto"/>
        <w:ind w:right="-454"/>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Ir tikai saprātīgi, ka publiskā īpašumā esošos mežos dalībvalstis pastiprina meža aizsardzības un atjaunošanas centienus, lai īstenotu kopīgi noteiktās vērienīgākās ES klimata un biodaudzveidības ieceres un nodrošinātu pāreju uz klimatneitrālu ekonomiku. Stratēģija vēršas pret pēdējos 10 gados ES vērojamo tendenci, ka neto piesaistījumi zemes sektorā, konkrētāk, mežos, samazinās. Šīs tendences apvēršana ir priekšnosacījums tam, lai sasniegtu ES vērienīgākās ieceres klimata un biodaudzveidības jomā un veidotu pret klimata pārmaiņām noturīgus mežus, kas spēj pildīt savas daudzējādās funkcijas. </w:t>
      </w:r>
      <w:r>
        <w:rPr>
          <w:rFonts w:ascii="Times New Roman" w:hAnsi="Times New Roman"/>
          <w:noProof/>
          <w:sz w:val="24"/>
          <w:szCs w:val="24"/>
        </w:rPr>
        <w:t>Tam būs vajadzīgas vairākas iniciatīvas, kas izceltas šajā stratēģijā, tādas kā meža aizsardzība un atjaunošana, tādu ilgtspējīgas meža apsaimniekošanas prakšu uzlabošana, kas saglabā oglekli meža ekosistēmā, arī augsnē, prioritātes piešķiršana koksnes kaskādveida izmantojumam, un meža atjaunošanas (reģenerācijas) un ilgtspējīgas atkārtotas un pirmreizējas apmežošanas iniciatīvas.</w:t>
      </w:r>
    </w:p>
    <w:p>
      <w:pPr>
        <w:autoSpaceDE w:val="0"/>
        <w:autoSpaceDN w:val="0"/>
        <w:adjustRightInd w:val="0"/>
        <w:spacing w:after="0" w:line="240" w:lineRule="auto"/>
        <w:ind w:right="-454"/>
        <w:jc w:val="both"/>
        <w:rPr>
          <w:rFonts w:ascii="Times New Roman" w:hAnsi="Times New Roman" w:cs="Times New Roman"/>
          <w:noProof/>
          <w:color w:val="000000"/>
          <w:sz w:val="24"/>
          <w:szCs w:val="24"/>
        </w:rPr>
      </w:pPr>
    </w:p>
    <w:p>
      <w:pPr>
        <w:autoSpaceDE w:val="0"/>
        <w:autoSpaceDN w:val="0"/>
        <w:adjustRightInd w:val="0"/>
        <w:spacing w:after="0" w:line="240" w:lineRule="auto"/>
        <w:ind w:right="-454"/>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Tomēr privātmeža īpašnieki un apsaimniekotāji, īpaši mazas saimniecības, bieži vien iztikas līdzekļu ziņā ir tieši atkarīgi no mežiem un patlaban galvenos ienākumus gūst no koksnes piegādes. Citi labumi, sevišķi ekosistēmu pakalpojumu sniegšana, tiek atalgoti reti vai netiek atalgoti vispār. Tas tā nevar palikt. </w:t>
      </w:r>
      <w:r>
        <w:rPr>
          <w:rFonts w:ascii="Times New Roman" w:hAnsi="Times New Roman"/>
          <w:b/>
          <w:noProof/>
          <w:color w:val="000000"/>
          <w:sz w:val="24"/>
          <w:szCs w:val="24"/>
        </w:rPr>
        <w:t>Meža īpašniekiem un apsaimniekotājiem ir vajadzīgi dzinuļi un finansiāli stimuli, lai papildus koksnes un nekoksnes materiāliem un produktiem viņi spētu ar meža aizsardzības un atjaunošanas palīdzību nodrošināt arī ekosistēmu pakalpojumus un palielināt savu mežu izturētspēju, ieviešot klimatam un biodaudzveidībai vislabvēlīgākās meža apsaimniekošanas prakses.</w:t>
      </w:r>
      <w:r>
        <w:rPr>
          <w:rFonts w:ascii="Times New Roman" w:hAnsi="Times New Roman"/>
          <w:noProof/>
          <w:color w:val="000000"/>
          <w:sz w:val="24"/>
          <w:szCs w:val="24"/>
        </w:rPr>
        <w:t xml:space="preserve"> Īpaši svarīgi tas ir tajās Eiropas daļās, kuras klimata pārmaiņas skārušas agrāk un smagāk, nekā gaidīts, un kurās meža katastrofu dēļ lauku apvidos piedzīvots ienākumu un iztikas līdzekļu zudums un cilvēki zaudējuši dzīvību.</w:t>
      </w:r>
    </w:p>
    <w:p>
      <w:pPr>
        <w:autoSpaceDE w:val="0"/>
        <w:autoSpaceDN w:val="0"/>
        <w:adjustRightInd w:val="0"/>
        <w:spacing w:after="0" w:line="240" w:lineRule="auto"/>
        <w:ind w:right="-454"/>
        <w:jc w:val="both"/>
        <w:rPr>
          <w:rFonts w:ascii="Times New Roman" w:hAnsi="Times New Roman" w:cs="Times New Roman"/>
          <w:noProof/>
          <w:color w:val="000000"/>
          <w:sz w:val="24"/>
          <w:szCs w:val="24"/>
        </w:rPr>
      </w:pPr>
    </w:p>
    <w:p>
      <w:pPr>
        <w:spacing w:after="120" w:line="240" w:lineRule="auto"/>
        <w:ind w:right="-454"/>
        <w:jc w:val="both"/>
        <w:rPr>
          <w:rFonts w:ascii="Times New Roman" w:eastAsia="Cambria" w:hAnsi="Times New Roman" w:cs="Times New Roman"/>
          <w:noProof/>
          <w:sz w:val="24"/>
          <w:szCs w:val="20"/>
        </w:rPr>
      </w:pPr>
      <w:r>
        <w:rPr>
          <w:rFonts w:ascii="Times New Roman" w:hAnsi="Times New Roman"/>
          <w:noProof/>
          <w:sz w:val="24"/>
          <w:szCs w:val="20"/>
        </w:rPr>
        <w:t>Dažas publiskā un privātā sektora maksājumu shēmas ir labi piemēri tam, kā iespējams atalgot ekosistēmu pakalpojumus (piemēram, dzeramā ūdens aizsardzību, oglekļa sekvestrēšanu, biodaudzveidības saglabāšanu). Ar ES pētniecības atbalstu</w:t>
      </w:r>
      <w:r>
        <w:rPr>
          <w:rFonts w:ascii="Times New Roman" w:eastAsia="Cambria" w:hAnsi="Times New Roman" w:cs="Times New Roman"/>
          <w:noProof/>
          <w:sz w:val="24"/>
          <w:szCs w:val="20"/>
          <w:vertAlign w:val="superscript"/>
        </w:rPr>
        <w:footnoteReference w:id="49"/>
      </w:r>
      <w:r>
        <w:rPr>
          <w:rFonts w:ascii="Times New Roman" w:hAnsi="Times New Roman"/>
          <w:noProof/>
          <w:sz w:val="24"/>
          <w:szCs w:val="20"/>
        </w:rPr>
        <w:t xml:space="preserve"> tiek pētītas iespējas un veidi, kā uzlabot tehniskās prasmes un nosacījumus, lai attīstītu publiskus un privātus meža ekosistēmas pakalpojumu tirgus. To papildinās kopā ar ieinteresētajām personām īstenota programmas </w:t>
      </w:r>
      <w:r>
        <w:rPr>
          <w:rFonts w:ascii="Times New Roman" w:hAnsi="Times New Roman"/>
          <w:i/>
          <w:iCs/>
          <w:noProof/>
          <w:sz w:val="24"/>
          <w:szCs w:val="20"/>
        </w:rPr>
        <w:t>LIFE</w:t>
      </w:r>
      <w:r>
        <w:rPr>
          <w:rFonts w:ascii="Times New Roman" w:hAnsi="Times New Roman"/>
          <w:noProof/>
          <w:sz w:val="24"/>
          <w:szCs w:val="20"/>
        </w:rPr>
        <w:t xml:space="preserve"> sagatavošanas darbība, kas pētīs, kā maksājumus par ekosistēmu pakalpojumiem var integrēt ES finansēšanas programmās, un apkopos pieredzi, kas gūta no esošajām nacionālajām maksājumu shēmām, kuras domātas ekosistēmu pakalpojumiem.</w:t>
      </w:r>
    </w:p>
    <w:tbl>
      <w:tblPr>
        <w:tblStyle w:val="TableGrid"/>
        <w:tblW w:w="9322" w:type="dxa"/>
        <w:tblLook w:val="04A0" w:firstRow="1" w:lastRow="0" w:firstColumn="1" w:lastColumn="0" w:noHBand="0" w:noVBand="1"/>
      </w:tblPr>
      <w:tblGrid>
        <w:gridCol w:w="9322"/>
      </w:tblGrid>
      <w:tr>
        <w:tc>
          <w:tcPr>
            <w:tcW w:w="9322" w:type="dxa"/>
          </w:tcPr>
          <w:p>
            <w:pPr>
              <w:spacing w:after="120"/>
              <w:ind w:right="-454"/>
              <w:jc w:val="center"/>
              <w:rPr>
                <w:rFonts w:ascii="Times New Roman" w:hAnsi="Times New Roman" w:cs="Times New Roman"/>
                <w:b/>
                <w:bCs/>
                <w:noProof/>
              </w:rPr>
            </w:pPr>
            <w:r>
              <w:rPr>
                <w:rFonts w:ascii="Times New Roman" w:hAnsi="Times New Roman"/>
                <w:b/>
                <w:bCs/>
                <w:noProof/>
              </w:rPr>
              <w:t>Publiskas un privātas maksājumu shēmas, kas atalgo ekosistēmu pakalpojumus (piemēri)</w:t>
            </w:r>
          </w:p>
          <w:p>
            <w:pPr>
              <w:pBdr>
                <w:top w:val="nil"/>
                <w:left w:val="nil"/>
                <w:bottom w:val="nil"/>
                <w:right w:val="nil"/>
                <w:between w:val="nil"/>
                <w:bar w:val="nil"/>
              </w:pBdr>
              <w:jc w:val="both"/>
              <w:rPr>
                <w:rFonts w:ascii="Times New Roman" w:eastAsia="Arial Unicode MS" w:hAnsi="Times New Roman" w:cs="Times New Roman"/>
                <w:noProof/>
                <w:bdr w:val="nil"/>
              </w:rPr>
            </w:pPr>
            <w:r>
              <w:rPr>
                <w:rFonts w:ascii="Times New Roman" w:hAnsi="Times New Roman"/>
                <w:b/>
                <w:bCs/>
                <w:noProof/>
                <w:bdr w:val="nil"/>
              </w:rPr>
              <w:t>Somijas programma “Metso”</w:t>
            </w:r>
            <w:r>
              <w:rPr>
                <w:rFonts w:ascii="Times New Roman" w:hAnsi="Times New Roman"/>
                <w:noProof/>
                <w:bdr w:val="nil"/>
              </w:rPr>
              <w:t xml:space="preserve"> privātiem meža īpašniekiem maksā par zemes neapsaimniekošanu biodaudzveidības labā. Piešķirtās summas ir atkarīgas no zemes vērtības un no laika, cik ilgi mežs tiks atstāts neapsaimniekots.</w:t>
            </w:r>
          </w:p>
          <w:p>
            <w:pPr>
              <w:pBdr>
                <w:top w:val="nil"/>
                <w:left w:val="nil"/>
                <w:bottom w:val="nil"/>
                <w:right w:val="nil"/>
                <w:between w:val="nil"/>
                <w:bar w:val="nil"/>
              </w:pBdr>
              <w:rPr>
                <w:rFonts w:ascii="Times New Roman" w:eastAsia="Arial Unicode MS" w:hAnsi="Times New Roman" w:cs="Times New Roman"/>
                <w:noProof/>
                <w:bdr w:val="nil"/>
              </w:rPr>
            </w:pPr>
          </w:p>
          <w:p>
            <w:pPr>
              <w:pBdr>
                <w:top w:val="nil"/>
                <w:left w:val="nil"/>
                <w:bottom w:val="nil"/>
                <w:right w:val="nil"/>
                <w:between w:val="nil"/>
                <w:bar w:val="nil"/>
              </w:pBdr>
              <w:jc w:val="both"/>
              <w:rPr>
                <w:rFonts w:ascii="Times New Roman" w:eastAsia="Arial Unicode MS" w:hAnsi="Times New Roman" w:cs="Times New Roman"/>
                <w:noProof/>
                <w:bdr w:val="nil"/>
              </w:rPr>
            </w:pPr>
            <w:r>
              <w:rPr>
                <w:rFonts w:ascii="Times New Roman" w:hAnsi="Times New Roman"/>
                <w:b/>
                <w:bCs/>
                <w:noProof/>
                <w:bdr w:val="nil"/>
              </w:rPr>
              <w:t>Horvātijas “nodoklis visiem” paredz</w:t>
            </w:r>
            <w:r>
              <w:rPr>
                <w:rFonts w:ascii="Times New Roman" w:hAnsi="Times New Roman"/>
                <w:noProof/>
                <w:bdr w:val="nil"/>
              </w:rPr>
              <w:t>, ka fiziskām un juridiskām personām, kuras veic saimniecisko darbību un kuru ienākumi ir lielāki nekā 400 000 EUR, 0,0265 % no kopējiem ieņēmumiem jāmaksā par meža ekosistēmas pakalpojumu izmantošanu, un iekasētie līdzekļi ar īpaša nacionālā fonda starpniecību tiek sadalīti meža īpašniekiem atkarībā no to meža platības saskaņā ar meža apsaimniekošanas plāniem.</w:t>
            </w:r>
          </w:p>
          <w:p>
            <w:pPr>
              <w:pBdr>
                <w:top w:val="nil"/>
                <w:left w:val="nil"/>
                <w:bottom w:val="nil"/>
                <w:right w:val="nil"/>
                <w:between w:val="nil"/>
                <w:bar w:val="nil"/>
              </w:pBdr>
              <w:jc w:val="both"/>
              <w:rPr>
                <w:rFonts w:ascii="Times New Roman" w:eastAsia="Arial Unicode MS" w:hAnsi="Times New Roman" w:cs="Times New Roman"/>
                <w:noProof/>
                <w:bdr w:val="nil"/>
              </w:rPr>
            </w:pPr>
          </w:p>
          <w:p>
            <w:pPr>
              <w:pBdr>
                <w:top w:val="nil"/>
                <w:left w:val="nil"/>
                <w:bottom w:val="nil"/>
                <w:right w:val="nil"/>
                <w:between w:val="nil"/>
                <w:bar w:val="nil"/>
              </w:pBdr>
              <w:jc w:val="both"/>
              <w:rPr>
                <w:rFonts w:ascii="Times New Roman" w:eastAsia="Arial Unicode MS" w:hAnsi="Times New Roman" w:cs="Times New Roman"/>
                <w:noProof/>
                <w:bdr w:val="nil"/>
              </w:rPr>
            </w:pPr>
            <w:r>
              <w:rPr>
                <w:rFonts w:ascii="Times New Roman" w:hAnsi="Times New Roman"/>
                <w:b/>
                <w:bCs/>
                <w:noProof/>
                <w:bdr w:val="nil"/>
              </w:rPr>
              <w:t>Francijas shēma “Label bas-carbon”</w:t>
            </w:r>
            <w:r>
              <w:rPr>
                <w:rFonts w:ascii="Times New Roman" w:hAnsi="Times New Roman"/>
                <w:noProof/>
                <w:bdr w:val="nil"/>
              </w:rPr>
              <w:t xml:space="preserve"> dod iespēju privātām un publiskām darbībām brīvprātīgi kompensēt to radītās siltumnīcefekta gāzu emisijas un tādā veidā finansiāli atbalstīt vidiskus pakalpojumus (mazoglekļa darbības), ko sagādā meža apsaimniekošana Francijā.</w:t>
            </w:r>
          </w:p>
          <w:p>
            <w:pPr>
              <w:pBdr>
                <w:top w:val="nil"/>
                <w:left w:val="nil"/>
                <w:bottom w:val="nil"/>
                <w:right w:val="nil"/>
                <w:between w:val="nil"/>
                <w:bar w:val="nil"/>
              </w:pBdr>
              <w:jc w:val="both"/>
              <w:rPr>
                <w:rFonts w:ascii="Times New Roman" w:eastAsia="Arial Unicode MS" w:hAnsi="Times New Roman" w:cs="Times New Roman"/>
                <w:noProof/>
                <w:bdr w:val="nil"/>
              </w:rPr>
            </w:pPr>
          </w:p>
          <w:p>
            <w:pPr>
              <w:pBdr>
                <w:top w:val="nil"/>
                <w:left w:val="nil"/>
                <w:bottom w:val="nil"/>
                <w:right w:val="nil"/>
                <w:between w:val="nil"/>
                <w:bar w:val="nil"/>
              </w:pBdr>
              <w:jc w:val="both"/>
              <w:rPr>
                <w:rFonts w:ascii="Times New Roman" w:eastAsia="Arial Unicode MS" w:hAnsi="Times New Roman" w:cs="Times New Roman"/>
                <w:noProof/>
                <w:bdr w:val="nil"/>
              </w:rPr>
            </w:pPr>
            <w:r>
              <w:rPr>
                <w:rFonts w:ascii="Times New Roman" w:hAnsi="Times New Roman"/>
                <w:b/>
                <w:noProof/>
                <w:bdr w:val="nil"/>
              </w:rPr>
              <w:t>Portugāle</w:t>
            </w:r>
            <w:r>
              <w:rPr>
                <w:rFonts w:ascii="Times New Roman" w:hAnsi="Times New Roman"/>
                <w:noProof/>
                <w:bdr w:val="nil"/>
              </w:rPr>
              <w:t xml:space="preserve"> 2019. gadā sāka izmēģinājuma programmu, kuras iecere ir maksāt par meža ekosistēmas pakalpojumiem divos dabas parkos un kura ietver eikaliptu plantāciju renaturalizāciju, autohtonu sugu stādīšanu un nekoksnes produktu attīstīšanu.</w:t>
            </w:r>
          </w:p>
          <w:p>
            <w:pPr>
              <w:pBdr>
                <w:top w:val="nil"/>
                <w:left w:val="nil"/>
                <w:bottom w:val="nil"/>
                <w:right w:val="nil"/>
                <w:between w:val="nil"/>
                <w:bar w:val="nil"/>
              </w:pBdr>
              <w:jc w:val="both"/>
              <w:rPr>
                <w:rFonts w:ascii="Times New Roman" w:eastAsia="Arial Unicode MS" w:hAnsi="Times New Roman" w:cs="Times New Roman"/>
                <w:noProof/>
                <w:bdr w:val="nil"/>
              </w:rPr>
            </w:pPr>
          </w:p>
          <w:p>
            <w:pPr>
              <w:pBdr>
                <w:top w:val="nil"/>
                <w:left w:val="nil"/>
                <w:bottom w:val="nil"/>
                <w:right w:val="nil"/>
                <w:between w:val="nil"/>
                <w:bar w:val="nil"/>
              </w:pBdr>
              <w:jc w:val="both"/>
              <w:rPr>
                <w:rFonts w:ascii="Times New Roman" w:eastAsia="Arial Unicode MS" w:hAnsi="Times New Roman" w:cs="Times New Roman"/>
                <w:noProof/>
                <w:bdr w:val="nil"/>
              </w:rPr>
            </w:pPr>
            <w:r>
              <w:rPr>
                <w:rFonts w:ascii="Times New Roman" w:hAnsi="Times New Roman"/>
                <w:noProof/>
                <w:bdr w:val="nil"/>
              </w:rPr>
              <w:t xml:space="preserve">Vācijā </w:t>
            </w:r>
            <w:r>
              <w:rPr>
                <w:rFonts w:ascii="Times New Roman" w:hAnsi="Times New Roman"/>
                <w:b/>
                <w:bCs/>
                <w:noProof/>
                <w:bdr w:val="nil"/>
              </w:rPr>
              <w:t>federālie tiesību akti ūdens jomā</w:t>
            </w:r>
            <w:r>
              <w:rPr>
                <w:rFonts w:ascii="Times New Roman" w:hAnsi="Times New Roman"/>
                <w:noProof/>
                <w:bdr w:val="nil"/>
              </w:rPr>
              <w:t xml:space="preserve"> dod meža īpašniekiem tiesības saņemt kompensācijas maksājumus par apsaimniekošanas ierobežojumiem gruntsūdeņu aizsardzības zonās.</w:t>
            </w:r>
          </w:p>
          <w:p>
            <w:pPr>
              <w:pBdr>
                <w:top w:val="nil"/>
                <w:left w:val="nil"/>
                <w:bottom w:val="nil"/>
                <w:right w:val="nil"/>
                <w:between w:val="nil"/>
                <w:bar w:val="nil"/>
              </w:pBdr>
              <w:jc w:val="both"/>
              <w:rPr>
                <w:rFonts w:ascii="Times New Roman" w:eastAsia="Arial Unicode MS" w:hAnsi="Times New Roman" w:cs="Times New Roman"/>
                <w:noProof/>
                <w:bdr w:val="nil"/>
              </w:rPr>
            </w:pPr>
          </w:p>
          <w:p>
            <w:pPr>
              <w:pBdr>
                <w:top w:val="nil"/>
                <w:left w:val="nil"/>
                <w:bottom w:val="nil"/>
                <w:right w:val="nil"/>
                <w:between w:val="nil"/>
                <w:bar w:val="nil"/>
              </w:pBdr>
              <w:jc w:val="both"/>
              <w:rPr>
                <w:rFonts w:eastAsia="Arial Unicode MS"/>
                <w:bCs/>
                <w:iCs/>
                <w:noProof/>
                <w:sz w:val="20"/>
                <w:bdr w:val="nil"/>
              </w:rPr>
            </w:pPr>
            <w:r>
              <w:rPr>
                <w:rFonts w:ascii="Times New Roman" w:hAnsi="Times New Roman"/>
                <w:b/>
                <w:noProof/>
                <w:bdr w:val="nil"/>
              </w:rPr>
              <w:t>PDF Vidusjūras nodaļa (</w:t>
            </w:r>
            <w:r>
              <w:rPr>
                <w:rFonts w:ascii="Times New Roman" w:hAnsi="Times New Roman"/>
                <w:b/>
                <w:i/>
                <w:iCs/>
                <w:noProof/>
                <w:bdr w:val="nil"/>
              </w:rPr>
              <w:t>WWF Mediterranean</w:t>
            </w:r>
            <w:r>
              <w:rPr>
                <w:rFonts w:ascii="Times New Roman" w:hAnsi="Times New Roman"/>
                <w:b/>
                <w:noProof/>
                <w:bdr w:val="nil"/>
              </w:rPr>
              <w:t>) ir izstrādājusi iniciatīvu “Korķa zaļā sirds”</w:t>
            </w:r>
            <w:r>
              <w:rPr>
                <w:rFonts w:ascii="Times New Roman" w:hAnsi="Times New Roman"/>
                <w:noProof/>
                <w:bdr w:val="nil"/>
              </w:rPr>
              <w:t xml:space="preserve">, kuras satvarā privāts dzērienu ražošanas uzņēmums maksā meža zemes īpašniekiem par to, ka tie aizsargā ūdens nesējslāni, ko uzņēmums izmanto ražošanas procesā. </w:t>
            </w:r>
          </w:p>
          <w:p>
            <w:pPr>
              <w:pBdr>
                <w:top w:val="nil"/>
                <w:left w:val="nil"/>
                <w:bottom w:val="nil"/>
                <w:right w:val="nil"/>
                <w:between w:val="nil"/>
                <w:bar w:val="nil"/>
              </w:pBdr>
              <w:rPr>
                <w:rFonts w:eastAsia="Arial Unicode MS"/>
                <w:bCs/>
                <w:iCs/>
                <w:noProof/>
                <w:sz w:val="20"/>
                <w:bdr w:val="nil"/>
              </w:rPr>
            </w:pPr>
          </w:p>
        </w:tc>
      </w:tr>
    </w:tbl>
    <w:p>
      <w:pPr>
        <w:spacing w:after="0" w:line="240" w:lineRule="auto"/>
        <w:ind w:right="-426"/>
        <w:contextualSpacing/>
        <w:jc w:val="both"/>
        <w:rPr>
          <w:rFonts w:ascii="Times New Roman" w:eastAsia="Times New Roman" w:hAnsi="Times New Roman" w:cs="Times New Roman"/>
          <w:bCs/>
          <w:iCs/>
          <w:noProof/>
          <w:sz w:val="24"/>
          <w:szCs w:val="20"/>
        </w:rPr>
      </w:pPr>
    </w:p>
    <w:p>
      <w:pPr>
        <w:spacing w:after="0" w:line="240" w:lineRule="auto"/>
        <w:ind w:right="-426"/>
        <w:contextualSpacing/>
        <w:jc w:val="both"/>
        <w:rPr>
          <w:rFonts w:ascii="Times New Roman" w:eastAsia="Times New Roman" w:hAnsi="Times New Roman" w:cs="Times New Roman"/>
          <w:bCs/>
          <w:iCs/>
          <w:noProof/>
          <w:sz w:val="24"/>
          <w:szCs w:val="20"/>
        </w:rPr>
      </w:pPr>
      <w:r>
        <w:rPr>
          <w:rFonts w:ascii="Times New Roman" w:hAnsi="Times New Roman"/>
          <w:noProof/>
          <w:sz w:val="24"/>
          <w:szCs w:val="20"/>
        </w:rPr>
        <w:t>ES rīcībpolitiku sakarā jānorāda, ka kopējā lauksaimniecības politika (KLP) ar nacionālo lauku attīstības programmu starpniecību jau nodrošina finansiālu atbalstu mežiem un meža apsaimniekošanai, galvenokārt tādiem aspektiem kā pielāgošanās klimatiskajiem riskiem un noturība pret tiem. 2014.–2020. gadā KLP mežsaimniecības pasākumu satvarā 6,7 miljardi EUR bija atvēlēti ES rīcībpolitikas mērķrādītāju sasniegšanas atbalstam, galvenokārt pirmreizējai apmežošanai (27 %), meža ugunsgrēku un katastrofu profilaksei (24 %) un investīcijām izturētspējas, ekoloģisko un sociālo funkciju uzlabošanā (19 %). Tomēr mežsaimniecības pasākumu finansējuma apguve bija niecīga un plānošanas perioda gaitā būtiski saruka. Tas saistīts, piemēram, ar to, ka trūkst vajadzīgo zināšanu, lai pārvaldītu administratīvās procedūras, kas jāievēro, pieprasot piekļuvi fondiem, un to vēl saasina tas, ka piemaksa nav pietiekami pievilcīga un trūkst spēju veidošanas atbalsta no konsultatīvo dienestu puses, kā arī nav pietiekamu norādījumu par to, kā īstenot mežatkarīgas klimatadaptācijas darbības un pasākumus, lai novērstu un mazinātu riskus (tādus kā dabas ugunsgrēki, augsnes erozija, slimības, plūdi).</w:t>
      </w:r>
    </w:p>
    <w:p>
      <w:pPr>
        <w:spacing w:after="0" w:line="240" w:lineRule="auto"/>
        <w:ind w:right="-426"/>
        <w:contextualSpacing/>
        <w:jc w:val="both"/>
        <w:rPr>
          <w:rFonts w:ascii="Times New Roman" w:eastAsia="Cambria" w:hAnsi="Times New Roman" w:cs="Times New Roman"/>
          <w:noProof/>
          <w:sz w:val="24"/>
          <w:szCs w:val="20"/>
        </w:rPr>
      </w:pPr>
    </w:p>
    <w:p>
      <w:pPr>
        <w:spacing w:after="0" w:line="240" w:lineRule="auto"/>
        <w:ind w:right="-426"/>
        <w:contextualSpacing/>
        <w:jc w:val="both"/>
        <w:rPr>
          <w:rFonts w:ascii="Times New Roman" w:eastAsia="Cambria" w:hAnsi="Times New Roman" w:cs="Times New Roman"/>
          <w:noProof/>
          <w:sz w:val="24"/>
          <w:szCs w:val="20"/>
        </w:rPr>
      </w:pPr>
      <w:r>
        <w:rPr>
          <w:rFonts w:ascii="Times New Roman" w:hAnsi="Times New Roman"/>
          <w:noProof/>
          <w:sz w:val="24"/>
          <w:szCs w:val="20"/>
        </w:rPr>
        <w:t xml:space="preserve">Jaunā KLP (2023–2027) piedāvā lielāku elastību ar mežu saistītu intervenču īstenošanā atkarībā no valstu vajadzībām un specifikas un mazina birokrātiskos šķēršļus, vienlaikus sasaistot Eiropas zaļo kursu, nacionālās meža rīcībpolitikas un ES vides un klimata tiesību aktus un nodrošinot, ka tajos īstenota sinerģiska pieeja. Komisija centīsies </w:t>
      </w:r>
      <w:r>
        <w:rPr>
          <w:rFonts w:ascii="Times New Roman" w:hAnsi="Times New Roman"/>
          <w:b/>
          <w:bCs/>
          <w:noProof/>
          <w:sz w:val="24"/>
          <w:szCs w:val="20"/>
        </w:rPr>
        <w:t>palielināt šīs stratēģijas vajadzībām pieejamo lauku attīstības līdzekļu izmantojumu</w:t>
      </w:r>
      <w:r>
        <w:rPr>
          <w:rFonts w:ascii="Times New Roman" w:hAnsi="Times New Roman"/>
          <w:noProof/>
          <w:sz w:val="24"/>
          <w:szCs w:val="20"/>
        </w:rPr>
        <w:t>.</w:t>
      </w:r>
    </w:p>
    <w:p>
      <w:pPr>
        <w:spacing w:after="0" w:line="240" w:lineRule="auto"/>
        <w:ind w:right="-426"/>
        <w:contextualSpacing/>
        <w:jc w:val="both"/>
        <w:rPr>
          <w:rFonts w:ascii="Times New Roman" w:eastAsia="Cambria" w:hAnsi="Times New Roman" w:cs="Times New Roman"/>
          <w:noProof/>
          <w:sz w:val="24"/>
          <w:szCs w:val="20"/>
        </w:rPr>
      </w:pPr>
    </w:p>
    <w:p>
      <w:pPr>
        <w:spacing w:after="0" w:line="240" w:lineRule="auto"/>
        <w:ind w:right="-426"/>
        <w:contextualSpacing/>
        <w:jc w:val="both"/>
        <w:rPr>
          <w:rFonts w:ascii="Times New Roman" w:eastAsia="Cambria" w:hAnsi="Times New Roman" w:cs="Times New Roman"/>
          <w:noProof/>
          <w:sz w:val="24"/>
          <w:szCs w:val="20"/>
        </w:rPr>
      </w:pPr>
      <w:r>
        <w:rPr>
          <w:rFonts w:ascii="Times New Roman" w:hAnsi="Times New Roman"/>
          <w:b/>
          <w:bCs/>
          <w:noProof/>
          <w:sz w:val="24"/>
          <w:szCs w:val="20"/>
        </w:rPr>
        <w:t>Ieteikumos par KLP stratēģiskajiem plāniem 2023.–2027. gada periodam dalībvalstis ir aicinātas pienācīgi ņemt vērā meža aspektu</w:t>
      </w:r>
      <w:r>
        <w:rPr>
          <w:rFonts w:ascii="Times New Roman" w:hAnsi="Times New Roman"/>
          <w:noProof/>
          <w:sz w:val="24"/>
          <w:szCs w:val="20"/>
        </w:rPr>
        <w:t>. Dalībvalstis ir saņēmušas konkrētus ieteikumus par mežiem un mežsaimniecības nozari. Galvenais ieteikumu mērķis ir veicināt ilgtspējīgu meža apsaimniekošanu un ilgtspējīgu pirmreizējo un atkārtoto apmežošanu, uzlabot mežu daudzfunkcionalitāti un oglekļa piesaistītāja funkciju, aizsargāt mežus un atjaunot meža ekosistēmas, lai sasniegtu dzīvotņu un sugu labu stāvokli, kāpināt meža noturību pret klimata pārmaiņām un uzlabot lauku apvidu sociālekonomisko attīstību.</w:t>
      </w:r>
    </w:p>
    <w:p>
      <w:pPr>
        <w:spacing w:after="240" w:line="240" w:lineRule="auto"/>
        <w:contextualSpacing/>
        <w:jc w:val="both"/>
        <w:rPr>
          <w:rFonts w:ascii="Times New Roman" w:eastAsia="Cambria" w:hAnsi="Times New Roman" w:cs="Times New Roman"/>
          <w:noProof/>
          <w:sz w:val="24"/>
          <w:szCs w:val="20"/>
        </w:rPr>
      </w:pPr>
    </w:p>
    <w:p>
      <w:pPr>
        <w:spacing w:after="240" w:line="240" w:lineRule="auto"/>
        <w:ind w:right="-453"/>
        <w:contextualSpacing/>
        <w:jc w:val="both"/>
        <w:rPr>
          <w:rFonts w:ascii="Times New Roman" w:eastAsia="Times New Roman" w:hAnsi="Times New Roman" w:cs="Times New Roman"/>
          <w:noProof/>
          <w:sz w:val="24"/>
          <w:szCs w:val="24"/>
        </w:rPr>
      </w:pPr>
      <w:r>
        <w:rPr>
          <w:rFonts w:ascii="Times New Roman" w:hAnsi="Times New Roman"/>
          <w:noProof/>
          <w:sz w:val="24"/>
          <w:szCs w:val="20"/>
        </w:rPr>
        <w:t xml:space="preserve">Dalībvalstīm ir jārīkojas, lai mežā ieinteresētās personas labāk iesaistītu KLP stratēģisko plānu izstrādē dalībvalstu līmenī. </w:t>
      </w:r>
      <w:r>
        <w:rPr>
          <w:rFonts w:ascii="Times New Roman" w:hAnsi="Times New Roman"/>
          <w:noProof/>
          <w:sz w:val="24"/>
        </w:rPr>
        <w:t xml:space="preserve">Komisija nodrošinās jaunus līdzekļus, ar kuriem iespējams kopīgot informāciju par labo praksi, kas palīdz sekmīgāk izstrādāt un īstenot mežam relevantas intervences, un šajā nolūkā veicinās dalībvalstu ekspertu viedokļu apmaiņu, sagādās saskanīgai finansējuma izmantošanai domātus demonstrējumu rīkus un atbalstīs vietējo un reģionālo tīklošanos, arī </w:t>
      </w:r>
      <w:r>
        <w:rPr>
          <w:rFonts w:ascii="Times New Roman" w:hAnsi="Times New Roman"/>
          <w:i/>
          <w:iCs/>
          <w:noProof/>
          <w:sz w:val="24"/>
        </w:rPr>
        <w:t>in situ</w:t>
      </w:r>
      <w:r>
        <w:rPr>
          <w:rFonts w:ascii="Times New Roman" w:hAnsi="Times New Roman"/>
          <w:noProof/>
          <w:sz w:val="24"/>
        </w:rPr>
        <w:t xml:space="preserve"> demonstrējumu iniciatīvas.</w:t>
      </w:r>
      <w:r>
        <w:rPr>
          <w:rFonts w:ascii="Times New Roman" w:hAnsi="Times New Roman"/>
          <w:noProof/>
          <w:sz w:val="24"/>
          <w:szCs w:val="24"/>
        </w:rPr>
        <w:t xml:space="preserve"> KLP stratēģisko plānu novērtēšanā Komisija īpašu uzmanību pievērsīs ar mežu saistītiem pasākumiem, kam ir spēcīga sinerģija ar ES nospraustajiem klimata un biodaudzveidības mērķiem.</w:t>
      </w:r>
    </w:p>
    <w:p>
      <w:pPr>
        <w:spacing w:after="0" w:line="240" w:lineRule="auto"/>
        <w:ind w:right="-453"/>
        <w:contextualSpacing/>
        <w:jc w:val="both"/>
        <w:rPr>
          <w:rFonts w:ascii="Times New Roman" w:eastAsia="Cambria" w:hAnsi="Times New Roman" w:cs="Times New Roman"/>
          <w:noProof/>
          <w:sz w:val="24"/>
          <w:szCs w:val="24"/>
        </w:rPr>
      </w:pPr>
    </w:p>
    <w:p>
      <w:pPr>
        <w:spacing w:after="240" w:line="240" w:lineRule="auto"/>
        <w:ind w:right="-453"/>
        <w:jc w:val="both"/>
        <w:rPr>
          <w:rFonts w:ascii="Times New Roman" w:eastAsia="Times New Roman" w:hAnsi="Times New Roman" w:cs="Times New Roman"/>
          <w:b/>
          <w:noProof/>
          <w:sz w:val="24"/>
          <w:szCs w:val="24"/>
        </w:rPr>
      </w:pPr>
      <w:r>
        <w:rPr>
          <w:rFonts w:ascii="Times New Roman" w:hAnsi="Times New Roman"/>
          <w:noProof/>
          <w:sz w:val="24"/>
          <w:szCs w:val="24"/>
        </w:rPr>
        <w:t xml:space="preserve">Ņemot vērā ES vērienīgākās ieceres klimata un biodaudzveidības jomā, </w:t>
      </w:r>
      <w:r>
        <w:rPr>
          <w:rFonts w:ascii="Times New Roman" w:hAnsi="Times New Roman"/>
          <w:b/>
          <w:noProof/>
          <w:sz w:val="24"/>
          <w:szCs w:val="24"/>
        </w:rPr>
        <w:t>dalībvalstis tiek īpaši mudinātas atkarībā no apstākļiem valstī izveidot meža īpašniekiem un apsaimniekotājiem domātu maksājumu shēmu, kas atalgo ekosistēmu pakalpojumus, tātad ļauj segt izmaksas un negūtos ienākumus</w:t>
      </w:r>
      <w:r>
        <w:rPr>
          <w:rFonts w:ascii="Times New Roman" w:hAnsi="Times New Roman"/>
          <w:noProof/>
          <w:sz w:val="24"/>
          <w:szCs w:val="24"/>
        </w:rPr>
        <w:t xml:space="preserve">, līdzīgi tādām nacionālajām paraugshēmām kā Somijas programma “METSO”. </w:t>
      </w:r>
      <w:r>
        <w:rPr>
          <w:rFonts w:ascii="Times New Roman" w:hAnsi="Times New Roman"/>
          <w:b/>
          <w:noProof/>
          <w:sz w:val="24"/>
          <w:szCs w:val="24"/>
        </w:rPr>
        <w:t>Dalībvalstis tiek mudinātas arī paātrināt oglekļsaistīgas lauksaimniecības prakses ieviešanu, piemēram, izmantojot agromežsaimniecības ekoshēmas vai lauku attīstības intervences</w:t>
      </w:r>
      <w:r>
        <w:rPr>
          <w:rFonts w:ascii="Times New Roman" w:hAnsi="Times New Roman"/>
          <w:noProof/>
          <w:sz w:val="24"/>
          <w:szCs w:val="24"/>
        </w:rPr>
        <w:t xml:space="preserve">, lai aptvertu investīcijas biodaudzveidībai labvēlīgā pirmreizējā un atkārtotā apmežošanā, agromežsaimniecību un citas neienesīgas investīcijas ar vidi un klimatu saistītu mērķu sasniegšanā. Lai dalībvalstis atbalstītu, Komisija sniegs </w:t>
      </w:r>
      <w:r>
        <w:rPr>
          <w:rFonts w:ascii="Times New Roman" w:hAnsi="Times New Roman"/>
          <w:b/>
          <w:noProof/>
          <w:sz w:val="24"/>
          <w:szCs w:val="24"/>
        </w:rPr>
        <w:t>padomus un tehniskus norādījumus par ekosistēmu pakalpojumiem domātu maksājumu shēmu izstrādi</w:t>
      </w:r>
      <w:r>
        <w:rPr>
          <w:rFonts w:ascii="Times New Roman" w:hAnsi="Times New Roman"/>
          <w:noProof/>
          <w:sz w:val="24"/>
          <w:szCs w:val="24"/>
        </w:rPr>
        <w:t>.</w:t>
      </w: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 xml:space="preserve">Komisija pieņems arī </w:t>
      </w:r>
      <w:r>
        <w:rPr>
          <w:rFonts w:ascii="Times New Roman" w:hAnsi="Times New Roman"/>
          <w:b/>
          <w:bCs/>
          <w:noProof/>
          <w:sz w:val="24"/>
          <w:szCs w:val="20"/>
        </w:rPr>
        <w:t>oglekļsaistīgas lauksaimniecības iniciatīvu</w:t>
      </w:r>
      <w:r>
        <w:rPr>
          <w:rFonts w:ascii="Times New Roman" w:hAnsi="Times New Roman"/>
          <w:noProof/>
          <w:sz w:val="24"/>
          <w:szCs w:val="20"/>
        </w:rPr>
        <w:t>, kura izziņota stratēģijā “No lauka līdz galdam” un kuras mērķis būs vēl vairāk veicināt jaunu zaļās uzņēmējdarbības modeli, kas klimatam un videi labvēlīgas prakses, ko īsteno zemes apsaimniekotāji, to vidū meža apsaimniekotāji un īpašnieki, atalgos, pamatojoties uz to sagādātajiem ieguvumiem klimata jomā. Mitigācijas centienu atalgošana ar stimulējošiem maksājumiem vai tirgojamu oglekļa sertifikātu ģenerēšana radīs jaunu uzņēmējdarbības modeli, kura uzdevums ir sagādāt jaunu ienākumu avotu lauksaimniekiem, mežsaimniekiem un zemes apsaimniekotājiem, kas īsteno ilgtspējīgas darbības, kuras rezultējas oglekļa piesaistījumos un uzkrāšanā.</w:t>
      </w:r>
    </w:p>
    <w:p>
      <w:pPr>
        <w:autoSpaceDE w:val="0"/>
        <w:autoSpaceDN w:val="0"/>
        <w:adjustRightInd w:val="0"/>
        <w:spacing w:after="0" w:line="240" w:lineRule="auto"/>
        <w:ind w:right="-454"/>
        <w:jc w:val="both"/>
        <w:rPr>
          <w:rFonts w:ascii="Times New Roman" w:hAnsi="Times New Roman" w:cs="Times New Roman"/>
          <w:bCs/>
          <w:iCs/>
          <w:noProof/>
          <w:color w:val="000000"/>
          <w:sz w:val="24"/>
          <w:szCs w:val="24"/>
        </w:rPr>
      </w:pPr>
    </w:p>
    <w:p>
      <w:pPr>
        <w:autoSpaceDE w:val="0"/>
        <w:autoSpaceDN w:val="0"/>
        <w:adjustRightInd w:val="0"/>
        <w:spacing w:after="0" w:line="240" w:lineRule="auto"/>
        <w:ind w:right="-454"/>
        <w:jc w:val="both"/>
        <w:rPr>
          <w:rFonts w:ascii="Times New Roman" w:hAnsi="Times New Roman" w:cs="Times New Roman"/>
          <w:bCs/>
          <w:iCs/>
          <w:noProof/>
          <w:color w:val="000000"/>
          <w:sz w:val="24"/>
          <w:szCs w:val="24"/>
        </w:rPr>
      </w:pPr>
      <w:r>
        <w:rPr>
          <w:rFonts w:ascii="Times New Roman" w:hAnsi="Times New Roman"/>
          <w:noProof/>
          <w:color w:val="000000"/>
          <w:sz w:val="24"/>
          <w:szCs w:val="24"/>
        </w:rPr>
        <w:t>Oglekļsaistīgas lauksaimniecības shēmas var veicināt ar publiskā sektora rīcībpolitikām un ar privātām iniciatīvām.</w:t>
      </w:r>
      <w:r>
        <w:rPr>
          <w:rFonts w:ascii="Times New Roman" w:hAnsi="Times New Roman"/>
          <w:bCs/>
          <w:iCs/>
          <w:noProof/>
          <w:color w:val="000000"/>
          <w:sz w:val="24"/>
          <w:szCs w:val="24"/>
        </w:rPr>
        <w:t xml:space="preserve"> </w:t>
      </w:r>
      <w:r>
        <w:rPr>
          <w:rFonts w:ascii="Times New Roman" w:hAnsi="Times New Roman"/>
          <w:noProof/>
          <w:color w:val="000000"/>
          <w:sz w:val="24"/>
          <w:szCs w:val="24"/>
        </w:rPr>
        <w:t>Turklāt publiskais atbalsts var izpausties arī kā tīri nacionāls finansējums, ko sniedz saskaņā ar valsts atbalsta pamatnostādnēm, jo īpaši saskaņā ar patlaban izskatīšanā esošajām ES lauksaimniecības un mežsaimniecības pamatnostādnēm, kas aptver plašu mežsaimniecības pasākumu klāstu, kuru vidū ir, piemēram, atbalsts investīcijām meža ekosistēmu izturētspējas un vidiskās vērtības uzlabošanā vai atbalsts meža vides un klimata pakalpojumiem un meža saglabāšanai.</w:t>
      </w:r>
      <w:r>
        <w:rPr>
          <w:rFonts w:ascii="Times New Roman" w:hAnsi="Times New Roman"/>
          <w:bCs/>
          <w:iCs/>
          <w:noProof/>
          <w:color w:val="000000"/>
          <w:sz w:val="24"/>
          <w:szCs w:val="24"/>
        </w:rPr>
        <w:t xml:space="preserve"> Gaidāmās valsts atbalsta pamatnostādņu pārskatīšanas sakarā Komisija pēta, kā veicināt nacionālo līdzekļu izmantošanu mežsaimniecības pasākumiem un sekmīgāk tos novirzīt ekosistēmu pakalpojumiem.</w:t>
      </w:r>
    </w:p>
    <w:p>
      <w:pPr>
        <w:autoSpaceDE w:val="0"/>
        <w:autoSpaceDN w:val="0"/>
        <w:adjustRightInd w:val="0"/>
        <w:spacing w:after="0" w:line="240" w:lineRule="auto"/>
        <w:ind w:right="-454"/>
        <w:jc w:val="both"/>
        <w:rPr>
          <w:rFonts w:ascii="Times New Roman" w:hAnsi="Times New Roman" w:cs="Times New Roman"/>
          <w:noProof/>
          <w:color w:val="000000"/>
          <w:sz w:val="24"/>
          <w:szCs w:val="24"/>
        </w:rPr>
      </w:pPr>
    </w:p>
    <w:p>
      <w:pPr>
        <w:autoSpaceDE w:val="0"/>
        <w:autoSpaceDN w:val="0"/>
        <w:adjustRightInd w:val="0"/>
        <w:spacing w:after="0" w:line="240" w:lineRule="auto"/>
        <w:ind w:right="-454"/>
        <w:jc w:val="both"/>
        <w:rPr>
          <w:rFonts w:ascii="Times New Roman" w:hAnsi="Times New Roman" w:cs="Times New Roman"/>
          <w:noProof/>
          <w:color w:val="000000"/>
          <w:sz w:val="24"/>
          <w:szCs w:val="24"/>
        </w:rPr>
      </w:pPr>
      <w:r>
        <w:rPr>
          <w:rFonts w:ascii="Times New Roman" w:hAnsi="Times New Roman"/>
          <w:noProof/>
          <w:color w:val="000000"/>
          <w:sz w:val="24"/>
          <w:szCs w:val="24"/>
        </w:rPr>
        <w:t>Finansēt oglekļsaistīgas lauksaimniecības shēmas var arī privātas iniciatīvas, kas ģenerē tirgos tirgojamus oglekļa sertifikātus. Labumguvēji saņemtu maksājumus, kas atkarīgi no sasniegtajiem rezultātiem, un tas nodrošinātu attiecīgo līdzekļu mērķtiecīgāku izmantošanu paredzētajam klimata vai vides mērķim, piemēram, ekosistēmu pakalpojumu sniegšanai. Tātad oglekļsaistīga lauksaimniecība var būt viens no potenciālajiem līdzekļiem, ar ko sasniegt un īstenot šīs stratēģijas pamatā esošos mērķrādītājus.</w:t>
      </w:r>
    </w:p>
    <w:p>
      <w:pPr>
        <w:autoSpaceDE w:val="0"/>
        <w:autoSpaceDN w:val="0"/>
        <w:adjustRightInd w:val="0"/>
        <w:spacing w:after="0" w:line="240" w:lineRule="auto"/>
        <w:ind w:right="-454"/>
        <w:jc w:val="both"/>
        <w:rPr>
          <w:rFonts w:ascii="Times New Roman" w:hAnsi="Times New Roman" w:cs="Times New Roman"/>
          <w:b/>
          <w:bCs/>
          <w:iCs/>
          <w:noProof/>
          <w:color w:val="000000"/>
          <w:sz w:val="24"/>
          <w:szCs w:val="24"/>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 xml:space="preserve">Turklāt, kā izziņots Aprites ekonomikas rīcības plānā, </w:t>
      </w:r>
      <w:r>
        <w:rPr>
          <w:rFonts w:ascii="Times New Roman" w:hAnsi="Times New Roman"/>
          <w:b/>
          <w:bCs/>
          <w:noProof/>
          <w:sz w:val="24"/>
          <w:szCs w:val="20"/>
        </w:rPr>
        <w:t>Komisija izstrādā tiesisko regulējumu par oglekļa piesaistījumu sertificēšanu</w:t>
      </w:r>
      <w:r>
        <w:rPr>
          <w:rFonts w:ascii="Times New Roman" w:hAnsi="Times New Roman"/>
          <w:noProof/>
          <w:sz w:val="24"/>
          <w:szCs w:val="20"/>
        </w:rPr>
        <w:t>.</w:t>
      </w:r>
    </w:p>
    <w:p>
      <w:pPr>
        <w:spacing w:after="0" w:line="240" w:lineRule="auto"/>
        <w:ind w:right="-426"/>
        <w:contextualSpacing/>
        <w:jc w:val="both"/>
        <w:rPr>
          <w:rFonts w:ascii="Times New Roman" w:eastAsia="Times New Roman"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 xml:space="preserve">Saistībā ar </w:t>
      </w:r>
      <w:r>
        <w:rPr>
          <w:rFonts w:ascii="Times New Roman" w:hAnsi="Times New Roman"/>
          <w:b/>
          <w:bCs/>
          <w:noProof/>
          <w:sz w:val="24"/>
          <w:szCs w:val="20"/>
        </w:rPr>
        <w:t>ilgtermiņa redzējumu par lauku apvidiem</w:t>
      </w:r>
      <w:r>
        <w:rPr>
          <w:rFonts w:ascii="Times New Roman" w:hAnsi="Times New Roman"/>
          <w:noProof/>
          <w:sz w:val="24"/>
          <w:szCs w:val="20"/>
        </w:rPr>
        <w:t xml:space="preserve"> tiks veicināts mežaino lauku apvidu un pašvaldību tīkls, lai mežainiem lauku apvidiem dotu iespēju tikt sadzirdētiem, nodrošinot to pārstāvību galvenajās iniciatīvās (lauku novērotava, ELAT portāls</w:t>
      </w:r>
      <w:r>
        <w:rPr>
          <w:rFonts w:ascii="Times New Roman" w:eastAsia="Cambria" w:hAnsi="Times New Roman" w:cs="Times New Roman"/>
          <w:noProof/>
          <w:sz w:val="24"/>
          <w:szCs w:val="20"/>
          <w:vertAlign w:val="superscript"/>
        </w:rPr>
        <w:footnoteReference w:id="50"/>
      </w:r>
      <w:r>
        <w:rPr>
          <w:rFonts w:ascii="Times New Roman" w:hAnsi="Times New Roman"/>
          <w:noProof/>
          <w:sz w:val="24"/>
          <w:szCs w:val="20"/>
        </w:rPr>
        <w:t>) un veicinot īpašus novērtējumus par mežaino apvidu realitāti un vajadzībām visā ES.</w:t>
      </w:r>
    </w:p>
    <w:p>
      <w:pPr>
        <w:autoSpaceDE w:val="0"/>
        <w:autoSpaceDN w:val="0"/>
        <w:adjustRightInd w:val="0"/>
        <w:spacing w:after="0" w:line="240" w:lineRule="auto"/>
        <w:ind w:right="-454"/>
        <w:jc w:val="both"/>
        <w:rPr>
          <w:rFonts w:ascii="Times New Roman" w:hAnsi="Times New Roman" w:cs="Times New Roman"/>
          <w:bCs/>
          <w:iCs/>
          <w:noProof/>
          <w:color w:val="000000"/>
          <w:sz w:val="24"/>
          <w:szCs w:val="24"/>
        </w:rPr>
      </w:pPr>
    </w:p>
    <w:tbl>
      <w:tblPr>
        <w:tblStyle w:val="TableGrid"/>
        <w:tblW w:w="9322" w:type="dxa"/>
        <w:tblLook w:val="04A0" w:firstRow="1" w:lastRow="0" w:firstColumn="1" w:lastColumn="0" w:noHBand="0" w:noVBand="1"/>
      </w:tblPr>
      <w:tblGrid>
        <w:gridCol w:w="9322"/>
      </w:tblGrid>
      <w:tr>
        <w:tc>
          <w:tcPr>
            <w:tcW w:w="9322" w:type="dxa"/>
          </w:tcPr>
          <w:p>
            <w:pPr>
              <w:pBdr>
                <w:top w:val="nil"/>
                <w:left w:val="nil"/>
                <w:bottom w:val="nil"/>
                <w:right w:val="nil"/>
                <w:between w:val="nil"/>
                <w:bar w:val="nil"/>
              </w:pBdr>
              <w:autoSpaceDE w:val="0"/>
              <w:autoSpaceDN w:val="0"/>
              <w:adjustRightInd w:val="0"/>
              <w:rPr>
                <w:rFonts w:ascii="Times New Roman" w:eastAsia="Cambria" w:hAnsi="Times New Roman" w:cs="Times New Roman"/>
                <w:noProof/>
                <w:szCs w:val="24"/>
              </w:rPr>
            </w:pPr>
            <w:r>
              <w:rPr>
                <w:rFonts w:ascii="Times New Roman" w:hAnsi="Times New Roman"/>
                <w:noProof/>
                <w:szCs w:val="24"/>
              </w:rPr>
              <w:t>Komisijas ieceres</w:t>
            </w:r>
          </w:p>
          <w:p>
            <w:pPr>
              <w:numPr>
                <w:ilvl w:val="0"/>
                <w:numId w:val="23"/>
              </w:numPr>
              <w:jc w:val="both"/>
              <w:rPr>
                <w:rFonts w:ascii="Times New Roman" w:eastAsia="Cambria" w:hAnsi="Times New Roman" w:cs="Times New Roman"/>
                <w:noProof/>
              </w:rPr>
            </w:pPr>
            <w:r>
              <w:rPr>
                <w:rFonts w:ascii="Times New Roman" w:hAnsi="Times New Roman"/>
                <w:noProof/>
              </w:rPr>
              <w:t xml:space="preserve">Līdz 2021. gada beigām ierosināt </w:t>
            </w:r>
            <w:r>
              <w:rPr>
                <w:rFonts w:ascii="Times New Roman" w:hAnsi="Times New Roman"/>
                <w:b/>
                <w:bCs/>
                <w:noProof/>
              </w:rPr>
              <w:t>juridiski saistošu instrumentu par ekosistēmu</w:t>
            </w:r>
            <w:r>
              <w:rPr>
                <w:rFonts w:ascii="Times New Roman" w:hAnsi="Times New Roman"/>
                <w:noProof/>
              </w:rPr>
              <w:t xml:space="preserve">, tai skaitā meža ekosistēmu, </w:t>
            </w:r>
            <w:r>
              <w:rPr>
                <w:rFonts w:ascii="Times New Roman" w:hAnsi="Times New Roman"/>
                <w:b/>
                <w:bCs/>
                <w:noProof/>
              </w:rPr>
              <w:t>atjaunošanu</w:t>
            </w:r>
            <w:r>
              <w:rPr>
                <w:rFonts w:ascii="Times New Roman" w:hAnsi="Times New Roman"/>
                <w:noProof/>
              </w:rPr>
              <w:t>.</w:t>
            </w:r>
          </w:p>
          <w:p>
            <w:pPr>
              <w:numPr>
                <w:ilvl w:val="0"/>
                <w:numId w:val="23"/>
              </w:numPr>
              <w:jc w:val="both"/>
              <w:rPr>
                <w:rFonts w:ascii="Times New Roman" w:eastAsia="Cambria" w:hAnsi="Times New Roman" w:cs="Times New Roman"/>
                <w:noProof/>
              </w:rPr>
            </w:pPr>
            <w:r>
              <w:rPr>
                <w:rFonts w:ascii="Times New Roman" w:hAnsi="Times New Roman"/>
                <w:noProof/>
              </w:rPr>
              <w:t xml:space="preserve">Līdz 2021. gada beigām izstrādāt </w:t>
            </w:r>
            <w:r>
              <w:rPr>
                <w:rFonts w:ascii="Times New Roman" w:hAnsi="Times New Roman"/>
                <w:b/>
                <w:bCs/>
                <w:noProof/>
              </w:rPr>
              <w:t>vadlīnijas par pirmatnējo un seno mežu definīciju</w:t>
            </w:r>
            <w:r>
              <w:rPr>
                <w:rFonts w:ascii="Times New Roman" w:hAnsi="Times New Roman"/>
                <w:noProof/>
              </w:rPr>
              <w:t xml:space="preserve">, kuras aptvers šo mežu </w:t>
            </w:r>
            <w:r>
              <w:rPr>
                <w:rFonts w:ascii="Times New Roman" w:hAnsi="Times New Roman"/>
                <w:b/>
                <w:noProof/>
              </w:rPr>
              <w:t>definēšanu, kartēšanu, monitoringu un stingru aizsardzību</w:t>
            </w:r>
            <w:r>
              <w:rPr>
                <w:rFonts w:ascii="Times New Roman" w:hAnsi="Times New Roman"/>
                <w:noProof/>
              </w:rPr>
              <w:t>.</w:t>
            </w:r>
          </w:p>
          <w:p>
            <w:pPr>
              <w:numPr>
                <w:ilvl w:val="0"/>
                <w:numId w:val="23"/>
              </w:numPr>
              <w:jc w:val="both"/>
              <w:rPr>
                <w:rFonts w:ascii="Times New Roman" w:eastAsia="Cambria" w:hAnsi="Times New Roman" w:cs="Times New Roman"/>
                <w:b/>
                <w:noProof/>
              </w:rPr>
            </w:pPr>
            <w:r>
              <w:rPr>
                <w:rFonts w:ascii="Times New Roman" w:hAnsi="Times New Roman"/>
                <w:noProof/>
              </w:rPr>
              <w:t xml:space="preserve">Līdz 2023. gada 1. ceturksnim </w:t>
            </w:r>
            <w:r>
              <w:rPr>
                <w:rFonts w:ascii="Times New Roman" w:hAnsi="Times New Roman"/>
                <w:b/>
                <w:noProof/>
              </w:rPr>
              <w:t>kopā ar dalībvalstīm un ciešā sadarbībā ar dažādām meža nozares ieinteresētajām personām noteikt ilgtspējīgas meža apsaimniekošanas papildu indikatorus, kā arī sliekšņus vai diapazonus</w:t>
            </w:r>
            <w:r>
              <w:rPr>
                <w:rFonts w:ascii="Times New Roman" w:hAnsi="Times New Roman"/>
                <w:noProof/>
              </w:rPr>
              <w:t xml:space="preserve"> un novērtēt, kā tos varētu vislabāk izmantot, sākumā brīvprātīgā kārtā.</w:t>
            </w:r>
          </w:p>
          <w:p>
            <w:pPr>
              <w:numPr>
                <w:ilvl w:val="0"/>
                <w:numId w:val="23"/>
              </w:numPr>
              <w:jc w:val="both"/>
              <w:rPr>
                <w:rFonts w:ascii="Times New Roman" w:eastAsia="Cambria" w:hAnsi="Times New Roman" w:cs="Times New Roman"/>
                <w:noProof/>
              </w:rPr>
            </w:pPr>
            <w:r>
              <w:rPr>
                <w:rFonts w:ascii="Times New Roman" w:hAnsi="Times New Roman"/>
                <w:noProof/>
              </w:rPr>
              <w:t xml:space="preserve">Līdz 2022. gada 1. ceturksnim izstrādāt </w:t>
            </w:r>
            <w:r>
              <w:rPr>
                <w:rFonts w:ascii="Times New Roman" w:hAnsi="Times New Roman"/>
                <w:b/>
                <w:noProof/>
              </w:rPr>
              <w:t>biodaudzveidībai labvēlīgas pirmreizējās un atkārtotās apmežošanas vadlīnijas</w:t>
            </w:r>
            <w:r>
              <w:rPr>
                <w:rFonts w:ascii="Times New Roman" w:hAnsi="Times New Roman"/>
                <w:noProof/>
              </w:rPr>
              <w:t>.</w:t>
            </w:r>
          </w:p>
          <w:p>
            <w:pPr>
              <w:numPr>
                <w:ilvl w:val="0"/>
                <w:numId w:val="23"/>
              </w:numPr>
              <w:jc w:val="both"/>
              <w:rPr>
                <w:rFonts w:ascii="Times New Roman" w:eastAsia="Cambria" w:hAnsi="Times New Roman" w:cs="Times New Roman"/>
                <w:noProof/>
              </w:rPr>
            </w:pPr>
            <w:r>
              <w:rPr>
                <w:rFonts w:ascii="Times New Roman" w:hAnsi="Times New Roman"/>
                <w:noProof/>
              </w:rPr>
              <w:t xml:space="preserve">Līdz 2022. gada 2. ceturksnim izstrādāt definīciju un pieņemt vadlīnijas par </w:t>
            </w:r>
            <w:r>
              <w:rPr>
                <w:rFonts w:ascii="Times New Roman" w:hAnsi="Times New Roman"/>
                <w:b/>
                <w:noProof/>
              </w:rPr>
              <w:t>dabai tuvākām mežsaimniecības praksēm</w:t>
            </w:r>
            <w:r>
              <w:rPr>
                <w:rFonts w:ascii="Times New Roman" w:hAnsi="Times New Roman"/>
                <w:noProof/>
              </w:rPr>
              <w:t xml:space="preserve">, bet līdz 2023. gada 1. ceturksnim – </w:t>
            </w:r>
            <w:r>
              <w:rPr>
                <w:rFonts w:ascii="Times New Roman" w:hAnsi="Times New Roman"/>
                <w:b/>
                <w:noProof/>
              </w:rPr>
              <w:t>dabai tuvākas meža apsaimniekošanas brīvprātīgas sertifikācijas shēmu</w:t>
            </w:r>
            <w:r>
              <w:rPr>
                <w:rFonts w:ascii="Times New Roman" w:hAnsi="Times New Roman"/>
                <w:noProof/>
              </w:rPr>
              <w:t>.</w:t>
            </w:r>
          </w:p>
          <w:p>
            <w:pPr>
              <w:numPr>
                <w:ilvl w:val="0"/>
                <w:numId w:val="23"/>
              </w:numPr>
              <w:jc w:val="both"/>
              <w:rPr>
                <w:rFonts w:ascii="Times New Roman" w:eastAsia="Cambria" w:hAnsi="Times New Roman" w:cs="Times New Roman"/>
                <w:noProof/>
              </w:rPr>
            </w:pPr>
            <w:r>
              <w:rPr>
                <w:rFonts w:ascii="Times New Roman" w:hAnsi="Times New Roman"/>
                <w:noProof/>
              </w:rPr>
              <w:t xml:space="preserve">Sniegt </w:t>
            </w:r>
            <w:r>
              <w:rPr>
                <w:rFonts w:ascii="Times New Roman" w:hAnsi="Times New Roman"/>
                <w:b/>
                <w:bCs/>
                <w:noProof/>
              </w:rPr>
              <w:t>norādījumus un veicināt apmaiņu ar zināšanām par labu klimatadaptācijas un klimatnoturības praksi</w:t>
            </w:r>
            <w:r>
              <w:rPr>
                <w:rFonts w:ascii="Times New Roman" w:hAnsi="Times New Roman"/>
                <w:noProof/>
              </w:rPr>
              <w:t xml:space="preserve">, cita starpā izmantojot platformu </w:t>
            </w:r>
            <w:r>
              <w:rPr>
                <w:rFonts w:ascii="Times New Roman" w:hAnsi="Times New Roman"/>
                <w:i/>
                <w:iCs/>
                <w:noProof/>
              </w:rPr>
              <w:t>Climate-ADAPT</w:t>
            </w:r>
            <w:r>
              <w:rPr>
                <w:rFonts w:ascii="Times New Roman" w:hAnsi="Times New Roman"/>
                <w:noProof/>
              </w:rPr>
              <w:t>.</w:t>
            </w:r>
          </w:p>
          <w:p>
            <w:pPr>
              <w:numPr>
                <w:ilvl w:val="0"/>
                <w:numId w:val="23"/>
              </w:numPr>
              <w:pBdr>
                <w:top w:val="nil"/>
                <w:left w:val="nil"/>
                <w:bottom w:val="nil"/>
                <w:right w:val="nil"/>
                <w:between w:val="nil"/>
                <w:bar w:val="nil"/>
              </w:pBdr>
              <w:autoSpaceDE w:val="0"/>
              <w:autoSpaceDN w:val="0"/>
              <w:adjustRightInd w:val="0"/>
              <w:jc w:val="both"/>
              <w:rPr>
                <w:rFonts w:ascii="Times New Roman" w:eastAsia="Cambria" w:hAnsi="Times New Roman" w:cs="Times New Roman"/>
                <w:noProof/>
                <w:szCs w:val="24"/>
              </w:rPr>
            </w:pPr>
            <w:r>
              <w:rPr>
                <w:rFonts w:ascii="Times New Roman" w:hAnsi="Times New Roman"/>
                <w:noProof/>
                <w:szCs w:val="24"/>
              </w:rPr>
              <w:t xml:space="preserve">Līdz 2022. gada beigām </w:t>
            </w:r>
            <w:r>
              <w:rPr>
                <w:rFonts w:ascii="Times New Roman" w:hAnsi="Times New Roman"/>
                <w:b/>
                <w:bCs/>
                <w:noProof/>
                <w:szCs w:val="24"/>
              </w:rPr>
              <w:t>pārskatītos tiesību aktus par meža reproduktīvo materiālu</w:t>
            </w:r>
            <w:r>
              <w:rPr>
                <w:rFonts w:ascii="Times New Roman" w:hAnsi="Times New Roman"/>
                <w:noProof/>
                <w:szCs w:val="24"/>
              </w:rPr>
              <w:t xml:space="preserve"> papildināt ar pasākumiem, kas veicina nākotnes klimatiskajiem apstākļiem piemērota meža reproduktīvā materiāla ražošanu un tirdzniecību.</w:t>
            </w:r>
          </w:p>
          <w:p>
            <w:pPr>
              <w:numPr>
                <w:ilvl w:val="0"/>
                <w:numId w:val="23"/>
              </w:numPr>
              <w:pBdr>
                <w:top w:val="nil"/>
                <w:left w:val="nil"/>
                <w:bottom w:val="nil"/>
                <w:right w:val="nil"/>
                <w:between w:val="nil"/>
                <w:bar w:val="nil"/>
              </w:pBdr>
              <w:autoSpaceDE w:val="0"/>
              <w:autoSpaceDN w:val="0"/>
              <w:adjustRightInd w:val="0"/>
              <w:jc w:val="both"/>
              <w:rPr>
                <w:rFonts w:ascii="Times New Roman" w:eastAsia="Cambria" w:hAnsi="Times New Roman" w:cs="Times New Roman"/>
                <w:noProof/>
              </w:rPr>
            </w:pPr>
            <w:r>
              <w:rPr>
                <w:rFonts w:ascii="Times New Roman" w:hAnsi="Times New Roman"/>
                <w:b/>
                <w:bCs/>
                <w:noProof/>
              </w:rPr>
              <w:t>Gaidāmajā KLP (2023–2027)</w:t>
            </w:r>
            <w:r>
              <w:rPr>
                <w:rFonts w:ascii="Times New Roman" w:hAnsi="Times New Roman"/>
                <w:noProof/>
              </w:rPr>
              <w:t xml:space="preserve"> un citos ES finanšu instrumentos (piemēram, kohēzijas politikā, programmā </w:t>
            </w:r>
            <w:r>
              <w:rPr>
                <w:rFonts w:ascii="Times New Roman" w:hAnsi="Times New Roman"/>
                <w:i/>
                <w:iCs/>
                <w:noProof/>
              </w:rPr>
              <w:t>LIFE</w:t>
            </w:r>
            <w:r>
              <w:rPr>
                <w:rFonts w:ascii="Times New Roman" w:hAnsi="Times New Roman"/>
                <w:noProof/>
              </w:rPr>
              <w:t>, programmā “Apvārsnis Eiropa”, ES pārrobežu sadarbības programmās (</w:t>
            </w:r>
            <w:r>
              <w:rPr>
                <w:rFonts w:ascii="Times New Roman" w:hAnsi="Times New Roman"/>
                <w:i/>
                <w:iCs/>
                <w:noProof/>
              </w:rPr>
              <w:t>Interreg</w:t>
            </w:r>
            <w:r>
              <w:rPr>
                <w:rFonts w:ascii="Times New Roman" w:hAnsi="Times New Roman"/>
                <w:noProof/>
              </w:rPr>
              <w:t xml:space="preserve">)) veicināt uz Eiropas zaļā kursa mērķiem vērstas </w:t>
            </w:r>
            <w:r>
              <w:rPr>
                <w:rFonts w:ascii="Times New Roman" w:hAnsi="Times New Roman"/>
                <w:b/>
                <w:bCs/>
                <w:noProof/>
              </w:rPr>
              <w:t>ar mežu saistītas intervences, jo īpaši ekosistēmu pakalpojumiem domātu maksājumu shēmu izveidi un oglekļsaistīgas lauksaimniecības prakses izvēršanu</w:t>
            </w:r>
            <w:r>
              <w:rPr>
                <w:rFonts w:ascii="Times New Roman" w:hAnsi="Times New Roman"/>
                <w:noProof/>
              </w:rPr>
              <w:t>.</w:t>
            </w:r>
          </w:p>
          <w:p>
            <w:pPr>
              <w:numPr>
                <w:ilvl w:val="0"/>
                <w:numId w:val="23"/>
              </w:numPr>
              <w:pBdr>
                <w:top w:val="nil"/>
                <w:left w:val="nil"/>
                <w:bottom w:val="nil"/>
                <w:right w:val="nil"/>
                <w:between w:val="nil"/>
                <w:bar w:val="nil"/>
              </w:pBdr>
              <w:autoSpaceDE w:val="0"/>
              <w:autoSpaceDN w:val="0"/>
              <w:adjustRightInd w:val="0"/>
              <w:jc w:val="both"/>
              <w:rPr>
                <w:rFonts w:ascii="Times New Roman" w:eastAsia="Cambria" w:hAnsi="Times New Roman" w:cs="Times New Roman"/>
                <w:noProof/>
              </w:rPr>
            </w:pPr>
            <w:r>
              <w:rPr>
                <w:rFonts w:ascii="Times New Roman" w:hAnsi="Times New Roman"/>
                <w:noProof/>
              </w:rPr>
              <w:t xml:space="preserve">Līdz 2021. gada novembrim </w:t>
            </w:r>
            <w:r>
              <w:rPr>
                <w:rFonts w:ascii="Times New Roman" w:hAnsi="Times New Roman"/>
                <w:b/>
                <w:bCs/>
                <w:noProof/>
                <w:color w:val="000000"/>
                <w:szCs w:val="24"/>
              </w:rPr>
              <w:t>sagatavot ieteikumus un tehniskus norādījumus par ekosistēmu pakalpojumiem domātu maksājumu shēmas izstrādi</w:t>
            </w:r>
            <w:r>
              <w:rPr>
                <w:rFonts w:ascii="Times New Roman" w:hAnsi="Times New Roman"/>
                <w:noProof/>
              </w:rPr>
              <w:t>.</w:t>
            </w:r>
          </w:p>
          <w:p>
            <w:pPr>
              <w:numPr>
                <w:ilvl w:val="0"/>
                <w:numId w:val="23"/>
              </w:numPr>
              <w:pBdr>
                <w:top w:val="nil"/>
                <w:left w:val="nil"/>
                <w:bottom w:val="nil"/>
                <w:right w:val="nil"/>
                <w:between w:val="nil"/>
                <w:bar w:val="nil"/>
              </w:pBdr>
              <w:autoSpaceDE w:val="0"/>
              <w:autoSpaceDN w:val="0"/>
              <w:adjustRightInd w:val="0"/>
              <w:jc w:val="both"/>
              <w:rPr>
                <w:rFonts w:ascii="Times New Roman" w:eastAsia="Cambria" w:hAnsi="Times New Roman" w:cs="Times New Roman"/>
                <w:noProof/>
                <w:szCs w:val="24"/>
              </w:rPr>
            </w:pPr>
            <w:r>
              <w:rPr>
                <w:rFonts w:ascii="Times New Roman" w:hAnsi="Times New Roman"/>
                <w:bCs/>
                <w:noProof/>
                <w:color w:val="000000"/>
                <w:szCs w:val="24"/>
              </w:rPr>
              <w:t xml:space="preserve">Ar mežu saistītas atlīdzības shēmas popularizēt rīcības plānā par </w:t>
            </w:r>
            <w:r>
              <w:rPr>
                <w:rFonts w:ascii="Times New Roman" w:hAnsi="Times New Roman"/>
                <w:b/>
                <w:bCs/>
                <w:noProof/>
                <w:color w:val="000000"/>
                <w:szCs w:val="24"/>
              </w:rPr>
              <w:t>oglekļsaistīgu lauksaimniecību un oglekļa piesaistes sertifikāciju</w:t>
            </w:r>
            <w:r>
              <w:rPr>
                <w:rFonts w:ascii="Times New Roman" w:hAnsi="Times New Roman"/>
                <w:bCs/>
                <w:noProof/>
                <w:color w:val="000000"/>
                <w:szCs w:val="24"/>
              </w:rPr>
              <w:t>, kas jāpieņem līdz 2021. gada beigām.</w:t>
            </w:r>
          </w:p>
          <w:p>
            <w:pPr>
              <w:numPr>
                <w:ilvl w:val="0"/>
                <w:numId w:val="23"/>
              </w:numPr>
              <w:pBdr>
                <w:top w:val="nil"/>
                <w:left w:val="nil"/>
                <w:bottom w:val="nil"/>
                <w:right w:val="nil"/>
                <w:between w:val="nil"/>
                <w:bar w:val="nil"/>
              </w:pBdr>
              <w:autoSpaceDE w:val="0"/>
              <w:autoSpaceDN w:val="0"/>
              <w:adjustRightInd w:val="0"/>
              <w:jc w:val="both"/>
              <w:rPr>
                <w:rFonts w:ascii="Times New Roman" w:eastAsia="Cambria" w:hAnsi="Times New Roman" w:cs="Times New Roman"/>
                <w:noProof/>
                <w:szCs w:val="24"/>
              </w:rPr>
            </w:pPr>
            <w:r>
              <w:rPr>
                <w:rFonts w:ascii="Times New Roman" w:hAnsi="Times New Roman"/>
                <w:noProof/>
                <w:color w:val="000000"/>
                <w:szCs w:val="24"/>
              </w:rPr>
              <w:t xml:space="preserve">Lai labāk apzinātu tālākas rīcībpolitikas uzlabošanas iespējas, veikt </w:t>
            </w:r>
            <w:r>
              <w:rPr>
                <w:rFonts w:ascii="Times New Roman" w:hAnsi="Times New Roman"/>
                <w:b/>
                <w:noProof/>
                <w:color w:val="000000"/>
                <w:szCs w:val="24"/>
              </w:rPr>
              <w:t>uzvedības zinātnes pētījumu par to, kā mežsaimnieki apgūst publiskos līdzekļus</w:t>
            </w:r>
            <w:r>
              <w:rPr>
                <w:rFonts w:ascii="Times New Roman" w:hAnsi="Times New Roman"/>
                <w:noProof/>
                <w:color w:val="000000"/>
                <w:szCs w:val="24"/>
              </w:rPr>
              <w:t>.</w:t>
            </w:r>
          </w:p>
          <w:p>
            <w:pPr>
              <w:numPr>
                <w:ilvl w:val="0"/>
                <w:numId w:val="23"/>
              </w:numPr>
              <w:pBdr>
                <w:top w:val="nil"/>
                <w:left w:val="nil"/>
                <w:bottom w:val="nil"/>
                <w:right w:val="nil"/>
                <w:between w:val="nil"/>
                <w:bar w:val="nil"/>
              </w:pBdr>
              <w:jc w:val="both"/>
              <w:rPr>
                <w:rFonts w:ascii="Times New Roman" w:eastAsia="Cambria" w:hAnsi="Times New Roman" w:cs="Times New Roman"/>
                <w:noProof/>
              </w:rPr>
            </w:pPr>
            <w:r>
              <w:rPr>
                <w:rFonts w:ascii="Times New Roman" w:hAnsi="Times New Roman"/>
                <w:noProof/>
              </w:rPr>
              <w:t xml:space="preserve">Lai pakalpojumiem, kas dod labumu visai sabiedrībai, piešķirtu pienācīgu publisko atbalstu, </w:t>
            </w:r>
            <w:r>
              <w:rPr>
                <w:rFonts w:ascii="Times New Roman" w:hAnsi="Times New Roman"/>
                <w:b/>
                <w:bCs/>
                <w:noProof/>
              </w:rPr>
              <w:t>apzināt un novērst iespējamos šķēršļus, ko rada pašreizējie ES tiesību akti un valsts atbalsta pamatnostādnes</w:t>
            </w:r>
            <w:r>
              <w:rPr>
                <w:rFonts w:ascii="Times New Roman" w:hAnsi="Times New Roman"/>
                <w:noProof/>
              </w:rPr>
              <w:t>.</w:t>
            </w:r>
          </w:p>
        </w:tc>
      </w:tr>
    </w:tbl>
    <w:p>
      <w:pPr>
        <w:autoSpaceDE w:val="0"/>
        <w:autoSpaceDN w:val="0"/>
        <w:adjustRightInd w:val="0"/>
        <w:spacing w:after="0" w:line="240" w:lineRule="auto"/>
        <w:jc w:val="both"/>
        <w:rPr>
          <w:rFonts w:ascii="Times New Roman" w:hAnsi="Times New Roman" w:cs="Times New Roman"/>
          <w:b/>
          <w:i/>
          <w:noProof/>
        </w:rPr>
      </w:pPr>
    </w:p>
    <w:p>
      <w:pPr>
        <w:numPr>
          <w:ilvl w:val="0"/>
          <w:numId w:val="21"/>
        </w:numPr>
        <w:pBdr>
          <w:top w:val="nil"/>
          <w:left w:val="nil"/>
          <w:bottom w:val="nil"/>
          <w:right w:val="nil"/>
          <w:between w:val="nil"/>
          <w:bar w:val="nil"/>
        </w:pBdr>
        <w:spacing w:after="0" w:line="240" w:lineRule="auto"/>
        <w:ind w:right="-426"/>
        <w:contextualSpacing/>
        <w:jc w:val="both"/>
        <w:rPr>
          <w:rFonts w:ascii="Times New Roman" w:eastAsia="Arial Unicode MS" w:hAnsi="Times New Roman" w:cs="Times New Roman"/>
          <w:b/>
          <w:bCs/>
          <w:noProof/>
          <w:color w:val="000000"/>
          <w:sz w:val="24"/>
          <w:szCs w:val="24"/>
          <w:u w:color="000000"/>
          <w:bdr w:val="nil"/>
        </w:rPr>
      </w:pPr>
      <w:r>
        <w:rPr>
          <w:rFonts w:ascii="Times New Roman" w:hAnsi="Times New Roman"/>
          <w:b/>
          <w:bCs/>
          <w:noProof/>
          <w:color w:val="000000"/>
          <w:sz w:val="24"/>
          <w:szCs w:val="24"/>
          <w:u w:color="000000"/>
          <w:bdr w:val="nil"/>
        </w:rPr>
        <w:t>Stratēģiskais meža monitorings, ziņošana un datu vākšana</w:t>
      </w:r>
    </w:p>
    <w:p>
      <w:pPr>
        <w:pBdr>
          <w:top w:val="nil"/>
          <w:left w:val="nil"/>
          <w:bottom w:val="nil"/>
          <w:right w:val="nil"/>
          <w:between w:val="nil"/>
          <w:bar w:val="nil"/>
        </w:pBdr>
        <w:spacing w:after="0" w:line="240" w:lineRule="auto"/>
        <w:ind w:left="720" w:right="-426"/>
        <w:contextualSpacing/>
        <w:rPr>
          <w:rFonts w:ascii="Calibri" w:eastAsia="Arial Unicode MS" w:hAnsi="Calibri" w:cs="Arial Unicode MS"/>
          <w:i/>
          <w:noProof/>
          <w:color w:val="000000"/>
          <w:u w:color="000000"/>
          <w:bdr w:val="nil"/>
          <w:lang w:val="fr-BE" w:eastAsia="en-GB"/>
        </w:rPr>
      </w:pPr>
    </w:p>
    <w:p>
      <w:pPr>
        <w:spacing w:after="120" w:line="240" w:lineRule="auto"/>
        <w:ind w:right="-454"/>
        <w:jc w:val="both"/>
        <w:rPr>
          <w:rFonts w:ascii="Times New Roman" w:eastAsia="Times New Roman" w:hAnsi="Times New Roman" w:cs="Times New Roman"/>
          <w:noProof/>
          <w:sz w:val="24"/>
          <w:szCs w:val="20"/>
        </w:rPr>
      </w:pPr>
      <w:r>
        <w:rPr>
          <w:rFonts w:ascii="Times New Roman" w:hAnsi="Times New Roman"/>
          <w:noProof/>
          <w:sz w:val="24"/>
          <w:szCs w:val="20"/>
        </w:rPr>
        <w:t xml:space="preserve">Informācija par mežu stāvokli ES, to sociālo un ekonomisko vērtību, kā arī noslodzēm, ar ko tie saskaras, un ekosistēmas pakalpojumiem, ko tie sniedz, patlaban ir sadrumstalota. Kopš 2007. gada, kad beidzās </w:t>
      </w:r>
      <w:r>
        <w:rPr>
          <w:rFonts w:ascii="Times New Roman" w:hAnsi="Times New Roman"/>
          <w:i/>
          <w:iCs/>
          <w:noProof/>
          <w:sz w:val="24"/>
          <w:szCs w:val="20"/>
        </w:rPr>
        <w:t>Forest Focus</w:t>
      </w:r>
      <w:r>
        <w:rPr>
          <w:rFonts w:ascii="Times New Roman" w:hAnsi="Times New Roman"/>
          <w:noProof/>
          <w:sz w:val="24"/>
          <w:szCs w:val="20"/>
        </w:rPr>
        <w:t xml:space="preserve"> regulas darbības termiņš</w:t>
      </w:r>
      <w:r>
        <w:rPr>
          <w:rFonts w:ascii="Times New Roman" w:eastAsia="Times New Roman" w:hAnsi="Times New Roman" w:cs="Times New Roman"/>
          <w:noProof/>
          <w:sz w:val="24"/>
          <w:szCs w:val="20"/>
          <w:vertAlign w:val="superscript"/>
        </w:rPr>
        <w:footnoteReference w:id="51"/>
      </w:r>
      <w:r>
        <w:rPr>
          <w:rFonts w:ascii="Times New Roman" w:hAnsi="Times New Roman"/>
          <w:noProof/>
          <w:sz w:val="24"/>
          <w:szCs w:val="20"/>
        </w:rPr>
        <w:t xml:space="preserve">, visaptverošu ziņošanas prasību nav. Turklāt pastāv problēmas, kas saistītas ar tālizpētes datu un uz zemes iegūto datu izmantošanu (t. i., trūkst sadarbspējas un vienotu definīciju, datu interpretācijā pastāv neskaidrības, trūkst garu un salīdzināmu ļoti augstas izšķirtspējas laikrindu, pašreizējie </w:t>
      </w:r>
      <w:r>
        <w:rPr>
          <w:rFonts w:ascii="Times New Roman" w:hAnsi="Times New Roman"/>
          <w:i/>
          <w:iCs/>
          <w:noProof/>
          <w:sz w:val="24"/>
          <w:szCs w:val="20"/>
        </w:rPr>
        <w:t>Copernicus</w:t>
      </w:r>
      <w:r>
        <w:rPr>
          <w:rFonts w:ascii="Times New Roman" w:hAnsi="Times New Roman"/>
          <w:noProof/>
          <w:sz w:val="24"/>
          <w:szCs w:val="20"/>
        </w:rPr>
        <w:t xml:space="preserve"> nodrošinātie meža datu standartprodukti ir ierobežoti). Turklāt trūkst pienācīgas meža plānošanas, kas koordinētā veidā pievērstos meža daudzfunkcionalitātei ES un par to sniegtu visaptverošu priekšstatu, sevišķi attiecībā uz klimata pārmaiņu mīkstināšanu un pielāgošanos tām, mežu ekoloģisko stāvokli, meža bojājumu profilaksi un kontroli un pieprasījumu pēc meža biomasas un tās piedāvājumu dažādiem sociālekonomiskajiem mērķiem. Kopā ar vajadzību pēc detalizētākiem ilgtspējīgas meža apsaimniekošanas indikatoriem un sliekšņiem attiecībā uz konkrētiem klimata un biodaudzveidības aspektiem tas rada situāciju, kurā, no vienas puses, dalībvalstis ES līmenī ir vienojušās ES pārejā uz klimatneitrālu ekonomiku lielā mērā paļauties uz mežiem un meža resursu bioekonomiku.</w:t>
      </w:r>
    </w:p>
    <w:p>
      <w:pPr>
        <w:spacing w:after="120" w:line="240" w:lineRule="auto"/>
        <w:ind w:right="-454"/>
        <w:jc w:val="both"/>
        <w:rPr>
          <w:rFonts w:ascii="Times New Roman" w:eastAsia="Cambria" w:hAnsi="Times New Roman" w:cs="Times New Roman"/>
          <w:noProof/>
          <w:sz w:val="24"/>
          <w:szCs w:val="20"/>
        </w:rPr>
      </w:pPr>
      <w:r>
        <w:rPr>
          <w:rFonts w:ascii="Times New Roman" w:hAnsi="Times New Roman"/>
          <w:noProof/>
          <w:sz w:val="24"/>
          <w:szCs w:val="20"/>
        </w:rPr>
        <w:t xml:space="preserve">No otras puses, pastāv vairāki sadrumstaloti monitoringa un ziņošanas mehānismi, taču nav stratēģiska satvara, kas tos apvienotu un ļautu visaptveroši un kopīgi ar dalībvalstīm parādīt, ka ES ir nostājusies uz pareizā ceļa un ka meži var faktiski izpildīt daudzveidīgās prasības un funkcijas. Lai sasniegtu kopīgi noteiktos ES mērķus, </w:t>
      </w:r>
      <w:r>
        <w:rPr>
          <w:rFonts w:ascii="Times New Roman" w:hAnsi="Times New Roman"/>
          <w:b/>
          <w:noProof/>
          <w:sz w:val="24"/>
          <w:szCs w:val="20"/>
        </w:rPr>
        <w:t>visās ES dalībvalstīs nacionālā un attiecīgā gadījumā reģionālā līmenī ir jānodrošina stratēģiska mežu plānošana</w:t>
      </w:r>
      <w:r>
        <w:rPr>
          <w:rFonts w:ascii="Times New Roman" w:hAnsi="Times New Roman"/>
          <w:noProof/>
          <w:sz w:val="24"/>
          <w:szCs w:val="20"/>
        </w:rPr>
        <w:t>, kuras pamatā ir uzticams monitorings un dati, pārredzama pārvaldība un koordinēta apmaiņa ES līmenī. Jo īpaši tas attiecas uz pāreju uz klimatneitrālu ekonomiku un biodaudzveidības un aprites ekonomikas mērķu sasniegšanu, arī uz priekšlikumā pārskatītajai Regulai par zemes izmantošanu, zemes izmantošanas maiņu un mežsaimniecību noteikto piesaistes mērķrādītāju sasniegšanu.</w:t>
      </w: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 xml:space="preserve">Šajā nolūkā un atkarībā no ietekmes novērtējuma </w:t>
      </w:r>
      <w:r>
        <w:rPr>
          <w:rFonts w:ascii="Times New Roman" w:hAnsi="Times New Roman"/>
          <w:b/>
          <w:bCs/>
          <w:noProof/>
          <w:sz w:val="24"/>
          <w:szCs w:val="20"/>
        </w:rPr>
        <w:t>Komisija nāks klajā ar tiesību akta priekšlikumu par meža novērošanas, ziņošanas un datu vākšanas satvaru</w:t>
      </w:r>
      <w:r>
        <w:rPr>
          <w:rFonts w:ascii="Times New Roman" w:hAnsi="Times New Roman"/>
          <w:noProof/>
          <w:sz w:val="24"/>
          <w:szCs w:val="20"/>
        </w:rPr>
        <w:t xml:space="preserve">. Ar to izveidos </w:t>
      </w:r>
      <w:r>
        <w:rPr>
          <w:rFonts w:ascii="Times New Roman" w:hAnsi="Times New Roman"/>
          <w:b/>
          <w:noProof/>
          <w:sz w:val="24"/>
          <w:szCs w:val="20"/>
        </w:rPr>
        <w:t>integrētu ES mēroga meža monitoringa satvaru</w:t>
      </w:r>
      <w:r>
        <w:rPr>
          <w:rFonts w:ascii="Times New Roman" w:hAnsi="Times New Roman"/>
          <w:noProof/>
          <w:sz w:val="24"/>
          <w:szCs w:val="20"/>
        </w:rPr>
        <w:t xml:space="preserve">, kas izmantos gan tālizpētes tehnoloģijas un ģeotelpiskos datus, gan uz zemes veiktu monitoringu, un tādā veidā uzlabos monitoringa precizitāti. Atkarībā no ietekmes novērtējuma un apspriešanās rezultātiem un pilnīgā saskaņā ar subsidiaritātes principu satvars ietvers arī </w:t>
      </w:r>
      <w:r>
        <w:rPr>
          <w:rFonts w:ascii="Times New Roman" w:hAnsi="Times New Roman"/>
          <w:b/>
          <w:bCs/>
          <w:noProof/>
          <w:sz w:val="24"/>
          <w:szCs w:val="20"/>
        </w:rPr>
        <w:t>meža stratēģiskos plānus</w:t>
      </w:r>
      <w:r>
        <w:rPr>
          <w:rFonts w:ascii="Times New Roman" w:hAnsi="Times New Roman"/>
          <w:noProof/>
          <w:sz w:val="24"/>
          <w:szCs w:val="20"/>
        </w:rPr>
        <w:t xml:space="preserve">, kas jāizstrādā kompetentajām valsts vai attiecīgā gadījumā reģionālajām iestādēm. </w:t>
      </w:r>
      <w:r>
        <w:rPr>
          <w:rFonts w:ascii="Times New Roman" w:hAnsi="Times New Roman"/>
          <w:noProof/>
          <w:sz w:val="24"/>
          <w:szCs w:val="24"/>
        </w:rPr>
        <w:t>Ar šo priekšlikumu tiks izveidots satvars, kādā norisināsies sekmīgāka darbību koordinēšana, pilnībā respektējot dalībvalstu kompetenci šajā jautājumā.</w:t>
      </w:r>
    </w:p>
    <w:p>
      <w:pPr>
        <w:spacing w:after="0" w:line="240" w:lineRule="auto"/>
        <w:ind w:right="-426"/>
        <w:contextualSpacing/>
        <w:jc w:val="both"/>
        <w:rPr>
          <w:rFonts w:ascii="Times New Roman" w:eastAsia="Times New Roman" w:hAnsi="Times New Roman" w:cs="Times New Roman"/>
          <w:noProof/>
          <w:sz w:val="24"/>
          <w:szCs w:val="20"/>
        </w:rPr>
      </w:pPr>
    </w:p>
    <w:p>
      <w:pPr>
        <w:spacing w:after="0" w:line="240" w:lineRule="auto"/>
        <w:ind w:right="-426"/>
        <w:contextualSpacing/>
        <w:jc w:val="both"/>
        <w:rPr>
          <w:rFonts w:ascii="Times New Roman" w:eastAsia="Cambria" w:hAnsi="Times New Roman" w:cs="Times New Roman"/>
          <w:noProof/>
          <w:sz w:val="24"/>
          <w:szCs w:val="24"/>
        </w:rPr>
      </w:pPr>
      <w:r>
        <w:rPr>
          <w:rFonts w:ascii="Times New Roman" w:hAnsi="Times New Roman"/>
          <w:noProof/>
          <w:sz w:val="24"/>
          <w:szCs w:val="20"/>
        </w:rPr>
        <w:t xml:space="preserve">Monitoringa sakarā galvenā uzmanība būtu jāpievērš regulārai un biežākai izmaksefektīvai ziņošanai un datu atjaunināšanai par prioritāriem ES rīcībpolitikai relevantiem jautājumiem, tādiem kā klimata pārmaiņu ietekme, biodaudzveidība, veselība, bojājumi, invazīvas svešzemju sugas, meža apsaimniekošana un biomasas izmantošana dažādiem sociālekonomiskiem mērķiem. Monitorings jāveic ar lielu telpisko un laicisko granularitāti. Savlaicīgums ir īpaši svarīgs arī meža dabisko traucējumu straujās izplatības dēļ. </w:t>
      </w:r>
      <w:r>
        <w:rPr>
          <w:rFonts w:ascii="Times New Roman" w:hAnsi="Times New Roman"/>
          <w:noProof/>
          <w:sz w:val="24"/>
        </w:rPr>
        <w:t xml:space="preserve">Satvars gūs labumu no ES Kosmosa programmas komponentiem, un, lai šos procesus uzlabotu, tajā būtu jāizmanto </w:t>
      </w:r>
      <w:r>
        <w:rPr>
          <w:rFonts w:ascii="Times New Roman" w:hAnsi="Times New Roman"/>
          <w:i/>
          <w:iCs/>
          <w:noProof/>
          <w:sz w:val="24"/>
        </w:rPr>
        <w:t>Galileo</w:t>
      </w:r>
      <w:r>
        <w:rPr>
          <w:rFonts w:ascii="Times New Roman" w:hAnsi="Times New Roman"/>
          <w:noProof/>
          <w:sz w:val="24"/>
        </w:rPr>
        <w:t xml:space="preserve"> un </w:t>
      </w:r>
      <w:r>
        <w:rPr>
          <w:rFonts w:ascii="Times New Roman" w:hAnsi="Times New Roman"/>
          <w:i/>
          <w:iCs/>
          <w:noProof/>
          <w:sz w:val="24"/>
        </w:rPr>
        <w:t>Copernicus</w:t>
      </w:r>
      <w:r>
        <w:rPr>
          <w:rFonts w:ascii="Times New Roman" w:hAnsi="Times New Roman"/>
          <w:noProof/>
          <w:sz w:val="24"/>
        </w:rPr>
        <w:t xml:space="preserve"> pakalpojumi</w:t>
      </w:r>
      <w:r>
        <w:rPr>
          <w:rFonts w:ascii="Times New Roman" w:eastAsia="Cambria" w:hAnsi="Times New Roman" w:cs="Times New Roman"/>
          <w:noProof/>
          <w:sz w:val="24"/>
          <w:szCs w:val="24"/>
          <w:vertAlign w:val="superscript"/>
        </w:rPr>
        <w:footnoteReference w:id="52"/>
      </w:r>
      <w:r>
        <w:rPr>
          <w:rFonts w:ascii="Times New Roman" w:hAnsi="Times New Roman"/>
          <w:noProof/>
          <w:sz w:val="24"/>
        </w:rPr>
        <w:t>.</w:t>
      </w:r>
    </w:p>
    <w:p>
      <w:pPr>
        <w:spacing w:after="0" w:line="240" w:lineRule="auto"/>
        <w:ind w:right="-426"/>
        <w:contextualSpacing/>
        <w:jc w:val="both"/>
        <w:rPr>
          <w:rFonts w:ascii="Times New Roman" w:eastAsia="Cambria" w:hAnsi="Times New Roman" w:cs="Times New Roman"/>
          <w:noProof/>
          <w:sz w:val="24"/>
          <w:szCs w:val="20"/>
        </w:rPr>
      </w:pPr>
    </w:p>
    <w:p>
      <w:pPr>
        <w:spacing w:after="240" w:line="240" w:lineRule="auto"/>
        <w:ind w:right="-453"/>
        <w:jc w:val="both"/>
        <w:rPr>
          <w:rFonts w:ascii="Times New Roman" w:eastAsia="Times New Roman" w:hAnsi="Times New Roman" w:cs="Times New Roman"/>
          <w:noProof/>
          <w:sz w:val="24"/>
          <w:szCs w:val="20"/>
        </w:rPr>
      </w:pPr>
      <w:r>
        <w:rPr>
          <w:rFonts w:ascii="Times New Roman" w:hAnsi="Times New Roman"/>
          <w:noProof/>
          <w:sz w:val="24"/>
        </w:rPr>
        <w:t>Ir iecerēts sagatavot sarakstu ar parametriem, kas ir relevanti saskaņotam ES monitoringam, un datus vākt un ziņot, balstoties uz nacionālā un ES līmenī pastāvošajiem indikatoriem un monitoringa shēmām (piemēram, Eiropas Meža ugunsgrēku informācijas sistēmu</w:t>
      </w:r>
      <w:r>
        <w:rPr>
          <w:rFonts w:ascii="Times New Roman" w:eastAsia="Times New Roman" w:hAnsi="Times New Roman" w:cs="Times New Roman"/>
          <w:noProof/>
          <w:sz w:val="24"/>
          <w:szCs w:val="24"/>
          <w:vertAlign w:val="superscript"/>
        </w:rPr>
        <w:footnoteReference w:id="53"/>
      </w:r>
      <w:r>
        <w:rPr>
          <w:rFonts w:ascii="Times New Roman" w:hAnsi="Times New Roman"/>
          <w:noProof/>
          <w:sz w:val="24"/>
        </w:rPr>
        <w:t>) un ievērojot vienreizējas iesniegšanas principu, kas noteikts Vienotās digitālās vārtejas regulā.</w:t>
      </w:r>
      <w:r>
        <w:rPr>
          <w:rFonts w:ascii="Times New Roman" w:hAnsi="Times New Roman"/>
          <w:noProof/>
          <w:sz w:val="24"/>
          <w:szCs w:val="24"/>
        </w:rPr>
        <w:t xml:space="preserve"> </w:t>
      </w:r>
      <w:r>
        <w:rPr>
          <w:rFonts w:ascii="Times New Roman" w:hAnsi="Times New Roman"/>
          <w:noProof/>
          <w:sz w:val="24"/>
        </w:rPr>
        <w:t>Jaunas monitoringa parametru un indikatoru opcijas paredzēts novērtēt un apsvērt, apspriežoties ar dalībvalstīm, saņemot ekspertu atbalstu, veicot pētījumus un izmantojot citus līdzekļus, un, kad tās būs pieejamas, tās integrēt monitoringa sistēmā.</w:t>
      </w:r>
      <w:r>
        <w:rPr>
          <w:rFonts w:ascii="Times New Roman" w:hAnsi="Times New Roman"/>
          <w:noProof/>
          <w:sz w:val="24"/>
          <w:szCs w:val="24"/>
        </w:rPr>
        <w:t xml:space="preserve"> </w:t>
      </w:r>
      <w:r>
        <w:rPr>
          <w:rFonts w:ascii="Times New Roman" w:hAnsi="Times New Roman"/>
          <w:noProof/>
          <w:sz w:val="24"/>
        </w:rPr>
        <w:t>Jaunais monitoringa satvars īpaša “digitālā dvīņa” veidolā varētu gūt labumu arī no ES iniciatīvas “Galamērķis – Zeme” (</w:t>
      </w:r>
      <w:r>
        <w:rPr>
          <w:rFonts w:ascii="Times New Roman" w:hAnsi="Times New Roman"/>
          <w:i/>
          <w:iCs/>
          <w:noProof/>
          <w:sz w:val="24"/>
        </w:rPr>
        <w:t>DestinE</w:t>
      </w:r>
      <w:r>
        <w:rPr>
          <w:rFonts w:ascii="Times New Roman" w:hAnsi="Times New Roman"/>
          <w:noProof/>
          <w:sz w:val="24"/>
        </w:rPr>
        <w:t>)</w:t>
      </w:r>
      <w:r>
        <w:rPr>
          <w:rFonts w:ascii="Times New Roman" w:eastAsia="Times New Roman" w:hAnsi="Times New Roman" w:cs="Times New Roman"/>
          <w:noProof/>
          <w:sz w:val="24"/>
          <w:szCs w:val="24"/>
          <w:vertAlign w:val="superscript"/>
        </w:rPr>
        <w:footnoteReference w:id="54"/>
      </w:r>
      <w:r>
        <w:rPr>
          <w:rFonts w:ascii="Times New Roman" w:hAnsi="Times New Roman"/>
          <w:noProof/>
          <w:sz w:val="24"/>
        </w:rPr>
        <w:t>, un to var uzskatīt par lielu soli Zemes sistēmas modelēšanā un datu asimilācijā atšķirīgās, taču savstarpēji saistītās tematiskajās jomās</w:t>
      </w:r>
      <w:r>
        <w:rPr>
          <w:rFonts w:ascii="Times New Roman" w:eastAsia="Times New Roman" w:hAnsi="Times New Roman" w:cs="Times New Roman"/>
          <w:noProof/>
          <w:sz w:val="24"/>
          <w:szCs w:val="24"/>
          <w:vertAlign w:val="superscript"/>
        </w:rPr>
        <w:footnoteReference w:id="55"/>
      </w:r>
      <w:r>
        <w:rPr>
          <w:rFonts w:ascii="Times New Roman" w:hAnsi="Times New Roman"/>
          <w:noProof/>
          <w:sz w:val="24"/>
        </w:rPr>
        <w:t>.</w:t>
      </w:r>
    </w:p>
    <w:p>
      <w:pPr>
        <w:spacing w:after="0" w:line="240" w:lineRule="auto"/>
        <w:ind w:right="-426"/>
        <w:contextualSpacing/>
        <w:jc w:val="both"/>
        <w:rPr>
          <w:rFonts w:ascii="Times New Roman" w:eastAsia="Cambria" w:hAnsi="Times New Roman" w:cs="Times New Roman"/>
          <w:noProof/>
          <w:sz w:val="24"/>
          <w:szCs w:val="20"/>
        </w:rPr>
      </w:pPr>
      <w:r>
        <w:rPr>
          <w:rFonts w:ascii="Times New Roman" w:hAnsi="Times New Roman"/>
          <w:noProof/>
          <w:sz w:val="24"/>
          <w:szCs w:val="20"/>
        </w:rPr>
        <w:t>Eiropas Meža informācijas sistēma (</w:t>
      </w:r>
      <w:r>
        <w:rPr>
          <w:rFonts w:ascii="Times New Roman" w:hAnsi="Times New Roman"/>
          <w:i/>
          <w:iCs/>
          <w:noProof/>
          <w:sz w:val="24"/>
          <w:szCs w:val="20"/>
        </w:rPr>
        <w:t>FISE</w:t>
      </w:r>
      <w:r>
        <w:rPr>
          <w:rFonts w:ascii="Times New Roman" w:hAnsi="Times New Roman"/>
          <w:noProof/>
          <w:sz w:val="24"/>
          <w:szCs w:val="20"/>
        </w:rPr>
        <w:t>) tiks uzlabota, lai tā Eiropā kļūtu par harmonizētu meža datu nodrošināšanas stūrakmeni. Tāpēc integrētā meža monitoringa sistēma tiks iestrādāta šajā informācijas sistēmā, kurā tiks darīti pieejami arī tās rezultāti. Komisijas ES Atmežošanas, meža degradācijas, pasaules mežainuma izmaiņu un saistīto virzītājfaktoru novērotava</w:t>
      </w:r>
      <w:r>
        <w:rPr>
          <w:rFonts w:ascii="Times New Roman" w:eastAsia="Cambria" w:hAnsi="Times New Roman" w:cs="Times New Roman"/>
          <w:noProof/>
          <w:sz w:val="24"/>
          <w:szCs w:val="20"/>
          <w:vertAlign w:val="superscript"/>
        </w:rPr>
        <w:footnoteReference w:id="56"/>
      </w:r>
      <w:r>
        <w:rPr>
          <w:rFonts w:ascii="Times New Roman" w:hAnsi="Times New Roman"/>
          <w:noProof/>
          <w:sz w:val="24"/>
          <w:szCs w:val="20"/>
        </w:rPr>
        <w:t xml:space="preserve"> izstrādās uz Zemes novērošanu balstītus meža monitoringa rīkus, kurus </w:t>
      </w:r>
      <w:r>
        <w:rPr>
          <w:rFonts w:ascii="Times New Roman" w:hAnsi="Times New Roman"/>
          <w:i/>
          <w:iCs/>
          <w:noProof/>
          <w:sz w:val="24"/>
          <w:szCs w:val="20"/>
        </w:rPr>
        <w:t>Copernicus</w:t>
      </w:r>
      <w:r>
        <w:rPr>
          <w:rFonts w:ascii="Times New Roman" w:hAnsi="Times New Roman"/>
          <w:noProof/>
          <w:sz w:val="24"/>
          <w:szCs w:val="20"/>
        </w:rPr>
        <w:t xml:space="preserve"> varētu operacionalizēt un </w:t>
      </w:r>
      <w:r>
        <w:rPr>
          <w:rFonts w:ascii="Times New Roman" w:hAnsi="Times New Roman"/>
          <w:i/>
          <w:iCs/>
          <w:noProof/>
          <w:sz w:val="24"/>
          <w:szCs w:val="20"/>
        </w:rPr>
        <w:t>FISE</w:t>
      </w:r>
      <w:r>
        <w:rPr>
          <w:rFonts w:ascii="Times New Roman" w:hAnsi="Times New Roman"/>
          <w:noProof/>
          <w:sz w:val="24"/>
          <w:szCs w:val="20"/>
        </w:rPr>
        <w:t xml:space="preserve"> varētu izmantot kā daļu no integrētās meža monitoringa sistēmas.</w:t>
      </w:r>
    </w:p>
    <w:p>
      <w:pPr>
        <w:spacing w:after="0" w:line="240" w:lineRule="auto"/>
        <w:ind w:right="-426"/>
        <w:contextualSpacing/>
        <w:jc w:val="both"/>
        <w:rPr>
          <w:rFonts w:ascii="Times New Roman" w:eastAsia="Cambria"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 xml:space="preserve">Tiks izveidots infopanelis ar galvenajiem indikatoriem, un to katru gadu atjauninās, piemēram, attiecībā uz indikatoriem no tālizpētes datiem, kas ir viegli pieejami. Ņemot vērā riskus un strauji mainīgo situāciju ES mežos, gada ziņojumos tiks analizēti arī meža traucējumi un iekļauti atjaunināti riska novērtējumi. Reizi sešos gados tiks sagatavots infopanelis ar indikatoriem, kuru konsolidācijai vajag vairāk laika. Tas lieti noderēs arī tādiem regulāriem uzraudzības procesiem kā ANO ilgtspējīgas attīstības mērķi, 8. vides rīcības programma un Eiropas pusgads. Šo ziņojumu sagatavošanā tiks iesaistīta gaidāmā Eiropas meža zinātnes partnerība. Tiks darīti pieejami arī visu iepriekš minēto </w:t>
      </w:r>
      <w:r>
        <w:rPr>
          <w:rFonts w:ascii="Times New Roman" w:hAnsi="Times New Roman"/>
          <w:i/>
          <w:iCs/>
          <w:noProof/>
          <w:sz w:val="24"/>
          <w:szCs w:val="20"/>
        </w:rPr>
        <w:t>FISE</w:t>
      </w:r>
      <w:r>
        <w:rPr>
          <w:rFonts w:ascii="Times New Roman" w:hAnsi="Times New Roman"/>
          <w:noProof/>
          <w:sz w:val="24"/>
          <w:szCs w:val="20"/>
        </w:rPr>
        <w:t xml:space="preserve"> ziņojumu nespeciālistiem domāti kopsavilkumi, jo ļoti svarīgi ir nodrošināt to, lai zinātnē balstītām zināšanām un informācijai var piekļūt visi. Meža īpašnieki un apsaimniekotāji, pilsoniskā sabiedrība vai vietējās rīcības grupas tiek aicinātas izmantot šos ziņojumus un organizēt publiskas informatīvas sesijas savās valstīs vai kopienās, lai palielinātu informētību par Eiropas mežiem.</w:t>
      </w:r>
    </w:p>
    <w:p>
      <w:pPr>
        <w:spacing w:after="0" w:line="240" w:lineRule="auto"/>
        <w:ind w:right="-426"/>
        <w:contextualSpacing/>
        <w:jc w:val="both"/>
        <w:rPr>
          <w:rFonts w:ascii="Times New Roman" w:eastAsia="Times New Roman"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 xml:space="preserve">Iedzīvotāji un kopienas tiks iesaistīti arī to koku monitoringā, kas iestādīti, lai izpildītu solījumu līdz 2030. gadam iestādīt vēl vismaz 3 miljardus koku, un šajā nolūkā tiks izmantota tīmekļvietne </w:t>
      </w:r>
      <w:r>
        <w:rPr>
          <w:rFonts w:ascii="Times New Roman" w:hAnsi="Times New Roman"/>
          <w:i/>
          <w:iCs/>
          <w:noProof/>
          <w:sz w:val="24"/>
          <w:szCs w:val="20"/>
        </w:rPr>
        <w:t>MapMyTree</w:t>
      </w:r>
      <w:r>
        <w:rPr>
          <w:rFonts w:ascii="Times New Roman" w:hAnsi="Times New Roman"/>
          <w:noProof/>
          <w:sz w:val="24"/>
          <w:szCs w:val="20"/>
        </w:rPr>
        <w:t>. Speciālā platformā būs pieejami praktiski padomi par koku stādīšanu un kopšanu.</w:t>
      </w:r>
    </w:p>
    <w:p>
      <w:pPr>
        <w:spacing w:after="0" w:line="240" w:lineRule="auto"/>
        <w:ind w:right="-426"/>
        <w:contextualSpacing/>
        <w:jc w:val="both"/>
        <w:rPr>
          <w:rFonts w:ascii="Times New Roman" w:eastAsia="Times New Roman"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4"/>
        </w:rPr>
      </w:pPr>
      <w:r>
        <w:rPr>
          <w:rFonts w:ascii="Times New Roman" w:hAnsi="Times New Roman"/>
          <w:noProof/>
          <w:sz w:val="24"/>
          <w:szCs w:val="20"/>
        </w:rPr>
        <w:t xml:space="preserve">Dalībvalstu nacionālās vai attiecīgā gadījumā reģionālās iestādes sagatavos stratēģiskos plānus pilnīgā saskaņā ar subsidiaritātes principu. Tajos būs izklāstīts </w:t>
      </w:r>
      <w:r>
        <w:rPr>
          <w:rFonts w:ascii="Times New Roman" w:hAnsi="Times New Roman"/>
          <w:b/>
          <w:bCs/>
          <w:noProof/>
          <w:sz w:val="24"/>
          <w:szCs w:val="20"/>
        </w:rPr>
        <w:t>dalībvalstu stratēģiskais redzējums par to mežiem un meža nozari</w:t>
      </w:r>
      <w:r>
        <w:rPr>
          <w:rFonts w:ascii="Times New Roman" w:hAnsi="Times New Roman"/>
          <w:noProof/>
          <w:sz w:val="24"/>
          <w:szCs w:val="20"/>
        </w:rPr>
        <w:t xml:space="preserve"> nākamajos 10, 30 un 50 gados. </w:t>
      </w:r>
      <w:r>
        <w:rPr>
          <w:rFonts w:ascii="Times New Roman" w:hAnsi="Times New Roman"/>
          <w:noProof/>
          <w:sz w:val="24"/>
        </w:rPr>
        <w:t>Plāniem nebūs jāsaņem Komisijas apstiprinājums, bet tiem būs kopīgi elementi un vispārīga struktūra, kas jāizstrādā sadarbībā ar dalībvalstīm un ir atkarīga no ietekmes novērtējuma un ieinteresēto personu iesaistes, un to uzdevums būs nodrošināt salīdzināmību un sniegt visaptverošu pārskatu par ES mežu stāvokli, evolūciju un tālāko attīstību dalībvalstu redzējumā.</w:t>
      </w:r>
    </w:p>
    <w:p>
      <w:pPr>
        <w:spacing w:after="0" w:line="240" w:lineRule="auto"/>
        <w:ind w:right="-426"/>
        <w:contextualSpacing/>
        <w:jc w:val="both"/>
        <w:rPr>
          <w:rFonts w:ascii="Times New Roman" w:eastAsia="Times New Roman" w:hAnsi="Times New Roman" w:cs="Times New Roman"/>
          <w:noProof/>
          <w:sz w:val="24"/>
          <w:szCs w:val="24"/>
        </w:rPr>
      </w:pPr>
    </w:p>
    <w:p>
      <w:pPr>
        <w:spacing w:after="0" w:line="240" w:lineRule="auto"/>
        <w:ind w:right="-454"/>
        <w:contextualSpacing/>
        <w:jc w:val="both"/>
        <w:rPr>
          <w:rFonts w:ascii="Times New Roman" w:eastAsia="Times New Roman" w:hAnsi="Times New Roman" w:cs="Times New Roman"/>
          <w:noProof/>
          <w:sz w:val="24"/>
          <w:szCs w:val="20"/>
        </w:rPr>
      </w:pPr>
      <w:r>
        <w:rPr>
          <w:rFonts w:ascii="Times New Roman" w:hAnsi="Times New Roman"/>
          <w:noProof/>
          <w:sz w:val="24"/>
          <w:szCs w:val="20"/>
        </w:rPr>
        <w:t xml:space="preserve">Saskaņā ar ES Biodaudzveidības stratēģiju 2030. gadam </w:t>
      </w:r>
      <w:r>
        <w:rPr>
          <w:rFonts w:ascii="Times New Roman" w:hAnsi="Times New Roman"/>
          <w:b/>
          <w:noProof/>
          <w:sz w:val="24"/>
          <w:szCs w:val="20"/>
        </w:rPr>
        <w:t>meža apsaimniekošanas plānu</w:t>
      </w:r>
      <w:r>
        <w:rPr>
          <w:rFonts w:ascii="Times New Roman" w:hAnsi="Times New Roman"/>
          <w:noProof/>
          <w:sz w:val="24"/>
          <w:szCs w:val="20"/>
        </w:rPr>
        <w:t xml:space="preserve"> (MAP) aptverto meža platību īpatsvaram būtu jāatbilst visiem apsaimniekotajiem publiskajiem mežiem un lielākam skaitam privāto mežu.</w:t>
      </w:r>
      <w:r>
        <w:rPr>
          <w:rFonts w:ascii="Times New Roman" w:eastAsia="Times New Roman" w:hAnsi="Times New Roman" w:cs="Times New Roman"/>
          <w:noProof/>
          <w:sz w:val="24"/>
          <w:szCs w:val="20"/>
          <w:vertAlign w:val="superscript"/>
        </w:rPr>
        <w:footnoteReference w:id="57"/>
      </w:r>
      <w:r>
        <w:rPr>
          <w:rFonts w:ascii="Times New Roman" w:hAnsi="Times New Roman"/>
          <w:noProof/>
          <w:sz w:val="27"/>
          <w:szCs w:val="27"/>
          <w:shd w:val="clear" w:color="auto" w:fill="FFFFFF"/>
        </w:rPr>
        <w:t xml:space="preserve"> </w:t>
      </w:r>
      <w:r>
        <w:rPr>
          <w:rFonts w:ascii="Times New Roman" w:hAnsi="Times New Roman"/>
          <w:noProof/>
          <w:sz w:val="24"/>
          <w:szCs w:val="24"/>
        </w:rPr>
        <w:t>Tas palīdzētu meža īpašniekiem un apsaimniekotājiem praksē faktiski iedzīvināt ES, nacionālā un reģionālā līmenī noteiktos rīcībpolitikas mērķus un stratēģiskās prioritātes. MAP būtu jāparedz ar mežu saistītā riska novērtējums un pārvaldība, kā arī labāk jāintegrē ar biodaudzveidību saistītie dati. Sagatavojot jauno leģislatīvo instrumentu par ES meža monitoringu, Komisija, balstoties uz pieredzi ar iepriekšējo ES meža stratēģiju</w:t>
      </w:r>
      <w:r>
        <w:rPr>
          <w:rFonts w:ascii="Times New Roman" w:eastAsia="Times New Roman" w:hAnsi="Times New Roman" w:cs="Times New Roman"/>
          <w:noProof/>
          <w:sz w:val="24"/>
          <w:szCs w:val="24"/>
          <w:vertAlign w:val="superscript"/>
        </w:rPr>
        <w:footnoteReference w:id="58"/>
      </w:r>
      <w:r>
        <w:rPr>
          <w:rFonts w:ascii="Times New Roman" w:hAnsi="Times New Roman"/>
          <w:noProof/>
          <w:sz w:val="24"/>
          <w:szCs w:val="24"/>
        </w:rPr>
        <w:t>, veiks MAP iekļauto prasību un kritēriju salīdzinošu novērtējumu un izskatīs iespēju ciešā sadarbībā ar dalībvalstīm noteikt papildu kritērijus, lai nodrošinātu, ka MAP atbilst šīs stratēģijas mērķiem klimata, biodaudzveidības, bioekonomikas un sociālajā un lauku attīstības jomā. Turklāt novērtējumā tiks apsvērts, kā atbalstīt un konsultēt mežsaimniekus minēto plānu izstrādē.</w:t>
      </w:r>
    </w:p>
    <w:p>
      <w:pPr>
        <w:spacing w:after="0" w:line="240" w:lineRule="auto"/>
        <w:ind w:right="-454"/>
        <w:contextualSpacing/>
        <w:jc w:val="both"/>
        <w:rPr>
          <w:rFonts w:ascii="Times New Roman" w:eastAsia="Times New Roman"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4"/>
        </w:rPr>
      </w:pPr>
      <w:r>
        <w:rPr>
          <w:rFonts w:ascii="Times New Roman" w:hAnsi="Times New Roman"/>
          <w:noProof/>
          <w:sz w:val="24"/>
          <w:szCs w:val="20"/>
        </w:rPr>
        <w:t>Jauno tiesisko regulējumu atbalstīs visaptveroša pārvaldības sistēma, kas iederēsies atjauninātajā iekļaujošākajā un saskanīgākajā ES meža pārvaldības satvarā, kurš aprakstīts 6. iedaļā. Šajā sakarā tiks izveidota īpaša grupa, kurā būs iesaistīti svarīgākie eksperti un tīkli meža monitoringa un plānošanas jomā, lai palīdzētu apzināt metodes un indikatorus, kas jāmonitorē, un sagatavot to kopīgu sarakstu, izstrādāt darba programmas un noteikt pētniecības vajadzības un progresu.</w:t>
      </w:r>
    </w:p>
    <w:p>
      <w:pPr>
        <w:spacing w:after="0" w:line="240" w:lineRule="auto"/>
        <w:ind w:right="-426"/>
        <w:contextualSpacing/>
        <w:jc w:val="both"/>
        <w:rPr>
          <w:rFonts w:ascii="Times New Roman" w:eastAsia="Times New Roman" w:hAnsi="Times New Roman" w:cs="Times New Roman"/>
          <w:noProof/>
          <w:sz w:val="24"/>
          <w:szCs w:val="20"/>
        </w:rPr>
      </w:pPr>
    </w:p>
    <w:tbl>
      <w:tblPr>
        <w:tblStyle w:val="TableGrid"/>
        <w:tblW w:w="9180" w:type="dxa"/>
        <w:tblLook w:val="04A0" w:firstRow="1" w:lastRow="0" w:firstColumn="1" w:lastColumn="0" w:noHBand="0" w:noVBand="1"/>
      </w:tblPr>
      <w:tblGrid>
        <w:gridCol w:w="9180"/>
      </w:tblGrid>
      <w:tr>
        <w:tc>
          <w:tcPr>
            <w:tcW w:w="9180" w:type="dxa"/>
            <w:shd w:val="clear" w:color="auto" w:fill="auto"/>
          </w:tcPr>
          <w:p>
            <w:pPr>
              <w:jc w:val="both"/>
              <w:rPr>
                <w:rFonts w:ascii="Times New Roman" w:hAnsi="Times New Roman" w:cs="Times New Roman"/>
                <w:noProof/>
              </w:rPr>
            </w:pPr>
            <w:r>
              <w:rPr>
                <w:rFonts w:ascii="Times New Roman" w:hAnsi="Times New Roman"/>
                <w:noProof/>
              </w:rPr>
              <w:t>Komisijas ieceres</w:t>
            </w:r>
          </w:p>
          <w:p>
            <w:pPr>
              <w:numPr>
                <w:ilvl w:val="0"/>
                <w:numId w:val="34"/>
              </w:numPr>
              <w:jc w:val="both"/>
              <w:rPr>
                <w:rFonts w:ascii="Times New Roman" w:hAnsi="Times New Roman" w:cs="Times New Roman"/>
                <w:noProof/>
              </w:rPr>
            </w:pPr>
            <w:r>
              <w:rPr>
                <w:rFonts w:ascii="Times New Roman" w:hAnsi="Times New Roman"/>
                <w:noProof/>
              </w:rPr>
              <w:t xml:space="preserve">Lai nodrošinātu koordinētu ES meža monitoringa, datu vākšanas un ziņošanas sistēmu, iesniegt </w:t>
            </w:r>
            <w:r>
              <w:rPr>
                <w:rFonts w:ascii="Times New Roman" w:hAnsi="Times New Roman"/>
                <w:b/>
                <w:noProof/>
              </w:rPr>
              <w:t>jauna tiesību akta priekšlikumu par ES meža novērošanu, ziņošanu un datu vākšanu</w:t>
            </w:r>
            <w:r>
              <w:rPr>
                <w:rFonts w:ascii="Times New Roman" w:hAnsi="Times New Roman"/>
                <w:noProof/>
              </w:rPr>
              <w:t xml:space="preserve">. Šajā nolūkā dalībvalstu kompetentās iestādes pilnīgā saskaņā ar subsidiaritātes principu un Līgumu līdz 2023. gada 1. ceturksnim sagatavos </w:t>
            </w:r>
            <w:r>
              <w:rPr>
                <w:rFonts w:ascii="Times New Roman" w:hAnsi="Times New Roman"/>
                <w:b/>
                <w:bCs/>
                <w:noProof/>
              </w:rPr>
              <w:t>meža stratēģiskos plānus</w:t>
            </w:r>
            <w:r>
              <w:rPr>
                <w:rFonts w:ascii="Times New Roman" w:hAnsi="Times New Roman"/>
                <w:noProof/>
              </w:rPr>
              <w:t>, kas aptvers mežus un meža nozari.</w:t>
            </w:r>
          </w:p>
          <w:p>
            <w:pPr>
              <w:numPr>
                <w:ilvl w:val="0"/>
                <w:numId w:val="34"/>
              </w:numPr>
              <w:jc w:val="both"/>
              <w:rPr>
                <w:rFonts w:ascii="Times New Roman" w:hAnsi="Times New Roman" w:cs="Times New Roman"/>
                <w:noProof/>
              </w:rPr>
            </w:pPr>
            <w:r>
              <w:rPr>
                <w:rFonts w:ascii="Times New Roman" w:hAnsi="Times New Roman"/>
                <w:b/>
                <w:noProof/>
              </w:rPr>
              <w:t>Eiropas Meža informācijas sistēmas (</w:t>
            </w:r>
            <w:r>
              <w:rPr>
                <w:rFonts w:ascii="Times New Roman" w:hAnsi="Times New Roman"/>
                <w:b/>
                <w:i/>
                <w:iCs/>
                <w:noProof/>
              </w:rPr>
              <w:t>FISE</w:t>
            </w:r>
            <w:r>
              <w:rPr>
                <w:rFonts w:ascii="Times New Roman" w:hAnsi="Times New Roman"/>
                <w:b/>
                <w:noProof/>
              </w:rPr>
              <w:t xml:space="preserve">) satvarā, balstoties uz uzlabotiem </w:t>
            </w:r>
            <w:r>
              <w:rPr>
                <w:rFonts w:ascii="Times New Roman" w:hAnsi="Times New Roman"/>
                <w:b/>
                <w:i/>
                <w:iCs/>
                <w:noProof/>
              </w:rPr>
              <w:t>Copernicus</w:t>
            </w:r>
            <w:r>
              <w:rPr>
                <w:rFonts w:ascii="Times New Roman" w:hAnsi="Times New Roman"/>
                <w:b/>
                <w:noProof/>
              </w:rPr>
              <w:t xml:space="preserve"> produktiem, citiem tālizpētes datiem un uz zemes veiktu monitoringu, stiprināt pašreizējo klimata ietekmes un citu dabisku vai cilvēka izraisītu traucējumu monitoringu mežos</w:t>
            </w:r>
            <w:r>
              <w:rPr>
                <w:rFonts w:ascii="Times New Roman" w:hAnsi="Times New Roman"/>
                <w:noProof/>
              </w:rPr>
              <w:t>.</w:t>
            </w:r>
          </w:p>
          <w:p>
            <w:pPr>
              <w:numPr>
                <w:ilvl w:val="0"/>
                <w:numId w:val="34"/>
              </w:numPr>
              <w:jc w:val="both"/>
              <w:rPr>
                <w:rFonts w:ascii="Times New Roman" w:hAnsi="Times New Roman" w:cs="Times New Roman"/>
                <w:noProof/>
              </w:rPr>
            </w:pPr>
            <w:r>
              <w:rPr>
                <w:rFonts w:ascii="Times New Roman" w:hAnsi="Times New Roman"/>
                <w:noProof/>
              </w:rPr>
              <w:t xml:space="preserve">Ar plašākas Eiropas meža zinātnes partnerības atbalstu </w:t>
            </w:r>
            <w:r>
              <w:rPr>
                <w:rFonts w:ascii="Times New Roman" w:hAnsi="Times New Roman"/>
                <w:b/>
                <w:noProof/>
              </w:rPr>
              <w:t>sagatavot un publicēt regulārus ziņojumus un nespeciālistiem domātus kopsavilkumus par ES mežiem</w:t>
            </w:r>
            <w:r>
              <w:rPr>
                <w:rFonts w:ascii="Times New Roman" w:hAnsi="Times New Roman"/>
                <w:noProof/>
              </w:rPr>
              <w:t>.</w:t>
            </w:r>
          </w:p>
          <w:p>
            <w:pPr>
              <w:numPr>
                <w:ilvl w:val="0"/>
                <w:numId w:val="34"/>
              </w:numPr>
              <w:jc w:val="both"/>
              <w:rPr>
                <w:rFonts w:ascii="Times New Roman" w:hAnsi="Times New Roman" w:cs="Times New Roman"/>
                <w:noProof/>
              </w:rPr>
            </w:pPr>
            <w:r>
              <w:rPr>
                <w:rFonts w:ascii="Times New Roman" w:hAnsi="Times New Roman"/>
                <w:noProof/>
              </w:rPr>
              <w:t>Ar Kopīgā pētniecības centra</w:t>
            </w:r>
            <w:r>
              <w:rPr>
                <w:rFonts w:ascii="Times New Roman" w:hAnsi="Times New Roman" w:cs="Times New Roman"/>
                <w:noProof/>
                <w:vertAlign w:val="superscript"/>
                <w:lang w:val="en-IE"/>
              </w:rPr>
              <w:footnoteReference w:id="59"/>
            </w:r>
            <w:r>
              <w:rPr>
                <w:rFonts w:ascii="Times New Roman" w:hAnsi="Times New Roman"/>
                <w:noProof/>
              </w:rPr>
              <w:t xml:space="preserve"> starpniecību </w:t>
            </w:r>
            <w:r>
              <w:rPr>
                <w:rFonts w:ascii="Times New Roman" w:hAnsi="Times New Roman"/>
                <w:b/>
                <w:noProof/>
              </w:rPr>
              <w:t>izveidot Eiropas meža zinātnes partnerību</w:t>
            </w:r>
            <w:r>
              <w:rPr>
                <w:rFonts w:ascii="Times New Roman" w:hAnsi="Times New Roman"/>
                <w:noProof/>
              </w:rPr>
              <w:t>, kas palīdzēs izstrādāt jaunus indikatorus, kuri balstās uz tālizpēti un jaunāko pētījumu rezultātiem.</w:t>
            </w:r>
          </w:p>
        </w:tc>
      </w:tr>
    </w:tbl>
    <w:p>
      <w:pPr>
        <w:spacing w:after="240" w:line="240" w:lineRule="auto"/>
        <w:ind w:right="-426"/>
        <w:contextualSpacing/>
        <w:jc w:val="both"/>
        <w:rPr>
          <w:rFonts w:ascii="Times New Roman" w:eastAsia="Cambria" w:hAnsi="Times New Roman" w:cs="Times New Roman"/>
          <w:noProof/>
          <w:sz w:val="24"/>
          <w:szCs w:val="20"/>
        </w:rPr>
      </w:pPr>
    </w:p>
    <w:p>
      <w:pPr>
        <w:numPr>
          <w:ilvl w:val="0"/>
          <w:numId w:val="21"/>
        </w:numPr>
        <w:pBdr>
          <w:top w:val="nil"/>
          <w:left w:val="nil"/>
          <w:bottom w:val="nil"/>
          <w:right w:val="nil"/>
          <w:between w:val="nil"/>
          <w:bar w:val="nil"/>
        </w:pBdr>
        <w:spacing w:after="0" w:line="240" w:lineRule="auto"/>
        <w:ind w:right="-426"/>
        <w:contextualSpacing/>
        <w:jc w:val="both"/>
        <w:rPr>
          <w:rFonts w:ascii="Times New Roman" w:eastAsia="Cambria" w:hAnsi="Times New Roman" w:cs="Times New Roman"/>
          <w:b/>
          <w:bCs/>
          <w:noProof/>
          <w:color w:val="000000"/>
          <w:sz w:val="24"/>
          <w:szCs w:val="24"/>
          <w:u w:color="000000"/>
          <w:bdr w:val="nil"/>
        </w:rPr>
      </w:pPr>
      <w:r>
        <w:rPr>
          <w:rFonts w:ascii="Times New Roman" w:hAnsi="Times New Roman"/>
          <w:b/>
          <w:bCs/>
          <w:noProof/>
          <w:color w:val="000000"/>
          <w:sz w:val="24"/>
          <w:szCs w:val="24"/>
          <w:u w:color="000000"/>
          <w:bdr w:val="nil"/>
        </w:rPr>
        <w:t>Spēcīga pētniecības un inovācijas darbakārtība ar mērķi uzlabot mūsu zināšanas par mežiem</w:t>
      </w:r>
    </w:p>
    <w:p>
      <w:pPr>
        <w:spacing w:after="0" w:line="240" w:lineRule="auto"/>
        <w:ind w:right="-426"/>
        <w:contextualSpacing/>
        <w:jc w:val="both"/>
        <w:rPr>
          <w:rFonts w:ascii="Times New Roman" w:eastAsia="Cambria" w:hAnsi="Times New Roman" w:cs="Times New Roman"/>
          <w:noProof/>
          <w:sz w:val="24"/>
          <w:szCs w:val="20"/>
        </w:rPr>
      </w:pPr>
    </w:p>
    <w:p>
      <w:pPr>
        <w:spacing w:after="0" w:line="240" w:lineRule="auto"/>
        <w:ind w:right="-426"/>
        <w:contextualSpacing/>
        <w:jc w:val="both"/>
        <w:rPr>
          <w:rFonts w:ascii="Times New Roman" w:eastAsia="Cambria" w:hAnsi="Times New Roman" w:cs="Times New Roman"/>
          <w:noProof/>
          <w:sz w:val="24"/>
          <w:szCs w:val="20"/>
        </w:rPr>
      </w:pPr>
      <w:r>
        <w:rPr>
          <w:rFonts w:ascii="Times New Roman" w:hAnsi="Times New Roman"/>
          <w:noProof/>
          <w:sz w:val="24"/>
          <w:szCs w:val="20"/>
        </w:rPr>
        <w:t>Galvenie stratēģijas vērienīgo ieceru sasniegšanas virzītājspēki ir pētniecība un inovācija. Komisija ar pamatprogrammu “Apvārsnis Eiropa” turpinās veicināt zinātniski pamatotu ES meža devumu Eiropas zaļajā kursā nosprausto klimatneitralitātes un izturētspējas, biodaudzveidības un ilgtspējīgas izaugsmes ieceru īstenošanā. Ar mežiem saistītas pētniecības un inovācijas aktivitātes tiks atbalstītas, izmantojot tematisko kopu “Pārtika, bioekonomika, dabas resursi, lauksaimniecība un vide”. Šī kopa paver iespējas uzlabot un veidot sinerģijas starp mežu vidiskajiem, sociālajiem un ekonomiskajiem mērķiem un nostādīt cilvēka saimniecisko darbību uz ilgtspējas ceļa.</w:t>
      </w:r>
    </w:p>
    <w:p>
      <w:pPr>
        <w:spacing w:after="0" w:line="240" w:lineRule="auto"/>
        <w:ind w:right="-426"/>
        <w:contextualSpacing/>
        <w:jc w:val="both"/>
        <w:rPr>
          <w:rFonts w:ascii="Times New Roman" w:eastAsia="Cambria" w:hAnsi="Times New Roman" w:cs="Times New Roman"/>
          <w:noProof/>
          <w:sz w:val="24"/>
          <w:szCs w:val="20"/>
        </w:rPr>
      </w:pPr>
    </w:p>
    <w:p>
      <w:pPr>
        <w:spacing w:after="0" w:line="240" w:lineRule="auto"/>
        <w:ind w:right="-426"/>
        <w:contextualSpacing/>
        <w:jc w:val="both"/>
        <w:rPr>
          <w:rFonts w:ascii="Times New Roman" w:eastAsia="Cambria" w:hAnsi="Times New Roman" w:cs="Times New Roman"/>
          <w:noProof/>
          <w:sz w:val="24"/>
          <w:szCs w:val="20"/>
        </w:rPr>
      </w:pPr>
      <w:r>
        <w:rPr>
          <w:rFonts w:ascii="Times New Roman" w:hAnsi="Times New Roman"/>
          <w:noProof/>
          <w:sz w:val="24"/>
          <w:szCs w:val="20"/>
        </w:rPr>
        <w:t xml:space="preserve">Pētniecība un inovācija, cita starpā uzlabojot zināšanas par klimata pārmaiņu ietekmi, veicinot mežu un ģenētisko resursu lielāku daudzveidību un sniedzot pierādījumos balstītus un praktiski realizējamus norādījumus par klimata pārmaiņu mīkstināšanu un pielāgošanos tām saskaņā ar biodaudzveidības mērķiem, </w:t>
      </w:r>
      <w:r>
        <w:rPr>
          <w:rFonts w:ascii="Times New Roman" w:hAnsi="Times New Roman"/>
          <w:b/>
          <w:noProof/>
          <w:sz w:val="24"/>
          <w:szCs w:val="20"/>
        </w:rPr>
        <w:t>kāpinās uzlabotas ilgtspējīgas meža apsaimniekošanas rezultativitāti mainīgos klimatiskajos apstākļos</w:t>
      </w:r>
      <w:r>
        <w:rPr>
          <w:rFonts w:ascii="Times New Roman" w:hAnsi="Times New Roman"/>
          <w:noProof/>
          <w:sz w:val="24"/>
          <w:szCs w:val="20"/>
        </w:rPr>
        <w:t>. Attiecībā uz jauniem un potenciāliem kaitēkļiem un slimībām tiks ieviesta holistiska pieeja, kuras mērķis būs mazināt biotiskos traucējumus un riskus. Tiks atbalstīta pareiza un augtenei pielāgota meža un augsnes atjaunošana, arī izmantojot pētniecības un inovācijas misiju augsnes veselības un pārtikas jomā. Tiks veidota labāka izpratne par pirmatnējiem un seniem mežiem, to biodaudzveidību un klimatiskajām funkcijām.</w:t>
      </w:r>
    </w:p>
    <w:p>
      <w:pPr>
        <w:spacing w:after="0" w:line="240" w:lineRule="auto"/>
        <w:ind w:right="-426"/>
        <w:contextualSpacing/>
        <w:jc w:val="both"/>
        <w:rPr>
          <w:rFonts w:ascii="Times New Roman" w:eastAsia="Cambria" w:hAnsi="Times New Roman" w:cs="Times New Roman"/>
          <w:b/>
          <w:noProof/>
          <w:sz w:val="24"/>
          <w:szCs w:val="20"/>
        </w:rPr>
      </w:pPr>
    </w:p>
    <w:p>
      <w:pPr>
        <w:spacing w:after="0" w:line="240" w:lineRule="auto"/>
        <w:ind w:right="-426"/>
        <w:contextualSpacing/>
        <w:jc w:val="both"/>
        <w:rPr>
          <w:rFonts w:ascii="Times New Roman" w:eastAsia="Cambria" w:hAnsi="Times New Roman" w:cs="Times New Roman"/>
          <w:noProof/>
          <w:sz w:val="24"/>
          <w:szCs w:val="20"/>
        </w:rPr>
      </w:pPr>
      <w:r>
        <w:rPr>
          <w:rFonts w:ascii="Times New Roman" w:hAnsi="Times New Roman"/>
          <w:noProof/>
          <w:sz w:val="24"/>
          <w:szCs w:val="20"/>
        </w:rPr>
        <w:t xml:space="preserve">Daudzie </w:t>
      </w:r>
      <w:r>
        <w:rPr>
          <w:rFonts w:ascii="Times New Roman" w:hAnsi="Times New Roman"/>
          <w:b/>
          <w:noProof/>
          <w:sz w:val="24"/>
          <w:szCs w:val="20"/>
        </w:rPr>
        <w:t>ieguvumi no meža ekosistēmas pakalpojumiem</w:t>
      </w:r>
      <w:r>
        <w:rPr>
          <w:rFonts w:ascii="Times New Roman" w:hAnsi="Times New Roman"/>
          <w:noProof/>
          <w:sz w:val="24"/>
          <w:szCs w:val="20"/>
        </w:rPr>
        <w:t xml:space="preserve"> un to savstarpējā atkarība tiks aplūkoti starpdisciplinārā un integrējošā veidā, lai palielinātu ilgtspējīgu un daudzfunkcionālu mežu pievienoto vērtību un maksimalizētu labumu, ko tie sagādā sabiedrībai. Intensīvāka kļūs pētniecība un inovācija, kas saistīta ar agromežsaimniecības sistēmām un citiem kokiem, kuri aug ārpus mežiem.</w:t>
      </w:r>
    </w:p>
    <w:p>
      <w:pPr>
        <w:spacing w:after="0" w:line="240" w:lineRule="auto"/>
        <w:ind w:right="-426"/>
        <w:contextualSpacing/>
        <w:jc w:val="both"/>
        <w:rPr>
          <w:rFonts w:ascii="Times New Roman" w:eastAsia="Cambria" w:hAnsi="Times New Roman" w:cs="Times New Roman"/>
          <w:b/>
          <w:noProof/>
          <w:sz w:val="24"/>
          <w:szCs w:val="20"/>
        </w:rPr>
      </w:pPr>
    </w:p>
    <w:p>
      <w:pPr>
        <w:spacing w:after="0" w:line="240" w:lineRule="auto"/>
        <w:ind w:right="-426"/>
        <w:contextualSpacing/>
        <w:jc w:val="both"/>
        <w:rPr>
          <w:rFonts w:ascii="Times New Roman" w:eastAsia="Cambria" w:hAnsi="Times New Roman" w:cs="Times New Roman"/>
          <w:noProof/>
          <w:sz w:val="24"/>
          <w:szCs w:val="20"/>
        </w:rPr>
      </w:pPr>
      <w:r>
        <w:rPr>
          <w:rFonts w:ascii="Times New Roman" w:hAnsi="Times New Roman"/>
          <w:noProof/>
          <w:sz w:val="24"/>
          <w:szCs w:val="20"/>
        </w:rPr>
        <w:t xml:space="preserve">Mērķorientētas investīcijas labākā datu izmantošanā un infrastruktūru, tehnoloģiju un pārvaldības modeļu izstrādē </w:t>
      </w:r>
      <w:r>
        <w:rPr>
          <w:rFonts w:ascii="Times New Roman" w:hAnsi="Times New Roman"/>
          <w:b/>
          <w:noProof/>
          <w:sz w:val="24"/>
          <w:szCs w:val="20"/>
        </w:rPr>
        <w:t>paātrinās digitālo inovāciju ieviešanu</w:t>
      </w:r>
      <w:r>
        <w:rPr>
          <w:rFonts w:ascii="Times New Roman" w:hAnsi="Times New Roman"/>
          <w:noProof/>
          <w:sz w:val="24"/>
          <w:szCs w:val="20"/>
        </w:rPr>
        <w:t xml:space="preserve"> mežsaimniecībā, lauku apvidos un vērtības ķēdēs.</w:t>
      </w:r>
    </w:p>
    <w:p>
      <w:pPr>
        <w:spacing w:after="0" w:line="240" w:lineRule="auto"/>
        <w:ind w:right="-426"/>
        <w:contextualSpacing/>
        <w:jc w:val="both"/>
        <w:rPr>
          <w:rFonts w:ascii="Times New Roman" w:eastAsia="Cambria" w:hAnsi="Times New Roman" w:cs="Times New Roman"/>
          <w:b/>
          <w:noProof/>
          <w:sz w:val="24"/>
          <w:szCs w:val="20"/>
        </w:rPr>
      </w:pPr>
    </w:p>
    <w:p>
      <w:pPr>
        <w:spacing w:after="0" w:line="240" w:lineRule="auto"/>
        <w:ind w:right="-426"/>
        <w:contextualSpacing/>
        <w:jc w:val="both"/>
        <w:rPr>
          <w:rFonts w:ascii="Times New Roman" w:eastAsia="Cambria" w:hAnsi="Times New Roman" w:cs="Times New Roman"/>
          <w:noProof/>
          <w:sz w:val="24"/>
          <w:szCs w:val="20"/>
        </w:rPr>
      </w:pPr>
      <w:r>
        <w:rPr>
          <w:rFonts w:ascii="Times New Roman" w:hAnsi="Times New Roman"/>
          <w:noProof/>
          <w:sz w:val="24"/>
          <w:szCs w:val="20"/>
        </w:rPr>
        <w:t xml:space="preserve">Lai </w:t>
      </w:r>
      <w:r>
        <w:rPr>
          <w:rFonts w:ascii="Times New Roman" w:hAnsi="Times New Roman"/>
          <w:b/>
          <w:noProof/>
          <w:sz w:val="24"/>
          <w:szCs w:val="20"/>
        </w:rPr>
        <w:t>stiprinātu ES sadarbību</w:t>
      </w:r>
      <w:r>
        <w:rPr>
          <w:rFonts w:ascii="Times New Roman" w:hAnsi="Times New Roman"/>
          <w:noProof/>
          <w:sz w:val="24"/>
          <w:szCs w:val="20"/>
        </w:rPr>
        <w:t>, tiks ierosināta mežsaimniecības pētniecības un inovācijas partnerība, kuras uzdevums būs novērst publiskā sektora pētniecības centienu sadrumstalotību ES un pastiprināt darbu pie pētniecības prioritātēm, kurām vajadzīga ciešāka koordinācija. Pamatprogrammas “Apvārsnis Eiropa” ieguldījums līdz pat 1 miljarda EUR apmērā tiks apvienots ar komplementārām privātām investīcijām gaidāmajā partnerībā “Apritīga biobāzēta Eiropa”, lai veicinātu tādus inovatīvus un resursefektīvus biobāzētus materiālus un produktus, kuriem piemīt liels potenciāls aizstāt fosilos materiālus un produktus. Uz meža resursiem balstītiem projektiem būtu jāpalīdz dažādot meža īpašnieku un apsaimniekotāju ienākumus un jāpalielina meža resursu ekonomikas ilgtspēja un apritīgums.</w:t>
      </w:r>
    </w:p>
    <w:p>
      <w:pPr>
        <w:spacing w:after="0" w:line="240" w:lineRule="auto"/>
        <w:ind w:right="-426"/>
        <w:contextualSpacing/>
        <w:jc w:val="both"/>
        <w:rPr>
          <w:rFonts w:ascii="Times New Roman" w:eastAsia="Cambria" w:hAnsi="Times New Roman" w:cs="Times New Roman"/>
          <w:b/>
          <w:noProof/>
          <w:sz w:val="24"/>
          <w:szCs w:val="20"/>
        </w:rPr>
      </w:pPr>
    </w:p>
    <w:p>
      <w:pPr>
        <w:spacing w:after="0" w:line="240" w:lineRule="auto"/>
        <w:ind w:right="-426"/>
        <w:contextualSpacing/>
        <w:jc w:val="both"/>
        <w:rPr>
          <w:rFonts w:ascii="Times New Roman" w:eastAsia="Cambria" w:hAnsi="Times New Roman" w:cs="Times New Roman"/>
          <w:noProof/>
          <w:sz w:val="24"/>
          <w:szCs w:val="20"/>
        </w:rPr>
      </w:pPr>
      <w:r>
        <w:rPr>
          <w:rFonts w:ascii="Times New Roman" w:hAnsi="Times New Roman"/>
          <w:noProof/>
          <w:sz w:val="24"/>
          <w:szCs w:val="20"/>
        </w:rPr>
        <w:t>Komisija kopā ar dalībvalstīm stiprinās mežsaimniecības lomu Eiropas inovācijas partnerībā lauksaimniecības ražīgumam un ilgtspējai (</w:t>
      </w:r>
      <w:r>
        <w:rPr>
          <w:rFonts w:ascii="Times New Roman" w:hAnsi="Times New Roman"/>
          <w:i/>
          <w:iCs/>
          <w:noProof/>
          <w:sz w:val="24"/>
          <w:szCs w:val="20"/>
        </w:rPr>
        <w:t>EIP-AGRI</w:t>
      </w:r>
      <w:r>
        <w:rPr>
          <w:rFonts w:ascii="Times New Roman" w:hAnsi="Times New Roman"/>
          <w:noProof/>
          <w:sz w:val="24"/>
          <w:szCs w:val="20"/>
        </w:rPr>
        <w:t xml:space="preserve">). Mērķis būs </w:t>
      </w:r>
      <w:r>
        <w:rPr>
          <w:rFonts w:ascii="Times New Roman" w:hAnsi="Times New Roman"/>
          <w:b/>
          <w:noProof/>
          <w:sz w:val="24"/>
          <w:szCs w:val="20"/>
        </w:rPr>
        <w:t>paātrināt ar mežu saistītu inovāciju ieviešanu, veicināt zināšanu apmaiņu, sadarbību, izglītību, apmācību</w:t>
      </w:r>
      <w:r>
        <w:rPr>
          <w:rFonts w:ascii="Times New Roman" w:hAnsi="Times New Roman"/>
          <w:noProof/>
          <w:sz w:val="24"/>
          <w:szCs w:val="20"/>
        </w:rPr>
        <w:t xml:space="preserve"> un konsultācijas, kas atbalsta uzlabotas ilgtspējīgas meža apsaimniekošanas prakses, un atraisīt mežu sociālekonomisko un vidisko potenciālu lauku apvidos.</w:t>
      </w:r>
    </w:p>
    <w:p>
      <w:pPr>
        <w:spacing w:after="0" w:line="240" w:lineRule="auto"/>
        <w:ind w:right="-426"/>
        <w:contextualSpacing/>
        <w:jc w:val="both"/>
        <w:rPr>
          <w:rFonts w:ascii="Times New Roman" w:eastAsia="Cambria" w:hAnsi="Times New Roman" w:cs="Times New Roman"/>
          <w:noProof/>
          <w:sz w:val="24"/>
          <w:szCs w:val="20"/>
        </w:rPr>
      </w:pPr>
    </w:p>
    <w:tbl>
      <w:tblPr>
        <w:tblStyle w:val="TableGrid"/>
        <w:tblW w:w="9180" w:type="dxa"/>
        <w:tblLook w:val="04A0" w:firstRow="1" w:lastRow="0" w:firstColumn="1" w:lastColumn="0" w:noHBand="0" w:noVBand="1"/>
      </w:tblPr>
      <w:tblGrid>
        <w:gridCol w:w="9180"/>
      </w:tblGrid>
      <w:tr>
        <w:tc>
          <w:tcPr>
            <w:tcW w:w="9180" w:type="dxa"/>
          </w:tcPr>
          <w:p>
            <w:pPr>
              <w:ind w:right="-426"/>
              <w:contextualSpacing/>
              <w:jc w:val="both"/>
              <w:rPr>
                <w:rFonts w:ascii="Times New Roman" w:eastAsia="Cambria" w:hAnsi="Times New Roman" w:cs="Times New Roman"/>
                <w:noProof/>
              </w:rPr>
            </w:pPr>
            <w:r>
              <w:rPr>
                <w:rFonts w:ascii="Times New Roman" w:hAnsi="Times New Roman"/>
                <w:noProof/>
              </w:rPr>
              <w:t xml:space="preserve">Komisijas ieceres </w:t>
            </w:r>
          </w:p>
          <w:p>
            <w:pPr>
              <w:numPr>
                <w:ilvl w:val="0"/>
                <w:numId w:val="33"/>
              </w:numPr>
              <w:jc w:val="both"/>
              <w:rPr>
                <w:rFonts w:ascii="Times New Roman" w:eastAsia="Cambria" w:hAnsi="Times New Roman" w:cs="Times New Roman"/>
                <w:noProof/>
                <w:color w:val="000000" w:themeColor="text1"/>
                <w:u w:color="000000"/>
                <w:bdr w:val="nil"/>
              </w:rPr>
            </w:pPr>
            <w:r>
              <w:rPr>
                <w:rFonts w:ascii="Times New Roman" w:hAnsi="Times New Roman"/>
                <w:noProof/>
                <w:color w:val="000000" w:themeColor="text1"/>
                <w:u w:color="000000"/>
                <w:bdr w:val="nil"/>
              </w:rPr>
              <w:t>Kopīgi nosakot mežsaimniecībā un meža nozarē neizpētītas jomas un nākotnes prioritātes, kopā ar dalībvalstīm un ieinteresētajām personām izstrādāt pētniecības un inovācijas darbakārtību “</w:t>
            </w:r>
            <w:r>
              <w:rPr>
                <w:rFonts w:ascii="Times New Roman" w:hAnsi="Times New Roman"/>
                <w:b/>
                <w:noProof/>
                <w:color w:val="000000" w:themeColor="text1"/>
                <w:u w:color="000000"/>
                <w:bdr w:val="nil"/>
              </w:rPr>
              <w:t>Nākotnes mežu plānošana</w:t>
            </w:r>
            <w:r>
              <w:rPr>
                <w:rFonts w:ascii="Times New Roman" w:hAnsi="Times New Roman"/>
                <w:noProof/>
                <w:color w:val="000000" w:themeColor="text1"/>
                <w:u w:color="000000"/>
                <w:bdr w:val="nil"/>
              </w:rPr>
              <w:t>”.</w:t>
            </w:r>
          </w:p>
          <w:p>
            <w:pPr>
              <w:numPr>
                <w:ilvl w:val="0"/>
                <w:numId w:val="33"/>
              </w:numPr>
              <w:jc w:val="both"/>
              <w:rPr>
                <w:rFonts w:ascii="Times New Roman" w:eastAsia="Cambria" w:hAnsi="Times New Roman" w:cs="Times New Roman"/>
                <w:noProof/>
                <w:color w:val="000000" w:themeColor="text1"/>
                <w:u w:color="000000"/>
                <w:bdr w:val="nil"/>
              </w:rPr>
            </w:pPr>
            <w:r>
              <w:rPr>
                <w:rFonts w:ascii="Times New Roman" w:hAnsi="Times New Roman"/>
                <w:noProof/>
                <w:color w:val="000000" w:themeColor="text1"/>
                <w:u w:color="000000"/>
                <w:bdr w:val="nil"/>
              </w:rPr>
              <w:t xml:space="preserve">Atbalstīt pierādījumos balstītu </w:t>
            </w:r>
            <w:r>
              <w:rPr>
                <w:rFonts w:ascii="Times New Roman" w:hAnsi="Times New Roman"/>
                <w:b/>
                <w:noProof/>
                <w:color w:val="000000" w:themeColor="text1"/>
                <w:u w:color="000000"/>
                <w:bdr w:val="nil"/>
              </w:rPr>
              <w:t>meža atjaunošanas stratēģiju izstrādi un īstenošanu</w:t>
            </w:r>
            <w:r>
              <w:rPr>
                <w:rFonts w:ascii="Times New Roman" w:hAnsi="Times New Roman"/>
                <w:noProof/>
                <w:color w:val="000000" w:themeColor="text1"/>
                <w:u w:color="000000"/>
                <w:bdr w:val="nil"/>
              </w:rPr>
              <w:t>, kurā iesaistīta sabiedrība un kura noris dažādos ekoloģiskos un sociālekonomiskos apstākļos, arī ar augsnes veselības jomā plānoto pētniecības un inovācijas misiju attiecībā uz meža augsnēm.</w:t>
            </w:r>
          </w:p>
          <w:p>
            <w:pPr>
              <w:numPr>
                <w:ilvl w:val="0"/>
                <w:numId w:val="33"/>
              </w:numPr>
              <w:jc w:val="both"/>
              <w:rPr>
                <w:rFonts w:ascii="Times New Roman" w:eastAsia="Cambria" w:hAnsi="Times New Roman" w:cs="Times New Roman"/>
                <w:noProof/>
                <w:color w:val="000000"/>
                <w:u w:color="000000"/>
                <w:bdr w:val="nil"/>
              </w:rPr>
            </w:pPr>
            <w:r>
              <w:rPr>
                <w:rFonts w:ascii="Times New Roman" w:hAnsi="Times New Roman"/>
                <w:b/>
                <w:noProof/>
                <w:color w:val="000000" w:themeColor="text1"/>
                <w:u w:color="000000"/>
                <w:bdr w:val="nil"/>
              </w:rPr>
              <w:t>Pastiprināt ES sadarbību</w:t>
            </w:r>
            <w:r>
              <w:rPr>
                <w:rFonts w:ascii="Times New Roman" w:hAnsi="Times New Roman"/>
                <w:noProof/>
                <w:color w:val="000000" w:themeColor="text1"/>
                <w:u w:color="000000"/>
                <w:bdr w:val="nil"/>
              </w:rPr>
              <w:t>, ierosinot pētniecības un inovācijas partnerību mežsaimniecības jomā, arī atsevišķās galvenajās stratēģiskajās jomās izmantojamu risinājumu izmēģināšanai un demonstrēšanai domātas pamatiniciatīvas.</w:t>
            </w:r>
          </w:p>
          <w:p>
            <w:pPr>
              <w:numPr>
                <w:ilvl w:val="0"/>
                <w:numId w:val="33"/>
              </w:numPr>
              <w:jc w:val="both"/>
              <w:rPr>
                <w:rFonts w:ascii="Times New Roman" w:eastAsia="Arial Unicode MS" w:hAnsi="Times New Roman" w:cs="Times New Roman"/>
                <w:noProof/>
                <w:color w:val="000000"/>
                <w:u w:color="000000"/>
                <w:bdr w:val="nil"/>
              </w:rPr>
            </w:pPr>
            <w:r>
              <w:rPr>
                <w:rFonts w:ascii="Times New Roman" w:hAnsi="Times New Roman"/>
                <w:noProof/>
                <w:color w:val="000000"/>
                <w:u w:color="000000"/>
                <w:bdr w:val="nil"/>
              </w:rPr>
              <w:t xml:space="preserve">Lai uzlabotu riska un noturības pārvaldības spējas, ar pamatprogrammas “Apvārsnis Eiropa” kopas “Civilā drošība sabiedrībai” palīdzību </w:t>
            </w:r>
            <w:r>
              <w:rPr>
                <w:rFonts w:ascii="Times New Roman" w:hAnsi="Times New Roman"/>
                <w:b/>
                <w:bCs/>
                <w:noProof/>
                <w:color w:val="000000"/>
                <w:u w:color="000000"/>
                <w:bdr w:val="nil"/>
              </w:rPr>
              <w:t>īstenot katastrofu riska mazināšanas rīcībpolitiku atbalstam domātas papildinošas darbības</w:t>
            </w:r>
            <w:r>
              <w:rPr>
                <w:rFonts w:ascii="Times New Roman" w:hAnsi="Times New Roman"/>
                <w:noProof/>
                <w:color w:val="000000"/>
                <w:u w:color="000000"/>
                <w:bdr w:val="nil"/>
              </w:rPr>
              <w:t xml:space="preserve"> (arī attiecībā uz meža ugunsgrēkiem).</w:t>
            </w:r>
          </w:p>
          <w:p>
            <w:pPr>
              <w:numPr>
                <w:ilvl w:val="0"/>
                <w:numId w:val="33"/>
              </w:numPr>
              <w:jc w:val="both"/>
              <w:rPr>
                <w:rFonts w:ascii="Times New Roman" w:eastAsia="Arial Unicode MS" w:hAnsi="Times New Roman" w:cs="Times New Roman"/>
                <w:noProof/>
                <w:color w:val="000000"/>
                <w:u w:color="000000"/>
                <w:bdr w:val="nil"/>
              </w:rPr>
            </w:pPr>
            <w:r>
              <w:rPr>
                <w:rFonts w:ascii="Times New Roman" w:hAnsi="Times New Roman"/>
                <w:noProof/>
                <w:color w:val="000000"/>
                <w:u w:color="000000"/>
                <w:bdr w:val="nil"/>
              </w:rPr>
              <w:t xml:space="preserve">Izstrādāt </w:t>
            </w:r>
            <w:r>
              <w:rPr>
                <w:rFonts w:ascii="Times New Roman" w:hAnsi="Times New Roman"/>
                <w:b/>
                <w:noProof/>
                <w:color w:val="000000"/>
                <w:u w:color="000000"/>
                <w:bdr w:val="nil"/>
              </w:rPr>
              <w:t>amatierzinātnes programmu par meža biodaudzveidību</w:t>
            </w:r>
            <w:r>
              <w:rPr>
                <w:rFonts w:ascii="Times New Roman" w:hAnsi="Times New Roman"/>
                <w:noProof/>
                <w:color w:val="000000"/>
                <w:u w:color="000000"/>
                <w:bdr w:val="nil"/>
              </w:rPr>
              <w:t>, kas meža biodaudzveidības monitoringā iesaistītu iedzīvotājus un pilsonisko sabiedrību.</w:t>
            </w:r>
          </w:p>
        </w:tc>
      </w:tr>
    </w:tbl>
    <w:p>
      <w:pPr>
        <w:spacing w:after="0" w:line="240" w:lineRule="auto"/>
        <w:ind w:right="-426"/>
        <w:contextualSpacing/>
        <w:jc w:val="both"/>
        <w:rPr>
          <w:rFonts w:ascii="Times New Roman" w:eastAsia="Cambria" w:hAnsi="Times New Roman" w:cs="Times New Roman"/>
          <w:noProof/>
          <w:sz w:val="24"/>
          <w:szCs w:val="20"/>
        </w:rPr>
      </w:pPr>
    </w:p>
    <w:p>
      <w:pPr>
        <w:numPr>
          <w:ilvl w:val="0"/>
          <w:numId w:val="21"/>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Iekļaujošs un saskanīgs ES meža pārvaldības satvars</w:t>
      </w:r>
    </w:p>
    <w:p>
      <w:pPr>
        <w:autoSpaceDE w:val="0"/>
        <w:autoSpaceDN w:val="0"/>
        <w:adjustRightInd w:val="0"/>
        <w:spacing w:after="0" w:line="240" w:lineRule="auto"/>
        <w:jc w:val="both"/>
        <w:rPr>
          <w:rFonts w:ascii="Arial" w:hAnsi="Arial" w:cs="Arial"/>
          <w:noProof/>
          <w:color w:val="1F497D"/>
          <w:sz w:val="24"/>
          <w:szCs w:val="24"/>
        </w:rPr>
      </w:pPr>
    </w:p>
    <w:p>
      <w:pPr>
        <w:autoSpaceDE w:val="0"/>
        <w:autoSpaceDN w:val="0"/>
        <w:adjustRightInd w:val="0"/>
        <w:spacing w:after="0" w:line="240" w:lineRule="auto"/>
        <w:ind w:right="-454"/>
        <w:jc w:val="both"/>
        <w:rPr>
          <w:rFonts w:ascii="Times New Roman" w:hAnsi="Times New Roman" w:cs="Times New Roman"/>
          <w:noProof/>
          <w:sz w:val="24"/>
          <w:szCs w:val="24"/>
        </w:rPr>
      </w:pPr>
      <w:r>
        <w:rPr>
          <w:rFonts w:ascii="Times New Roman" w:hAnsi="Times New Roman"/>
          <w:noProof/>
          <w:sz w:val="24"/>
          <w:szCs w:val="24"/>
        </w:rPr>
        <w:t>Stratēģijā izklāstītais mežu plašākais devums Eiropas zaļā kursa mērķu sasniegšanā, arī tādos aspektos kā klimats, biodaudzveidība un ilgtspējīga bioekonomika, prasa iekļaujošāku un labāk koordinētu ES meža pārvaldības struktūru, kas atspoguļo visus jaunās ES Meža stratēģijas mērķus un to savstarpējās saiknes. Būtu jāpastiprina dažādu rīcībpolitiku koordinācija un jāveicina daudzdisciplināra apmaiņa, kurā iesaistīts plašs ekspertu un ieinteresēto personu loks. Ņemot vērā Eiropas sabiedrības pieaugošo interesi par ES mežu nākotni, būtu jāgarantē arī pārvaldības pārredzamība, lai ikviens varētu sekot līdzi tam, kādu palīdzību Komisija un dalībvalstis saņem jaunās ES Meža stratēģijas mērķu īstenošanā.</w:t>
      </w:r>
    </w:p>
    <w:p>
      <w:pPr>
        <w:autoSpaceDE w:val="0"/>
        <w:autoSpaceDN w:val="0"/>
        <w:adjustRightInd w:val="0"/>
        <w:spacing w:after="0" w:line="240" w:lineRule="auto"/>
        <w:ind w:right="-454"/>
        <w:jc w:val="both"/>
        <w:rPr>
          <w:rFonts w:ascii="Times New Roman" w:hAnsi="Times New Roman" w:cs="Times New Roman"/>
          <w:noProof/>
          <w:sz w:val="24"/>
          <w:szCs w:val="24"/>
        </w:rPr>
      </w:pPr>
    </w:p>
    <w:p>
      <w:pPr>
        <w:autoSpaceDE w:val="0"/>
        <w:autoSpaceDN w:val="0"/>
        <w:adjustRightInd w:val="0"/>
        <w:spacing w:after="0" w:line="240" w:lineRule="auto"/>
        <w:ind w:right="-454"/>
        <w:jc w:val="both"/>
        <w:rPr>
          <w:rFonts w:ascii="Times New Roman" w:hAnsi="Times New Roman" w:cs="Times New Roman"/>
          <w:noProof/>
          <w:sz w:val="24"/>
          <w:szCs w:val="24"/>
        </w:rPr>
      </w:pPr>
      <w:r>
        <w:rPr>
          <w:rFonts w:ascii="Times New Roman" w:hAnsi="Times New Roman"/>
          <w:noProof/>
          <w:sz w:val="24"/>
          <w:szCs w:val="24"/>
        </w:rPr>
        <w:t>Tālab Komisija ierosinās ES meža pārvaldības sistēmu, kas veicina rīcībpolitikas saskanību un sinerģijas starp dažādām funkcijām, kuras mežiem jāpilda ilgtspējīgas un klimatneitrālas Eiropas ekonomikas labā, un sagādā iekļaujošu telpu, kurā dalībvalstis, meža īpašnieki un apsaimniekotāji, industrija, akadēmiskās aprindas un pilsoniskā sabiedrība varēs apspriest meža rīcībpolitikas jautājumus, taču nepieļauj struktūru pārklāšanos.</w:t>
      </w:r>
    </w:p>
    <w:p>
      <w:pPr>
        <w:autoSpaceDE w:val="0"/>
        <w:autoSpaceDN w:val="0"/>
        <w:adjustRightInd w:val="0"/>
        <w:spacing w:after="0" w:line="240" w:lineRule="auto"/>
        <w:ind w:right="-454"/>
        <w:jc w:val="both"/>
        <w:rPr>
          <w:rFonts w:ascii="Times New Roman" w:hAnsi="Times New Roman" w:cs="Times New Roman"/>
          <w:noProof/>
          <w:sz w:val="24"/>
          <w:szCs w:val="24"/>
        </w:rPr>
      </w:pPr>
    </w:p>
    <w:p>
      <w:pPr>
        <w:autoSpaceDE w:val="0"/>
        <w:autoSpaceDN w:val="0"/>
        <w:adjustRightInd w:val="0"/>
        <w:spacing w:after="0" w:line="240" w:lineRule="auto"/>
        <w:ind w:right="-454"/>
        <w:jc w:val="both"/>
        <w:rPr>
          <w:rFonts w:ascii="Times New Roman" w:hAnsi="Times New Roman" w:cs="Times New Roman"/>
          <w:noProof/>
          <w:sz w:val="24"/>
          <w:szCs w:val="24"/>
        </w:rPr>
      </w:pPr>
      <w:r>
        <w:rPr>
          <w:rFonts w:ascii="Times New Roman" w:hAnsi="Times New Roman"/>
          <w:noProof/>
          <w:color w:val="000000"/>
          <w:sz w:val="24"/>
          <w:szCs w:val="24"/>
        </w:rPr>
        <w:t>Attiecībā uz dialogu ar dalībvalstīm Komisija, balstoties uz Mežsaimniecības pastāvīgajā komitejā un Meža un dabas jautājumu darba grupā gūto plašo pieredzi un īstenoto sadarbību, ierosinās atjauninātu pārvaldību, kas šīs abas grupas saved kopā vienā ekspertu grupā, kuras darba uzdevums atspoguļo visus jaunās ES Meža stratēģijas vidiskos, sociālos un ekonomiskos mērķus un dalības noteikumi garantē, ka šīs grupas locekļi ir daudzu dalībvalstu pārstāvji no dažādām ministrijām. Lai to panāktu un nebūtu jāveido papildu struktūra, Komisija ar dalībvalstīm sadarbosies ar nolūku pārskatīt Mežsaimniecības pastāvīgās komitejas reglamentu vai apzināt citus pasākumus, kas varētu būt vajadzīgi. Tiks veidotas arī labākas sinerģijas ar meža resursu industrijas un ar nozari saistītu jautājumu ekspertu grupu.</w:t>
      </w:r>
    </w:p>
    <w:p>
      <w:pPr>
        <w:autoSpaceDE w:val="0"/>
        <w:autoSpaceDN w:val="0"/>
        <w:adjustRightInd w:val="0"/>
        <w:spacing w:after="0" w:line="240" w:lineRule="auto"/>
        <w:ind w:right="-454"/>
        <w:jc w:val="both"/>
        <w:rPr>
          <w:rFonts w:ascii="Times New Roman" w:hAnsi="Times New Roman" w:cs="Times New Roman"/>
          <w:noProof/>
          <w:sz w:val="24"/>
          <w:szCs w:val="24"/>
        </w:rPr>
      </w:pPr>
    </w:p>
    <w:p>
      <w:pPr>
        <w:autoSpaceDE w:val="0"/>
        <w:autoSpaceDN w:val="0"/>
        <w:adjustRightInd w:val="0"/>
        <w:spacing w:after="0" w:line="240" w:lineRule="auto"/>
        <w:ind w:right="-454"/>
        <w:jc w:val="both"/>
        <w:rPr>
          <w:rFonts w:ascii="Times New Roman" w:hAnsi="Times New Roman" w:cs="Times New Roman"/>
          <w:noProof/>
          <w:sz w:val="24"/>
          <w:szCs w:val="24"/>
        </w:rPr>
      </w:pPr>
      <w:r>
        <w:rPr>
          <w:rFonts w:ascii="Times New Roman" w:hAnsi="Times New Roman"/>
          <w:noProof/>
          <w:sz w:val="24"/>
          <w:szCs w:val="24"/>
        </w:rPr>
        <w:t>Attiecībā uz pilsoniskās sabiedrības, meža īpašnieku un apsaimniekotāju, industrijas un akadēmisko aprindu iesaisti Komisija izmantos līdzīgu pieeju un, balstoties uz pieredzi, kas gūta Pilsoniskā dialoga grupā mežsaimniecības un korķa jautājumos un Meža un dabas jautājumu darba grupā, izveidos vienu grupu, kurai būs pārskatīts darba uzdevums, plašāks dalībnieku loks un kura koncentrēsies uz jaunās ES Meža stratēģijas īstenošanu.</w:t>
      </w:r>
    </w:p>
    <w:p>
      <w:pPr>
        <w:autoSpaceDE w:val="0"/>
        <w:autoSpaceDN w:val="0"/>
        <w:adjustRightInd w:val="0"/>
        <w:spacing w:after="0" w:line="240" w:lineRule="auto"/>
        <w:ind w:right="-454"/>
        <w:jc w:val="both"/>
        <w:rPr>
          <w:rFonts w:ascii="Times New Roman" w:hAnsi="Times New Roman" w:cs="Times New Roman"/>
          <w:noProof/>
          <w:sz w:val="24"/>
          <w:szCs w:val="24"/>
        </w:rPr>
      </w:pPr>
    </w:p>
    <w:p>
      <w:pPr>
        <w:autoSpaceDE w:val="0"/>
        <w:autoSpaceDN w:val="0"/>
        <w:adjustRightInd w:val="0"/>
        <w:spacing w:after="0" w:line="240" w:lineRule="auto"/>
        <w:ind w:right="-454"/>
        <w:jc w:val="both"/>
        <w:rPr>
          <w:rFonts w:ascii="Times New Roman" w:hAnsi="Times New Roman" w:cs="Times New Roman"/>
          <w:noProof/>
          <w:sz w:val="24"/>
          <w:szCs w:val="24"/>
        </w:rPr>
      </w:pPr>
      <w:r>
        <w:rPr>
          <w:rFonts w:ascii="Times New Roman" w:hAnsi="Times New Roman"/>
          <w:noProof/>
          <w:sz w:val="24"/>
          <w:szCs w:val="24"/>
        </w:rPr>
        <w:t>Komisija regulāri nodrošinās abu grupu kopīgas sanāksmes, kas notiks vismaz divas reizes gadā, un gādās par diskusiju pilnīgu pārredzamību. Turklāt Komisija mudina dalībvalstis izveidot plašas daudzpusējas ieinteresēto personu dialoga platformas, kurās varēs apspriest Eiropas, nacionālās un vietējās meža rīcībpolitikas un iesaistīties to veidošanā.</w:t>
      </w:r>
    </w:p>
    <w:p>
      <w:pPr>
        <w:autoSpaceDE w:val="0"/>
        <w:autoSpaceDN w:val="0"/>
        <w:adjustRightInd w:val="0"/>
        <w:spacing w:after="0" w:line="240" w:lineRule="auto"/>
        <w:ind w:right="-454"/>
        <w:jc w:val="both"/>
        <w:rPr>
          <w:rFonts w:ascii="Times New Roman" w:hAnsi="Times New Roman" w:cs="Times New Roman"/>
          <w:noProof/>
          <w:sz w:val="24"/>
          <w:szCs w:val="24"/>
        </w:rPr>
      </w:pPr>
    </w:p>
    <w:p>
      <w:pPr>
        <w:autoSpaceDE w:val="0"/>
        <w:autoSpaceDN w:val="0"/>
        <w:adjustRightInd w:val="0"/>
        <w:spacing w:after="0" w:line="240" w:lineRule="auto"/>
        <w:ind w:right="-454"/>
        <w:jc w:val="both"/>
        <w:rPr>
          <w:rFonts w:ascii="Times New Roman" w:hAnsi="Times New Roman" w:cs="Times New Roman"/>
          <w:noProof/>
          <w:sz w:val="24"/>
          <w:szCs w:val="24"/>
        </w:rPr>
      </w:pPr>
      <w:r>
        <w:rPr>
          <w:rFonts w:ascii="Times New Roman" w:hAnsi="Times New Roman"/>
          <w:noProof/>
          <w:sz w:val="24"/>
          <w:szCs w:val="24"/>
        </w:rPr>
        <w:t>Šāda pastiprināta pārvaldības struktūra ļaus spēcināt dialogu, novērst izolētību un Eiropas zaļā kursa un jaunās ES Meža stratēģijas garā pilnībā atspoguļot sinerģijas starp lauku attīstību, ilgtspējīgu meža bioekonomiku un ES vērienīgākajām iecerēm klimata un biodaudzveidības jomā.</w:t>
      </w:r>
    </w:p>
    <w:p>
      <w:pPr>
        <w:autoSpaceDE w:val="0"/>
        <w:autoSpaceDN w:val="0"/>
        <w:adjustRightInd w:val="0"/>
        <w:spacing w:after="0" w:line="240" w:lineRule="auto"/>
        <w:ind w:right="-454"/>
        <w:jc w:val="both"/>
        <w:rPr>
          <w:rFonts w:ascii="Times New Roman" w:hAnsi="Times New Roman" w:cs="Times New Roman"/>
          <w:noProof/>
          <w:sz w:val="24"/>
          <w:szCs w:val="24"/>
        </w:rPr>
      </w:pPr>
    </w:p>
    <w:p>
      <w:pPr>
        <w:autoSpaceDE w:val="0"/>
        <w:autoSpaceDN w:val="0"/>
        <w:adjustRightInd w:val="0"/>
        <w:spacing w:after="0" w:line="240" w:lineRule="auto"/>
        <w:ind w:right="-454"/>
        <w:jc w:val="both"/>
        <w:rPr>
          <w:rFonts w:ascii="Times New Roman" w:hAnsi="Times New Roman" w:cs="Times New Roman"/>
          <w:noProof/>
          <w:sz w:val="24"/>
          <w:szCs w:val="24"/>
        </w:rPr>
      </w:pPr>
      <w:r>
        <w:rPr>
          <w:rFonts w:ascii="Times New Roman" w:hAnsi="Times New Roman"/>
          <w:noProof/>
          <w:color w:val="000000"/>
          <w:sz w:val="24"/>
          <w:szCs w:val="24"/>
        </w:rPr>
        <w:t>Turklāt Komisija rosinās dalībvalstīs izveidot meža konsultāciju dienestus, kas ir līdzīgi KLP pastāvošajiem lauku konsultāciju dienestiem.</w:t>
      </w:r>
    </w:p>
    <w:p>
      <w:pPr>
        <w:spacing w:after="0" w:line="240" w:lineRule="auto"/>
        <w:rPr>
          <w:rFonts w:ascii="Times New Roman" w:hAnsi="Times New Roman" w:cs="Times New Roman"/>
          <w:b/>
          <w:noProof/>
          <w:sz w:val="24"/>
          <w:szCs w:val="24"/>
        </w:rPr>
      </w:pPr>
    </w:p>
    <w:p>
      <w:pPr>
        <w:numPr>
          <w:ilvl w:val="0"/>
          <w:numId w:val="21"/>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Esošā ES </w:t>
      </w:r>
      <w:r>
        <w:rPr>
          <w:rFonts w:ascii="Times New Roman" w:hAnsi="Times New Roman"/>
          <w:b/>
          <w:bCs/>
          <w:i/>
          <w:iCs/>
          <w:noProof/>
          <w:sz w:val="24"/>
          <w:szCs w:val="24"/>
        </w:rPr>
        <w:t>acquis</w:t>
      </w:r>
      <w:r>
        <w:rPr>
          <w:rFonts w:ascii="Times New Roman" w:hAnsi="Times New Roman"/>
          <w:b/>
          <w:bCs/>
          <w:noProof/>
          <w:sz w:val="24"/>
          <w:szCs w:val="24"/>
        </w:rPr>
        <w:t xml:space="preserve"> enerģiskāka īstenošana un izpildes panākšana</w:t>
      </w:r>
    </w:p>
    <w:p>
      <w:pPr>
        <w:autoSpaceDE w:val="0"/>
        <w:autoSpaceDN w:val="0"/>
        <w:adjustRightInd w:val="0"/>
        <w:spacing w:after="0" w:line="240" w:lineRule="auto"/>
        <w:ind w:left="720"/>
        <w:jc w:val="both"/>
        <w:rPr>
          <w:rFonts w:ascii="Times New Roman" w:hAnsi="Times New Roman" w:cs="Times New Roman"/>
          <w:b/>
          <w:noProof/>
          <w:sz w:val="24"/>
          <w:szCs w:val="24"/>
        </w:rPr>
      </w:pPr>
    </w:p>
    <w:p>
      <w:pPr>
        <w:spacing w:after="240" w:line="240" w:lineRule="auto"/>
        <w:ind w:right="-453"/>
        <w:jc w:val="both"/>
        <w:rPr>
          <w:rFonts w:ascii="Times New Roman" w:eastAsia="Times New Roman" w:hAnsi="Times New Roman" w:cs="Times New Roman"/>
          <w:noProof/>
          <w:sz w:val="24"/>
          <w:szCs w:val="24"/>
        </w:rPr>
      </w:pPr>
      <w:r>
        <w:rPr>
          <w:rFonts w:ascii="Times New Roman" w:hAnsi="Times New Roman"/>
          <w:noProof/>
          <w:sz w:val="24"/>
          <w:szCs w:val="20"/>
        </w:rPr>
        <w:t xml:space="preserve">Mežiem un meža apsaimniekošanas jautājumiem relevanto ES </w:t>
      </w:r>
      <w:r>
        <w:rPr>
          <w:rFonts w:ascii="Times New Roman" w:hAnsi="Times New Roman"/>
          <w:i/>
          <w:iCs/>
          <w:noProof/>
          <w:sz w:val="24"/>
          <w:szCs w:val="20"/>
        </w:rPr>
        <w:t>acquis</w:t>
      </w:r>
      <w:r>
        <w:rPr>
          <w:rFonts w:ascii="Times New Roman" w:hAnsi="Times New Roman"/>
          <w:noProof/>
          <w:sz w:val="24"/>
          <w:szCs w:val="20"/>
        </w:rPr>
        <w:t xml:space="preserve"> īstenošanai un izpildes panākšanai jānotiek enerģiskāk. Dzīvotņu direktīva</w:t>
      </w:r>
      <w:r>
        <w:rPr>
          <w:rFonts w:ascii="Times New Roman" w:eastAsia="Cambria" w:hAnsi="Times New Roman" w:cs="Times New Roman"/>
          <w:noProof/>
          <w:sz w:val="24"/>
          <w:szCs w:val="20"/>
          <w:vertAlign w:val="superscript"/>
        </w:rPr>
        <w:footnoteReference w:id="60"/>
      </w:r>
      <w:r>
        <w:rPr>
          <w:rFonts w:ascii="Times New Roman" w:hAnsi="Times New Roman"/>
          <w:noProof/>
          <w:sz w:val="24"/>
          <w:szCs w:val="20"/>
        </w:rPr>
        <w:t xml:space="preserve"> un Putnu direktīva</w:t>
      </w:r>
      <w:r>
        <w:rPr>
          <w:rFonts w:ascii="Times New Roman" w:eastAsia="Cambria" w:hAnsi="Times New Roman" w:cs="Times New Roman"/>
          <w:noProof/>
          <w:sz w:val="24"/>
          <w:szCs w:val="20"/>
          <w:vertAlign w:val="superscript"/>
        </w:rPr>
        <w:footnoteReference w:id="61"/>
      </w:r>
      <w:r>
        <w:rPr>
          <w:rFonts w:ascii="Times New Roman" w:hAnsi="Times New Roman"/>
          <w:noProof/>
          <w:sz w:val="24"/>
          <w:szCs w:val="20"/>
        </w:rPr>
        <w:t xml:space="preserve"> paredz saglabāt lielu meža dzīvotņu klāstu un ar mežiem saistītas dzīvnieku un augu sugas. </w:t>
      </w:r>
      <w:r>
        <w:rPr>
          <w:rFonts w:ascii="Times New Roman" w:hAnsi="Times New Roman"/>
          <w:noProof/>
          <w:sz w:val="24"/>
          <w:szCs w:val="24"/>
        </w:rPr>
        <w:t>Direktīva par atbildību vides jomā</w:t>
      </w:r>
      <w:r>
        <w:rPr>
          <w:rFonts w:ascii="Times New Roman" w:eastAsia="Times New Roman" w:hAnsi="Times New Roman" w:cs="Times New Roman"/>
          <w:noProof/>
          <w:sz w:val="24"/>
          <w:szCs w:val="24"/>
          <w:vertAlign w:val="superscript"/>
        </w:rPr>
        <w:footnoteReference w:id="62"/>
      </w:r>
      <w:r>
        <w:rPr>
          <w:rFonts w:ascii="Times New Roman" w:hAnsi="Times New Roman"/>
          <w:noProof/>
          <w:sz w:val="24"/>
          <w:szCs w:val="24"/>
        </w:rPr>
        <w:t xml:space="preserve"> prasa nepieļaut un labot kaitējumu videi, arī meža dzīvotnēm</w:t>
      </w:r>
      <w:r>
        <w:rPr>
          <w:rFonts w:ascii="Times New Roman" w:eastAsia="Times New Roman" w:hAnsi="Times New Roman" w:cs="Times New Roman"/>
          <w:noProof/>
          <w:sz w:val="24"/>
          <w:szCs w:val="24"/>
          <w:vertAlign w:val="superscript"/>
        </w:rPr>
        <w:footnoteReference w:id="63"/>
      </w:r>
      <w:r>
        <w:rPr>
          <w:rFonts w:ascii="Times New Roman" w:hAnsi="Times New Roman"/>
          <w:noProof/>
          <w:sz w:val="24"/>
          <w:szCs w:val="24"/>
        </w:rPr>
        <w:t>. Vides krimināltiesiskās aizsardzības direktīvā</w:t>
      </w:r>
      <w:r>
        <w:rPr>
          <w:rFonts w:ascii="Times New Roman" w:eastAsia="Times New Roman" w:hAnsi="Times New Roman" w:cs="Times New Roman"/>
          <w:noProof/>
          <w:sz w:val="24"/>
          <w:szCs w:val="24"/>
          <w:vertAlign w:val="superscript"/>
        </w:rPr>
        <w:footnoteReference w:id="64"/>
      </w:r>
      <w:r>
        <w:rPr>
          <w:rFonts w:ascii="Times New Roman" w:hAnsi="Times New Roman"/>
          <w:noProof/>
          <w:sz w:val="24"/>
          <w:szCs w:val="24"/>
        </w:rPr>
        <w:t xml:space="preserve"> ir noteikta kriminālatbildība par konkrētu rīcību, kas ietver kaitējumu aizsargājamiem mežiem</w:t>
      </w:r>
      <w:r>
        <w:rPr>
          <w:rFonts w:ascii="Times New Roman" w:eastAsia="Times New Roman" w:hAnsi="Times New Roman" w:cs="Times New Roman"/>
          <w:noProof/>
          <w:sz w:val="24"/>
          <w:szCs w:val="24"/>
          <w:vertAlign w:val="superscript"/>
        </w:rPr>
        <w:footnoteReference w:id="65"/>
      </w:r>
      <w:r>
        <w:rPr>
          <w:rFonts w:ascii="Times New Roman" w:hAnsi="Times New Roman"/>
          <w:noProof/>
          <w:sz w:val="24"/>
          <w:szCs w:val="24"/>
        </w:rPr>
        <w:t>. Eiropas zaļā kursa satvarā Komisija plāno ierosināt direktīvas pārskatīšanu ar mērķi direktīvu vēl pastiprināt. Uz dažiem mežsaimniecības plāniem, programmām un projektiem attiecas Stratēģiskā ietekmes novērtējuma direktīva</w:t>
      </w:r>
      <w:r>
        <w:rPr>
          <w:rFonts w:ascii="Times New Roman" w:eastAsia="Times New Roman" w:hAnsi="Times New Roman" w:cs="Times New Roman"/>
          <w:noProof/>
          <w:sz w:val="24"/>
          <w:szCs w:val="24"/>
          <w:vertAlign w:val="superscript"/>
        </w:rPr>
        <w:footnoteReference w:id="66"/>
      </w:r>
      <w:r>
        <w:rPr>
          <w:rFonts w:ascii="Times New Roman" w:hAnsi="Times New Roman"/>
          <w:noProof/>
          <w:sz w:val="24"/>
          <w:szCs w:val="24"/>
        </w:rPr>
        <w:t xml:space="preserve"> un Ietekmes uz vidi novērtējuma direktīva</w:t>
      </w:r>
      <w:r>
        <w:rPr>
          <w:rFonts w:ascii="Times New Roman" w:eastAsia="Times New Roman" w:hAnsi="Times New Roman" w:cs="Times New Roman"/>
          <w:noProof/>
          <w:sz w:val="24"/>
          <w:szCs w:val="24"/>
          <w:vertAlign w:val="superscript"/>
        </w:rPr>
        <w:footnoteReference w:id="67"/>
      </w:r>
      <w:r>
        <w:rPr>
          <w:rFonts w:ascii="Times New Roman" w:hAnsi="Times New Roman"/>
          <w:noProof/>
          <w:sz w:val="24"/>
          <w:szCs w:val="24"/>
        </w:rPr>
        <w:t>. Direktīva par vides informācijas pieejamību sabiedrībai</w:t>
      </w:r>
      <w:r>
        <w:rPr>
          <w:rFonts w:ascii="Times New Roman" w:eastAsia="Times New Roman" w:hAnsi="Times New Roman" w:cs="Times New Roman"/>
          <w:noProof/>
          <w:sz w:val="24"/>
          <w:szCs w:val="24"/>
          <w:vertAlign w:val="superscript"/>
        </w:rPr>
        <w:footnoteReference w:id="68"/>
      </w:r>
      <w:r>
        <w:rPr>
          <w:rFonts w:ascii="Times New Roman" w:hAnsi="Times New Roman"/>
          <w:noProof/>
          <w:sz w:val="24"/>
          <w:szCs w:val="24"/>
        </w:rPr>
        <w:t xml:space="preserve"> paredz, ka tiek darīta pieejama informācija par vidi, arī meža apsaimniekošanas plāni.</w:t>
      </w:r>
    </w:p>
    <w:p>
      <w:pPr>
        <w:spacing w:after="0" w:line="240" w:lineRule="auto"/>
        <w:ind w:right="-426"/>
        <w:contextualSpacing/>
        <w:jc w:val="both"/>
        <w:rPr>
          <w:rFonts w:ascii="Times New Roman" w:eastAsia="Cambria" w:hAnsi="Times New Roman" w:cs="Times New Roman"/>
          <w:strike/>
          <w:noProof/>
          <w:sz w:val="24"/>
          <w:szCs w:val="20"/>
        </w:rPr>
      </w:pPr>
      <w:r>
        <w:rPr>
          <w:rFonts w:ascii="Times New Roman" w:hAnsi="Times New Roman"/>
          <w:noProof/>
          <w:sz w:val="24"/>
          <w:szCs w:val="20"/>
        </w:rPr>
        <w:t>ES Kokmateriālu regula</w:t>
      </w:r>
      <w:r>
        <w:rPr>
          <w:rFonts w:ascii="Times New Roman" w:eastAsia="Cambria" w:hAnsi="Times New Roman" w:cs="Times New Roman"/>
          <w:noProof/>
          <w:sz w:val="24"/>
          <w:szCs w:val="20"/>
          <w:vertAlign w:val="superscript"/>
        </w:rPr>
        <w:footnoteReference w:id="69"/>
      </w:r>
      <w:r>
        <w:rPr>
          <w:rFonts w:ascii="Times New Roman" w:hAnsi="Times New Roman"/>
          <w:noProof/>
          <w:sz w:val="24"/>
          <w:szCs w:val="20"/>
        </w:rPr>
        <w:t xml:space="preserve"> aizliedz nelikumīgi iegūtu kokmateriālu ievešanu ES un nosaka pienākumus tirgus dalībniekiem, kas kokmateriālus un koka izstrādājumus laiž ES tirgū.</w:t>
      </w:r>
      <w:r>
        <w:rPr>
          <w:rFonts w:ascii="Arial" w:hAnsi="Arial"/>
          <w:noProof/>
          <w:color w:val="000000"/>
          <w:sz w:val="24"/>
          <w:szCs w:val="20"/>
          <w:shd w:val="clear" w:color="auto" w:fill="FFFFFF"/>
        </w:rPr>
        <w:t xml:space="preserve"> </w:t>
      </w:r>
      <w:r>
        <w:rPr>
          <w:rFonts w:ascii="Times New Roman" w:hAnsi="Times New Roman"/>
          <w:noProof/>
          <w:sz w:val="24"/>
          <w:szCs w:val="20"/>
        </w:rPr>
        <w:t>Komisija patlaban pabeidz šīs regulas un Meža tiesību aktu ieviešanas, pārvaldības un tirdzniecības regulas</w:t>
      </w:r>
      <w:r>
        <w:rPr>
          <w:rFonts w:ascii="Times New Roman" w:eastAsia="Cambria" w:hAnsi="Times New Roman" w:cs="Times New Roman"/>
          <w:noProof/>
          <w:sz w:val="24"/>
          <w:szCs w:val="20"/>
          <w:vertAlign w:val="superscript"/>
        </w:rPr>
        <w:footnoteReference w:id="70"/>
      </w:r>
      <w:r>
        <w:rPr>
          <w:rFonts w:ascii="Times New Roman" w:hAnsi="Times New Roman"/>
          <w:noProof/>
          <w:sz w:val="24"/>
          <w:szCs w:val="20"/>
        </w:rPr>
        <w:t xml:space="preserve"> </w:t>
      </w:r>
      <w:r>
        <w:rPr>
          <w:rFonts w:ascii="Times New Roman" w:hAnsi="Times New Roman"/>
          <w:noProof/>
          <w:sz w:val="24"/>
          <w:szCs w:val="24"/>
        </w:rPr>
        <w:t xml:space="preserve"> atbilstības pārbaudi un vēlāk 2021. gadā iepazīstinās ar saviem konstatējumiem un priekšlikumu, kā uzlabot noteikumus, kas vērsti pret atmežošanu un meža degradāciju.</w:t>
      </w:r>
    </w:p>
    <w:p>
      <w:pPr>
        <w:spacing w:after="0" w:line="240" w:lineRule="auto"/>
        <w:ind w:right="-426"/>
        <w:contextualSpacing/>
        <w:jc w:val="both"/>
        <w:rPr>
          <w:rFonts w:ascii="Times New Roman" w:eastAsia="Cambria" w:hAnsi="Times New Roman" w:cs="Times New Roman"/>
          <w:strike/>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 xml:space="preserve">Nelikumīga mežizstrāde īpaši problemātiska ir tad, kad tā skar pirmatnējus un senus mežus vai meža dzīvotnes, kuru atlikusī platība ir ļoti maza, jo nodarītais kaitējums ir neatgriezenisks. </w:t>
      </w:r>
      <w:r>
        <w:rPr>
          <w:rFonts w:ascii="Times New Roman" w:hAnsi="Times New Roman"/>
          <w:noProof/>
          <w:sz w:val="24"/>
          <w:szCs w:val="24"/>
        </w:rPr>
        <w:t xml:space="preserve">Relevanto </w:t>
      </w:r>
      <w:r>
        <w:rPr>
          <w:rFonts w:ascii="Times New Roman" w:hAnsi="Times New Roman"/>
          <w:i/>
          <w:iCs/>
          <w:noProof/>
          <w:sz w:val="24"/>
          <w:szCs w:val="24"/>
        </w:rPr>
        <w:t>acquis</w:t>
      </w:r>
      <w:r>
        <w:rPr>
          <w:rFonts w:ascii="Times New Roman" w:hAnsi="Times New Roman"/>
          <w:noProof/>
          <w:sz w:val="24"/>
          <w:szCs w:val="24"/>
        </w:rPr>
        <w:t xml:space="preserve"> nepienācīga īstenošana var izraisīt arī meža degradāciju vai kavēt meža saglabāšanās stāvokļa uzlabošanos. Komisija, intensificējot dialogus ar atsevišķu dalībvalstu kompetentajām iestādēm, cieši sadarbojoties ar dalībvalstīm un vides aģentūru, inspektoru, policijas, prokuroru un tiesnešu Eiropas tīkliem un pamatojoties uz norādēm, kas jau sagatavotas sadarbībā ar tiem un ko tie apstiprinājuši</w:t>
      </w:r>
      <w:r>
        <w:rPr>
          <w:rFonts w:ascii="Times New Roman" w:eastAsia="Times New Roman" w:hAnsi="Times New Roman" w:cs="Times New Roman"/>
          <w:noProof/>
          <w:sz w:val="24"/>
          <w:szCs w:val="24"/>
          <w:vertAlign w:val="superscript"/>
          <w:lang w:val="en-IE"/>
        </w:rPr>
        <w:footnoteReference w:id="71"/>
      </w:r>
      <w:r>
        <w:rPr>
          <w:rFonts w:ascii="Times New Roman" w:hAnsi="Times New Roman"/>
          <w:noProof/>
          <w:sz w:val="24"/>
          <w:szCs w:val="24"/>
        </w:rPr>
        <w:t>, centīsies uzlabot atbilstības nodrošināšanu valsts līmenī, kā arī pastiprinās izpildes panākšanu, attiecīgā gadījumā arī ar pārkāpuma procedūru palīdzību. Komisija ir uzsākusi pārkāpuma procedūras sakarā ar mežsaimniecības operācijām, kas pārkāpj Dzīvotņu direktīvu un Putnu direktīvu, Stratēģiskā vides novērtējuma direktīvu, ES Kokmateriālu regulu un Direktīvu par vides informācijas pieejamību sabiedrībai.</w:t>
      </w:r>
    </w:p>
    <w:p>
      <w:pPr>
        <w:spacing w:after="0" w:line="240" w:lineRule="auto"/>
        <w:ind w:right="-453"/>
        <w:jc w:val="both"/>
        <w:rPr>
          <w:rFonts w:ascii="Times New Roman" w:eastAsia="Times New Roman" w:hAnsi="Times New Roman" w:cs="Times New Roman"/>
          <w:noProof/>
          <w:sz w:val="24"/>
          <w:szCs w:val="24"/>
        </w:rPr>
      </w:pPr>
    </w:p>
    <w:p>
      <w:pPr>
        <w:spacing w:after="0" w:line="240" w:lineRule="auto"/>
        <w:ind w:right="-453"/>
        <w:jc w:val="both"/>
        <w:rPr>
          <w:rFonts w:ascii="Times New Roman" w:eastAsia="Times New Roman" w:hAnsi="Times New Roman" w:cs="Times New Roman"/>
          <w:noProof/>
          <w:sz w:val="24"/>
          <w:szCs w:val="24"/>
        </w:rPr>
      </w:pPr>
      <w:r>
        <w:rPr>
          <w:rFonts w:ascii="Times New Roman" w:hAnsi="Times New Roman"/>
          <w:noProof/>
          <w:sz w:val="24"/>
          <w:szCs w:val="24"/>
        </w:rPr>
        <w:t>Komisija, attīstot pašas spēju izmantot ģeotelpisko izlūkošanu vidiskās atbilstības nodrošināšanā</w:t>
      </w:r>
      <w:r>
        <w:rPr>
          <w:rFonts w:ascii="Times New Roman" w:eastAsia="Times New Roman" w:hAnsi="Times New Roman" w:cs="Times New Roman"/>
          <w:noProof/>
          <w:sz w:val="24"/>
          <w:szCs w:val="24"/>
          <w:vertAlign w:val="superscript"/>
        </w:rPr>
        <w:footnoteReference w:id="72"/>
      </w:r>
      <w:r>
        <w:rPr>
          <w:rFonts w:ascii="Times New Roman" w:hAnsi="Times New Roman"/>
          <w:noProof/>
          <w:sz w:val="24"/>
          <w:szCs w:val="24"/>
        </w:rPr>
        <w:t>, veicinās ģeotelpiskās izlūkošanas izmantojumu dalībvalstīs</w:t>
      </w:r>
      <w:r>
        <w:rPr>
          <w:rFonts w:ascii="Times New Roman" w:eastAsia="Times New Roman" w:hAnsi="Times New Roman" w:cs="Times New Roman"/>
          <w:noProof/>
          <w:sz w:val="24"/>
          <w:szCs w:val="24"/>
          <w:vertAlign w:val="superscript"/>
          <w:lang w:val="en-IE"/>
        </w:rPr>
        <w:footnoteReference w:id="73"/>
      </w:r>
      <w:r>
        <w:rPr>
          <w:rFonts w:ascii="Times New Roman" w:hAnsi="Times New Roman"/>
          <w:noProof/>
          <w:sz w:val="24"/>
          <w:szCs w:val="24"/>
        </w:rPr>
        <w:t xml:space="preserve"> un ES līmenī. Tā sniegs arī atjauninātus norādījumus par to, kā interpretēt dažus mežiem relevantus noteikumus, piemēram, Dzīvotņu direktīvā noteiktos sugu aizsardzības noteikumus</w:t>
      </w:r>
      <w:r>
        <w:rPr>
          <w:rFonts w:ascii="Times New Roman" w:eastAsia="Times New Roman" w:hAnsi="Times New Roman" w:cs="Times New Roman"/>
          <w:noProof/>
          <w:sz w:val="24"/>
          <w:szCs w:val="24"/>
          <w:vertAlign w:val="superscript"/>
          <w:lang w:val="en-IE"/>
        </w:rPr>
        <w:footnoteReference w:id="74"/>
      </w:r>
      <w:r>
        <w:rPr>
          <w:rFonts w:ascii="Times New Roman" w:hAnsi="Times New Roman"/>
          <w:noProof/>
          <w:sz w:val="24"/>
          <w:szCs w:val="24"/>
        </w:rPr>
        <w:t xml:space="preserve"> un </w:t>
      </w:r>
      <w:r>
        <w:rPr>
          <w:rFonts w:ascii="Times New Roman" w:hAnsi="Times New Roman"/>
          <w:i/>
          <w:iCs/>
          <w:noProof/>
          <w:sz w:val="24"/>
          <w:szCs w:val="24"/>
        </w:rPr>
        <w:t>Natura 2000</w:t>
      </w:r>
      <w:r>
        <w:rPr>
          <w:rFonts w:ascii="Times New Roman" w:hAnsi="Times New Roman"/>
          <w:noProof/>
          <w:sz w:val="24"/>
          <w:szCs w:val="24"/>
        </w:rPr>
        <w:t xml:space="preserve"> teritoriju aizsardzības noteikumus, un par dabas aizsardzības tiesību aktu piemērošanu mežiem</w:t>
      </w:r>
      <w:r>
        <w:rPr>
          <w:rFonts w:ascii="Times New Roman" w:eastAsia="Times New Roman" w:hAnsi="Times New Roman" w:cs="Times New Roman"/>
          <w:noProof/>
          <w:sz w:val="24"/>
          <w:szCs w:val="24"/>
          <w:vertAlign w:val="superscript"/>
          <w:lang w:val="en-IE"/>
        </w:rPr>
        <w:footnoteReference w:id="75"/>
      </w:r>
      <w:r>
        <w:rPr>
          <w:rFonts w:ascii="Times New Roman" w:hAnsi="Times New Roman"/>
          <w:noProof/>
          <w:sz w:val="24"/>
          <w:szCs w:val="24"/>
        </w:rPr>
        <w:t xml:space="preserve">. Turklāt Komisija dalībvalstu kompetentās iestādes rosinās izmantot pieejamo tehnisko palīdzību, tādu kā </w:t>
      </w:r>
      <w:hyperlink r:id="rId16" w:history="1">
        <w:r>
          <w:rPr>
            <w:rFonts w:ascii="Times New Roman" w:hAnsi="Times New Roman"/>
            <w:i/>
            <w:iCs/>
            <w:noProof/>
            <w:sz w:val="24"/>
            <w:szCs w:val="24"/>
            <w:u w:val="single"/>
          </w:rPr>
          <w:t>TAIEX EIR</w:t>
        </w:r>
        <w:r>
          <w:rPr>
            <w:rFonts w:ascii="Times New Roman" w:hAnsi="Times New Roman"/>
            <w:noProof/>
            <w:sz w:val="24"/>
            <w:szCs w:val="24"/>
            <w:u w:val="single"/>
          </w:rPr>
          <w:t xml:space="preserve"> līdzbiedru (</w:t>
        </w:r>
        <w:r>
          <w:rPr>
            <w:rFonts w:ascii="Times New Roman" w:hAnsi="Times New Roman"/>
            <w:i/>
            <w:iCs/>
            <w:noProof/>
            <w:sz w:val="24"/>
            <w:szCs w:val="24"/>
            <w:u w:val="single"/>
          </w:rPr>
          <w:t>peer-to-peer</w:t>
        </w:r>
        <w:r>
          <w:rPr>
            <w:rFonts w:ascii="Times New Roman" w:hAnsi="Times New Roman"/>
            <w:noProof/>
            <w:sz w:val="24"/>
            <w:szCs w:val="24"/>
            <w:u w:val="single"/>
          </w:rPr>
          <w:t>) programmu</w:t>
        </w:r>
      </w:hyperlink>
      <w:r>
        <w:rPr>
          <w:rFonts w:ascii="Times New Roman" w:eastAsia="Times New Roman" w:hAnsi="Times New Roman" w:cs="Times New Roman"/>
          <w:noProof/>
          <w:sz w:val="24"/>
          <w:szCs w:val="24"/>
          <w:vertAlign w:val="superscript"/>
          <w:lang w:val="en-IE"/>
        </w:rPr>
        <w:footnoteReference w:id="76"/>
      </w:r>
      <w:r>
        <w:rPr>
          <w:rFonts w:ascii="Times New Roman" w:hAnsi="Times New Roman"/>
          <w:noProof/>
          <w:sz w:val="24"/>
          <w:szCs w:val="24"/>
        </w:rPr>
        <w:t>, un tehniskā atbalsta instrumentu, kas dalībvalstīm lieti noder reformu izstrādē un īstenošanā</w:t>
      </w:r>
      <w:r>
        <w:rPr>
          <w:rFonts w:ascii="Times New Roman" w:eastAsia="Times New Roman" w:hAnsi="Times New Roman" w:cs="Times New Roman"/>
          <w:noProof/>
          <w:sz w:val="24"/>
          <w:szCs w:val="24"/>
          <w:vertAlign w:val="superscript"/>
        </w:rPr>
        <w:footnoteReference w:id="77"/>
      </w:r>
      <w:r>
        <w:rPr>
          <w:rFonts w:ascii="Times New Roman" w:hAnsi="Times New Roman"/>
          <w:noProof/>
          <w:sz w:val="24"/>
          <w:szCs w:val="24"/>
        </w:rPr>
        <w:t>.</w:t>
      </w:r>
    </w:p>
    <w:p>
      <w:pPr>
        <w:spacing w:after="0" w:line="240" w:lineRule="auto"/>
        <w:ind w:right="-453"/>
        <w:jc w:val="both"/>
        <w:rPr>
          <w:rFonts w:ascii="Times New Roman" w:eastAsia="Cambria" w:hAnsi="Times New Roman" w:cs="Times New Roman"/>
          <w:noProof/>
          <w:sz w:val="24"/>
          <w:szCs w:val="24"/>
        </w:rPr>
      </w:pPr>
    </w:p>
    <w:p>
      <w:pPr>
        <w:spacing w:after="0" w:line="240" w:lineRule="auto"/>
        <w:ind w:right="-453"/>
        <w:jc w:val="both"/>
        <w:rPr>
          <w:rFonts w:ascii="Times New Roman" w:eastAsia="Times New Roman" w:hAnsi="Times New Roman" w:cs="Times New Roman"/>
          <w:noProof/>
          <w:sz w:val="24"/>
          <w:szCs w:val="24"/>
        </w:rPr>
      </w:pPr>
      <w:r>
        <w:rPr>
          <w:rFonts w:ascii="Times New Roman" w:hAnsi="Times New Roman"/>
          <w:noProof/>
          <w:sz w:val="24"/>
          <w:szCs w:val="24"/>
        </w:rPr>
        <w:t>Cīņa pret noziegumiem pret vidi</w:t>
      </w:r>
      <w:r>
        <w:rPr>
          <w:rFonts w:ascii="Times New Roman" w:eastAsia="Cambria" w:hAnsi="Times New Roman" w:cs="Times New Roman"/>
          <w:noProof/>
          <w:sz w:val="24"/>
          <w:szCs w:val="24"/>
          <w:vertAlign w:val="superscript"/>
        </w:rPr>
        <w:footnoteReference w:id="78"/>
      </w:r>
      <w:r>
        <w:rPr>
          <w:rFonts w:ascii="Times New Roman" w:hAnsi="Times New Roman"/>
          <w:noProof/>
          <w:sz w:val="24"/>
          <w:szCs w:val="24"/>
        </w:rPr>
        <w:t xml:space="preserve"> par prioritāti izvirzīta Eiropola jaunākajā (2021) ziņojumā par smagās un organizētās noziedzības draudu novērtējumu (</w:t>
      </w:r>
      <w:r>
        <w:rPr>
          <w:rFonts w:ascii="Times New Roman" w:hAnsi="Times New Roman"/>
          <w:i/>
          <w:iCs/>
          <w:noProof/>
          <w:sz w:val="24"/>
          <w:szCs w:val="24"/>
        </w:rPr>
        <w:t>SOCTA</w:t>
      </w:r>
      <w:r>
        <w:rPr>
          <w:rFonts w:ascii="Times New Roman" w:hAnsi="Times New Roman"/>
          <w:noProof/>
          <w:sz w:val="24"/>
          <w:szCs w:val="24"/>
        </w:rPr>
        <w:t>) un jaunajā ES Organizētās noziedzības novēršanas stratēģijā 2021.–2025. gadam</w:t>
      </w:r>
      <w:r>
        <w:rPr>
          <w:rFonts w:ascii="Times New Roman" w:eastAsia="Cambria" w:hAnsi="Times New Roman" w:cs="Times New Roman"/>
          <w:noProof/>
          <w:sz w:val="24"/>
          <w:szCs w:val="24"/>
          <w:vertAlign w:val="superscript"/>
        </w:rPr>
        <w:footnoteReference w:id="79"/>
      </w:r>
      <w:r>
        <w:rPr>
          <w:rFonts w:ascii="Times New Roman" w:hAnsi="Times New Roman"/>
          <w:noProof/>
          <w:sz w:val="24"/>
          <w:szCs w:val="24"/>
        </w:rPr>
        <w:t>.</w:t>
      </w:r>
    </w:p>
    <w:p>
      <w:pPr>
        <w:autoSpaceDE w:val="0"/>
        <w:autoSpaceDN w:val="0"/>
        <w:spacing w:after="0" w:line="240" w:lineRule="auto"/>
        <w:ind w:right="-453"/>
        <w:jc w:val="both"/>
        <w:rPr>
          <w:rFonts w:ascii="Times New Roman" w:eastAsia="Times New Roman" w:hAnsi="Times New Roman" w:cs="Times New Roman"/>
          <w:noProof/>
          <w:sz w:val="24"/>
          <w:szCs w:val="24"/>
          <w:shd w:val="clear" w:color="auto" w:fill="FFFF00"/>
        </w:rPr>
      </w:pPr>
    </w:p>
    <w:p>
      <w:pPr>
        <w:autoSpaceDE w:val="0"/>
        <w:autoSpaceDN w:val="0"/>
        <w:spacing w:after="0" w:line="240" w:lineRule="auto"/>
        <w:ind w:right="-453"/>
        <w:jc w:val="both"/>
        <w:rPr>
          <w:rFonts w:ascii="Times New Roman" w:eastAsia="Times New Roman" w:hAnsi="Times New Roman" w:cs="Times New Roman"/>
          <w:noProof/>
          <w:sz w:val="24"/>
          <w:szCs w:val="24"/>
        </w:rPr>
      </w:pPr>
      <w:r>
        <w:rPr>
          <w:rFonts w:ascii="Times New Roman" w:hAnsi="Times New Roman"/>
          <w:noProof/>
          <w:sz w:val="24"/>
          <w:szCs w:val="24"/>
        </w:rPr>
        <w:t>Tā kā par nelikumīgas mežizstrādes gadījumiem tiek ziņots arī attiecībā uz tādiem koka izstrādājumiem, kas tirgū laisti kā ES Kokmateriālu regulai atbilstīgi, dalībvalstīm ir jānodrošina labāka uzraudzība un izpildes panākšana.</w:t>
      </w:r>
      <w:r>
        <w:rPr>
          <w:rFonts w:ascii="Times New Roman" w:hAnsi="Times New Roman"/>
          <w:noProof/>
          <w:sz w:val="24"/>
          <w:szCs w:val="20"/>
        </w:rPr>
        <w:t xml:space="preserve"> </w:t>
      </w:r>
      <w:r>
        <w:rPr>
          <w:rFonts w:ascii="Times New Roman" w:hAnsi="Times New Roman"/>
          <w:noProof/>
          <w:sz w:val="24"/>
          <w:szCs w:val="24"/>
        </w:rPr>
        <w:t>Tas nozīmē arī pārbaudi, vai sertifikācijas shēmu sniegtā informācija sagādā tirgus dalībniekiem informāciju, kas vajadzīga, lai nodrošinātu pilnīgu atbilstību ES Kokmateriālu regulai.</w:t>
      </w:r>
    </w:p>
    <w:p>
      <w:pPr>
        <w:autoSpaceDE w:val="0"/>
        <w:autoSpaceDN w:val="0"/>
        <w:spacing w:after="0" w:line="240" w:lineRule="auto"/>
        <w:ind w:right="-453"/>
        <w:jc w:val="both"/>
        <w:rPr>
          <w:rFonts w:ascii="Times New Roman" w:eastAsia="Times New Roman" w:hAnsi="Times New Roman" w:cs="Times New Roman"/>
          <w:noProof/>
          <w:sz w:val="24"/>
          <w:szCs w:val="24"/>
        </w:rPr>
      </w:pPr>
    </w:p>
    <w:p>
      <w:pPr>
        <w:autoSpaceDE w:val="0"/>
        <w:autoSpaceDN w:val="0"/>
        <w:spacing w:after="0" w:line="240" w:lineRule="auto"/>
        <w:ind w:right="-453"/>
        <w:jc w:val="both"/>
        <w:rPr>
          <w:rFonts w:ascii="Times New Roman" w:eastAsia="Times New Roman" w:hAnsi="Times New Roman" w:cs="Times New Roman"/>
          <w:noProof/>
          <w:sz w:val="24"/>
          <w:szCs w:val="24"/>
        </w:rPr>
      </w:pPr>
      <w:r>
        <w:rPr>
          <w:rFonts w:ascii="Times New Roman" w:hAnsi="Times New Roman"/>
          <w:noProof/>
          <w:sz w:val="24"/>
          <w:szCs w:val="24"/>
        </w:rPr>
        <w:t>Turklāt Komisija analizēs, vai ir lietderīgi noteikt trešo personu sertifikācijas shēmām piemērojamo standartu minimumu, lai nodrošinātu pienācīgus uzticamības, pārredzamības un neatkarīgas revīzijas standartus.</w:t>
      </w:r>
    </w:p>
    <w:p>
      <w:pPr>
        <w:spacing w:after="0" w:line="240" w:lineRule="auto"/>
        <w:ind w:right="-426"/>
        <w:contextualSpacing/>
        <w:jc w:val="both"/>
        <w:rPr>
          <w:rFonts w:ascii="Times New Roman" w:eastAsia="Cambria"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Turklāt Komisija atbalstīs pilsoniskās sabiedrības kā atbilstības uzraudzītājas lomu un sadarbosies ar dalībvalstīm, lai uzlabotu nacionālo tiesu pieejamību privātpersonām un NVO, kas tajās vēršas vides lietās</w:t>
      </w:r>
      <w:r>
        <w:rPr>
          <w:rFonts w:ascii="Times New Roman" w:eastAsia="Times New Roman" w:hAnsi="Times New Roman" w:cs="Times New Roman"/>
          <w:noProof/>
          <w:sz w:val="24"/>
          <w:szCs w:val="20"/>
          <w:vertAlign w:val="superscript"/>
        </w:rPr>
        <w:footnoteReference w:id="80"/>
      </w:r>
      <w:r>
        <w:rPr>
          <w:rFonts w:ascii="Times New Roman" w:hAnsi="Times New Roman"/>
          <w:noProof/>
          <w:sz w:val="24"/>
          <w:szCs w:val="20"/>
        </w:rPr>
        <w:t>. Orhūsas regulas pārskatīšana stiprinās pilsoniskās sabiedrības lomu ES lēmumu pieņemšanā.</w:t>
      </w:r>
    </w:p>
    <w:p>
      <w:pPr>
        <w:spacing w:after="0" w:line="240" w:lineRule="auto"/>
        <w:ind w:right="-426"/>
        <w:contextualSpacing/>
        <w:jc w:val="both"/>
        <w:rPr>
          <w:rFonts w:ascii="Times New Roman" w:eastAsia="Times New Roman" w:hAnsi="Times New Roman" w:cs="Times New Roman"/>
          <w:noProof/>
          <w:sz w:val="24"/>
          <w:szCs w:val="20"/>
        </w:rPr>
      </w:pPr>
    </w:p>
    <w:p>
      <w:pPr>
        <w:numPr>
          <w:ilvl w:val="0"/>
          <w:numId w:val="21"/>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Secinājumi</w:t>
      </w:r>
    </w:p>
    <w:p>
      <w:pPr>
        <w:spacing w:after="240" w:line="240" w:lineRule="auto"/>
        <w:ind w:right="-426"/>
        <w:contextualSpacing/>
        <w:jc w:val="both"/>
        <w:rPr>
          <w:rFonts w:ascii="Times New Roman" w:eastAsia="Cambria" w:hAnsi="Times New Roman" w:cs="Times New Roman"/>
          <w:noProof/>
          <w:sz w:val="24"/>
          <w:szCs w:val="20"/>
        </w:rPr>
      </w:pPr>
    </w:p>
    <w:p>
      <w:pPr>
        <w:spacing w:after="0" w:line="240" w:lineRule="auto"/>
        <w:ind w:right="-426"/>
        <w:contextualSpacing/>
        <w:jc w:val="both"/>
        <w:rPr>
          <w:rFonts w:ascii="Times New Roman" w:eastAsia="Times New Roman" w:hAnsi="Times New Roman" w:cs="Times New Roman"/>
          <w:noProof/>
          <w:sz w:val="24"/>
          <w:szCs w:val="20"/>
        </w:rPr>
      </w:pPr>
      <w:r>
        <w:rPr>
          <w:rFonts w:ascii="Times New Roman" w:hAnsi="Times New Roman"/>
          <w:noProof/>
          <w:sz w:val="24"/>
          <w:szCs w:val="20"/>
        </w:rPr>
        <w:t>Mežiem un meža nozarei ir būtiska loma Eiropas pārejā uz modernu, klimatneitrālu, resursefektīvu un konkurētspējīgu ekonomiku. Šajā stratēģijā ierosinātās saistības un darbības nodrošinās augošus, veselīgus, daudzveidīgus un izturētspējīgus ES mežus un to būtisko devumu mūsu klimata un biodaudzveidības ieceru īstenošanā, labklājīgu dzīvi lauku apvidos un ārpus tiem, kā arī ilgtspējīgu meža bioekonomiku. Šajā stratēģijā izklāstītā stratēģiskā pieeja monitoringam, decentralizētai plānošanai un apsaimniekošanai palīdzēs, pilnībā ievērojot subsidiaritātes principu un dalībvalstu kompetenci, nodrošināt, ka meži var pildīt savas daudzās funkcijas. Stratēģijā ir atzīta mežu, mežsaimnieku un visas meža resursu vērtības ķēdes svarīgā loma Eiropas zaļā kursa mērķu sasniegšanā, un stratēģijas īstenošanas pamatā būs spēcīgs un iekļaujošs pārvaldības satvars, kas ļaus visām iesaistītajām pusēm darboties un veidot mežu nākotni Eiropas Savienībā. Komisija nodrošinās, ka stratēģija tiek īstenota ciešā saskaņā ar citām rīcībpolitikas iniciatīvām, tai skaitā tām, kas pieņemtas saskaņā ar Eiropas zaļo kursu, un priekšlikumiem, kuri iesniegti kā daļa no paketes “Gatavi mērķrādītājam 55 %”.</w:t>
      </w:r>
    </w:p>
    <w:p>
      <w:pPr>
        <w:spacing w:after="0" w:line="240" w:lineRule="auto"/>
        <w:ind w:right="-426"/>
        <w:contextualSpacing/>
        <w:jc w:val="both"/>
        <w:rPr>
          <w:rFonts w:ascii="Times New Roman" w:eastAsia="Times New Roman" w:hAnsi="Times New Roman" w:cs="Times New Roman"/>
          <w:noProof/>
          <w:sz w:val="24"/>
          <w:szCs w:val="20"/>
        </w:rPr>
      </w:pPr>
    </w:p>
    <w:p>
      <w:pPr>
        <w:rPr>
          <w:noProof/>
        </w:rPr>
      </w:pPr>
      <w:r>
        <w:rPr>
          <w:rFonts w:ascii="Times New Roman" w:hAnsi="Times New Roman"/>
          <w:noProof/>
          <w:sz w:val="24"/>
          <w:szCs w:val="20"/>
        </w:rPr>
        <w:t>Komisija aicina visas ieinteresētās personas iesaistīties plašās debatēs par ES mežu nākotni. Iedzīvotāji un kopienas tiek rosināti aktīvi piedalīties centienos īstenot solījumu līdz 2030. gadam iestādīt vēl vismaz 3 miljardus koku. Komisija aicina Eiropas Parlamentu un Padomi apstiprināt šo stratēģiju. Lai nodrošinātu pilnīgu politisko atbildību par šo stratēģiju, Komisija ierosinās pastāvīgu progresa punktu Padomes un Eiropas Parlamenta darbakārtībā. Līdz 2025. gadam tā šo stratēģiju izskatīs, lai novērtētu paveikto un izlemtu, vai stratēģijas mērķu sasniegšanai vajadzīga kāda turpmāka rīcība.</w:t>
      </w:r>
    </w:p>
    <w:sectPr>
      <w:headerReference w:type="even" r:id="rId17"/>
      <w:headerReference w:type="default" r:id="rId18"/>
      <w:footerReference w:type="even" r:id="rId19"/>
      <w:footerReference w:type="default" r:id="rId20"/>
      <w:headerReference w:type="first" r:id="rId21"/>
      <w:footerReference w:type="first" r:id="rId22"/>
      <w:pgSz w:w="11906" w:h="16838"/>
      <w:pgMar w:top="1020" w:right="1416"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31674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2160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425" w:right="-595" w:hanging="425"/>
      </w:pPr>
      <w:r>
        <w:rPr>
          <w:vertAlign w:val="superscript"/>
        </w:rPr>
        <w:footnoteRef/>
      </w:r>
      <w:r>
        <w:tab/>
      </w:r>
      <w:r>
        <w:rPr>
          <w:i/>
          <w:iCs/>
        </w:rPr>
        <w:t>Sustainable Development in the European Union; Monitoring report on the progress towards the SDGs in an EU context, 2021 edition</w:t>
      </w:r>
      <w:r>
        <w:t xml:space="preserve"> [“Ilgtspējīga attīstība Eiropas Savienībā”; uzraudzības ziņojums par IAM sasniegšanas progresu ES kontekstā, 2021. gada redakcija] (https://ec.europa.eu/eurostat/web/products-statistical-books/-/KS-03-21-096). Saskaņā ar </w:t>
      </w:r>
      <w:r>
        <w:rPr>
          <w:i/>
          <w:iCs/>
        </w:rPr>
        <w:t>FAO</w:t>
      </w:r>
      <w:r>
        <w:t xml:space="preserve"> definīciju “mežs” ir zeme, kuras platība pārsniedz 0,5 ha, kurā koku augstums pārsniedz 5 m un koku vainagu projekcija ir lielāka par 10 % un kuru neizmanto galvenokārt par lauksaimniecības vai urbanizētu teritoriju zemi. Saskaņā ar </w:t>
      </w:r>
      <w:r>
        <w:rPr>
          <w:i/>
          <w:iCs/>
        </w:rPr>
        <w:t>FAO</w:t>
      </w:r>
      <w:r>
        <w:t xml:space="preserve"> definīciju “cita kokaugiem klāta zeme” ir zeme, kuras platība pārsniedz 0,5 ha un kurā vainagu projekcija ir 5–10 %, ja tiek ņemti vērā koki, kas </w:t>
      </w:r>
      <w:r>
        <w:rPr>
          <w:i/>
          <w:iCs/>
        </w:rPr>
        <w:t>in situ</w:t>
      </w:r>
      <w:r>
        <w:t xml:space="preserve"> spēj sasniegt 5 m augstumu, vai lielāka par 10 %, ja tiek ņemti vērā mazāki koki, krūmkoki un krūmi; http://www.fao.org/3/I8661EN/i8661en.pdf; </w:t>
      </w:r>
      <w:r>
        <w:rPr>
          <w:i/>
          <w:iCs/>
        </w:rPr>
        <w:t>EUROSTAT</w:t>
      </w:r>
      <w:r>
        <w:t xml:space="preserve"> definīcija: </w:t>
      </w:r>
      <w:hyperlink r:id="rId1" w:history="1">
        <w:r>
          <w:rPr>
            <w:rStyle w:val="Hyperlink"/>
          </w:rPr>
          <w:t>https://ec.europa.eu/eurostat/statistics-explained/index.php?title=Glossary:Forest</w:t>
        </w:r>
      </w:hyperlink>
      <w:r>
        <w:t>.</w:t>
      </w:r>
    </w:p>
  </w:footnote>
  <w:footnote w:id="2">
    <w:p>
      <w:pPr>
        <w:pStyle w:val="FootnoteText"/>
        <w:spacing w:after="0"/>
        <w:ind w:left="425" w:right="-595" w:hanging="425"/>
      </w:pPr>
      <w:r>
        <w:rPr>
          <w:vertAlign w:val="superscript"/>
        </w:rPr>
        <w:footnoteRef/>
      </w:r>
      <w:r>
        <w:tab/>
        <w:t>https://ec.europa.eu/eurostat/documents/3217494/12069644/KS-FK-20-001-EN-N.pdf/a7439b01-671b-80ce-85e4-4d803c44340a?t=1608139005821.</w:t>
      </w:r>
    </w:p>
  </w:footnote>
  <w:footnote w:id="3">
    <w:p>
      <w:pPr>
        <w:pStyle w:val="FootnoteText"/>
        <w:spacing w:after="0"/>
        <w:ind w:left="425" w:right="-595" w:hanging="425"/>
      </w:pPr>
      <w:r>
        <w:rPr>
          <w:vertAlign w:val="superscript"/>
        </w:rPr>
        <w:footnoteRef/>
      </w:r>
      <w:r>
        <w:tab/>
        <w:t>Mežos aug 60 000 dažādu sugu koki, tajos sastopami 80 % pasaules abinieku sugu, 75 % pasaules putnu sugu un 68 % pasaules zīdītāju sugu (http://www.fao.org/3/ca8642en/CA8642EN.pdf).</w:t>
      </w:r>
    </w:p>
  </w:footnote>
  <w:footnote w:id="4">
    <w:p>
      <w:pPr>
        <w:pStyle w:val="FootnoteText"/>
        <w:spacing w:after="0"/>
        <w:ind w:left="425" w:right="-595" w:hanging="425"/>
      </w:pPr>
      <w:r>
        <w:rPr>
          <w:vertAlign w:val="superscript"/>
        </w:rPr>
        <w:footnoteRef/>
      </w:r>
      <w:r>
        <w:tab/>
        <w:t>No dalībvalstu ziņojumiem (par 2013.–2018. gada periodu), kas saskaņā ar Dzīvotņu direktīvas 17. pantu sniegti par minētās direktīvas I pielikumā uzskaitīto dzīvotņu saglabāšanās stāvokli, izriet, ka labā stāvoklī ir tikai 49 % meža dzīvotņu. I pielikumā uzskaitītās meža dzīvotnes aizņem aptuveni 27 % ES mežiem klātās platības.</w:t>
      </w:r>
    </w:p>
  </w:footnote>
  <w:footnote w:id="5">
    <w:p>
      <w:pPr>
        <w:pStyle w:val="FootnoteText"/>
        <w:spacing w:after="0"/>
        <w:ind w:left="425" w:right="-595" w:hanging="425"/>
      </w:pPr>
      <w:r>
        <w:rPr>
          <w:vertAlign w:val="superscript"/>
        </w:rPr>
        <w:footnoteRef/>
      </w:r>
      <w:r>
        <w:tab/>
      </w:r>
      <w:r>
        <w:rPr>
          <w:i/>
          <w:iCs/>
        </w:rPr>
        <w:t>Costa, H., de Rigo, D., Liberta, G., Houston Durrant, T., San-Miguel-Ayanz, J. (2020) European wildfire danger and vulnerability in a changing climate: towards integrating risk dimensions</w:t>
      </w:r>
      <w:r>
        <w:t xml:space="preserve"> [“Eiropas dabas ugunsgrēku risks un vārīgums mainīga klimata apstākļos: riska dimensiju integrēšana”]. </w:t>
      </w:r>
      <w:r>
        <w:rPr>
          <w:i/>
          <w:iCs/>
        </w:rPr>
        <w:t>JRC</w:t>
      </w:r>
      <w:r>
        <w:t xml:space="preserve"> projekts </w:t>
      </w:r>
      <w:r>
        <w:rPr>
          <w:i/>
          <w:iCs/>
        </w:rPr>
        <w:t>PESETA IV</w:t>
      </w:r>
      <w:r>
        <w:t>, 19. uzdevums. Luksemburga: Eiropas Savienības Publikāciju birojs.</w:t>
      </w:r>
    </w:p>
  </w:footnote>
  <w:footnote w:id="6">
    <w:p>
      <w:pPr>
        <w:pStyle w:val="FootnoteText"/>
        <w:spacing w:after="0"/>
        <w:ind w:left="425" w:hanging="425"/>
        <w:jc w:val="left"/>
      </w:pPr>
      <w:r>
        <w:rPr>
          <w:vertAlign w:val="superscript"/>
        </w:rPr>
        <w:footnoteRef/>
      </w:r>
      <w:r>
        <w:tab/>
      </w:r>
      <w:hyperlink r:id="rId2" w:anchor="data/FO" w:history="1">
        <w:r>
          <w:rPr>
            <w:rStyle w:val="Hyperlink"/>
          </w:rPr>
          <w:t>http://www.fao.org/faostat/en/#data/FO</w:t>
        </w:r>
      </w:hyperlink>
      <w:r>
        <w:t xml:space="preserve"> un </w:t>
      </w:r>
      <w:hyperlink r:id="rId3" w:history="1">
        <w:r>
          <w:rPr>
            <w:rStyle w:val="Hyperlink"/>
          </w:rPr>
          <w:t>https://publications.jrc.ec.europa.eu/repository/handle/JRC124374</w:t>
        </w:r>
      </w:hyperlink>
      <w:r>
        <w:t>.</w:t>
      </w:r>
    </w:p>
  </w:footnote>
  <w:footnote w:id="7">
    <w:p>
      <w:pPr>
        <w:pStyle w:val="FootnoteText"/>
        <w:spacing w:after="0"/>
        <w:ind w:left="425" w:right="-595" w:hanging="425"/>
      </w:pPr>
      <w:r>
        <w:rPr>
          <w:vertAlign w:val="superscript"/>
        </w:rPr>
        <w:footnoteRef/>
      </w:r>
      <w:r>
        <w:tab/>
        <w:t>COM(2013) 659 final.</w:t>
      </w:r>
    </w:p>
  </w:footnote>
  <w:footnote w:id="8">
    <w:p>
      <w:pPr>
        <w:pStyle w:val="FootnoteText"/>
        <w:spacing w:after="0"/>
        <w:ind w:left="425" w:right="-595" w:hanging="425"/>
      </w:pPr>
      <w:r>
        <w:rPr>
          <w:vertAlign w:val="superscript"/>
        </w:rPr>
        <w:footnoteRef/>
      </w:r>
      <w:r>
        <w:tab/>
        <w:t>COM(2018) 811 final.</w:t>
      </w:r>
    </w:p>
  </w:footnote>
  <w:footnote w:id="9">
    <w:p>
      <w:pPr>
        <w:pStyle w:val="FootnoteText"/>
        <w:spacing w:after="0"/>
        <w:ind w:left="425" w:right="-595" w:hanging="425"/>
      </w:pPr>
      <w:r>
        <w:rPr>
          <w:vertAlign w:val="superscript"/>
        </w:rPr>
        <w:footnoteRef/>
      </w:r>
      <w:r>
        <w:tab/>
        <w:t>Eiropas Parlamenta un Padomes Regula (ES) 2021/1119 (2021. gada 30. jūnijs), ar ko izveido klimatneitralitātes panākšanas satvaru un groza Regulas (EK) Nr. 401/2009 un (ES) 2018/1999.</w:t>
      </w:r>
    </w:p>
  </w:footnote>
  <w:footnote w:id="10">
    <w:p>
      <w:pPr>
        <w:pStyle w:val="FootnoteText"/>
        <w:spacing w:after="0"/>
        <w:ind w:left="425" w:right="-595" w:hanging="425"/>
      </w:pPr>
      <w:r>
        <w:rPr>
          <w:vertAlign w:val="superscript"/>
        </w:rPr>
        <w:footnoteRef/>
      </w:r>
      <w:r>
        <w:tab/>
        <w:t>Eiropas Komisijas paziņojums Eiropas Parlamentam, Padomei, Eiropas Ekonomikas un sociālo lietu komitejai un Reģionu komitejai “Gatavi mērķrādītājam 55 %”: ES 2030. gadam nospraustā klimata mērķrādītāja sasniegšana ceļā uz klimatneitralitāti (COM(2021) 550 final).</w:t>
      </w:r>
    </w:p>
  </w:footnote>
  <w:footnote w:id="11">
    <w:p>
      <w:pPr>
        <w:pStyle w:val="FootnoteText"/>
        <w:spacing w:after="0"/>
        <w:ind w:left="425" w:right="-595" w:hanging="425"/>
      </w:pPr>
      <w:r>
        <w:rPr>
          <w:vertAlign w:val="superscript"/>
        </w:rPr>
        <w:footnoteRef/>
      </w:r>
      <w:r>
        <w:tab/>
        <w:t>Priekšlikums Eiropas Parlamenta un Padomes Regulai, ar ko groza Regulu (ES) 2018/841 par zemes izmantošanā, zemes izmantošanas maiņā un mežsaimniecībā radušos siltumnīcefekta gāzu emisiju un piesaistes iekļaušanu klimata un enerģētikas politikas satvarā laikposmam līdz 2030. gadam un groza Regulu (ES) 2018/1999 (COM(2021) 554 final).</w:t>
      </w:r>
    </w:p>
  </w:footnote>
  <w:footnote w:id="12">
    <w:p>
      <w:pPr>
        <w:pStyle w:val="FootnoteText"/>
        <w:spacing w:after="0"/>
        <w:ind w:left="426" w:hanging="426"/>
      </w:pPr>
      <w:r>
        <w:rPr>
          <w:vertAlign w:val="superscript"/>
        </w:rPr>
        <w:footnoteRef/>
      </w:r>
      <w:r>
        <w:tab/>
      </w:r>
      <w:hyperlink r:id="rId4" w:history="1">
        <w:r>
          <w:rPr>
            <w:rStyle w:val="Hyperlink"/>
          </w:rPr>
          <w:t>brief_on_role_of_forest-based_bioeconomy_in_mitigating_cc_online (2).pdf</w:t>
        </w:r>
      </w:hyperlink>
      <w:r>
        <w:t>.</w:t>
      </w:r>
    </w:p>
  </w:footnote>
  <w:footnote w:id="13">
    <w:p>
      <w:pPr>
        <w:pStyle w:val="FootnoteText"/>
        <w:spacing w:after="0"/>
        <w:ind w:left="425" w:right="-595" w:hanging="425"/>
      </w:pPr>
      <w:r>
        <w:rPr>
          <w:vertAlign w:val="superscript"/>
        </w:rPr>
        <w:footnoteRef/>
      </w:r>
      <w:r>
        <w:tab/>
        <w:t>Kaskādes princips bija ietverts jau ES Meža stratēģijā 2014.–2020. gadam. Saskaņā ar šo principu koksni izmanto, ievērojot šādu prioritāro secību: 1) koksnes produkti, 2) to kalpošanas laika pagarināšana, 3) atkalizmantošana, 4) reciklēšana, 5) bioenerģija un 6) likvidēšana.</w:t>
      </w:r>
    </w:p>
  </w:footnote>
  <w:footnote w:id="14">
    <w:p>
      <w:pPr>
        <w:pStyle w:val="FootnoteText"/>
        <w:spacing w:after="0"/>
        <w:ind w:left="425" w:right="-595" w:hanging="425"/>
      </w:pPr>
      <w:r>
        <w:rPr>
          <w:vertAlign w:val="superscript"/>
        </w:rPr>
        <w:footnoteRef/>
      </w:r>
      <w:r>
        <w:tab/>
        <w:t xml:space="preserve">15. mērķis izvirza uzdevumu aizsargāt un atjaunot sauszemes ekosistēmas un veicināt to ilgtspējīgu izmantošanu, ilgtspējīgi apsaimniekot mežus, apkarot </w:t>
      </w:r>
      <w:hyperlink r:id="rId5" w:tooltip="Desertification" w:history="1">
        <w:r>
          <w:t>pārtuksnešošanos</w:t>
        </w:r>
      </w:hyperlink>
      <w:r>
        <w:t xml:space="preserve">, apturēt un novērst zemes degradāciju un apturēt </w:t>
      </w:r>
      <w:hyperlink r:id="rId6" w:tooltip="Biodiversity" w:history="1">
        <w:r>
          <w:t>biodaudzveidības</w:t>
        </w:r>
      </w:hyperlink>
      <w:r>
        <w:t xml:space="preserve"> izzušanu.</w:t>
      </w:r>
    </w:p>
  </w:footnote>
  <w:footnote w:id="15">
    <w:p>
      <w:pPr>
        <w:pStyle w:val="FootnoteText"/>
        <w:spacing w:after="0"/>
        <w:ind w:left="425" w:right="-595" w:hanging="425"/>
      </w:pPr>
      <w:r>
        <w:rPr>
          <w:vertAlign w:val="superscript"/>
        </w:rPr>
        <w:footnoteRef/>
      </w:r>
      <w:r>
        <w:tab/>
      </w:r>
      <w:r>
        <w:rPr>
          <w:i/>
          <w:iCs/>
        </w:rPr>
        <w:t>FAO</w:t>
      </w:r>
      <w:r>
        <w:t xml:space="preserve"> (2020) </w:t>
      </w:r>
      <w:r>
        <w:rPr>
          <w:i/>
          <w:iCs/>
        </w:rPr>
        <w:t>ibid</w:t>
      </w:r>
      <w:r>
        <w:t>.</w:t>
      </w:r>
    </w:p>
  </w:footnote>
  <w:footnote w:id="16">
    <w:p>
      <w:pPr>
        <w:pStyle w:val="FootnoteText"/>
        <w:spacing w:after="0"/>
        <w:ind w:left="425" w:right="-595" w:hanging="425"/>
      </w:pPr>
      <w:r>
        <w:rPr>
          <w:vertAlign w:val="superscript"/>
        </w:rPr>
        <w:footnoteRef/>
      </w:r>
      <w:r>
        <w:tab/>
      </w:r>
      <w:hyperlink r:id="rId7" w:history="1">
        <w:r>
          <w:t>ES 2019. gada paziņojums. Meži. Vide. Eiropas Komisija.</w:t>
        </w:r>
      </w:hyperlink>
      <w:hyperlink r:id="rId8" w:history="1">
        <w:r>
          <w:t xml:space="preserve"> (europa.eu)</w:t>
        </w:r>
      </w:hyperlink>
      <w:r>
        <w:t>.</w:t>
      </w:r>
    </w:p>
  </w:footnote>
  <w:footnote w:id="17">
    <w:p>
      <w:pPr>
        <w:pStyle w:val="FootnoteText"/>
        <w:spacing w:after="0"/>
        <w:ind w:left="425" w:hanging="425"/>
      </w:pPr>
      <w:r>
        <w:rPr>
          <w:vertAlign w:val="superscript"/>
        </w:rPr>
        <w:footnoteRef/>
      </w:r>
      <w:r>
        <w:tab/>
      </w:r>
      <w:r>
        <w:rPr>
          <w:i/>
          <w:iCs/>
        </w:rPr>
        <w:t>Eurostat</w:t>
      </w:r>
      <w:r>
        <w:t>, darbaspēka apsekojums.</w:t>
      </w:r>
    </w:p>
  </w:footnote>
  <w:footnote w:id="18">
    <w:p>
      <w:pPr>
        <w:pStyle w:val="FootnoteText"/>
        <w:spacing w:after="0"/>
        <w:ind w:left="425" w:hanging="425"/>
      </w:pPr>
      <w:r>
        <w:rPr>
          <w:vertAlign w:val="superscript"/>
        </w:rPr>
        <w:footnoteRef/>
      </w:r>
      <w:r>
        <w:tab/>
        <w:t xml:space="preserve">Bruto pievienotās vērtības avots, </w:t>
      </w:r>
      <w:r>
        <w:rPr>
          <w:i/>
          <w:iCs/>
        </w:rPr>
        <w:t>Eurostat</w:t>
      </w:r>
      <w:r>
        <w:t xml:space="preserve">, 2020, </w:t>
      </w:r>
      <w:hyperlink r:id="rId9" w:anchor="Wood_based_industries" w:history="1">
        <w:r>
          <w:t>https://ec.europa.eu/eurostat/statistics-explained/index.php?title=Wood_products_-_production_and_trade#Wood_based_industries</w:t>
        </w:r>
      </w:hyperlink>
      <w:r>
        <w:t xml:space="preserve"> un tabula [sbs_na_ind_r2]; nodarbinātība: tabula [lfsa_egan22d] un </w:t>
      </w:r>
      <w:r>
        <w:rPr>
          <w:i/>
          <w:iCs/>
        </w:rPr>
        <w:t>Robert et al.</w:t>
      </w:r>
      <w:r>
        <w:t xml:space="preserve"> 2020.</w:t>
      </w:r>
    </w:p>
  </w:footnote>
  <w:footnote w:id="19">
    <w:p>
      <w:pPr>
        <w:pStyle w:val="FootnoteText"/>
        <w:spacing w:after="0"/>
        <w:ind w:left="425" w:hanging="425"/>
      </w:pPr>
      <w:r>
        <w:rPr>
          <w:vertAlign w:val="superscript"/>
        </w:rPr>
        <w:footnoteRef/>
      </w:r>
      <w:r>
        <w:tab/>
      </w:r>
      <w:r>
        <w:rPr>
          <w:i/>
          <w:iCs/>
        </w:rPr>
        <w:t>Robert, N.; Jonsson, R.; Chudy, R.; Camia, A. The EU Bioeconomy: Supporting an Employment Shift Downstream in the Wood-Based Value Chains?</w:t>
      </w:r>
      <w:r>
        <w:t xml:space="preserve"> [“ES bioekonomika: atbalstīt nodarbinātības pārvirzīšanos lejup koksnes resursu vērtības ķēdē?”] </w:t>
      </w:r>
      <w:r>
        <w:rPr>
          <w:i/>
          <w:iCs/>
        </w:rPr>
        <w:t>Sustainability</w:t>
      </w:r>
      <w:r>
        <w:t xml:space="preserve"> 2020, 12, 758. </w:t>
      </w:r>
      <w:hyperlink r:id="rId10" w:history="1">
        <w:r>
          <w:t>https://doi.org/10.3390/su12030758</w:t>
        </w:r>
      </w:hyperlink>
      <w:r>
        <w:t>.</w:t>
      </w:r>
    </w:p>
  </w:footnote>
  <w:footnote w:id="20">
    <w:p>
      <w:pPr>
        <w:pStyle w:val="FootnoteText"/>
        <w:spacing w:after="0"/>
        <w:ind w:left="425" w:hanging="425"/>
      </w:pPr>
      <w:r>
        <w:rPr>
          <w:vertAlign w:val="superscript"/>
        </w:rPr>
        <w:footnoteRef/>
      </w:r>
      <w:r>
        <w:tab/>
        <w:t>COM(2020) 98 final.</w:t>
      </w:r>
    </w:p>
  </w:footnote>
  <w:footnote w:id="21">
    <w:p>
      <w:pPr>
        <w:pStyle w:val="FootnoteText"/>
        <w:spacing w:after="0"/>
        <w:ind w:left="425" w:hanging="425"/>
      </w:pPr>
      <w:r>
        <w:rPr>
          <w:vertAlign w:val="superscript"/>
        </w:rPr>
        <w:footnoteRef/>
      </w:r>
      <w:r>
        <w:tab/>
        <w:t>Regula (ES) 2018/841.</w:t>
      </w:r>
    </w:p>
  </w:footnote>
  <w:footnote w:id="22">
    <w:p>
      <w:pPr>
        <w:pStyle w:val="FootnoteText"/>
        <w:spacing w:after="0"/>
        <w:ind w:left="425" w:hanging="425"/>
      </w:pPr>
      <w:r>
        <w:rPr>
          <w:vertAlign w:val="superscript"/>
        </w:rPr>
        <w:footnoteRef/>
      </w:r>
      <w:r>
        <w:tab/>
        <w:t xml:space="preserve">Pie nocirstas koksnes produktu kategorijām pieder 1) zāģmateriāli, 2) koksnes plātnes un 3) papīrs. SEG emisiju mitigācijā uz tām pēc noklusējuma attiecas pirmās kārtas sadalīšanās funkcija un dažādas pussadalīšanās perioda vērtības (35, 25 un 2 gadi). Tātad papīrs sadalās daudz ātrāk nekā pārējo kategoriju produkti (laika gaitā tam ir daudz mazāks mitigācijas potenciāls). Viss cits, kas šajās kategorijās/izmantojumos neietilpst, momentā oksidējas. </w:t>
      </w:r>
      <w:r>
        <w:rPr>
          <w:i/>
          <w:iCs/>
        </w:rPr>
        <w:t>Grassi, G., Fiorese, G., Pilli, R., Jonsson, K., Blujdea, V., Korosuo, A. and Vizzarri, M., Brief on the role of the forest-based bioeconomy in mitigating climate change through carbon storage and material substitution</w:t>
      </w:r>
      <w:r>
        <w:t xml:space="preserve"> [“Kopsavilkums par meža resursu bioekonomikas nozīmi klimata pārmaiņu mīkstināšanā ar oglekļa uzglabāšanu un materiālu aizstāšanu”], </w:t>
      </w:r>
      <w:r>
        <w:rPr>
          <w:i/>
          <w:iCs/>
        </w:rPr>
        <w:t>Sanchez Lopez, J., Jasinevičius, G.</w:t>
      </w:r>
      <w:r>
        <w:t xml:space="preserve"> un </w:t>
      </w:r>
      <w:r>
        <w:rPr>
          <w:i/>
          <w:iCs/>
        </w:rPr>
        <w:t>Avraamides, M.</w:t>
      </w:r>
      <w:r>
        <w:t xml:space="preserve"> red., Eiropas Komisija, 2021, JRC124374.</w:t>
      </w:r>
    </w:p>
  </w:footnote>
  <w:footnote w:id="23">
    <w:p>
      <w:pPr>
        <w:pStyle w:val="FootnoteText"/>
        <w:spacing w:after="0"/>
      </w:pPr>
      <w:r>
        <w:rPr>
          <w:vertAlign w:val="superscript"/>
        </w:rPr>
        <w:footnoteRef/>
      </w:r>
      <w:r>
        <w:tab/>
      </w:r>
      <w:r>
        <w:rPr>
          <w:i/>
          <w:iCs/>
        </w:rPr>
        <w:t>JRC</w:t>
      </w:r>
      <w:r>
        <w:t xml:space="preserve">. </w:t>
      </w:r>
      <w:r>
        <w:rPr>
          <w:i/>
          <w:iCs/>
        </w:rPr>
        <w:t>Brief on the role of the forest-based bioeconomy in mitigating climate change through carbon storage and material substitution</w:t>
      </w:r>
      <w:r>
        <w:t xml:space="preserve"> [“Kopsavilkums par meža resursu bioekonomikas nozīmi klimata pārmaiņu mīkstināšanā ar oglekļa uzglabāšanu un materiālu aizstāšanu”], 2021. </w:t>
      </w:r>
      <w:hyperlink r:id="rId11" w:history="1">
        <w:r>
          <w:rPr>
            <w:rStyle w:val="Hyperlink"/>
          </w:rPr>
          <w:t>brief_on_role_of_forest-based_bioeconomy_in_mitigating_cc_online (2).pdf</w:t>
        </w:r>
      </w:hyperlink>
      <w:r>
        <w:t>.</w:t>
      </w:r>
    </w:p>
  </w:footnote>
  <w:footnote w:id="24">
    <w:p>
      <w:pPr>
        <w:pStyle w:val="FootnoteText"/>
        <w:spacing w:after="0"/>
      </w:pPr>
      <w:r>
        <w:rPr>
          <w:vertAlign w:val="superscript"/>
        </w:rPr>
        <w:footnoteRef/>
      </w:r>
      <w:r>
        <w:tab/>
      </w:r>
      <w:r>
        <w:rPr>
          <w:i/>
          <w:iCs/>
        </w:rPr>
        <w:t>Lovrić, M., Da Re, R., Vidale, E., Prokofieva, I., Wong, J., Pettenella, D., … Mavsar, R.</w:t>
      </w:r>
      <w:r>
        <w:t xml:space="preserve"> (2020). </w:t>
      </w:r>
      <w:r>
        <w:rPr>
          <w:i/>
          <w:iCs/>
        </w:rPr>
        <w:t>Non-wood forest products in Europe – A quantitative overview</w:t>
      </w:r>
      <w:r>
        <w:t xml:space="preserve"> [“Meža nekoksnes produkti Eiropā: kvantitatīvs pārskats”]. </w:t>
      </w:r>
      <w:r>
        <w:rPr>
          <w:i/>
          <w:iCs/>
        </w:rPr>
        <w:t>Forest Policy and Economics</w:t>
      </w:r>
      <w:r>
        <w:t xml:space="preserve"> [“Meža rīcībpolitika un ekonomika”], 116, 102175. </w:t>
      </w:r>
      <w:hyperlink r:id="rId12" w:history="1">
        <w:r>
          <w:rPr>
            <w:rStyle w:val="Hyperlink"/>
          </w:rPr>
          <w:t>https://doi.org/10.1016/j.forpol.2020.102175</w:t>
        </w:r>
      </w:hyperlink>
      <w:r>
        <w:t>.</w:t>
      </w:r>
    </w:p>
  </w:footnote>
  <w:footnote w:id="25">
    <w:p>
      <w:pPr>
        <w:pStyle w:val="FootnoteText"/>
        <w:spacing w:after="0"/>
      </w:pPr>
      <w:r>
        <w:rPr>
          <w:vertAlign w:val="superscript"/>
        </w:rPr>
        <w:footnoteRef/>
      </w:r>
      <w:r>
        <w:tab/>
        <w:t>COM(2020) 662 final.</w:t>
      </w:r>
    </w:p>
  </w:footnote>
  <w:footnote w:id="26">
    <w:p>
      <w:pPr>
        <w:pStyle w:val="FootnoteText"/>
        <w:spacing w:after="0"/>
      </w:pPr>
      <w:r>
        <w:rPr>
          <w:vertAlign w:val="superscript"/>
        </w:rPr>
        <w:footnoteRef/>
      </w:r>
      <w:r>
        <w:tab/>
      </w:r>
      <w:hyperlink r:id="rId13" w:history="1">
        <w:r>
          <w:rPr>
            <w:rStyle w:val="Hyperlink"/>
          </w:rPr>
          <w:t>https://europa.eu/new-european-bauhaus/index_en</w:t>
        </w:r>
      </w:hyperlink>
      <w:r>
        <w:t>.</w:t>
      </w:r>
    </w:p>
  </w:footnote>
  <w:footnote w:id="27">
    <w:p>
      <w:pPr>
        <w:pStyle w:val="FootnoteText"/>
        <w:spacing w:after="0"/>
      </w:pPr>
      <w:r>
        <w:rPr>
          <w:vertAlign w:val="superscript"/>
        </w:rPr>
        <w:footnoteRef/>
      </w:r>
      <w:r>
        <w:tab/>
        <w:t xml:space="preserve">Koksnes būvizstrādājumu vidējā tirgus daļa ES ir 2,4 % (atbilst kopējam ES patēriņam 26,2 miljoni m³ jeb 15,7 miljoni tonnu materiālu), savukārt būvniecības nozarē izmantoto materiālu lielāko daļu veido nemetāliskie minerāli (tirgus daļa 93 %). Šī tirgus daļa būtiski atšķiras atkarībā no dalībvalsts: līderpozīcijās ir, piemēram, Somija vai Zviedrija, kurās tirgus daļa pārsniedz 10 %, taču vairumā dalībvalstu tā ir mazāka par 2 %. Avots: </w:t>
      </w:r>
      <w:r>
        <w:rPr>
          <w:i/>
          <w:iCs/>
        </w:rPr>
        <w:t>Trinomics</w:t>
      </w:r>
      <w:r>
        <w:t xml:space="preserve"> (sagatavošanā) </w:t>
      </w:r>
      <w:r>
        <w:rPr>
          <w:i/>
          <w:iCs/>
        </w:rPr>
        <w:t>Evaluation of the climate benefits of the use of harvested wood products in the construction sector and assessment of remuneration schemes</w:t>
      </w:r>
      <w:r>
        <w:t xml:space="preserve"> [“Izvērtējums par klimatiskajiem ieguvumiem, ko rada nocirstas koksnes produktu izmantošana būvniecības nozarē, un atlīdzināšanas shēmu novērtējums”]. 1.1. uzdevums “Tirgus analīze”. </w:t>
      </w:r>
    </w:p>
  </w:footnote>
  <w:footnote w:id="28">
    <w:p>
      <w:pPr>
        <w:pStyle w:val="FootnoteText"/>
        <w:spacing w:after="0"/>
      </w:pPr>
      <w:r>
        <w:rPr>
          <w:vertAlign w:val="superscript"/>
        </w:rPr>
        <w:footnoteRef/>
      </w:r>
      <w:r>
        <w:tab/>
        <w:t>Regula (ES) Nr. 305/2011.</w:t>
      </w:r>
    </w:p>
  </w:footnote>
  <w:footnote w:id="29">
    <w:p>
      <w:pPr>
        <w:pStyle w:val="FootnoteText"/>
        <w:spacing w:after="0"/>
      </w:pPr>
      <w:r>
        <w:rPr>
          <w:vertAlign w:val="superscript"/>
        </w:rPr>
        <w:footnoteRef/>
      </w:r>
      <w:r>
        <w:tab/>
      </w:r>
      <w:hyperlink r:id="rId14" w:history="1">
        <w:r>
          <w:rPr>
            <w:rStyle w:val="Hyperlink"/>
          </w:rPr>
          <w:t>https://europa.eu/new-european-bauhaus/index_en</w:t>
        </w:r>
      </w:hyperlink>
      <w:r>
        <w:t>.</w:t>
      </w:r>
    </w:p>
  </w:footnote>
  <w:footnote w:id="30">
    <w:p>
      <w:pPr>
        <w:pStyle w:val="FootnoteText"/>
        <w:spacing w:after="0"/>
      </w:pPr>
      <w:r>
        <w:rPr>
          <w:vertAlign w:val="superscript"/>
        </w:rPr>
        <w:footnoteRef/>
      </w:r>
      <w:r>
        <w:tab/>
      </w:r>
      <w:hyperlink r:id="rId15" w:history="1">
        <w:r>
          <w:rPr>
            <w:rStyle w:val="Hyperlink"/>
          </w:rPr>
          <w:t>https://ec.europa.eu/clima/policies/innovation-fund_en</w:t>
        </w:r>
      </w:hyperlink>
      <w:r>
        <w:t>.</w:t>
      </w:r>
    </w:p>
  </w:footnote>
  <w:footnote w:id="31">
    <w:p>
      <w:pPr>
        <w:pStyle w:val="FootnoteText"/>
        <w:spacing w:after="0"/>
      </w:pPr>
      <w:r>
        <w:rPr>
          <w:vertAlign w:val="superscript"/>
        </w:rPr>
        <w:footnoteRef/>
      </w:r>
      <w:r>
        <w:tab/>
      </w:r>
      <w:hyperlink r:id="rId16" w:history="1">
        <w:r>
          <w:rPr>
            <w:rStyle w:val="Hyperlink"/>
            <w:i/>
            <w:iCs/>
          </w:rPr>
          <w:t>Forest-based bioeconomy and climate change mitigation: trade-offs and synergies in carbon storage and material substitution</w:t>
        </w:r>
        <w:r>
          <w:rPr>
            <w:rStyle w:val="Hyperlink"/>
          </w:rPr>
          <w:t xml:space="preserve"> [“Meža resursu bioekonomika un klimata pārmaiņu mīkstināšana: kompensācijas un sinerģijas oglekļa uzglabāšanā un materiālu aizstāšanā”]. ES Zinātnes centrs (europa.eu)</w:t>
        </w:r>
      </w:hyperlink>
      <w:r>
        <w:t>.</w:t>
      </w:r>
    </w:p>
  </w:footnote>
  <w:footnote w:id="32">
    <w:p>
      <w:pPr>
        <w:pStyle w:val="FootnoteText"/>
        <w:spacing w:after="0"/>
      </w:pPr>
      <w:r>
        <w:rPr>
          <w:vertAlign w:val="superscript"/>
        </w:rPr>
        <w:footnoteRef/>
      </w:r>
      <w:r>
        <w:tab/>
        <w:t xml:space="preserve">Koksnes bioenerģija ES lielā mērā (49 %) tiek iegūta no mežizstrādes un kokapstrādes atliekām un atkritumiem (tādiem kā zari un galotnes, zāģskaidas, koksnes atlikumi). Vēl 37 % sagādā tā sauktie “primārie biomasas avoti”, pie kuriem pieder zemas kvalitātes stumbru koksne un retināšanas iznākums (20 %), no kā puse ir no atvasājiem iegūta stumbru koksne (10 %), savukārt 4 % ir tehnoloģiskā stumbru koksne. Atlikušie 14 % paziņotajos statistikas datos pa kategorijām nav sadalīti, tātad pie primārajiem vai sekundārajiem avotiem nav klasificēti, tomēr koksnes biomasas plūsmu analīze rāda, ka to avots, visticamāk, ir primārā koksne; </w:t>
      </w:r>
      <w:hyperlink r:id="rId17" w:history="1">
        <w:r>
          <w:rPr>
            <w:rStyle w:val="Hyperlink"/>
          </w:rPr>
          <w:t>https://ec.europa.eu/jrc/en/publication/eur-scientific-and-technical-research-reports/use-woody-biomass-energy-production-eu</w:t>
        </w:r>
      </w:hyperlink>
      <w:r>
        <w:t>.</w:t>
      </w:r>
    </w:p>
  </w:footnote>
  <w:footnote w:id="33">
    <w:p>
      <w:pPr>
        <w:pStyle w:val="FootnoteText"/>
        <w:spacing w:after="0"/>
      </w:pPr>
      <w:r>
        <w:rPr>
          <w:vertAlign w:val="superscript"/>
        </w:rPr>
        <w:footnoteRef/>
      </w:r>
      <w:r>
        <w:tab/>
        <w:t>Noteikta Direktīvas 2008/98/EK 4. pantā.</w:t>
      </w:r>
    </w:p>
  </w:footnote>
  <w:footnote w:id="34">
    <w:p>
      <w:pPr>
        <w:pStyle w:val="FootnoteText"/>
        <w:spacing w:after="0"/>
      </w:pPr>
      <w:r>
        <w:rPr>
          <w:vertAlign w:val="superscript"/>
        </w:rPr>
        <w:footnoteRef/>
      </w:r>
      <w:r>
        <w:tab/>
      </w:r>
      <w:r>
        <w:rPr>
          <w:i/>
          <w:iCs/>
        </w:rPr>
        <w:t>Martinez de Arano I, Maltoni S, Picardo A, Mutke S et al.</w:t>
      </w:r>
      <w:r>
        <w:t xml:space="preserve"> (2021). </w:t>
      </w:r>
      <w:r>
        <w:rPr>
          <w:i/>
          <w:iCs/>
        </w:rPr>
        <w:t>Non-Wood Forest Products for people, nature and the green economy. Policy priorities for Europe. A white paper based on lessons learned from around the Mediterranean.</w:t>
      </w:r>
      <w:r>
        <w:t xml:space="preserve"> [“Meža nekoksnes produkti cilvēku, dabas un zaļās ekonomikas labā. Eiropas rīcībpolitikas prioritātes. Baltā grāmata, kas balstās uz Vidusjūras reģionā gūtajām mācībām”]. Eiropas tematiskā tīkla </w:t>
      </w:r>
      <w:r>
        <w:rPr>
          <w:i/>
          <w:iCs/>
        </w:rPr>
        <w:t>INCREdible</w:t>
      </w:r>
      <w:r>
        <w:t xml:space="preserve"> 3.3. nodevums, programmas “Apvārsnis 2020” dotācijas nolīgums Nr. 774632, 7. lpp.</w:t>
      </w:r>
    </w:p>
  </w:footnote>
  <w:footnote w:id="35">
    <w:p>
      <w:pPr>
        <w:pStyle w:val="FootnoteText"/>
        <w:spacing w:after="0"/>
      </w:pPr>
      <w:r>
        <w:rPr>
          <w:vertAlign w:val="superscript"/>
        </w:rPr>
        <w:footnoteRef/>
      </w:r>
      <w:r>
        <w:tab/>
        <w:t xml:space="preserve">Piemēram, projektā </w:t>
      </w:r>
      <w:r>
        <w:rPr>
          <w:i/>
          <w:iCs/>
        </w:rPr>
        <w:t>INCREDIBLE</w:t>
      </w:r>
      <w:r>
        <w:t xml:space="preserve"> tiek veidoti Vidusjūras meža nekoksnes produktu tīkli, kas veicina zinātnes inovāciju un prakses apmaiņu.</w:t>
      </w:r>
    </w:p>
  </w:footnote>
  <w:footnote w:id="36">
    <w:p>
      <w:pPr>
        <w:pStyle w:val="FootnoteText"/>
        <w:spacing w:after="0"/>
      </w:pPr>
      <w:r>
        <w:rPr>
          <w:vertAlign w:val="superscript"/>
        </w:rPr>
        <w:footnoteRef/>
      </w:r>
      <w:r>
        <w:tab/>
        <w:t>Piemēram, www.forest.erasmusproject.eu.</w:t>
      </w:r>
    </w:p>
  </w:footnote>
  <w:footnote w:id="37">
    <w:p>
      <w:pPr>
        <w:pStyle w:val="FootnoteText"/>
        <w:spacing w:after="0"/>
      </w:pPr>
      <w:r>
        <w:rPr>
          <w:vertAlign w:val="superscript"/>
        </w:rPr>
        <w:footnoteRef/>
      </w:r>
      <w:r>
        <w:tab/>
        <w:t>Regula (ES) Nr. 305/2011.</w:t>
      </w:r>
    </w:p>
  </w:footnote>
  <w:footnote w:id="38">
    <w:p>
      <w:pPr>
        <w:pStyle w:val="FootnoteText"/>
        <w:spacing w:after="0"/>
      </w:pPr>
      <w:r>
        <w:rPr>
          <w:vertAlign w:val="superscript"/>
        </w:rPr>
        <w:footnoteRef/>
      </w:r>
      <w:r>
        <w:tab/>
        <w:t>Regula (ES) 2020/852.</w:t>
      </w:r>
    </w:p>
  </w:footnote>
  <w:footnote w:id="39">
    <w:p>
      <w:pPr>
        <w:pStyle w:val="FootnoteText"/>
        <w:spacing w:after="0"/>
      </w:pPr>
      <w:r>
        <w:rPr>
          <w:vertAlign w:val="superscript"/>
        </w:rPr>
        <w:footnoteRef/>
      </w:r>
      <w:r>
        <w:tab/>
      </w:r>
      <w:hyperlink r:id="rId18" w:history="1">
        <w:r>
          <w:rPr>
            <w:rStyle w:val="Hyperlink"/>
          </w:rPr>
          <w:t>https://www.weforum.org/press/2020/08/us-businesses-governments-and-non-profits-join-global-push-for-1-trillion-trees/</w:t>
        </w:r>
      </w:hyperlink>
      <w:r>
        <w:t>.</w:t>
      </w:r>
    </w:p>
  </w:footnote>
  <w:footnote w:id="40">
    <w:p>
      <w:pPr>
        <w:pStyle w:val="FootnoteText"/>
        <w:ind w:right="-453"/>
      </w:pPr>
      <w:r>
        <w:rPr>
          <w:vertAlign w:val="superscript"/>
        </w:rPr>
        <w:footnoteRef/>
      </w:r>
      <w:r>
        <w:tab/>
      </w:r>
      <w:r>
        <w:rPr>
          <w:i/>
          <w:iCs/>
        </w:rPr>
        <w:t>Barredo Cano, J.I., Brailescu, C., Teller, A., Sabatini, F.M., Mauri, A. and Janouskova, K., Mapping and assessment of primary and old-growth forests in Europe</w:t>
      </w:r>
      <w:r>
        <w:t xml:space="preserve"> [“Eiropas pirmatnējo un seno mežu kartēšana un novērtēšana”], EUR 30661 EN, Eiropas Savienības Publikāciju birojs, Luksemburga, 2021, ISBN 978-92-76-34229-8, doi:10.2760/13239, JRC124671.</w:t>
      </w:r>
    </w:p>
  </w:footnote>
  <w:footnote w:id="41">
    <w:p>
      <w:pPr>
        <w:pStyle w:val="FootnoteText"/>
        <w:spacing w:after="0"/>
      </w:pPr>
      <w:r>
        <w:rPr>
          <w:vertAlign w:val="superscript"/>
        </w:rPr>
        <w:footnoteRef/>
      </w:r>
      <w:r>
        <w:tab/>
        <w:t>Tās būtu jāizmanto tikai pienācīgi pamatotos gadījumos, piemēram, kad pierādīts, ka tās vajadzīgas vides vai ekosistēmas veselības apsvērumu dēļ.</w:t>
      </w:r>
    </w:p>
  </w:footnote>
  <w:footnote w:id="42">
    <w:p>
      <w:pPr>
        <w:pStyle w:val="FootnoteText"/>
        <w:spacing w:after="0"/>
      </w:pPr>
      <w:r>
        <w:rPr>
          <w:vertAlign w:val="superscript"/>
        </w:rPr>
        <w:footnoteRef/>
      </w:r>
      <w:r>
        <w:tab/>
        <w:t>Direktīva 2009/147/EK par savvaļas putnu aizsardzību.</w:t>
      </w:r>
    </w:p>
  </w:footnote>
  <w:footnote w:id="43">
    <w:p>
      <w:pPr>
        <w:pStyle w:val="FootnoteText"/>
        <w:spacing w:after="0"/>
        <w:jc w:val="left"/>
      </w:pPr>
      <w:r>
        <w:rPr>
          <w:vertAlign w:val="superscript"/>
        </w:rPr>
        <w:footnoteRef/>
      </w:r>
      <w:r>
        <w:tab/>
      </w:r>
      <w:hyperlink r:id="rId19" w:history="1">
        <w:r>
          <w:rPr>
            <w:rStyle w:val="Hyperlink"/>
            <w:bdr w:val="nil"/>
          </w:rPr>
          <w:t>https://www.prosilva.org/close-to-nature-forestry/examplary-forests/</w:t>
        </w:r>
      </w:hyperlink>
      <w:r>
        <w:rPr>
          <w:bdr w:val="nil"/>
        </w:rPr>
        <w:t xml:space="preserve">, </w:t>
      </w:r>
      <w:hyperlink r:id="rId20" w:history="1">
        <w:r>
          <w:rPr>
            <w:rStyle w:val="Hyperlink"/>
            <w:bdr w:val="nil"/>
          </w:rPr>
          <w:t>www.forbiodiv.org</w:t>
        </w:r>
      </w:hyperlink>
      <w:r>
        <w:rPr>
          <w:bdr w:val="nil"/>
        </w:rPr>
        <w:t xml:space="preserve">, </w:t>
      </w:r>
      <w:hyperlink r:id="rId21" w:history="1">
        <w:r>
          <w:rPr>
            <w:rStyle w:val="Hyperlink"/>
            <w:bdr w:val="nil"/>
          </w:rPr>
          <w:t>https://www.prosilva.org/information-news/news/exemplary-forests-network/</w:t>
        </w:r>
      </w:hyperlink>
      <w:r>
        <w:rPr>
          <w:bdr w:val="nil"/>
        </w:rPr>
        <w:t xml:space="preserve"> un </w:t>
      </w:r>
      <w:hyperlink r:id="rId22" w:history="1">
        <w:r>
          <w:rPr>
            <w:rStyle w:val="Hyperlink"/>
            <w:bdr w:val="nil"/>
          </w:rPr>
          <w:t>https://askafor.eu/</w:t>
        </w:r>
      </w:hyperlink>
      <w:r>
        <w:t>.</w:t>
      </w:r>
    </w:p>
  </w:footnote>
  <w:footnote w:id="44">
    <w:p>
      <w:pPr>
        <w:pStyle w:val="FootnoteText"/>
        <w:spacing w:after="0"/>
      </w:pPr>
      <w:r>
        <w:rPr>
          <w:vertAlign w:val="superscript"/>
        </w:rPr>
        <w:footnoteRef/>
      </w:r>
      <w:r>
        <w:tab/>
      </w:r>
      <w:r>
        <w:rPr>
          <w:bdr w:val="nil"/>
        </w:rPr>
        <w:t>https://integratenetwork.org/</w:t>
      </w:r>
      <w:r>
        <w:t>.</w:t>
      </w:r>
    </w:p>
  </w:footnote>
  <w:footnote w:id="45">
    <w:p>
      <w:pPr>
        <w:pStyle w:val="FootnoteText"/>
        <w:spacing w:after="0"/>
      </w:pPr>
      <w:r>
        <w:rPr>
          <w:vertAlign w:val="superscript"/>
        </w:rPr>
        <w:footnoteRef/>
      </w:r>
      <w:r>
        <w:tab/>
      </w:r>
      <w:hyperlink r:id="rId23" w:history="1">
        <w:r>
          <w:rPr>
            <w:rStyle w:val="Hyperlink"/>
            <w:i/>
            <w:iCs/>
          </w:rPr>
          <w:t>BMEL - Publikationen - Der Wald in Deutschland - ausgewählte Ergebnisse der dritten Bundeswaldinventur</w:t>
        </w:r>
      </w:hyperlink>
      <w:r>
        <w:t xml:space="preserve"> [VPLM, publikācijas, “Mežs Vācijā: daži trešās federālās meža inventarizācijas rezultāti”].</w:t>
      </w:r>
    </w:p>
  </w:footnote>
  <w:footnote w:id="46">
    <w:p>
      <w:pPr>
        <w:pStyle w:val="FootnoteText"/>
        <w:spacing w:after="0"/>
      </w:pPr>
      <w:r>
        <w:rPr>
          <w:vertAlign w:val="superscript"/>
        </w:rPr>
        <w:footnoteRef/>
      </w:r>
      <w:r>
        <w:tab/>
        <w:t>Dabai tuvāka mežsaimniecība ir šādas prakses piemērs. Tā tiecas panākt daudzfunkcionālus mežus, apvienojot biodaudzveidību (arī stādītos mežos), oglekļa uzkrājuma saglabāšanu un ar kokmateriāliem saistītus ieņēmumus. Neraugoties uz to, ka vispārpieņemtas definīcijas vēl nav, dabai tuvāka mežsaimniecība ir jēdziens, ko apspriež privātas un publiskas organizācijas gan ES, gan pasaulē.</w:t>
      </w:r>
    </w:p>
  </w:footnote>
  <w:footnote w:id="47">
    <w:p>
      <w:pPr>
        <w:pStyle w:val="FootnoteText"/>
        <w:spacing w:after="0"/>
      </w:pPr>
      <w:r>
        <w:rPr>
          <w:vertAlign w:val="superscript"/>
        </w:rPr>
        <w:footnoteRef/>
      </w:r>
      <w:r>
        <w:tab/>
        <w:t>Dzīvotņu direktīvas I pielikums.</w:t>
      </w:r>
    </w:p>
  </w:footnote>
  <w:footnote w:id="48">
    <w:p>
      <w:pPr>
        <w:pStyle w:val="FootnoteText"/>
      </w:pPr>
      <w:r>
        <w:rPr>
          <w:vertAlign w:val="superscript"/>
        </w:rPr>
        <w:footnoteRef/>
      </w:r>
      <w:r>
        <w:tab/>
        <w:t>Izklāstīts šīs stratēģijas pielikumā un pievienotajā Komisijas dienestu darba dokumentā par solījumu līdz 2030. gadam iestādīt vēl 3 miljardus koku (SWD(2021) 651).</w:t>
      </w:r>
    </w:p>
  </w:footnote>
  <w:footnote w:id="49">
    <w:p>
      <w:pPr>
        <w:pStyle w:val="FootnoteText"/>
        <w:spacing w:after="0"/>
      </w:pPr>
      <w:r>
        <w:rPr>
          <w:vertAlign w:val="superscript"/>
        </w:rPr>
        <w:footnoteRef/>
      </w:r>
      <w:r>
        <w:tab/>
        <w:t xml:space="preserve">Pamatprogrammas “Apvārsnis” projekti: </w:t>
      </w:r>
      <w:r>
        <w:rPr>
          <w:i/>
          <w:iCs/>
        </w:rPr>
        <w:t>InnoForest</w:t>
      </w:r>
      <w:r>
        <w:t xml:space="preserve">, </w:t>
      </w:r>
      <w:r>
        <w:rPr>
          <w:i/>
          <w:iCs/>
        </w:rPr>
        <w:t>SINCERE</w:t>
      </w:r>
      <w:r>
        <w:t>.</w:t>
      </w:r>
    </w:p>
  </w:footnote>
  <w:footnote w:id="50">
    <w:p>
      <w:pPr>
        <w:pStyle w:val="FootnoteText"/>
        <w:spacing w:after="0"/>
      </w:pPr>
      <w:r>
        <w:rPr>
          <w:vertAlign w:val="superscript"/>
        </w:rPr>
        <w:footnoteRef/>
      </w:r>
      <w:r>
        <w:tab/>
      </w:r>
      <w:hyperlink r:id="rId24" w:history="1">
        <w:r>
          <w:rPr>
            <w:rStyle w:val="Hyperlink"/>
          </w:rPr>
          <w:t>https://enrd.ec.europa.eu/</w:t>
        </w:r>
      </w:hyperlink>
      <w:r>
        <w:t>.</w:t>
      </w:r>
    </w:p>
  </w:footnote>
  <w:footnote w:id="51">
    <w:p>
      <w:pPr>
        <w:pStyle w:val="FootnoteText"/>
        <w:ind w:right="-453"/>
      </w:pPr>
      <w:r>
        <w:rPr>
          <w:vertAlign w:val="superscript"/>
        </w:rPr>
        <w:footnoteRef/>
      </w:r>
      <w:r>
        <w:tab/>
      </w:r>
      <w:r>
        <w:rPr>
          <w:i/>
          <w:iCs/>
        </w:rPr>
        <w:t>Forest Focus</w:t>
      </w:r>
      <w:r>
        <w:t xml:space="preserve"> regula (Regula (EK) Nr. 2152/2003) bija spēkā 2003.–2007. gadā, un tā palīdzēja izveidot “mežu un vides mijiedarbības monitoringa shēmu ar mērķi aizsargāt Kopienas mežus”. Shēma balstījās uz sasniegumiem, ko nodrošināja divas iepriekšējās Padomes regulas par atmosfēras piesārņojuma (</w:t>
      </w:r>
      <w:hyperlink r:id="rId25" w:history="1">
        <w:r>
          <w:t>Padomes Regula (EEK) Nr. 3528/86</w:t>
        </w:r>
      </w:hyperlink>
      <w:r>
        <w:t>) un par ugunsgrēku (</w:t>
      </w:r>
      <w:hyperlink r:id="rId26" w:history="1">
        <w:r>
          <w:t>Padomes Regula (EEK) Nr. 2158/92</w:t>
        </w:r>
      </w:hyperlink>
      <w:r>
        <w:t xml:space="preserve">) ietekmes uz meža ekosistēmām monitoringu. Ziņojums par </w:t>
      </w:r>
      <w:r>
        <w:rPr>
          <w:i/>
          <w:iCs/>
        </w:rPr>
        <w:t>Forest Focus</w:t>
      </w:r>
      <w:r>
        <w:t xml:space="preserve"> shēmas īstenošanu pieejams šeit: </w:t>
      </w:r>
      <w:hyperlink r:id="rId27" w:history="1">
        <w:r>
          <w:rPr>
            <w:rStyle w:val="Hyperlink"/>
          </w:rPr>
          <w:t>https://ec.europa.eu/environment/archives/forests/ffocus.htm</w:t>
        </w:r>
      </w:hyperlink>
      <w:r>
        <w:t>.</w:t>
      </w:r>
    </w:p>
  </w:footnote>
  <w:footnote w:id="52">
    <w:p>
      <w:pPr>
        <w:pStyle w:val="FootnoteText"/>
        <w:spacing w:after="0"/>
        <w:ind w:right="-453"/>
      </w:pPr>
      <w:r>
        <w:rPr>
          <w:vertAlign w:val="superscript"/>
        </w:rPr>
        <w:footnoteRef/>
      </w:r>
      <w:r>
        <w:tab/>
      </w:r>
      <w:r>
        <w:rPr>
          <w:i/>
          <w:iCs/>
        </w:rPr>
        <w:t>Copernicus Sentinel</w:t>
      </w:r>
      <w:r>
        <w:t xml:space="preserve"> dati vai produkti un mākslīgais intelekts Eiropas un dalībvalstu līmenī jau tiek izmantoti, piemēram, lai nodrošinātu pastāvīgu meža inventarizāciju Portugālē, identificētu zemes izmantojumu (tā izmaiņas), kā arī pārbaudītu koku veselības stāvokli meža apsaimniekotāju un pulpas un papīra rūpniecības vajadzībām. Zviedrijā informācija no satelītattēliem kopš 2000. gada ir ļāvusi konstatēt nelikumīgas izciršanas gadījumus, kas tagad ir reti, un sliktas apsaimniekošanas prakses. Rumānijā pirmatnējā mežā tiek īstenots “viedā meža” projekts, kura uzdevums ir brīdināt mežsargus par iespējamu nelikumīgu mežizstrādi. Šādi piemēri vairs nav izņēmums, un tie meža apsaimniekošanu ievada digitālajā laikmetā.</w:t>
      </w:r>
    </w:p>
  </w:footnote>
  <w:footnote w:id="53">
    <w:p>
      <w:pPr>
        <w:pStyle w:val="FootnoteText"/>
        <w:spacing w:after="0"/>
        <w:ind w:right="-453"/>
      </w:pPr>
      <w:r>
        <w:rPr>
          <w:vertAlign w:val="superscript"/>
        </w:rPr>
        <w:footnoteRef/>
      </w:r>
      <w:r>
        <w:tab/>
      </w:r>
      <w:hyperlink r:id="rId28" w:history="1">
        <w:r>
          <w:rPr>
            <w:rStyle w:val="Hyperlink"/>
          </w:rPr>
          <w:t>https://effis.jrc.ec.europa.eu</w:t>
        </w:r>
      </w:hyperlink>
      <w:r>
        <w:t>.</w:t>
      </w:r>
    </w:p>
  </w:footnote>
  <w:footnote w:id="54">
    <w:p>
      <w:pPr>
        <w:pStyle w:val="FootnoteText"/>
        <w:spacing w:after="0"/>
        <w:ind w:right="-453"/>
      </w:pPr>
      <w:r>
        <w:rPr>
          <w:vertAlign w:val="superscript"/>
        </w:rPr>
        <w:footnoteRef/>
      </w:r>
      <w:r>
        <w:tab/>
      </w:r>
      <w:hyperlink r:id="rId29" w:history="1">
        <w:r>
          <w:rPr>
            <w:rStyle w:val="Hyperlink"/>
          </w:rPr>
          <w:t>https://digital-strategy.ec.europa.eu/en/policies/destination-earth</w:t>
        </w:r>
      </w:hyperlink>
      <w:r>
        <w:t>.</w:t>
      </w:r>
    </w:p>
  </w:footnote>
  <w:footnote w:id="55">
    <w:p>
      <w:pPr>
        <w:pStyle w:val="FootnoteText"/>
        <w:spacing w:after="0"/>
        <w:ind w:right="-453"/>
      </w:pPr>
      <w:r>
        <w:rPr>
          <w:vertAlign w:val="superscript"/>
        </w:rPr>
        <w:footnoteRef/>
      </w:r>
      <w:r>
        <w:tab/>
        <w:t>Attiecībā uz Komisijas vadītu IT, IT izstrādes un iepirkuma izvēlēm būs iepriekš jāsaņem Eiropas Komisijas Informācijas tehnoloģiju un kiberdrošības padomes apstiprinājums.</w:t>
      </w:r>
    </w:p>
  </w:footnote>
  <w:footnote w:id="56">
    <w:p>
      <w:pPr>
        <w:pStyle w:val="FootnoteText"/>
        <w:spacing w:after="0"/>
      </w:pPr>
      <w:r>
        <w:rPr>
          <w:vertAlign w:val="superscript"/>
        </w:rPr>
        <w:footnoteRef/>
      </w:r>
      <w:r>
        <w:tab/>
      </w:r>
      <w:hyperlink r:id="rId30" w:history="1">
        <w:r>
          <w:rPr>
            <w:rStyle w:val="Hyperlink"/>
          </w:rPr>
          <w:t>Pastiprināt ES rīcību ar mērķi aizsargāt un atjaunot pasaules mežus</w:t>
        </w:r>
      </w:hyperlink>
      <w:r>
        <w:t>.</w:t>
      </w:r>
    </w:p>
  </w:footnote>
  <w:footnote w:id="57">
    <w:p>
      <w:pPr>
        <w:pStyle w:val="FootnoteText"/>
        <w:spacing w:after="0"/>
      </w:pPr>
      <w:r>
        <w:rPr>
          <w:vertAlign w:val="superscript"/>
        </w:rPr>
        <w:footnoteRef/>
      </w:r>
      <w:r>
        <w:tab/>
        <w:t xml:space="preserve">Komisijas novērtējums balstīsies uz meža apsaimniekošanas plāniem un tiem izvirzītajām prasībām, kas vairākās dalībvalstīs jau pastāv. Sk. Meža apsaimniekošanas plānu prasību kopsavilkumu: </w:t>
      </w:r>
      <w:hyperlink r:id="rId31" w:history="1">
        <w:r>
          <w:rPr>
            <w:rStyle w:val="Hyperlink"/>
          </w:rPr>
          <w:t>fmp_table.pdf (europa.eu)</w:t>
        </w:r>
      </w:hyperlink>
      <w:r>
        <w:t>.</w:t>
      </w:r>
    </w:p>
  </w:footnote>
  <w:footnote w:id="58">
    <w:p>
      <w:pPr>
        <w:pStyle w:val="FootnoteText"/>
        <w:spacing w:after="0"/>
      </w:pPr>
      <w:r>
        <w:rPr>
          <w:vertAlign w:val="superscript"/>
        </w:rPr>
        <w:footnoteRef/>
      </w:r>
      <w:r>
        <w:tab/>
        <w:t>COM(2013) 659 final.</w:t>
      </w:r>
    </w:p>
  </w:footnote>
  <w:footnote w:id="59">
    <w:p>
      <w:pPr>
        <w:pStyle w:val="FootnoteText"/>
        <w:spacing w:after="0"/>
      </w:pPr>
      <w:r>
        <w:rPr>
          <w:vertAlign w:val="superscript"/>
        </w:rPr>
        <w:footnoteRef/>
      </w:r>
      <w:r>
        <w:tab/>
        <w:t>Komisija ar tās Kopīgā pētniecības centra starpniecību veiks Meža stratēģijas īstenošanai vajadzīgos zinātniskos pētījumus un pārvaldīs zinātniskās zināšanas, tostarp izstrādās Eiropas meža monitoringa metodes, kas izmanto tālizpēti, un veiks meža stāvokļa un noslodžu novērtējumu, kurā apvienoti tālizpētes un statistikas dati.</w:t>
      </w:r>
    </w:p>
  </w:footnote>
  <w:footnote w:id="60">
    <w:p>
      <w:pPr>
        <w:pStyle w:val="FootnoteText"/>
        <w:spacing w:after="0"/>
      </w:pPr>
      <w:r>
        <w:rPr>
          <w:vertAlign w:val="superscript"/>
        </w:rPr>
        <w:footnoteRef/>
      </w:r>
      <w:r>
        <w:tab/>
        <w:t>Padomes Direktīva 92/43/EEK (1992. gada 21. maijs).</w:t>
      </w:r>
    </w:p>
  </w:footnote>
  <w:footnote w:id="61">
    <w:p>
      <w:pPr>
        <w:pStyle w:val="FootnoteText"/>
        <w:spacing w:after="0"/>
      </w:pPr>
      <w:r>
        <w:rPr>
          <w:vertAlign w:val="superscript"/>
        </w:rPr>
        <w:footnoteRef/>
      </w:r>
      <w:r>
        <w:tab/>
      </w:r>
      <w:r>
        <w:rPr>
          <w:shd w:val="clear" w:color="auto" w:fill="FFFFFF"/>
        </w:rPr>
        <w:t xml:space="preserve">Eiropas Parlamenta un Padomes Direktīva 2009/147/EK (2009. gada 30. novembris) par savvaļas putnu aizsardzību. </w:t>
      </w:r>
    </w:p>
  </w:footnote>
  <w:footnote w:id="62">
    <w:p>
      <w:pPr>
        <w:pStyle w:val="FootnoteText"/>
        <w:spacing w:after="0"/>
      </w:pPr>
      <w:r>
        <w:rPr>
          <w:vertAlign w:val="superscript"/>
        </w:rPr>
        <w:footnoteRef/>
      </w:r>
      <w:r>
        <w:tab/>
        <w:t>Direktīva 2004/34/EK par atbildību vides jomā attiecībā uz videi nodarītā kaitējuma novēršanu un atlīdzināšanu.</w:t>
      </w:r>
    </w:p>
  </w:footnote>
  <w:footnote w:id="63">
    <w:p>
      <w:pPr>
        <w:pStyle w:val="FootnoteText"/>
        <w:spacing w:after="0"/>
      </w:pPr>
      <w:r>
        <w:rPr>
          <w:vertAlign w:val="superscript"/>
        </w:rPr>
        <w:footnoteRef/>
      </w:r>
      <w:r>
        <w:tab/>
        <w:t>Sk. Komisijas pamatnostādnes, kas sniedz vienotu izpratni par jēdzienu “kaitējums videi” saskaņā ar Direktīvu par atbildību vides jomā (C(2021)1860 final), jo īpaši 15., 18. un 90. punktu.</w:t>
      </w:r>
    </w:p>
  </w:footnote>
  <w:footnote w:id="64">
    <w:p>
      <w:pPr>
        <w:pStyle w:val="FootnoteText"/>
        <w:spacing w:after="0"/>
      </w:pPr>
      <w:r>
        <w:rPr>
          <w:vertAlign w:val="superscript"/>
        </w:rPr>
        <w:footnoteRef/>
      </w:r>
      <w:r>
        <w:tab/>
        <w:t>Direktīva 2008/99/EK par vides krimināltiesisko aizsardzību.</w:t>
      </w:r>
    </w:p>
  </w:footnote>
  <w:footnote w:id="65">
    <w:p>
      <w:pPr>
        <w:pStyle w:val="FootnoteText"/>
        <w:spacing w:after="0"/>
      </w:pPr>
      <w:r>
        <w:rPr>
          <w:vertAlign w:val="superscript"/>
        </w:rPr>
        <w:footnoteRef/>
      </w:r>
      <w:r>
        <w:tab/>
        <w:t>Sk., piemēram, Direktīvas 2008/99/EK 3. panta h) punktu.</w:t>
      </w:r>
    </w:p>
  </w:footnote>
  <w:footnote w:id="66">
    <w:p>
      <w:pPr>
        <w:pStyle w:val="FootnoteText"/>
        <w:spacing w:after="0"/>
      </w:pPr>
      <w:r>
        <w:rPr>
          <w:vertAlign w:val="superscript"/>
        </w:rPr>
        <w:footnoteRef/>
      </w:r>
      <w:r>
        <w:tab/>
        <w:t>Direktīva 2001/42/EK par noteiktu plānu un programmu ietekmes uz vidi novērtējumu.</w:t>
      </w:r>
    </w:p>
  </w:footnote>
  <w:footnote w:id="67">
    <w:p>
      <w:pPr>
        <w:pStyle w:val="FootnoteText"/>
        <w:spacing w:after="0"/>
      </w:pPr>
      <w:r>
        <w:rPr>
          <w:vertAlign w:val="superscript"/>
        </w:rPr>
        <w:footnoteRef/>
      </w:r>
      <w:r>
        <w:tab/>
        <w:t>Direktīva 2011/92/ES par dažu sabiedrisku un privātu projektu ietekmes uz vidi novērtējumu.</w:t>
      </w:r>
    </w:p>
  </w:footnote>
  <w:footnote w:id="68">
    <w:p>
      <w:pPr>
        <w:pStyle w:val="FootnoteText"/>
        <w:spacing w:after="0"/>
      </w:pPr>
      <w:r>
        <w:rPr>
          <w:vertAlign w:val="superscript"/>
        </w:rPr>
        <w:footnoteRef/>
      </w:r>
      <w:r>
        <w:tab/>
        <w:t>Eiropas Parlamenta un Padomes Direktīva 2003/4/EK (2003. gada 28. janvāris) par vides informācijas pieejamību sabiedrībai</w:t>
      </w:r>
      <w:r>
        <w:footnoteRef/>
      </w:r>
      <w:r>
        <w:t xml:space="preserve"> un par Padomes Direktīvas 90/313/EEK atcelšanu.</w:t>
      </w:r>
    </w:p>
  </w:footnote>
  <w:footnote w:id="69">
    <w:p>
      <w:pPr>
        <w:pStyle w:val="FootnoteText"/>
        <w:spacing w:after="0"/>
        <w:rPr>
          <w:shd w:val="clear" w:color="auto" w:fill="FFFFFF"/>
        </w:rPr>
      </w:pPr>
      <w:r>
        <w:rPr>
          <w:vertAlign w:val="superscript"/>
        </w:rPr>
        <w:footnoteRef/>
      </w:r>
      <w:r>
        <w:tab/>
      </w:r>
      <w:r>
        <w:rPr>
          <w:shd w:val="clear" w:color="auto" w:fill="FFFFFF"/>
        </w:rPr>
        <w:t>Eiropas Parlamenta un Padomes Regula (ES) Nr. 995/2010 (2010. gada 20. oktobris), ar ko nosaka pienākumus tirgus dalībniekiem, kas laiž tirgū kokmateriālus un koka izstrādājumus. </w:t>
      </w:r>
    </w:p>
  </w:footnote>
  <w:footnote w:id="70">
    <w:p>
      <w:pPr>
        <w:pStyle w:val="FootnoteText"/>
        <w:spacing w:after="0"/>
      </w:pPr>
      <w:r>
        <w:rPr>
          <w:vertAlign w:val="superscript"/>
        </w:rPr>
        <w:footnoteRef/>
      </w:r>
      <w:r>
        <w:tab/>
        <w:t>Padomes Regula (EK) Nr. 2173/2005 (2005. gada 20. decembris) par Meža tiesību aktu ieviešanas, pārvaldības un tirdzniecības (</w:t>
      </w:r>
      <w:r>
        <w:rPr>
          <w:i/>
          <w:iCs/>
        </w:rPr>
        <w:t>FLEGT</w:t>
      </w:r>
      <w:r>
        <w:t>) licencēšanas sistēmas izveidi kokmateriālu importam Eiropas Kopienā.</w:t>
      </w:r>
    </w:p>
  </w:footnote>
  <w:footnote w:id="71">
    <w:p>
      <w:pPr>
        <w:pStyle w:val="FootnoteText"/>
        <w:spacing w:after="0"/>
      </w:pPr>
      <w:r>
        <w:rPr>
          <w:vertAlign w:val="superscript"/>
        </w:rPr>
        <w:footnoteRef/>
      </w:r>
      <w:r>
        <w:tab/>
      </w:r>
      <w:r>
        <w:rPr>
          <w:color w:val="000000"/>
        </w:rPr>
        <w:t xml:space="preserve">Sk. “Vidiskās atbilstības nodrošināšana lauku apvidos”, ES Publikāciju birojs (europa.eu); Norādījumi par noziegumu pret vidi un saistīto pārkāpumu apkarošanu, </w:t>
      </w:r>
      <w:r>
        <w:rPr>
          <w:i/>
          <w:iCs/>
          <w:color w:val="000000"/>
        </w:rPr>
        <w:t>Circabc</w:t>
      </w:r>
      <w:r>
        <w:rPr>
          <w:color w:val="000000"/>
        </w:rPr>
        <w:t xml:space="preserve"> (europa.eu).</w:t>
      </w:r>
    </w:p>
  </w:footnote>
  <w:footnote w:id="72">
    <w:p>
      <w:pPr>
        <w:pStyle w:val="FootnoteText"/>
        <w:spacing w:after="0"/>
      </w:pPr>
      <w:r>
        <w:rPr>
          <w:vertAlign w:val="superscript"/>
        </w:rPr>
        <w:footnoteRef/>
      </w:r>
      <w:r>
        <w:tab/>
        <w:t>Sk. Paziņojumu par ES rīcību vidiskās atbilstības un pārvaldības uzlabošanai (COM(2018) 10 final).</w:t>
      </w:r>
    </w:p>
  </w:footnote>
  <w:footnote w:id="73">
    <w:p>
      <w:pPr>
        <w:pStyle w:val="FootnoteText"/>
        <w:spacing w:after="0"/>
      </w:pPr>
      <w:r>
        <w:rPr>
          <w:vertAlign w:val="superscript"/>
        </w:rPr>
        <w:footnoteRef/>
      </w:r>
      <w:r>
        <w:tab/>
      </w:r>
      <w:r>
        <w:rPr>
          <w:color w:val="000000" w:themeColor="text1"/>
        </w:rPr>
        <w:t xml:space="preserve">Ar </w:t>
      </w:r>
      <w:r>
        <w:rPr>
          <w:i/>
          <w:iCs/>
          <w:color w:val="000000" w:themeColor="text1"/>
        </w:rPr>
        <w:t>Copernicus</w:t>
      </w:r>
      <w:r>
        <w:rPr>
          <w:color w:val="000000" w:themeColor="text1"/>
        </w:rPr>
        <w:t xml:space="preserve"> lietotāju loka paplašināšanas partnerības pamatprogrammu jau tiek atbalstītas nacionālas meža informācijas izmēģinājuma platformas un ģeotelpiskās izlūkošanas izmantošana, lai apkarotu nelikumīgu mežizstrādi mežos (noziegumus pret mežu).</w:t>
      </w:r>
    </w:p>
  </w:footnote>
  <w:footnote w:id="74">
    <w:p>
      <w:pPr>
        <w:pStyle w:val="FootnoteText"/>
        <w:spacing w:after="0"/>
      </w:pPr>
      <w:r>
        <w:rPr>
          <w:vertAlign w:val="superscript"/>
        </w:rPr>
        <w:footnoteRef/>
      </w:r>
      <w:r>
        <w:tab/>
        <w:t xml:space="preserve">Sk. Vadlīnijas par Kopienā nozīmīgu dzīvnieku sugu stingru aizsardzību saskaņā ar Dzīvotņu direktīvu 92/43/EEK (pārskatīšanā), </w:t>
      </w:r>
      <w:hyperlink r:id="rId32" w:history="1">
        <w:r>
          <w:rPr>
            <w:rStyle w:val="Hyperlink"/>
          </w:rPr>
          <w:t>https://ec.europa.eu/environment/nature/conservation/species/guidance/index_en.htm</w:t>
        </w:r>
      </w:hyperlink>
      <w:r>
        <w:t>.</w:t>
      </w:r>
    </w:p>
  </w:footnote>
  <w:footnote w:id="75">
    <w:p>
      <w:pPr>
        <w:pStyle w:val="FootnoteText"/>
        <w:spacing w:after="0"/>
      </w:pPr>
      <w:r>
        <w:rPr>
          <w:vertAlign w:val="superscript"/>
        </w:rPr>
        <w:footnoteRef/>
      </w:r>
      <w:r>
        <w:tab/>
        <w:t>Sk. materiālus “</w:t>
      </w:r>
      <w:r>
        <w:rPr>
          <w:i/>
          <w:iCs/>
        </w:rPr>
        <w:t>Natura 2000</w:t>
      </w:r>
      <w:r>
        <w:t xml:space="preserve"> teritoriju apsaimniekošana: Dzīvotņu direktīvas 92/43/EEK 6. panta noteikumi”, “Metodiskie norādījumi par Dzīvotņu direktīvas 92/43/EEK 6. panta 3. un 4. punkta noteikumiem” (pārskatīšanā) un “Norādījumi par </w:t>
      </w:r>
      <w:r>
        <w:rPr>
          <w:i/>
          <w:iCs/>
        </w:rPr>
        <w:t>Natura 2000</w:t>
      </w:r>
      <w:r>
        <w:t xml:space="preserve"> un mežiem”, </w:t>
      </w:r>
      <w:hyperlink r:id="rId33" w:history="1">
        <w:r>
          <w:rPr>
            <w:rStyle w:val="Hyperlink"/>
          </w:rPr>
          <w:t>https://ec.europa.eu/environment/nature/natura2000/management/guidance_en.htm</w:t>
        </w:r>
      </w:hyperlink>
      <w:r>
        <w:t>.</w:t>
      </w:r>
    </w:p>
  </w:footnote>
  <w:footnote w:id="76">
    <w:p>
      <w:pPr>
        <w:pStyle w:val="FootnoteText"/>
        <w:spacing w:after="0"/>
      </w:pPr>
      <w:r>
        <w:rPr>
          <w:vertAlign w:val="superscript"/>
        </w:rPr>
        <w:footnoteRef/>
      </w:r>
      <w:r>
        <w:tab/>
      </w:r>
      <w:hyperlink r:id="rId34" w:history="1">
        <w:r>
          <w:rPr>
            <w:rStyle w:val="Hyperlink"/>
          </w:rPr>
          <w:t xml:space="preserve">Rīks </w:t>
        </w:r>
        <w:r>
          <w:rPr>
            <w:rStyle w:val="Hyperlink"/>
            <w:i/>
            <w:iCs/>
          </w:rPr>
          <w:t>TAIEX EIR P2P</w:t>
        </w:r>
      </w:hyperlink>
      <w:r>
        <w:t xml:space="preserve"> atvieglo apmaiņu starp valstu iestādēm un dod tām iespēju mācīties citai no citas. Ar šo rīku pēc Eiropas Komisijas dienestu pieprasījuma var arī organizēt pasākumus, izmantojot lejupvērstu pieeju (</w:t>
      </w:r>
      <w:r>
        <w:rPr>
          <w:i/>
          <w:iCs/>
        </w:rPr>
        <w:t>TAIEX</w:t>
      </w:r>
      <w:r>
        <w:t xml:space="preserve"> stratēģija).</w:t>
      </w:r>
    </w:p>
  </w:footnote>
  <w:footnote w:id="77">
    <w:p>
      <w:pPr>
        <w:pStyle w:val="FootnoteText"/>
        <w:spacing w:after="0"/>
      </w:pPr>
      <w:r>
        <w:rPr>
          <w:vertAlign w:val="superscript"/>
        </w:rPr>
        <w:footnoteRef/>
      </w:r>
      <w:r>
        <w:tab/>
        <w:t xml:space="preserve">Tehniskā atbalsta instrumenta atbalsts tiek sniegts pēc pieprasījuma un aptver plašu rīcībpolitikas jomu klāstu, pie kura pieder ES </w:t>
      </w:r>
      <w:r>
        <w:rPr>
          <w:i/>
          <w:iCs/>
        </w:rPr>
        <w:t>acquis</w:t>
      </w:r>
      <w:r>
        <w:t xml:space="preserve"> īstenošana, vides tiesību aktu izpildes panākšana un ar mežu un meža apsaimniekošanu saistīti jautājumi tādu ES prioritāšu kontekstā kā zaļā un digitālā pārkārtošanās. </w:t>
      </w:r>
      <w:hyperlink r:id="rId35" w:anchor=":~:text=The%20Technical%20Support%20Instrument%20%28TSI%29%20is%20the%20EU,and%20does%20not%20require%20co-financing%20from%20Member%20States." w:history="1">
        <w:r>
          <w:rPr>
            <w:color w:val="0000FF"/>
            <w:u w:val="single"/>
          </w:rPr>
          <w:t>Tehniskā atbalsta instruments (TAI)</w:t>
        </w:r>
      </w:hyperlink>
      <w:r>
        <w:t>.</w:t>
      </w:r>
      <w:hyperlink r:id="rId36" w:anchor=":~:text=The%20Technical%20Support%20Instrument%20%28TSI%29%20is%20the%20EU,and%20does%20not%20require%20co-financing%20from%20Member%20States." w:history="1">
        <w:r>
          <w:rPr>
            <w:color w:val="0000FF"/>
            <w:u w:val="single"/>
          </w:rPr>
          <w:t xml:space="preserve"> Eiropas Komisija (europa.eu)</w:t>
        </w:r>
      </w:hyperlink>
      <w:r>
        <w:t>.</w:t>
      </w:r>
    </w:p>
  </w:footnote>
  <w:footnote w:id="78">
    <w:p>
      <w:pPr>
        <w:pStyle w:val="FootnoteText"/>
        <w:spacing w:after="0"/>
      </w:pPr>
      <w:r>
        <w:rPr>
          <w:vertAlign w:val="superscript"/>
        </w:rPr>
        <w:footnoteRef/>
      </w:r>
      <w:r>
        <w:tab/>
        <w:t>Mežsaimniecības noziegumi nodara nopietnu kaitējumu ekonomikai, videi un sabiedrībai un veicina korupciju, nelikumīgi iegūtu līdzekļu legalizāciju un citus noziegumus. Tiek lēsts, ka visā pasaulē ikgadējie ieņēmumu zaudējumi, ko rada mežsaimniecības noziegumi, ir 51–152 miljardi ASV dolāru gadā</w:t>
      </w:r>
      <w:r>
        <w:footnoteRef/>
      </w:r>
      <w:r>
        <w:t>, tātad tie reprezentē lielāko daļu noziegumu pret vidi.</w:t>
      </w:r>
    </w:p>
  </w:footnote>
  <w:footnote w:id="79">
    <w:p>
      <w:pPr>
        <w:pStyle w:val="FootnoteText"/>
        <w:spacing w:after="0"/>
      </w:pPr>
      <w:r>
        <w:rPr>
          <w:vertAlign w:val="superscript"/>
        </w:rPr>
        <w:footnoteRef/>
      </w:r>
      <w:r>
        <w:tab/>
        <w:t>Komisijas paziņojums Eiropas Parlamentam, Padomei, Eiropas Ekonomikas un sociālo lietu komitejai un Reģionu komitejai par ES Organizētās noziedzības novēršanas stratēģiju 2021.–2025. gadam (COM(2021) 170 final).</w:t>
      </w:r>
    </w:p>
  </w:footnote>
  <w:footnote w:id="80">
    <w:p>
      <w:pPr>
        <w:pStyle w:val="FootnoteText"/>
      </w:pPr>
      <w:r>
        <w:rPr>
          <w:vertAlign w:val="superscript"/>
        </w:rPr>
        <w:footnoteRef/>
      </w:r>
      <w:r>
        <w:tab/>
        <w:t>Sk. arī paziņojumu “Tiesu iestāžu pieejamības uzlabošana saistībā ar vides jautājumiem ES un tās dalībvalstīs” (COM(2020) 643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21EB830"/>
    <w:lvl w:ilvl="0">
      <w:start w:val="1"/>
      <w:numFmt w:val="decimal"/>
      <w:pStyle w:val="ListNumber2"/>
      <w:lvlText w:val="%1."/>
      <w:lvlJc w:val="left"/>
      <w:pPr>
        <w:tabs>
          <w:tab w:val="num" w:pos="643"/>
        </w:tabs>
        <w:ind w:left="643" w:hanging="360"/>
      </w:pPr>
    </w:lvl>
  </w:abstractNum>
  <w:abstractNum w:abstractNumId="1">
    <w:nsid w:val="FFFFFF89"/>
    <w:multiLevelType w:val="singleLevel"/>
    <w:tmpl w:val="D140126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345BC0"/>
    <w:multiLevelType w:val="hybridMultilevel"/>
    <w:tmpl w:val="395A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5C67BD"/>
    <w:multiLevelType w:val="hybridMultilevel"/>
    <w:tmpl w:val="E1923BB0"/>
    <w:lvl w:ilvl="0" w:tplc="E1483FC6">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nsid w:val="0A2900F7"/>
    <w:multiLevelType w:val="multilevel"/>
    <w:tmpl w:val="B5ACFCB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D8D1C1C"/>
    <w:multiLevelType w:val="hybridMultilevel"/>
    <w:tmpl w:val="20B08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EFB7115"/>
    <w:multiLevelType w:val="multilevel"/>
    <w:tmpl w:val="046295D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0F956D41"/>
    <w:multiLevelType w:val="multilevel"/>
    <w:tmpl w:val="696E330E"/>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20B7201"/>
    <w:multiLevelType w:val="multilevel"/>
    <w:tmpl w:val="753AA57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262685D"/>
    <w:multiLevelType w:val="multilevel"/>
    <w:tmpl w:val="548ABBF0"/>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43D0A16"/>
    <w:multiLevelType w:val="multilevel"/>
    <w:tmpl w:val="62D01F2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72F0AC5"/>
    <w:multiLevelType w:val="multilevel"/>
    <w:tmpl w:val="AF8C1D0E"/>
    <w:name w:val="ListNumber2Numbering"/>
    <w:lvl w:ilvl="0">
      <w:start w:val="1"/>
      <w:numFmt w:val="decimal"/>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A2F306C"/>
    <w:multiLevelType w:val="multilevel"/>
    <w:tmpl w:val="8B325FDE"/>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1C650777"/>
    <w:multiLevelType w:val="multilevel"/>
    <w:tmpl w:val="8B325FDE"/>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C7B624F"/>
    <w:multiLevelType w:val="multilevel"/>
    <w:tmpl w:val="7EDC390E"/>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7895E23"/>
    <w:multiLevelType w:val="hybridMultilevel"/>
    <w:tmpl w:val="F11410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3105D0"/>
    <w:multiLevelType w:val="hybridMultilevel"/>
    <w:tmpl w:val="1138DD16"/>
    <w:lvl w:ilvl="0" w:tplc="F1FE59CA">
      <w:numFmt w:val="bullet"/>
      <w:lvlText w:val="-"/>
      <w:lvlJc w:val="left"/>
      <w:pPr>
        <w:ind w:left="720" w:hanging="360"/>
      </w:pPr>
      <w:rPr>
        <w:rFonts w:ascii="Times New Roman" w:eastAsia="Arial Unicode MS" w:hAnsi="Times New Roman" w:cs="Times New Roman"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96E138F"/>
    <w:multiLevelType w:val="multilevel"/>
    <w:tmpl w:val="94CE09C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C877CA6"/>
    <w:multiLevelType w:val="multilevel"/>
    <w:tmpl w:val="B84E3F28"/>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ascii="Times New Roman" w:hAnsi="Times New Roman" w:cs="Times New Roman" w:hint="default"/>
        <w:b w:val="0"/>
        <w:i/>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2C8DFDF8"/>
    <w:multiLevelType w:val="multilevel"/>
    <w:tmpl w:val="5B3A20C2"/>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CBC6336"/>
    <w:multiLevelType w:val="hybridMultilevel"/>
    <w:tmpl w:val="4DDA2D6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nsid w:val="2D293CE3"/>
    <w:multiLevelType w:val="multilevel"/>
    <w:tmpl w:val="18083F9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2D293CF4"/>
    <w:multiLevelType w:val="multilevel"/>
    <w:tmpl w:val="730CF398"/>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2F70092C"/>
    <w:multiLevelType w:val="hybridMultilevel"/>
    <w:tmpl w:val="D7B0121C"/>
    <w:lvl w:ilvl="0" w:tplc="C45C8856">
      <w:start w:val="1"/>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nsid w:val="36324F1E"/>
    <w:multiLevelType w:val="multilevel"/>
    <w:tmpl w:val="6354F48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37CB1E1C"/>
    <w:multiLevelType w:val="multilevel"/>
    <w:tmpl w:val="4122061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3A7730C4"/>
    <w:multiLevelType w:val="multilevel"/>
    <w:tmpl w:val="0ED8D8B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29E662A"/>
    <w:multiLevelType w:val="multilevel"/>
    <w:tmpl w:val="0D3053F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45004DA9"/>
    <w:multiLevelType w:val="hybridMultilevel"/>
    <w:tmpl w:val="25663AE2"/>
    <w:lvl w:ilvl="0" w:tplc="515815FA">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E73769"/>
    <w:multiLevelType w:val="hybridMultilevel"/>
    <w:tmpl w:val="CDB67B4A"/>
    <w:lvl w:ilvl="0" w:tplc="A5064B0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1A982C"/>
    <w:multiLevelType w:val="multilevel"/>
    <w:tmpl w:val="6930ECAC"/>
    <w:name w:val="ListBulletNumbering"/>
    <w:lvl w:ilvl="0">
      <w:start w:val="1"/>
      <w:numFmt w:val="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nsid w:val="5072619B"/>
    <w:multiLevelType w:val="multilevel"/>
    <w:tmpl w:val="0842257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1166D88"/>
    <w:multiLevelType w:val="multilevel"/>
    <w:tmpl w:val="94CE09C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5FA91080"/>
    <w:multiLevelType w:val="hybridMultilevel"/>
    <w:tmpl w:val="A7F267DA"/>
    <w:lvl w:ilvl="0" w:tplc="08090001">
      <w:start w:val="14"/>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6686E08"/>
    <w:multiLevelType w:val="hybridMultilevel"/>
    <w:tmpl w:val="11B83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77472E"/>
    <w:multiLevelType w:val="multilevel"/>
    <w:tmpl w:val="55CA7C5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6">
    <w:nsid w:val="6C013217"/>
    <w:multiLevelType w:val="multilevel"/>
    <w:tmpl w:val="8B325FDE"/>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7">
    <w:nsid w:val="79FD1E95"/>
    <w:multiLevelType w:val="multilevel"/>
    <w:tmpl w:val="0F90845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C65145E"/>
    <w:multiLevelType w:val="multilevel"/>
    <w:tmpl w:val="29AAA3F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4"/>
  </w:num>
  <w:num w:numId="3">
    <w:abstractNumId w:val="14"/>
  </w:num>
  <w:num w:numId="4">
    <w:abstractNumId w:val="25"/>
  </w:num>
  <w:num w:numId="5">
    <w:abstractNumId w:val="31"/>
  </w:num>
  <w:num w:numId="6">
    <w:abstractNumId w:val="35"/>
  </w:num>
  <w:num w:numId="7">
    <w:abstractNumId w:val="6"/>
  </w:num>
  <w:num w:numId="8">
    <w:abstractNumId w:val="11"/>
  </w:num>
  <w:num w:numId="9">
    <w:abstractNumId w:val="27"/>
  </w:num>
  <w:num w:numId="10">
    <w:abstractNumId w:val="8"/>
  </w:num>
  <w:num w:numId="11">
    <w:abstractNumId w:val="9"/>
  </w:num>
  <w:num w:numId="12">
    <w:abstractNumId w:val="10"/>
  </w:num>
  <w:num w:numId="13">
    <w:abstractNumId w:val="19"/>
  </w:num>
  <w:num w:numId="14">
    <w:abstractNumId w:val="26"/>
  </w:num>
  <w:num w:numId="15">
    <w:abstractNumId w:val="30"/>
  </w:num>
  <w:num w:numId="16">
    <w:abstractNumId w:val="38"/>
  </w:num>
  <w:num w:numId="17">
    <w:abstractNumId w:val="21"/>
  </w:num>
  <w:num w:numId="18">
    <w:abstractNumId w:val="22"/>
  </w:num>
  <w:num w:numId="19">
    <w:abstractNumId w:val="39"/>
  </w:num>
  <w:num w:numId="20">
    <w:abstractNumId w:val="7"/>
  </w:num>
  <w:num w:numId="21">
    <w:abstractNumId w:val="18"/>
  </w:num>
  <w:num w:numId="22">
    <w:abstractNumId w:val="36"/>
  </w:num>
  <w:num w:numId="23">
    <w:abstractNumId w:val="34"/>
  </w:num>
  <w:num w:numId="24">
    <w:abstractNumId w:val="12"/>
  </w:num>
  <w:num w:numId="25">
    <w:abstractNumId w:val="37"/>
  </w:num>
  <w:num w:numId="26">
    <w:abstractNumId w:val="29"/>
  </w:num>
  <w:num w:numId="27">
    <w:abstractNumId w:val="20"/>
  </w:num>
  <w:num w:numId="28">
    <w:abstractNumId w:val="15"/>
  </w:num>
  <w:num w:numId="29">
    <w:abstractNumId w:val="28"/>
  </w:num>
  <w:num w:numId="30">
    <w:abstractNumId w:val="17"/>
  </w:num>
  <w:num w:numId="31">
    <w:abstractNumId w:val="32"/>
  </w:num>
  <w:num w:numId="32">
    <w:abstractNumId w:val="5"/>
  </w:num>
  <w:num w:numId="33">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13"/>
  </w:num>
  <w:num w:numId="35">
    <w:abstractNumId w:val="33"/>
  </w:num>
  <w:num w:numId="36">
    <w:abstractNumId w:val="2"/>
  </w:num>
  <w:num w:numId="37">
    <w:abstractNumId w:val="16"/>
  </w:num>
  <w:num w:numId="38">
    <w:abstractNumId w:val="1"/>
  </w:num>
  <w:num w:numId="39">
    <w:abstractNumId w:val="0"/>
  </w:num>
  <w:num w:numId="40">
    <w:abstractNumId w:val="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7706DC2-F186-408F-9746-309DD6EE7AC0"/>
    <w:docVar w:name="LW_COVERPAGE_TYPE" w:val="1"/>
    <w:docVar w:name="LW_CROSSREFERENCE" w:val="{SWD(2021) 651 final} - {SWD(2021) 652 final}"/>
    <w:docVar w:name="LW_DocType" w:val="NORMAL"/>
    <w:docVar w:name="LW_EMISSION" w:val="16.7.2021"/>
    <w:docVar w:name="LW_EMISSION_ISODATE" w:val="2021-07-16"/>
    <w:docVar w:name="LW_EMISSION_LOCATION" w:val="BRX"/>
    <w:docVar w:name="LW_EMISSION_PREFIX" w:val="Briselē, "/>
    <w:docVar w:name="LW_EMISSION_SUFFIX" w:val="."/>
    <w:docVar w:name="LW_ID_DOCTYPE_NONLW" w:val="CP-014"/>
    <w:docVar w:name="LW_LANGUE" w:val="LV"/>
    <w:docVar w:name="LW_LEVEL_OF_SENSITIVITY" w:val="Standard treatmen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21) 5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Jauna ES Me\u382?a strat\u275?\u291?ija 2030. gadam"/>
    <w:docVar w:name="LW_TYPE.DOC.CP" w:val="KOMISIJAS PAZI\u325?OJUMS EIROPAS PARLAMENTAM, PADOMEI, EIROPAS EKONOMIKAS UN SOCI\u256?LO LIETU KOMITEJAI UN RE\u290?IONU KOMITEJAI"/>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2"/>
    <w:lsdException w:name="caption" w:uiPriority="0" w:qFormat="1"/>
    <w:lsdException w:name="footnote reference" w:qFormat="1"/>
    <w:lsdException w:name="endnote text" w:uiPriority="0"/>
    <w:lsdException w:name="macro" w:uiPriority="1" w:qFormat="1"/>
    <w:lsdException w:name="List Bullet" w:uiPriority="1"/>
    <w:lsdException w:name="List Number" w:uiPriority="1"/>
    <w:lsdException w:name="List Bullet 2" w:uiPriority="1"/>
    <w:lsdException w:name="List Bullet 3" w:uiPriority="1"/>
    <w:lsdException w:name="List Bullet 4" w:uiPriority="1"/>
    <w:lsdException w:name="List Number 2" w:uiPriority="1"/>
    <w:lsdException w:name="List Number 3" w:uiPriority="1"/>
    <w:lsdException w:name="List Number 4" w:uiPriority="1"/>
    <w:lsdException w:name="Title" w:semiHidden="0" w:uiPriority="1" w:unhideWhenUsed="0" w:qFormat="1"/>
    <w:lsdException w:name="Signature" w:uiPriority="2"/>
    <w:lsdException w:name="Default Paragraph Font" w:uiPriority="1"/>
    <w:lsdException w:name="Subtitle" w:semiHidden="0" w:uiPriority="11" w:unhideWhenUsed="0" w:qFormat="1"/>
    <w:lsdException w:name="Date" w:uiPriority="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uiPriority w:val="1"/>
    <w:qFormat/>
    <w:pPr>
      <w:keepNext/>
      <w:numPr>
        <w:numId w:val="16"/>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uiPriority w:val="1"/>
    <w:qFormat/>
    <w:pPr>
      <w:keepNext/>
      <w:numPr>
        <w:ilvl w:val="1"/>
        <w:numId w:val="16"/>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3"/>
    <w:link w:val="Heading3Char"/>
    <w:uiPriority w:val="1"/>
    <w:qFormat/>
    <w:pPr>
      <w:keepNext/>
      <w:numPr>
        <w:ilvl w:val="2"/>
        <w:numId w:val="16"/>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Text4"/>
    <w:link w:val="Heading4Char"/>
    <w:uiPriority w:val="1"/>
    <w:qFormat/>
    <w:pPr>
      <w:keepNext/>
      <w:numPr>
        <w:ilvl w:val="3"/>
        <w:numId w:val="16"/>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semiHidden/>
    <w:pPr>
      <w:keepNext/>
      <w:numPr>
        <w:ilvl w:val="4"/>
        <w:numId w:val="16"/>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semiHidden/>
    <w:pPr>
      <w:keepNext/>
      <w:numPr>
        <w:ilvl w:val="5"/>
        <w:numId w:val="16"/>
      </w:numPr>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semiHidden/>
    <w:pPr>
      <w:keepNext/>
      <w:numPr>
        <w:ilvl w:val="6"/>
        <w:numId w:val="16"/>
      </w:numPr>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semiHidden/>
    <w:pPr>
      <w:keepNext/>
      <w:numPr>
        <w:ilvl w:val="7"/>
        <w:numId w:val="16"/>
      </w:numPr>
      <w:spacing w:after="240" w:line="240" w:lineRule="auto"/>
      <w:jc w:val="both"/>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semiHidden/>
    <w:pPr>
      <w:keepNext/>
      <w:numPr>
        <w:ilvl w:val="8"/>
        <w:numId w:val="16"/>
      </w:numPr>
      <w:spacing w:after="240" w:line="240" w:lineRule="auto"/>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2"/>
    <w:unhideWhenUsed/>
    <w:pPr>
      <w:tabs>
        <w:tab w:val="center" w:pos="4513"/>
        <w:tab w:val="right" w:pos="9026"/>
      </w:tabs>
      <w:spacing w:after="0" w:line="240" w:lineRule="auto"/>
    </w:pPr>
  </w:style>
  <w:style w:type="character" w:customStyle="1" w:styleId="HeaderChar">
    <w:name w:val="Header Char"/>
    <w:basedOn w:val="DefaultParagraphFont"/>
    <w:link w:val="Header"/>
    <w:uiPriority w:val="2"/>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1"/>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1"/>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1"/>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rPr>
  </w:style>
  <w:style w:type="numbering" w:customStyle="1" w:styleId="NoList1">
    <w:name w:val="No List1"/>
    <w:next w:val="No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FigureSource">
    <w:name w:val="Figure Source"/>
    <w:basedOn w:val="Normal"/>
    <w:next w:val="Normal"/>
    <w:uiPriority w:val="2"/>
    <w:pPr>
      <w:spacing w:after="240" w:line="240" w:lineRule="auto"/>
      <w:jc w:val="both"/>
    </w:pPr>
    <w:rPr>
      <w:rFonts w:ascii="Times New Roman" w:eastAsia="Times New Roman" w:hAnsi="Times New Roman" w:cs="Times New Roman"/>
      <w:sz w:val="20"/>
      <w:szCs w:val="20"/>
    </w:rPr>
  </w:style>
  <w:style w:type="paragraph" w:customStyle="1" w:styleId="FigureNote">
    <w:name w:val="Figure Note"/>
    <w:basedOn w:val="FigureSource"/>
    <w:next w:val="FigureSource"/>
    <w:uiPriority w:val="2"/>
    <w:rPr>
      <w:b/>
    </w:rPr>
  </w:style>
  <w:style w:type="paragraph" w:customStyle="1" w:styleId="FigureBody">
    <w:name w:val="Figure Body"/>
    <w:basedOn w:val="Normal"/>
    <w:next w:val="FigureNote"/>
    <w:uiPriority w:val="2"/>
    <w:pPr>
      <w:keepNext/>
      <w:spacing w:after="40" w:line="240" w:lineRule="auto"/>
      <w:jc w:val="both"/>
    </w:pPr>
    <w:rPr>
      <w:rFonts w:ascii="Times New Roman" w:eastAsia="Times New Roman" w:hAnsi="Times New Roman" w:cs="Times New Roman"/>
      <w:sz w:val="24"/>
      <w:szCs w:val="20"/>
    </w:rPr>
  </w:style>
  <w:style w:type="paragraph" w:customStyle="1" w:styleId="FigureTitle">
    <w:name w:val="Figure Title"/>
    <w:basedOn w:val="Normal"/>
    <w:next w:val="FigureBody"/>
    <w:uiPriority w:val="2"/>
    <w:pPr>
      <w:keepNext/>
      <w:spacing w:after="180" w:line="240" w:lineRule="auto"/>
      <w:jc w:val="both"/>
    </w:pPr>
    <w:rPr>
      <w:rFonts w:ascii="Times New Roman" w:eastAsia="Times New Roman" w:hAnsi="Times New Roman" w:cs="Times New Roman"/>
      <w:b/>
      <w:sz w:val="24"/>
      <w:szCs w:val="20"/>
    </w:rPr>
  </w:style>
  <w:style w:type="paragraph" w:customStyle="1" w:styleId="HistTableHeading">
    <w:name w:val="HistTableHeading"/>
    <w:basedOn w:val="Normal"/>
    <w:next w:val="HistoryTable"/>
    <w:uiPriority w:val="2"/>
    <w:pPr>
      <w:spacing w:before="240" w:after="240" w:line="240" w:lineRule="auto"/>
      <w:jc w:val="center"/>
    </w:pPr>
    <w:rPr>
      <w:rFonts w:ascii="Times New Roman Bold" w:eastAsia="Times New Roman" w:hAnsi="Times New Roman Bold" w:cs="Times New Roman"/>
      <w:b/>
      <w:caps/>
      <w:sz w:val="24"/>
      <w:szCs w:val="20"/>
    </w:rPr>
  </w:style>
  <w:style w:type="paragraph" w:customStyle="1" w:styleId="HistoryTable">
    <w:name w:val="HistoryTable"/>
    <w:basedOn w:val="Normal"/>
    <w:uiPriority w:val="2"/>
    <w:pPr>
      <w:spacing w:before="60" w:after="60" w:line="240" w:lineRule="auto"/>
    </w:pPr>
    <w:rPr>
      <w:rFonts w:ascii="Times New Roman" w:eastAsia="Times New Roman" w:hAnsi="Times New Roman" w:cs="Times New Roman"/>
      <w:sz w:val="20"/>
      <w:szCs w:val="20"/>
    </w:rPr>
  </w:style>
  <w:style w:type="paragraph" w:customStyle="1" w:styleId="FooterLine">
    <w:name w:val="Footer Line"/>
    <w:basedOn w:val="Footer"/>
    <w:next w:val="Footer"/>
    <w:uiPriority w:val="2"/>
    <w:pPr>
      <w:tabs>
        <w:tab w:val="clear" w:pos="4513"/>
        <w:tab w:val="clear" w:pos="9026"/>
        <w:tab w:val="right" w:pos="8646"/>
      </w:tabs>
      <w:spacing w:before="120" w:line="264" w:lineRule="auto"/>
      <w:jc w:val="both"/>
    </w:pPr>
    <w:rPr>
      <w:rFonts w:ascii="Times New Roman" w:eastAsia="Times New Roman" w:hAnsi="Times New Roman" w:cs="Times New Roman"/>
      <w:sz w:val="16"/>
      <w:szCs w:val="20"/>
    </w:rPr>
  </w:style>
  <w:style w:type="paragraph" w:customStyle="1" w:styleId="SubTitle2">
    <w:name w:val="SubTitle 2"/>
    <w:basedOn w:val="Normal"/>
    <w:uiPriority w:val="1"/>
    <w:qFormat/>
    <w:pPr>
      <w:spacing w:after="240" w:line="240" w:lineRule="auto"/>
      <w:jc w:val="center"/>
    </w:pPr>
    <w:rPr>
      <w:rFonts w:ascii="Times New Roman" w:eastAsia="Times New Roman" w:hAnsi="Times New Roman" w:cs="Times New Roman"/>
      <w:b/>
      <w:sz w:val="32"/>
      <w:szCs w:val="20"/>
    </w:rPr>
  </w:style>
  <w:style w:type="paragraph" w:customStyle="1" w:styleId="SubTitle1">
    <w:name w:val="SubTitle 1"/>
    <w:basedOn w:val="Normal"/>
    <w:next w:val="SubTitle2"/>
    <w:uiPriority w:val="1"/>
    <w:qFormat/>
    <w:pPr>
      <w:spacing w:after="240" w:line="240"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
    <w:uiPriority w:val="1"/>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uiPriority w:val="1"/>
    <w:rPr>
      <w:rFonts w:ascii="Times New Roman" w:eastAsia="Times New Roman" w:hAnsi="Times New Roman" w:cs="Times New Roman"/>
      <w:b/>
      <w:kern w:val="28"/>
      <w:sz w:val="48"/>
      <w:szCs w:val="20"/>
    </w:rPr>
  </w:style>
  <w:style w:type="paragraph" w:customStyle="1" w:styleId="DoubSign">
    <w:name w:val="DoubSign"/>
    <w:basedOn w:val="Normal"/>
    <w:uiPriority w:val="2"/>
    <w:pPr>
      <w:tabs>
        <w:tab w:val="left" w:pos="5102"/>
      </w:tabs>
      <w:spacing w:before="1200" w:after="0" w:line="240" w:lineRule="auto"/>
    </w:pPr>
    <w:rPr>
      <w:rFonts w:ascii="Times New Roman" w:eastAsia="Times New Roman" w:hAnsi="Times New Roman" w:cs="Times New Roman"/>
      <w:sz w:val="24"/>
      <w:szCs w:val="20"/>
    </w:rPr>
  </w:style>
  <w:style w:type="paragraph" w:customStyle="1" w:styleId="SignatureL">
    <w:name w:val="SignatureL"/>
    <w:basedOn w:val="Normal"/>
    <w:uiPriority w:val="2"/>
    <w:pPr>
      <w:tabs>
        <w:tab w:val="left" w:pos="5102"/>
      </w:tabs>
      <w:spacing w:before="1200" w:after="0" w:line="240" w:lineRule="auto"/>
    </w:pPr>
    <w:rPr>
      <w:rFonts w:ascii="Times New Roman" w:eastAsia="Times New Roman" w:hAnsi="Times New Roman" w:cs="Times New Roman"/>
      <w:sz w:val="24"/>
      <w:szCs w:val="20"/>
    </w:rPr>
  </w:style>
  <w:style w:type="paragraph" w:styleId="Signature">
    <w:name w:val="Signature"/>
    <w:basedOn w:val="Normal"/>
    <w:link w:val="SignatureChar"/>
    <w:uiPriority w:val="2"/>
    <w:pPr>
      <w:tabs>
        <w:tab w:val="left" w:pos="5102"/>
      </w:tabs>
      <w:spacing w:before="1200" w:after="0" w:line="240" w:lineRule="auto"/>
      <w:ind w:left="5102"/>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uiPriority w:val="2"/>
    <w:rPr>
      <w:rFonts w:ascii="Times New Roman" w:eastAsia="Times New Roman" w:hAnsi="Times New Roman" w:cs="Times New Roman"/>
      <w:sz w:val="24"/>
      <w:szCs w:val="20"/>
    </w:rPr>
  </w:style>
  <w:style w:type="paragraph" w:customStyle="1" w:styleId="SectionTitle">
    <w:name w:val="SectionTitle"/>
    <w:basedOn w:val="Normal"/>
    <w:next w:val="Heading1"/>
    <w:uiPriority w:val="1"/>
    <w:qFormat/>
    <w:pPr>
      <w:keepNext/>
      <w:spacing w:after="480" w:line="240" w:lineRule="auto"/>
      <w:jc w:val="center"/>
      <w:outlineLvl w:val="0"/>
    </w:pPr>
    <w:rPr>
      <w:rFonts w:ascii="Times New Roman" w:eastAsia="Times New Roman" w:hAnsi="Times New Roman" w:cs="Times New Roman"/>
      <w:b/>
      <w:smallCaps/>
      <w:sz w:val="28"/>
      <w:szCs w:val="20"/>
    </w:rPr>
  </w:style>
  <w:style w:type="paragraph" w:customStyle="1" w:styleId="ChapterTitle">
    <w:name w:val="ChapterTitle"/>
    <w:basedOn w:val="Normal"/>
    <w:next w:val="SectionTitle"/>
    <w:uiPriority w:val="1"/>
    <w:qFormat/>
    <w:pPr>
      <w:keepNext/>
      <w:spacing w:after="480" w:line="240" w:lineRule="auto"/>
      <w:jc w:val="center"/>
      <w:outlineLvl w:val="0"/>
    </w:pPr>
    <w:rPr>
      <w:rFonts w:ascii="Times New Roman" w:eastAsia="Times New Roman" w:hAnsi="Times New Roman" w:cs="Times New Roman"/>
      <w:b/>
      <w:sz w:val="32"/>
      <w:szCs w:val="20"/>
    </w:rPr>
  </w:style>
  <w:style w:type="paragraph" w:customStyle="1" w:styleId="PartTitle">
    <w:name w:val="PartTitle"/>
    <w:basedOn w:val="Normal"/>
    <w:next w:val="ChapterTitle"/>
    <w:uiPriority w:val="1"/>
    <w:qFormat/>
    <w:pPr>
      <w:keepNext/>
      <w:pageBreakBefore/>
      <w:spacing w:after="480" w:line="240" w:lineRule="auto"/>
      <w:jc w:val="center"/>
      <w:outlineLvl w:val="0"/>
    </w:pPr>
    <w:rPr>
      <w:rFonts w:ascii="Times New Roman" w:eastAsia="Times New Roman" w:hAnsi="Times New Roman" w:cs="Times New Roman"/>
      <w:b/>
      <w:sz w:val="36"/>
      <w:szCs w:val="20"/>
    </w:rPr>
  </w:style>
  <w:style w:type="paragraph" w:customStyle="1" w:styleId="Text4">
    <w:name w:val="Text 4"/>
    <w:basedOn w:val="Normal"/>
    <w:uiPriority w:val="1"/>
    <w:qFormat/>
    <w:pPr>
      <w:spacing w:after="240" w:line="240" w:lineRule="auto"/>
      <w:ind w:left="1202"/>
      <w:jc w:val="both"/>
    </w:pPr>
    <w:rPr>
      <w:rFonts w:ascii="Times New Roman" w:eastAsia="Times New Roman" w:hAnsi="Times New Roman" w:cs="Times New Roman"/>
      <w:sz w:val="24"/>
      <w:szCs w:val="20"/>
    </w:rPr>
  </w:style>
  <w:style w:type="paragraph" w:customStyle="1" w:styleId="Text3">
    <w:name w:val="Text 3"/>
    <w:basedOn w:val="Normal"/>
    <w:uiPriority w:val="1"/>
    <w:qFormat/>
    <w:pPr>
      <w:spacing w:after="240" w:line="240" w:lineRule="auto"/>
      <w:ind w:left="1202"/>
      <w:jc w:val="both"/>
    </w:pPr>
    <w:rPr>
      <w:rFonts w:ascii="Times New Roman" w:eastAsia="Times New Roman" w:hAnsi="Times New Roman" w:cs="Times New Roman"/>
      <w:sz w:val="24"/>
      <w:szCs w:val="20"/>
    </w:rPr>
  </w:style>
  <w:style w:type="paragraph" w:customStyle="1" w:styleId="Text2">
    <w:name w:val="Text 2"/>
    <w:basedOn w:val="Normal"/>
    <w:uiPriority w:val="1"/>
    <w:qFormat/>
    <w:pPr>
      <w:spacing w:after="240" w:line="240" w:lineRule="auto"/>
      <w:ind w:left="1202"/>
      <w:jc w:val="both"/>
    </w:pPr>
    <w:rPr>
      <w:rFonts w:ascii="Times New Roman" w:eastAsia="Times New Roman" w:hAnsi="Times New Roman" w:cs="Times New Roman"/>
      <w:sz w:val="24"/>
      <w:szCs w:val="20"/>
    </w:rPr>
  </w:style>
  <w:style w:type="paragraph" w:customStyle="1" w:styleId="Text1">
    <w:name w:val="Text 1"/>
    <w:basedOn w:val="Normal"/>
    <w:uiPriority w:val="1"/>
    <w:qFormat/>
    <w:pPr>
      <w:spacing w:after="240" w:line="240" w:lineRule="auto"/>
      <w:ind w:left="482"/>
      <w:jc w:val="both"/>
    </w:pPr>
    <w:rPr>
      <w:rFonts w:ascii="Times New Roman" w:eastAsia="Times New Roman" w:hAnsi="Times New Roman" w:cs="Times New Roman"/>
      <w:sz w:val="24"/>
      <w:szCs w:val="20"/>
    </w:rPr>
  </w:style>
  <w:style w:type="paragraph" w:customStyle="1" w:styleId="ZFlag">
    <w:name w:val="Z_Flag"/>
    <w:basedOn w:val="Normal"/>
    <w:next w:val="Normal"/>
    <w:link w:val="ZFlagChar"/>
    <w:uiPriority w:val="2"/>
    <w:pPr>
      <w:widowControl w:val="0"/>
      <w:spacing w:after="0" w:line="240" w:lineRule="auto"/>
      <w:ind w:right="85"/>
      <w:jc w:val="both"/>
    </w:pPr>
    <w:rPr>
      <w:rFonts w:ascii="Times New Roman" w:eastAsia="Times New Roman" w:hAnsi="Times New Roman" w:cs="Times New Roman"/>
      <w:sz w:val="24"/>
      <w:szCs w:val="20"/>
    </w:rPr>
  </w:style>
  <w:style w:type="paragraph" w:customStyle="1" w:styleId="ZCom">
    <w:name w:val="Z_Com"/>
    <w:basedOn w:val="Normal"/>
    <w:next w:val="Normal"/>
    <w:uiPriority w:val="2"/>
    <w:pPr>
      <w:widowControl w:val="0"/>
      <w:spacing w:before="90" w:after="0" w:line="240" w:lineRule="auto"/>
      <w:ind w:right="85"/>
      <w:jc w:val="both"/>
    </w:pPr>
    <w:rPr>
      <w:rFonts w:ascii="Times New Roman" w:eastAsia="Times New Roman" w:hAnsi="Times New Roman" w:cs="Times New Roman"/>
      <w:sz w:val="24"/>
      <w:szCs w:val="20"/>
    </w:rPr>
  </w:style>
  <w:style w:type="paragraph" w:customStyle="1" w:styleId="ZDGName">
    <w:name w:val="Z_DGName"/>
    <w:basedOn w:val="Normal"/>
    <w:uiPriority w:val="2"/>
    <w:pPr>
      <w:widowControl w:val="0"/>
      <w:spacing w:after="0" w:line="240" w:lineRule="auto"/>
      <w:ind w:right="85"/>
    </w:pPr>
    <w:rPr>
      <w:rFonts w:ascii="Times New Roman" w:eastAsia="Times New Roman" w:hAnsi="Times New Roman" w:cs="Times New Roman"/>
      <w:sz w:val="16"/>
      <w:szCs w:val="20"/>
    </w:rPr>
  </w:style>
  <w:style w:type="paragraph" w:styleId="Caption">
    <w:name w:val="caption"/>
    <w:basedOn w:val="Normal"/>
    <w:next w:val="Normal"/>
    <w:semiHidden/>
    <w:pPr>
      <w:spacing w:before="160" w:after="240" w:line="240" w:lineRule="auto"/>
      <w:jc w:val="both"/>
    </w:pPr>
    <w:rPr>
      <w:rFonts w:ascii="Times New Roman" w:eastAsia="Times New Roman" w:hAnsi="Times New Roman" w:cs="Times New Roman"/>
      <w:i/>
      <w:szCs w:val="20"/>
    </w:rPr>
  </w:style>
  <w:style w:type="paragraph" w:customStyle="1" w:styleId="Contact">
    <w:name w:val="Contact"/>
    <w:basedOn w:val="Normal"/>
    <w:uiPriority w:val="1"/>
    <w:pPr>
      <w:spacing w:before="480" w:after="0" w:line="240" w:lineRule="auto"/>
      <w:ind w:left="567" w:hanging="567"/>
      <w:contextualSpacing/>
    </w:pPr>
    <w:rPr>
      <w:rFonts w:ascii="Times New Roman" w:eastAsia="Times New Roman" w:hAnsi="Times New Roman" w:cs="Times New Roman"/>
      <w:sz w:val="24"/>
      <w:szCs w:val="20"/>
    </w:rPr>
  </w:style>
  <w:style w:type="paragraph" w:styleId="Date">
    <w:name w:val="Date"/>
    <w:basedOn w:val="Normal"/>
    <w:next w:val="References"/>
    <w:link w:val="DateChar"/>
    <w:uiPriority w:val="1"/>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Pr>
      <w:rFonts w:ascii="Times New Roman" w:eastAsia="Times New Roman" w:hAnsi="Times New Roman" w:cs="Times New Roman"/>
      <w:sz w:val="24"/>
      <w:szCs w:val="20"/>
    </w:rPr>
  </w:style>
  <w:style w:type="paragraph" w:customStyle="1" w:styleId="References">
    <w:name w:val="References"/>
    <w:basedOn w:val="Normal"/>
    <w:uiPriority w:val="1"/>
    <w:pPr>
      <w:spacing w:after="240" w:line="240" w:lineRule="auto"/>
      <w:ind w:left="5102" w:right="-567"/>
      <w:contextualSpacing/>
    </w:pPr>
    <w:rPr>
      <w:rFonts w:ascii="Times New Roman" w:eastAsia="Times New Roman" w:hAnsi="Times New Roman" w:cs="Times New Roman"/>
      <w:sz w:val="20"/>
      <w:szCs w:val="20"/>
    </w:rPr>
  </w:style>
  <w:style w:type="paragraph" w:customStyle="1" w:styleId="Designator">
    <w:name w:val="Designator"/>
    <w:basedOn w:val="Normal"/>
    <w:semiHidden/>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semiHidden/>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semiHidden/>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semiHidden/>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semiHidden/>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semiHidden/>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styleId="EndnoteText">
    <w:name w:val="endnote text"/>
    <w:basedOn w:val="Normal"/>
    <w:link w:val="EndnoteTextChar"/>
    <w:semiHidden/>
    <w:unhideWhenUsed/>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FootnoteText">
    <w:name w:val="footnote text"/>
    <w:aliases w:val="PRI Footnote Text,Char,Fußnote,Carattere,fn,Footnotes,Footnote ak... + Arial,8 pt,Voetnoottekst Char,FSR footnote,lábléc,Footnote Text Char Char,text,Voetnoottekst Char1 Char,Voetnoottekst Char Char Char,Footnote Char Char Char,o,DNV-FT,ft"/>
    <w:basedOn w:val="Normal"/>
    <w:link w:val="FootnoteTextChar"/>
    <w:uiPriority w:val="99"/>
    <w:unhideWhenUsed/>
    <w:qFormat/>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PRI Footnote Text Char,Char Char,Fußnote Char,Carattere Char,fn Char,Footnotes Char,Footnote ak... + Arial Char,8 pt Char,Voetnoottekst Char Char,FSR footnote Char,lábléc Char,Footnote Text Char Char Char,text Char,o Char,DNV-FT Char"/>
    <w:basedOn w:val="DefaultParagraphFont"/>
    <w:link w:val="FootnoteText"/>
    <w:uiPriority w:val="99"/>
    <w:qFormat/>
    <w:rPr>
      <w:rFonts w:ascii="Times New Roman" w:eastAsia="Times New Roman" w:hAnsi="Times New Roman" w:cs="Times New Roman"/>
      <w:sz w:val="20"/>
      <w:szCs w:val="20"/>
    </w:rPr>
  </w:style>
  <w:style w:type="paragraph" w:styleId="MacroText">
    <w:name w:val="macro"/>
    <w:basedOn w:val="Normal"/>
    <w:link w:val="MacroTextChar"/>
    <w:uiPriority w:val="1"/>
    <w:qFormat/>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szCs w:val="20"/>
    </w:rPr>
  </w:style>
  <w:style w:type="character" w:customStyle="1" w:styleId="MacroTextChar">
    <w:name w:val="Macro Text Char"/>
    <w:basedOn w:val="DefaultParagraphFont"/>
    <w:link w:val="MacroText"/>
    <w:uiPriority w:val="1"/>
    <w:rPr>
      <w:rFonts w:ascii="Courier New" w:eastAsia="Times New Roman" w:hAnsi="Courier New" w:cs="Times New Roman"/>
      <w:szCs w:val="20"/>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19"/>
      </w:numPr>
      <w:spacing w:after="480" w:line="240" w:lineRule="auto"/>
      <w:jc w:val="both"/>
      <w:outlineLvl w:val="0"/>
    </w:pPr>
    <w:rPr>
      <w:rFonts w:ascii="Times New Roman" w:eastAsia="Times New Roman" w:hAnsi="Times New Roman" w:cs="Times New Roman"/>
      <w:b/>
      <w:sz w:val="32"/>
      <w:szCs w:val="20"/>
    </w:rPr>
  </w:style>
  <w:style w:type="paragraph" w:styleId="TOCHeading">
    <w:name w:val="TOC Heading"/>
    <w:basedOn w:val="Normal"/>
    <w:next w:val="Normal"/>
    <w:semiHidden/>
    <w:pPr>
      <w:spacing w:before="240" w:after="240" w:line="240" w:lineRule="auto"/>
      <w:jc w:val="center"/>
    </w:pPr>
    <w:rPr>
      <w:rFonts w:ascii="Times New Roman Bold" w:eastAsia="Times New Roman" w:hAnsi="Times New Roman Bold" w:cs="Times New Roman"/>
      <w:b/>
      <w:caps/>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0"/>
      </w:tabs>
      <w:spacing w:before="60" w:after="60" w:line="240" w:lineRule="auto"/>
      <w:ind w:left="2880" w:right="720" w:hanging="964"/>
      <w:jc w:val="both"/>
    </w:pPr>
    <w:rPr>
      <w:rFonts w:ascii="Times New Roman" w:eastAsia="Times New Roman" w:hAnsi="Times New Roman" w:cs="Times New Roman"/>
      <w:noProof/>
      <w:sz w:val="24"/>
      <w:szCs w:val="20"/>
    </w:rPr>
  </w:style>
  <w:style w:type="paragraph" w:styleId="TOC5">
    <w:name w:val="toc 5"/>
    <w:basedOn w:val="Normal"/>
    <w:next w:val="Normal"/>
    <w:semiHidden/>
    <w:pPr>
      <w:tabs>
        <w:tab w:val="right" w:leader="dot" w:pos="8640"/>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semiHidden/>
    <w:pPr>
      <w:tabs>
        <w:tab w:val="right" w:leader="dot" w:pos="8640"/>
        <w:tab w:val="left" w:pos="2880"/>
      </w:tabs>
      <w:spacing w:before="120" w:after="120" w:line="240" w:lineRule="auto"/>
      <w:ind w:left="1916" w:right="720" w:hanging="1916"/>
      <w:jc w:val="both"/>
    </w:pPr>
    <w:rPr>
      <w:rFonts w:ascii="Times New Roman" w:eastAsia="Times New Roman" w:hAnsi="Times New Roman" w:cs="Times New Roman"/>
      <w:caps/>
      <w:sz w:val="24"/>
      <w:szCs w:val="20"/>
    </w:rPr>
  </w:style>
  <w:style w:type="paragraph" w:styleId="TOC7">
    <w:name w:val="toc 7"/>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rPr>
  </w:style>
  <w:style w:type="paragraph" w:styleId="TOC8">
    <w:name w:val="toc 8"/>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rPr>
  </w:style>
  <w:style w:type="paragraph" w:styleId="TOC9">
    <w:name w:val="toc 9"/>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rPr>
  </w:style>
  <w:style w:type="paragraph" w:styleId="ListBullet">
    <w:name w:val="List Bullet"/>
    <w:basedOn w:val="Normal"/>
    <w:uiPriority w:val="1"/>
    <w:pPr>
      <w:numPr>
        <w:numId w:val="38"/>
      </w:numPr>
      <w:tabs>
        <w:tab w:val="clear" w:pos="360"/>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ListBulletLevel2">
    <w:name w:val="List Bullet (Level 2)"/>
    <w:basedOn w:val="Text1"/>
    <w:uiPriority w:val="1"/>
    <w:pPr>
      <w:numPr>
        <w:ilvl w:val="1"/>
        <w:numId w:val="15"/>
      </w:numPr>
    </w:pPr>
  </w:style>
  <w:style w:type="paragraph" w:customStyle="1" w:styleId="ListBulletLevel3">
    <w:name w:val="List Bullet (Level 3)"/>
    <w:basedOn w:val="Text1"/>
    <w:uiPriority w:val="1"/>
    <w:semiHidden/>
    <w:unhideWhenUsed/>
    <w:pPr>
      <w:numPr>
        <w:ilvl w:val="2"/>
        <w:numId w:val="15"/>
      </w:numPr>
    </w:pPr>
  </w:style>
  <w:style w:type="paragraph" w:customStyle="1" w:styleId="ListBulletLevel4">
    <w:name w:val="List Bullet (Level 4)"/>
    <w:basedOn w:val="Text1"/>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Level2">
    <w:name w:val="List Dash (Level 2)"/>
    <w:basedOn w:val="Normal"/>
    <w:uiPriority w:val="1"/>
    <w:pPr>
      <w:numPr>
        <w:ilvl w:val="1"/>
        <w:numId w:val="5"/>
      </w:numPr>
      <w:spacing w:after="240" w:line="240" w:lineRule="auto"/>
      <w:jc w:val="both"/>
    </w:pPr>
    <w:rPr>
      <w:rFonts w:ascii="Times New Roman" w:eastAsia="Times New Roman" w:hAnsi="Times New Roman" w:cs="Times New Roman"/>
      <w:sz w:val="24"/>
      <w:szCs w:val="20"/>
    </w:rPr>
  </w:style>
  <w:style w:type="paragraph" w:customStyle="1" w:styleId="ListDashLevel3">
    <w:name w:val="List Dash (Level 3)"/>
    <w:basedOn w:val="Normal"/>
    <w:uiPriority w:val="1"/>
    <w:semiHidden/>
    <w:unhideWhenUsed/>
    <w:pPr>
      <w:numPr>
        <w:ilvl w:val="2"/>
        <w:numId w:val="5"/>
      </w:numPr>
      <w:spacing w:after="240" w:line="240" w:lineRule="auto"/>
      <w:jc w:val="both"/>
    </w:pPr>
    <w:rPr>
      <w:rFonts w:ascii="Times New Roman" w:eastAsia="Times New Roman" w:hAnsi="Times New Roman" w:cs="Times New Roman"/>
      <w:sz w:val="24"/>
      <w:szCs w:val="20"/>
    </w:rPr>
  </w:style>
  <w:style w:type="paragraph" w:customStyle="1" w:styleId="ListDashLevel4">
    <w:name w:val="List Dash (Level 4)"/>
    <w:basedOn w:val="Normal"/>
    <w:uiPriority w:val="1"/>
    <w:semiHidden/>
    <w:unhideWhenUsed/>
    <w:pPr>
      <w:numPr>
        <w:ilvl w:val="3"/>
        <w:numId w:val="5"/>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uiPriority w:val="1"/>
    <w:pPr>
      <w:numPr>
        <w:ilvl w:val="1"/>
        <w:numId w:val="10"/>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uiPriority w:val="1"/>
    <w:semiHidden/>
    <w:unhideWhenUsed/>
    <w:pPr>
      <w:numPr>
        <w:ilvl w:val="2"/>
        <w:numId w:val="10"/>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uiPriority w:val="1"/>
    <w:semiHidden/>
    <w:unhideWhenUsed/>
    <w:pPr>
      <w:numPr>
        <w:ilvl w:val="3"/>
        <w:numId w:val="10"/>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39"/>
      </w:numPr>
      <w:tabs>
        <w:tab w:val="clear" w:pos="643"/>
        <w:tab w:val="num" w:pos="1911"/>
      </w:tabs>
      <w:ind w:left="1911" w:hanging="709"/>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customStyle="1" w:styleId="Marking">
    <w:name w:val="Marking"/>
    <w:basedOn w:val="Normal"/>
    <w:semiHidden/>
    <w:pPr>
      <w:spacing w:after="240" w:line="240" w:lineRule="auto"/>
      <w:ind w:left="5102" w:right="-567"/>
      <w:contextualSpacing/>
    </w:pPr>
    <w:rPr>
      <w:rFonts w:ascii="Times New Roman" w:eastAsia="Times New Roman" w:hAnsi="Times New Roman" w:cs="Times New Roman"/>
      <w:sz w:val="28"/>
      <w:szCs w:val="20"/>
    </w:rPr>
  </w:style>
  <w:style w:type="paragraph" w:customStyle="1" w:styleId="LegalNumPar">
    <w:name w:val="LegalNumPar"/>
    <w:basedOn w:val="Normal"/>
    <w:uiPriority w:val="1"/>
    <w:qFormat/>
    <w:pPr>
      <w:numPr>
        <w:numId w:val="17"/>
      </w:numPr>
      <w:spacing w:after="240" w:line="360" w:lineRule="auto"/>
      <w:jc w:val="both"/>
    </w:pPr>
    <w:rPr>
      <w:rFonts w:ascii="Times New Roman" w:eastAsia="Times New Roman" w:hAnsi="Times New Roman" w:cs="Times New Roman"/>
      <w:sz w:val="24"/>
      <w:szCs w:val="20"/>
    </w:rPr>
  </w:style>
  <w:style w:type="paragraph" w:customStyle="1" w:styleId="LegalNumPar2">
    <w:name w:val="LegalNumPar2"/>
    <w:basedOn w:val="Normal"/>
    <w:uiPriority w:val="1"/>
    <w:pPr>
      <w:numPr>
        <w:ilvl w:val="1"/>
        <w:numId w:val="17"/>
      </w:numPr>
      <w:spacing w:after="240" w:line="360" w:lineRule="auto"/>
      <w:jc w:val="both"/>
    </w:pPr>
    <w:rPr>
      <w:rFonts w:ascii="Times New Roman" w:eastAsia="Times New Roman" w:hAnsi="Times New Roman" w:cs="Times New Roman"/>
      <w:sz w:val="24"/>
      <w:szCs w:val="20"/>
    </w:rPr>
  </w:style>
  <w:style w:type="paragraph" w:customStyle="1" w:styleId="LegalNumPar3">
    <w:name w:val="LegalNumPar3"/>
    <w:basedOn w:val="Normal"/>
    <w:uiPriority w:val="1"/>
    <w:pPr>
      <w:numPr>
        <w:ilvl w:val="2"/>
        <w:numId w:val="17"/>
      </w:numPr>
      <w:spacing w:after="240" w:line="360" w:lineRule="auto"/>
      <w:jc w:val="both"/>
    </w:pPr>
    <w:rPr>
      <w:rFonts w:ascii="Times New Roman" w:eastAsia="Times New Roman" w:hAnsi="Times New Roman" w:cs="Times New Roman"/>
      <w:sz w:val="24"/>
      <w:szCs w:val="20"/>
    </w:rPr>
  </w:style>
  <w:style w:type="paragraph" w:customStyle="1" w:styleId="ContNum">
    <w:name w:val="ContNum"/>
    <w:basedOn w:val="Normal"/>
    <w:uiPriority w:val="1"/>
    <w:qFormat/>
    <w:pPr>
      <w:numPr>
        <w:numId w:val="18"/>
      </w:numPr>
      <w:spacing w:after="240" w:line="240" w:lineRule="auto"/>
      <w:jc w:val="both"/>
    </w:pPr>
    <w:rPr>
      <w:rFonts w:ascii="Times New Roman" w:eastAsia="Times New Roman" w:hAnsi="Times New Roman" w:cs="Times New Roman"/>
      <w:sz w:val="24"/>
      <w:szCs w:val="20"/>
    </w:rPr>
  </w:style>
  <w:style w:type="paragraph" w:customStyle="1" w:styleId="ContNumLevel2">
    <w:name w:val="ContNum (Level 2)"/>
    <w:basedOn w:val="Normal"/>
    <w:uiPriority w:val="1"/>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ContNumLevel3">
    <w:name w:val="ContNum (Level 3)"/>
    <w:basedOn w:val="Normal"/>
    <w:uiPriority w:val="1"/>
    <w:pPr>
      <w:numPr>
        <w:ilvl w:val="2"/>
        <w:numId w:val="18"/>
      </w:numPr>
      <w:spacing w:after="240" w:line="240" w:lineRule="auto"/>
      <w:jc w:val="both"/>
    </w:pPr>
    <w:rPr>
      <w:rFonts w:ascii="Times New Roman" w:eastAsia="Times New Roman" w:hAnsi="Times New Roman" w:cs="Times New Roman"/>
      <w:sz w:val="24"/>
      <w:szCs w:val="20"/>
    </w:rPr>
  </w:style>
  <w:style w:type="table" w:customStyle="1" w:styleId="TableHistory">
    <w:name w:val="Table History"/>
    <w:basedOn w:val="TableNormal"/>
    <w:semiHidden/>
    <w:pPr>
      <w:spacing w:before="60" w:after="60" w:line="264" w:lineRule="auto"/>
    </w:pPr>
    <w:rPr>
      <w:rFonts w:ascii="Times New Roman" w:eastAsia="Times New Roman" w:hAnsi="Times New Roman" w:cs="Times New Roman"/>
      <w:szCs w:val="20"/>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lang w:val="lv-LV"/>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3,CV text"/>
    <w:link w:val="ListParagraphChar"/>
    <w:uiPriority w:val="34"/>
    <w:qFormat/>
    <w:pPr>
      <w:pBdr>
        <w:top w:val="nil"/>
        <w:left w:val="nil"/>
        <w:bottom w:val="nil"/>
        <w:right w:val="nil"/>
        <w:between w:val="nil"/>
        <w:bar w:val="nil"/>
      </w:pBdr>
      <w:spacing w:after="0" w:line="240" w:lineRule="auto"/>
      <w:ind w:left="720"/>
    </w:pPr>
    <w:rPr>
      <w:rFonts w:ascii="Calibri" w:eastAsia="Arial Unicode MS" w:hAnsi="Calibri" w:cs="Arial Unicode MS"/>
      <w:color w:val="000000"/>
      <w:u w:color="000000"/>
      <w:bdr w:val="nil"/>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3 Char"/>
    <w:basedOn w:val="DefaultParagraphFont"/>
    <w:link w:val="ListParagraph"/>
    <w:uiPriority w:val="34"/>
    <w:qFormat/>
    <w:locked/>
    <w:rPr>
      <w:rFonts w:ascii="Calibri" w:eastAsia="Arial Unicode MS" w:hAnsi="Calibri" w:cs="Arial Unicode MS"/>
      <w:color w:val="000000"/>
      <w:u w:color="000000"/>
      <w:bdr w:val="nil"/>
      <w:lang w:val="lv-LV"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List">
    <w:name w:val="itemList"/>
    <w:qFormat/>
    <w:pPr>
      <w:tabs>
        <w:tab w:val="left" w:pos="425"/>
        <w:tab w:val="left" w:pos="851"/>
        <w:tab w:val="left" w:pos="1276"/>
      </w:tabs>
      <w:spacing w:after="240" w:line="240" w:lineRule="auto"/>
      <w:ind w:left="425" w:hanging="425"/>
    </w:pPr>
    <w:rPr>
      <w:rFonts w:ascii="Arial" w:eastAsia="Times New Roman" w:hAnsi="Arial" w:cs="Times New Roman"/>
      <w:sz w:val="20"/>
      <w:szCs w:val="20"/>
      <w:lang w:eastAsia="en-GB"/>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semiHidden/>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paragraph" w:styleId="CommentSubject">
    <w:name w:val="annotation subject"/>
    <w:basedOn w:val="CommentText"/>
    <w:next w:val="CommentText"/>
    <w:link w:val="CommentSubjectChar"/>
    <w:semiHidden/>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b/>
      <w:bCs/>
      <w:bdr w:val="none" w:sz="0" w:space="0" w:color="auto"/>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bdr w:val="nil"/>
      <w:lang w:val="lv-LV"/>
    </w:rPr>
  </w:style>
  <w:style w:type="paragraph" w:styleId="Revision">
    <w:name w:val="Revision"/>
    <w:hidden/>
    <w:semiHidden/>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semiHidden/>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ZFlagChar">
    <w:name w:val="Z_Flag Char"/>
    <w:basedOn w:val="DefaultParagraphFont"/>
    <w:link w:val="ZFlag"/>
    <w:uiPriority w:val="2"/>
    <w:rPr>
      <w:rFonts w:ascii="Times New Roman" w:eastAsia="Times New Roman" w:hAnsi="Times New Roman" w:cs="Times New Roman"/>
      <w:sz w:val="24"/>
      <w:szCs w:val="20"/>
    </w:rPr>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after="580" w:line="244" w:lineRule="exact"/>
      <w:ind w:hanging="740"/>
    </w:p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2"/>
    <w:lsdException w:name="caption" w:uiPriority="0" w:qFormat="1"/>
    <w:lsdException w:name="footnote reference" w:qFormat="1"/>
    <w:lsdException w:name="endnote text" w:uiPriority="0"/>
    <w:lsdException w:name="macro" w:uiPriority="1" w:qFormat="1"/>
    <w:lsdException w:name="List Bullet" w:uiPriority="1"/>
    <w:lsdException w:name="List Number" w:uiPriority="1"/>
    <w:lsdException w:name="List Bullet 2" w:uiPriority="1"/>
    <w:lsdException w:name="List Bullet 3" w:uiPriority="1"/>
    <w:lsdException w:name="List Bullet 4" w:uiPriority="1"/>
    <w:lsdException w:name="List Number 2" w:uiPriority="1"/>
    <w:lsdException w:name="List Number 3" w:uiPriority="1"/>
    <w:lsdException w:name="List Number 4" w:uiPriority="1"/>
    <w:lsdException w:name="Title" w:semiHidden="0" w:uiPriority="1" w:unhideWhenUsed="0" w:qFormat="1"/>
    <w:lsdException w:name="Signature" w:uiPriority="2"/>
    <w:lsdException w:name="Default Paragraph Font" w:uiPriority="1"/>
    <w:lsdException w:name="Subtitle" w:semiHidden="0" w:uiPriority="11" w:unhideWhenUsed="0" w:qFormat="1"/>
    <w:lsdException w:name="Date" w:uiPriority="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uiPriority w:val="1"/>
    <w:qFormat/>
    <w:pPr>
      <w:keepNext/>
      <w:numPr>
        <w:numId w:val="16"/>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uiPriority w:val="1"/>
    <w:qFormat/>
    <w:pPr>
      <w:keepNext/>
      <w:numPr>
        <w:ilvl w:val="1"/>
        <w:numId w:val="16"/>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3"/>
    <w:link w:val="Heading3Char"/>
    <w:uiPriority w:val="1"/>
    <w:qFormat/>
    <w:pPr>
      <w:keepNext/>
      <w:numPr>
        <w:ilvl w:val="2"/>
        <w:numId w:val="16"/>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Text4"/>
    <w:link w:val="Heading4Char"/>
    <w:uiPriority w:val="1"/>
    <w:qFormat/>
    <w:pPr>
      <w:keepNext/>
      <w:numPr>
        <w:ilvl w:val="3"/>
        <w:numId w:val="16"/>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semiHidden/>
    <w:pPr>
      <w:keepNext/>
      <w:numPr>
        <w:ilvl w:val="4"/>
        <w:numId w:val="16"/>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semiHidden/>
    <w:pPr>
      <w:keepNext/>
      <w:numPr>
        <w:ilvl w:val="5"/>
        <w:numId w:val="16"/>
      </w:numPr>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semiHidden/>
    <w:pPr>
      <w:keepNext/>
      <w:numPr>
        <w:ilvl w:val="6"/>
        <w:numId w:val="16"/>
      </w:numPr>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semiHidden/>
    <w:pPr>
      <w:keepNext/>
      <w:numPr>
        <w:ilvl w:val="7"/>
        <w:numId w:val="16"/>
      </w:numPr>
      <w:spacing w:after="240" w:line="240" w:lineRule="auto"/>
      <w:jc w:val="both"/>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semiHidden/>
    <w:pPr>
      <w:keepNext/>
      <w:numPr>
        <w:ilvl w:val="8"/>
        <w:numId w:val="16"/>
      </w:numPr>
      <w:spacing w:after="240" w:line="240" w:lineRule="auto"/>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2"/>
    <w:unhideWhenUsed/>
    <w:pPr>
      <w:tabs>
        <w:tab w:val="center" w:pos="4513"/>
        <w:tab w:val="right" w:pos="9026"/>
      </w:tabs>
      <w:spacing w:after="0" w:line="240" w:lineRule="auto"/>
    </w:pPr>
  </w:style>
  <w:style w:type="character" w:customStyle="1" w:styleId="HeaderChar">
    <w:name w:val="Header Char"/>
    <w:basedOn w:val="DefaultParagraphFont"/>
    <w:link w:val="Header"/>
    <w:uiPriority w:val="2"/>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1"/>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1"/>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1"/>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rPr>
  </w:style>
  <w:style w:type="numbering" w:customStyle="1" w:styleId="NoList1">
    <w:name w:val="No List1"/>
    <w:next w:val="No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FigureSource">
    <w:name w:val="Figure Source"/>
    <w:basedOn w:val="Normal"/>
    <w:next w:val="Normal"/>
    <w:uiPriority w:val="2"/>
    <w:pPr>
      <w:spacing w:after="240" w:line="240" w:lineRule="auto"/>
      <w:jc w:val="both"/>
    </w:pPr>
    <w:rPr>
      <w:rFonts w:ascii="Times New Roman" w:eastAsia="Times New Roman" w:hAnsi="Times New Roman" w:cs="Times New Roman"/>
      <w:sz w:val="20"/>
      <w:szCs w:val="20"/>
    </w:rPr>
  </w:style>
  <w:style w:type="paragraph" w:customStyle="1" w:styleId="FigureNote">
    <w:name w:val="Figure Note"/>
    <w:basedOn w:val="FigureSource"/>
    <w:next w:val="FigureSource"/>
    <w:uiPriority w:val="2"/>
    <w:rPr>
      <w:b/>
    </w:rPr>
  </w:style>
  <w:style w:type="paragraph" w:customStyle="1" w:styleId="FigureBody">
    <w:name w:val="Figure Body"/>
    <w:basedOn w:val="Normal"/>
    <w:next w:val="FigureNote"/>
    <w:uiPriority w:val="2"/>
    <w:pPr>
      <w:keepNext/>
      <w:spacing w:after="40" w:line="240" w:lineRule="auto"/>
      <w:jc w:val="both"/>
    </w:pPr>
    <w:rPr>
      <w:rFonts w:ascii="Times New Roman" w:eastAsia="Times New Roman" w:hAnsi="Times New Roman" w:cs="Times New Roman"/>
      <w:sz w:val="24"/>
      <w:szCs w:val="20"/>
    </w:rPr>
  </w:style>
  <w:style w:type="paragraph" w:customStyle="1" w:styleId="FigureTitle">
    <w:name w:val="Figure Title"/>
    <w:basedOn w:val="Normal"/>
    <w:next w:val="FigureBody"/>
    <w:uiPriority w:val="2"/>
    <w:pPr>
      <w:keepNext/>
      <w:spacing w:after="180" w:line="240" w:lineRule="auto"/>
      <w:jc w:val="both"/>
    </w:pPr>
    <w:rPr>
      <w:rFonts w:ascii="Times New Roman" w:eastAsia="Times New Roman" w:hAnsi="Times New Roman" w:cs="Times New Roman"/>
      <w:b/>
      <w:sz w:val="24"/>
      <w:szCs w:val="20"/>
    </w:rPr>
  </w:style>
  <w:style w:type="paragraph" w:customStyle="1" w:styleId="HistTableHeading">
    <w:name w:val="HistTableHeading"/>
    <w:basedOn w:val="Normal"/>
    <w:next w:val="HistoryTable"/>
    <w:uiPriority w:val="2"/>
    <w:pPr>
      <w:spacing w:before="240" w:after="240" w:line="240" w:lineRule="auto"/>
      <w:jc w:val="center"/>
    </w:pPr>
    <w:rPr>
      <w:rFonts w:ascii="Times New Roman Bold" w:eastAsia="Times New Roman" w:hAnsi="Times New Roman Bold" w:cs="Times New Roman"/>
      <w:b/>
      <w:caps/>
      <w:sz w:val="24"/>
      <w:szCs w:val="20"/>
    </w:rPr>
  </w:style>
  <w:style w:type="paragraph" w:customStyle="1" w:styleId="HistoryTable">
    <w:name w:val="HistoryTable"/>
    <w:basedOn w:val="Normal"/>
    <w:uiPriority w:val="2"/>
    <w:pPr>
      <w:spacing w:before="60" w:after="60" w:line="240" w:lineRule="auto"/>
    </w:pPr>
    <w:rPr>
      <w:rFonts w:ascii="Times New Roman" w:eastAsia="Times New Roman" w:hAnsi="Times New Roman" w:cs="Times New Roman"/>
      <w:sz w:val="20"/>
      <w:szCs w:val="20"/>
    </w:rPr>
  </w:style>
  <w:style w:type="paragraph" w:customStyle="1" w:styleId="FooterLine">
    <w:name w:val="Footer Line"/>
    <w:basedOn w:val="Footer"/>
    <w:next w:val="Footer"/>
    <w:uiPriority w:val="2"/>
    <w:pPr>
      <w:tabs>
        <w:tab w:val="clear" w:pos="4513"/>
        <w:tab w:val="clear" w:pos="9026"/>
        <w:tab w:val="right" w:pos="8646"/>
      </w:tabs>
      <w:spacing w:before="120" w:line="264" w:lineRule="auto"/>
      <w:jc w:val="both"/>
    </w:pPr>
    <w:rPr>
      <w:rFonts w:ascii="Times New Roman" w:eastAsia="Times New Roman" w:hAnsi="Times New Roman" w:cs="Times New Roman"/>
      <w:sz w:val="16"/>
      <w:szCs w:val="20"/>
    </w:rPr>
  </w:style>
  <w:style w:type="paragraph" w:customStyle="1" w:styleId="SubTitle2">
    <w:name w:val="SubTitle 2"/>
    <w:basedOn w:val="Normal"/>
    <w:uiPriority w:val="1"/>
    <w:qFormat/>
    <w:pPr>
      <w:spacing w:after="240" w:line="240" w:lineRule="auto"/>
      <w:jc w:val="center"/>
    </w:pPr>
    <w:rPr>
      <w:rFonts w:ascii="Times New Roman" w:eastAsia="Times New Roman" w:hAnsi="Times New Roman" w:cs="Times New Roman"/>
      <w:b/>
      <w:sz w:val="32"/>
      <w:szCs w:val="20"/>
    </w:rPr>
  </w:style>
  <w:style w:type="paragraph" w:customStyle="1" w:styleId="SubTitle1">
    <w:name w:val="SubTitle 1"/>
    <w:basedOn w:val="Normal"/>
    <w:next w:val="SubTitle2"/>
    <w:uiPriority w:val="1"/>
    <w:qFormat/>
    <w:pPr>
      <w:spacing w:after="240" w:line="240" w:lineRule="auto"/>
      <w:jc w:val="center"/>
    </w:pPr>
    <w:rPr>
      <w:rFonts w:ascii="Times New Roman" w:eastAsia="Times New Roman" w:hAnsi="Times New Roman" w:cs="Times New Roman"/>
      <w:b/>
      <w:sz w:val="40"/>
      <w:szCs w:val="20"/>
    </w:rPr>
  </w:style>
  <w:style w:type="paragraph" w:styleId="Title">
    <w:name w:val="Title"/>
    <w:basedOn w:val="Normal"/>
    <w:next w:val="SubTitle1"/>
    <w:link w:val="TitleChar"/>
    <w:uiPriority w:val="1"/>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uiPriority w:val="1"/>
    <w:rPr>
      <w:rFonts w:ascii="Times New Roman" w:eastAsia="Times New Roman" w:hAnsi="Times New Roman" w:cs="Times New Roman"/>
      <w:b/>
      <w:kern w:val="28"/>
      <w:sz w:val="48"/>
      <w:szCs w:val="20"/>
    </w:rPr>
  </w:style>
  <w:style w:type="paragraph" w:customStyle="1" w:styleId="DoubSign">
    <w:name w:val="DoubSign"/>
    <w:basedOn w:val="Normal"/>
    <w:uiPriority w:val="2"/>
    <w:pPr>
      <w:tabs>
        <w:tab w:val="left" w:pos="5102"/>
      </w:tabs>
      <w:spacing w:before="1200" w:after="0" w:line="240" w:lineRule="auto"/>
    </w:pPr>
    <w:rPr>
      <w:rFonts w:ascii="Times New Roman" w:eastAsia="Times New Roman" w:hAnsi="Times New Roman" w:cs="Times New Roman"/>
      <w:sz w:val="24"/>
      <w:szCs w:val="20"/>
    </w:rPr>
  </w:style>
  <w:style w:type="paragraph" w:customStyle="1" w:styleId="SignatureL">
    <w:name w:val="SignatureL"/>
    <w:basedOn w:val="Normal"/>
    <w:uiPriority w:val="2"/>
    <w:pPr>
      <w:tabs>
        <w:tab w:val="left" w:pos="5102"/>
      </w:tabs>
      <w:spacing w:before="1200" w:after="0" w:line="240" w:lineRule="auto"/>
    </w:pPr>
    <w:rPr>
      <w:rFonts w:ascii="Times New Roman" w:eastAsia="Times New Roman" w:hAnsi="Times New Roman" w:cs="Times New Roman"/>
      <w:sz w:val="24"/>
      <w:szCs w:val="20"/>
    </w:rPr>
  </w:style>
  <w:style w:type="paragraph" w:styleId="Signature">
    <w:name w:val="Signature"/>
    <w:basedOn w:val="Normal"/>
    <w:link w:val="SignatureChar"/>
    <w:uiPriority w:val="2"/>
    <w:pPr>
      <w:tabs>
        <w:tab w:val="left" w:pos="5102"/>
      </w:tabs>
      <w:spacing w:before="1200" w:after="0" w:line="240" w:lineRule="auto"/>
      <w:ind w:left="5102"/>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uiPriority w:val="2"/>
    <w:rPr>
      <w:rFonts w:ascii="Times New Roman" w:eastAsia="Times New Roman" w:hAnsi="Times New Roman" w:cs="Times New Roman"/>
      <w:sz w:val="24"/>
      <w:szCs w:val="20"/>
    </w:rPr>
  </w:style>
  <w:style w:type="paragraph" w:customStyle="1" w:styleId="SectionTitle">
    <w:name w:val="SectionTitle"/>
    <w:basedOn w:val="Normal"/>
    <w:next w:val="Heading1"/>
    <w:uiPriority w:val="1"/>
    <w:qFormat/>
    <w:pPr>
      <w:keepNext/>
      <w:spacing w:after="480" w:line="240" w:lineRule="auto"/>
      <w:jc w:val="center"/>
      <w:outlineLvl w:val="0"/>
    </w:pPr>
    <w:rPr>
      <w:rFonts w:ascii="Times New Roman" w:eastAsia="Times New Roman" w:hAnsi="Times New Roman" w:cs="Times New Roman"/>
      <w:b/>
      <w:smallCaps/>
      <w:sz w:val="28"/>
      <w:szCs w:val="20"/>
    </w:rPr>
  </w:style>
  <w:style w:type="paragraph" w:customStyle="1" w:styleId="ChapterTitle">
    <w:name w:val="ChapterTitle"/>
    <w:basedOn w:val="Normal"/>
    <w:next w:val="SectionTitle"/>
    <w:uiPriority w:val="1"/>
    <w:qFormat/>
    <w:pPr>
      <w:keepNext/>
      <w:spacing w:after="480" w:line="240" w:lineRule="auto"/>
      <w:jc w:val="center"/>
      <w:outlineLvl w:val="0"/>
    </w:pPr>
    <w:rPr>
      <w:rFonts w:ascii="Times New Roman" w:eastAsia="Times New Roman" w:hAnsi="Times New Roman" w:cs="Times New Roman"/>
      <w:b/>
      <w:sz w:val="32"/>
      <w:szCs w:val="20"/>
    </w:rPr>
  </w:style>
  <w:style w:type="paragraph" w:customStyle="1" w:styleId="PartTitle">
    <w:name w:val="PartTitle"/>
    <w:basedOn w:val="Normal"/>
    <w:next w:val="ChapterTitle"/>
    <w:uiPriority w:val="1"/>
    <w:qFormat/>
    <w:pPr>
      <w:keepNext/>
      <w:pageBreakBefore/>
      <w:spacing w:after="480" w:line="240" w:lineRule="auto"/>
      <w:jc w:val="center"/>
      <w:outlineLvl w:val="0"/>
    </w:pPr>
    <w:rPr>
      <w:rFonts w:ascii="Times New Roman" w:eastAsia="Times New Roman" w:hAnsi="Times New Roman" w:cs="Times New Roman"/>
      <w:b/>
      <w:sz w:val="36"/>
      <w:szCs w:val="20"/>
    </w:rPr>
  </w:style>
  <w:style w:type="paragraph" w:customStyle="1" w:styleId="Text4">
    <w:name w:val="Text 4"/>
    <w:basedOn w:val="Normal"/>
    <w:uiPriority w:val="1"/>
    <w:qFormat/>
    <w:pPr>
      <w:spacing w:after="240" w:line="240" w:lineRule="auto"/>
      <w:ind w:left="1202"/>
      <w:jc w:val="both"/>
    </w:pPr>
    <w:rPr>
      <w:rFonts w:ascii="Times New Roman" w:eastAsia="Times New Roman" w:hAnsi="Times New Roman" w:cs="Times New Roman"/>
      <w:sz w:val="24"/>
      <w:szCs w:val="20"/>
    </w:rPr>
  </w:style>
  <w:style w:type="paragraph" w:customStyle="1" w:styleId="Text3">
    <w:name w:val="Text 3"/>
    <w:basedOn w:val="Normal"/>
    <w:uiPriority w:val="1"/>
    <w:qFormat/>
    <w:pPr>
      <w:spacing w:after="240" w:line="240" w:lineRule="auto"/>
      <w:ind w:left="1202"/>
      <w:jc w:val="both"/>
    </w:pPr>
    <w:rPr>
      <w:rFonts w:ascii="Times New Roman" w:eastAsia="Times New Roman" w:hAnsi="Times New Roman" w:cs="Times New Roman"/>
      <w:sz w:val="24"/>
      <w:szCs w:val="20"/>
    </w:rPr>
  </w:style>
  <w:style w:type="paragraph" w:customStyle="1" w:styleId="Text2">
    <w:name w:val="Text 2"/>
    <w:basedOn w:val="Normal"/>
    <w:uiPriority w:val="1"/>
    <w:qFormat/>
    <w:pPr>
      <w:spacing w:after="240" w:line="240" w:lineRule="auto"/>
      <w:ind w:left="1202"/>
      <w:jc w:val="both"/>
    </w:pPr>
    <w:rPr>
      <w:rFonts w:ascii="Times New Roman" w:eastAsia="Times New Roman" w:hAnsi="Times New Roman" w:cs="Times New Roman"/>
      <w:sz w:val="24"/>
      <w:szCs w:val="20"/>
    </w:rPr>
  </w:style>
  <w:style w:type="paragraph" w:customStyle="1" w:styleId="Text1">
    <w:name w:val="Text 1"/>
    <w:basedOn w:val="Normal"/>
    <w:uiPriority w:val="1"/>
    <w:qFormat/>
    <w:pPr>
      <w:spacing w:after="240" w:line="240" w:lineRule="auto"/>
      <w:ind w:left="482"/>
      <w:jc w:val="both"/>
    </w:pPr>
    <w:rPr>
      <w:rFonts w:ascii="Times New Roman" w:eastAsia="Times New Roman" w:hAnsi="Times New Roman" w:cs="Times New Roman"/>
      <w:sz w:val="24"/>
      <w:szCs w:val="20"/>
    </w:rPr>
  </w:style>
  <w:style w:type="paragraph" w:customStyle="1" w:styleId="ZFlag">
    <w:name w:val="Z_Flag"/>
    <w:basedOn w:val="Normal"/>
    <w:next w:val="Normal"/>
    <w:link w:val="ZFlagChar"/>
    <w:uiPriority w:val="2"/>
    <w:pPr>
      <w:widowControl w:val="0"/>
      <w:spacing w:after="0" w:line="240" w:lineRule="auto"/>
      <w:ind w:right="85"/>
      <w:jc w:val="both"/>
    </w:pPr>
    <w:rPr>
      <w:rFonts w:ascii="Times New Roman" w:eastAsia="Times New Roman" w:hAnsi="Times New Roman" w:cs="Times New Roman"/>
      <w:sz w:val="24"/>
      <w:szCs w:val="20"/>
    </w:rPr>
  </w:style>
  <w:style w:type="paragraph" w:customStyle="1" w:styleId="ZCom">
    <w:name w:val="Z_Com"/>
    <w:basedOn w:val="Normal"/>
    <w:next w:val="Normal"/>
    <w:uiPriority w:val="2"/>
    <w:pPr>
      <w:widowControl w:val="0"/>
      <w:spacing w:before="90" w:after="0" w:line="240" w:lineRule="auto"/>
      <w:ind w:right="85"/>
      <w:jc w:val="both"/>
    </w:pPr>
    <w:rPr>
      <w:rFonts w:ascii="Times New Roman" w:eastAsia="Times New Roman" w:hAnsi="Times New Roman" w:cs="Times New Roman"/>
      <w:sz w:val="24"/>
      <w:szCs w:val="20"/>
    </w:rPr>
  </w:style>
  <w:style w:type="paragraph" w:customStyle="1" w:styleId="ZDGName">
    <w:name w:val="Z_DGName"/>
    <w:basedOn w:val="Normal"/>
    <w:uiPriority w:val="2"/>
    <w:pPr>
      <w:widowControl w:val="0"/>
      <w:spacing w:after="0" w:line="240" w:lineRule="auto"/>
      <w:ind w:right="85"/>
    </w:pPr>
    <w:rPr>
      <w:rFonts w:ascii="Times New Roman" w:eastAsia="Times New Roman" w:hAnsi="Times New Roman" w:cs="Times New Roman"/>
      <w:sz w:val="16"/>
      <w:szCs w:val="20"/>
    </w:rPr>
  </w:style>
  <w:style w:type="paragraph" w:styleId="Caption">
    <w:name w:val="caption"/>
    <w:basedOn w:val="Normal"/>
    <w:next w:val="Normal"/>
    <w:semiHidden/>
    <w:pPr>
      <w:spacing w:before="160" w:after="240" w:line="240" w:lineRule="auto"/>
      <w:jc w:val="both"/>
    </w:pPr>
    <w:rPr>
      <w:rFonts w:ascii="Times New Roman" w:eastAsia="Times New Roman" w:hAnsi="Times New Roman" w:cs="Times New Roman"/>
      <w:i/>
      <w:szCs w:val="20"/>
    </w:rPr>
  </w:style>
  <w:style w:type="paragraph" w:customStyle="1" w:styleId="Contact">
    <w:name w:val="Contact"/>
    <w:basedOn w:val="Normal"/>
    <w:uiPriority w:val="1"/>
    <w:pPr>
      <w:spacing w:before="480" w:after="0" w:line="240" w:lineRule="auto"/>
      <w:ind w:left="567" w:hanging="567"/>
      <w:contextualSpacing/>
    </w:pPr>
    <w:rPr>
      <w:rFonts w:ascii="Times New Roman" w:eastAsia="Times New Roman" w:hAnsi="Times New Roman" w:cs="Times New Roman"/>
      <w:sz w:val="24"/>
      <w:szCs w:val="20"/>
    </w:rPr>
  </w:style>
  <w:style w:type="paragraph" w:styleId="Date">
    <w:name w:val="Date"/>
    <w:basedOn w:val="Normal"/>
    <w:next w:val="References"/>
    <w:link w:val="DateChar"/>
    <w:uiPriority w:val="1"/>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Pr>
      <w:rFonts w:ascii="Times New Roman" w:eastAsia="Times New Roman" w:hAnsi="Times New Roman" w:cs="Times New Roman"/>
      <w:sz w:val="24"/>
      <w:szCs w:val="20"/>
    </w:rPr>
  </w:style>
  <w:style w:type="paragraph" w:customStyle="1" w:styleId="References">
    <w:name w:val="References"/>
    <w:basedOn w:val="Normal"/>
    <w:uiPriority w:val="1"/>
    <w:pPr>
      <w:spacing w:after="240" w:line="240" w:lineRule="auto"/>
      <w:ind w:left="5102" w:right="-567"/>
      <w:contextualSpacing/>
    </w:pPr>
    <w:rPr>
      <w:rFonts w:ascii="Times New Roman" w:eastAsia="Times New Roman" w:hAnsi="Times New Roman" w:cs="Times New Roman"/>
      <w:sz w:val="20"/>
      <w:szCs w:val="20"/>
    </w:rPr>
  </w:style>
  <w:style w:type="paragraph" w:customStyle="1" w:styleId="Designator">
    <w:name w:val="Designator"/>
    <w:basedOn w:val="Normal"/>
    <w:semiHidden/>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semiHidden/>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semiHidden/>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semiHidden/>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semiHidden/>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semiHidden/>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styleId="EndnoteText">
    <w:name w:val="endnote text"/>
    <w:basedOn w:val="Normal"/>
    <w:link w:val="EndnoteTextChar"/>
    <w:semiHidden/>
    <w:unhideWhenUsed/>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FootnoteText">
    <w:name w:val="footnote text"/>
    <w:aliases w:val="PRI Footnote Text,Char,Fußnote,Carattere,fn,Footnotes,Footnote ak... + Arial,8 pt,Voetnoottekst Char,FSR footnote,lábléc,Footnote Text Char Char,text,Voetnoottekst Char1 Char,Voetnoottekst Char Char Char,Footnote Char Char Char,o,DNV-FT,ft"/>
    <w:basedOn w:val="Normal"/>
    <w:link w:val="FootnoteTextChar"/>
    <w:uiPriority w:val="99"/>
    <w:unhideWhenUsed/>
    <w:qFormat/>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PRI Footnote Text Char,Char Char,Fußnote Char,Carattere Char,fn Char,Footnotes Char,Footnote ak... + Arial Char,8 pt Char,Voetnoottekst Char Char,FSR footnote Char,lábléc Char,Footnote Text Char Char Char,text Char,o Char,DNV-FT Char"/>
    <w:basedOn w:val="DefaultParagraphFont"/>
    <w:link w:val="FootnoteText"/>
    <w:uiPriority w:val="99"/>
    <w:qFormat/>
    <w:rPr>
      <w:rFonts w:ascii="Times New Roman" w:eastAsia="Times New Roman" w:hAnsi="Times New Roman" w:cs="Times New Roman"/>
      <w:sz w:val="20"/>
      <w:szCs w:val="20"/>
    </w:rPr>
  </w:style>
  <w:style w:type="paragraph" w:styleId="MacroText">
    <w:name w:val="macro"/>
    <w:basedOn w:val="Normal"/>
    <w:link w:val="MacroTextChar"/>
    <w:uiPriority w:val="1"/>
    <w:qFormat/>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szCs w:val="20"/>
    </w:rPr>
  </w:style>
  <w:style w:type="character" w:customStyle="1" w:styleId="MacroTextChar">
    <w:name w:val="Macro Text Char"/>
    <w:basedOn w:val="DefaultParagraphFont"/>
    <w:link w:val="MacroText"/>
    <w:uiPriority w:val="1"/>
    <w:rPr>
      <w:rFonts w:ascii="Courier New" w:eastAsia="Times New Roman" w:hAnsi="Courier New" w:cs="Times New Roman"/>
      <w:szCs w:val="20"/>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19"/>
      </w:numPr>
      <w:spacing w:after="480" w:line="240" w:lineRule="auto"/>
      <w:jc w:val="both"/>
      <w:outlineLvl w:val="0"/>
    </w:pPr>
    <w:rPr>
      <w:rFonts w:ascii="Times New Roman" w:eastAsia="Times New Roman" w:hAnsi="Times New Roman" w:cs="Times New Roman"/>
      <w:b/>
      <w:sz w:val="32"/>
      <w:szCs w:val="20"/>
    </w:rPr>
  </w:style>
  <w:style w:type="paragraph" w:styleId="TOCHeading">
    <w:name w:val="TOC Heading"/>
    <w:basedOn w:val="Normal"/>
    <w:next w:val="Normal"/>
    <w:semiHidden/>
    <w:pPr>
      <w:spacing w:before="240" w:after="240" w:line="240" w:lineRule="auto"/>
      <w:jc w:val="center"/>
    </w:pPr>
    <w:rPr>
      <w:rFonts w:ascii="Times New Roman Bold" w:eastAsia="Times New Roman" w:hAnsi="Times New Roman Bold" w:cs="Times New Roman"/>
      <w:b/>
      <w:caps/>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0"/>
      </w:tabs>
      <w:spacing w:before="60" w:after="60" w:line="240" w:lineRule="auto"/>
      <w:ind w:left="2880" w:right="720" w:hanging="964"/>
      <w:jc w:val="both"/>
    </w:pPr>
    <w:rPr>
      <w:rFonts w:ascii="Times New Roman" w:eastAsia="Times New Roman" w:hAnsi="Times New Roman" w:cs="Times New Roman"/>
      <w:noProof/>
      <w:sz w:val="24"/>
      <w:szCs w:val="20"/>
    </w:rPr>
  </w:style>
  <w:style w:type="paragraph" w:styleId="TOC5">
    <w:name w:val="toc 5"/>
    <w:basedOn w:val="Normal"/>
    <w:next w:val="Normal"/>
    <w:semiHidden/>
    <w:pPr>
      <w:tabs>
        <w:tab w:val="right" w:leader="dot" w:pos="8640"/>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semiHidden/>
    <w:pPr>
      <w:tabs>
        <w:tab w:val="right" w:leader="dot" w:pos="8640"/>
        <w:tab w:val="left" w:pos="2880"/>
      </w:tabs>
      <w:spacing w:before="120" w:after="120" w:line="240" w:lineRule="auto"/>
      <w:ind w:left="1916" w:right="720" w:hanging="1916"/>
      <w:jc w:val="both"/>
    </w:pPr>
    <w:rPr>
      <w:rFonts w:ascii="Times New Roman" w:eastAsia="Times New Roman" w:hAnsi="Times New Roman" w:cs="Times New Roman"/>
      <w:caps/>
      <w:sz w:val="24"/>
      <w:szCs w:val="20"/>
    </w:rPr>
  </w:style>
  <w:style w:type="paragraph" w:styleId="TOC7">
    <w:name w:val="toc 7"/>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rPr>
  </w:style>
  <w:style w:type="paragraph" w:styleId="TOC8">
    <w:name w:val="toc 8"/>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rPr>
  </w:style>
  <w:style w:type="paragraph" w:styleId="TOC9">
    <w:name w:val="toc 9"/>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rPr>
  </w:style>
  <w:style w:type="paragraph" w:styleId="ListBullet">
    <w:name w:val="List Bullet"/>
    <w:basedOn w:val="Normal"/>
    <w:uiPriority w:val="1"/>
    <w:pPr>
      <w:numPr>
        <w:numId w:val="38"/>
      </w:numPr>
      <w:tabs>
        <w:tab w:val="clear" w:pos="360"/>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ListBulletLevel2">
    <w:name w:val="List Bullet (Level 2)"/>
    <w:basedOn w:val="Text1"/>
    <w:uiPriority w:val="1"/>
    <w:pPr>
      <w:numPr>
        <w:ilvl w:val="1"/>
        <w:numId w:val="15"/>
      </w:numPr>
    </w:pPr>
  </w:style>
  <w:style w:type="paragraph" w:customStyle="1" w:styleId="ListBulletLevel3">
    <w:name w:val="List Bullet (Level 3)"/>
    <w:basedOn w:val="Text1"/>
    <w:uiPriority w:val="1"/>
    <w:semiHidden/>
    <w:unhideWhenUsed/>
    <w:pPr>
      <w:numPr>
        <w:ilvl w:val="2"/>
        <w:numId w:val="15"/>
      </w:numPr>
    </w:pPr>
  </w:style>
  <w:style w:type="paragraph" w:customStyle="1" w:styleId="ListBulletLevel4">
    <w:name w:val="List Bullet (Level 4)"/>
    <w:basedOn w:val="Text1"/>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Level2">
    <w:name w:val="List Dash (Level 2)"/>
    <w:basedOn w:val="Normal"/>
    <w:uiPriority w:val="1"/>
    <w:pPr>
      <w:numPr>
        <w:ilvl w:val="1"/>
        <w:numId w:val="5"/>
      </w:numPr>
      <w:spacing w:after="240" w:line="240" w:lineRule="auto"/>
      <w:jc w:val="both"/>
    </w:pPr>
    <w:rPr>
      <w:rFonts w:ascii="Times New Roman" w:eastAsia="Times New Roman" w:hAnsi="Times New Roman" w:cs="Times New Roman"/>
      <w:sz w:val="24"/>
      <w:szCs w:val="20"/>
    </w:rPr>
  </w:style>
  <w:style w:type="paragraph" w:customStyle="1" w:styleId="ListDashLevel3">
    <w:name w:val="List Dash (Level 3)"/>
    <w:basedOn w:val="Normal"/>
    <w:uiPriority w:val="1"/>
    <w:semiHidden/>
    <w:unhideWhenUsed/>
    <w:pPr>
      <w:numPr>
        <w:ilvl w:val="2"/>
        <w:numId w:val="5"/>
      </w:numPr>
      <w:spacing w:after="240" w:line="240" w:lineRule="auto"/>
      <w:jc w:val="both"/>
    </w:pPr>
    <w:rPr>
      <w:rFonts w:ascii="Times New Roman" w:eastAsia="Times New Roman" w:hAnsi="Times New Roman" w:cs="Times New Roman"/>
      <w:sz w:val="24"/>
      <w:szCs w:val="20"/>
    </w:rPr>
  </w:style>
  <w:style w:type="paragraph" w:customStyle="1" w:styleId="ListDashLevel4">
    <w:name w:val="List Dash (Level 4)"/>
    <w:basedOn w:val="Normal"/>
    <w:uiPriority w:val="1"/>
    <w:semiHidden/>
    <w:unhideWhenUsed/>
    <w:pPr>
      <w:numPr>
        <w:ilvl w:val="3"/>
        <w:numId w:val="5"/>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uiPriority w:val="1"/>
    <w:pPr>
      <w:numPr>
        <w:ilvl w:val="1"/>
        <w:numId w:val="10"/>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uiPriority w:val="1"/>
    <w:semiHidden/>
    <w:unhideWhenUsed/>
    <w:pPr>
      <w:numPr>
        <w:ilvl w:val="2"/>
        <w:numId w:val="10"/>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uiPriority w:val="1"/>
    <w:semiHidden/>
    <w:unhideWhenUsed/>
    <w:pPr>
      <w:numPr>
        <w:ilvl w:val="3"/>
        <w:numId w:val="10"/>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39"/>
      </w:numPr>
      <w:tabs>
        <w:tab w:val="clear" w:pos="643"/>
        <w:tab w:val="num" w:pos="1911"/>
      </w:tabs>
      <w:ind w:left="1911" w:hanging="709"/>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customStyle="1" w:styleId="Marking">
    <w:name w:val="Marking"/>
    <w:basedOn w:val="Normal"/>
    <w:semiHidden/>
    <w:pPr>
      <w:spacing w:after="240" w:line="240" w:lineRule="auto"/>
      <w:ind w:left="5102" w:right="-567"/>
      <w:contextualSpacing/>
    </w:pPr>
    <w:rPr>
      <w:rFonts w:ascii="Times New Roman" w:eastAsia="Times New Roman" w:hAnsi="Times New Roman" w:cs="Times New Roman"/>
      <w:sz w:val="28"/>
      <w:szCs w:val="20"/>
    </w:rPr>
  </w:style>
  <w:style w:type="paragraph" w:customStyle="1" w:styleId="LegalNumPar">
    <w:name w:val="LegalNumPar"/>
    <w:basedOn w:val="Normal"/>
    <w:uiPriority w:val="1"/>
    <w:qFormat/>
    <w:pPr>
      <w:numPr>
        <w:numId w:val="17"/>
      </w:numPr>
      <w:spacing w:after="240" w:line="360" w:lineRule="auto"/>
      <w:jc w:val="both"/>
    </w:pPr>
    <w:rPr>
      <w:rFonts w:ascii="Times New Roman" w:eastAsia="Times New Roman" w:hAnsi="Times New Roman" w:cs="Times New Roman"/>
      <w:sz w:val="24"/>
      <w:szCs w:val="20"/>
    </w:rPr>
  </w:style>
  <w:style w:type="paragraph" w:customStyle="1" w:styleId="LegalNumPar2">
    <w:name w:val="LegalNumPar2"/>
    <w:basedOn w:val="Normal"/>
    <w:uiPriority w:val="1"/>
    <w:pPr>
      <w:numPr>
        <w:ilvl w:val="1"/>
        <w:numId w:val="17"/>
      </w:numPr>
      <w:spacing w:after="240" w:line="360" w:lineRule="auto"/>
      <w:jc w:val="both"/>
    </w:pPr>
    <w:rPr>
      <w:rFonts w:ascii="Times New Roman" w:eastAsia="Times New Roman" w:hAnsi="Times New Roman" w:cs="Times New Roman"/>
      <w:sz w:val="24"/>
      <w:szCs w:val="20"/>
    </w:rPr>
  </w:style>
  <w:style w:type="paragraph" w:customStyle="1" w:styleId="LegalNumPar3">
    <w:name w:val="LegalNumPar3"/>
    <w:basedOn w:val="Normal"/>
    <w:uiPriority w:val="1"/>
    <w:pPr>
      <w:numPr>
        <w:ilvl w:val="2"/>
        <w:numId w:val="17"/>
      </w:numPr>
      <w:spacing w:after="240" w:line="360" w:lineRule="auto"/>
      <w:jc w:val="both"/>
    </w:pPr>
    <w:rPr>
      <w:rFonts w:ascii="Times New Roman" w:eastAsia="Times New Roman" w:hAnsi="Times New Roman" w:cs="Times New Roman"/>
      <w:sz w:val="24"/>
      <w:szCs w:val="20"/>
    </w:rPr>
  </w:style>
  <w:style w:type="paragraph" w:customStyle="1" w:styleId="ContNum">
    <w:name w:val="ContNum"/>
    <w:basedOn w:val="Normal"/>
    <w:uiPriority w:val="1"/>
    <w:qFormat/>
    <w:pPr>
      <w:numPr>
        <w:numId w:val="18"/>
      </w:numPr>
      <w:spacing w:after="240" w:line="240" w:lineRule="auto"/>
      <w:jc w:val="both"/>
    </w:pPr>
    <w:rPr>
      <w:rFonts w:ascii="Times New Roman" w:eastAsia="Times New Roman" w:hAnsi="Times New Roman" w:cs="Times New Roman"/>
      <w:sz w:val="24"/>
      <w:szCs w:val="20"/>
    </w:rPr>
  </w:style>
  <w:style w:type="paragraph" w:customStyle="1" w:styleId="ContNumLevel2">
    <w:name w:val="ContNum (Level 2)"/>
    <w:basedOn w:val="Normal"/>
    <w:uiPriority w:val="1"/>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ContNumLevel3">
    <w:name w:val="ContNum (Level 3)"/>
    <w:basedOn w:val="Normal"/>
    <w:uiPriority w:val="1"/>
    <w:pPr>
      <w:numPr>
        <w:ilvl w:val="2"/>
        <w:numId w:val="18"/>
      </w:numPr>
      <w:spacing w:after="240" w:line="240" w:lineRule="auto"/>
      <w:jc w:val="both"/>
    </w:pPr>
    <w:rPr>
      <w:rFonts w:ascii="Times New Roman" w:eastAsia="Times New Roman" w:hAnsi="Times New Roman" w:cs="Times New Roman"/>
      <w:sz w:val="24"/>
      <w:szCs w:val="20"/>
    </w:rPr>
  </w:style>
  <w:style w:type="table" w:customStyle="1" w:styleId="TableHistory">
    <w:name w:val="Table History"/>
    <w:basedOn w:val="TableNormal"/>
    <w:semiHidden/>
    <w:pPr>
      <w:spacing w:before="60" w:after="60" w:line="264" w:lineRule="auto"/>
    </w:pPr>
    <w:rPr>
      <w:rFonts w:ascii="Times New Roman" w:eastAsia="Times New Roman" w:hAnsi="Times New Roman" w:cs="Times New Roman"/>
      <w:szCs w:val="20"/>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lang w:val="lv-LV"/>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3,CV text"/>
    <w:link w:val="ListParagraphChar"/>
    <w:uiPriority w:val="34"/>
    <w:qFormat/>
    <w:pPr>
      <w:pBdr>
        <w:top w:val="nil"/>
        <w:left w:val="nil"/>
        <w:bottom w:val="nil"/>
        <w:right w:val="nil"/>
        <w:between w:val="nil"/>
        <w:bar w:val="nil"/>
      </w:pBdr>
      <w:spacing w:after="0" w:line="240" w:lineRule="auto"/>
      <w:ind w:left="720"/>
    </w:pPr>
    <w:rPr>
      <w:rFonts w:ascii="Calibri" w:eastAsia="Arial Unicode MS" w:hAnsi="Calibri" w:cs="Arial Unicode MS"/>
      <w:color w:val="000000"/>
      <w:u w:color="000000"/>
      <w:bdr w:val="nil"/>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3 Char"/>
    <w:basedOn w:val="DefaultParagraphFont"/>
    <w:link w:val="ListParagraph"/>
    <w:uiPriority w:val="34"/>
    <w:qFormat/>
    <w:locked/>
    <w:rPr>
      <w:rFonts w:ascii="Calibri" w:eastAsia="Arial Unicode MS" w:hAnsi="Calibri" w:cs="Arial Unicode MS"/>
      <w:color w:val="000000"/>
      <w:u w:color="000000"/>
      <w:bdr w:val="nil"/>
      <w:lang w:val="lv-LV"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List">
    <w:name w:val="itemList"/>
    <w:qFormat/>
    <w:pPr>
      <w:tabs>
        <w:tab w:val="left" w:pos="425"/>
        <w:tab w:val="left" w:pos="851"/>
        <w:tab w:val="left" w:pos="1276"/>
      </w:tabs>
      <w:spacing w:after="240" w:line="240" w:lineRule="auto"/>
      <w:ind w:left="425" w:hanging="425"/>
    </w:pPr>
    <w:rPr>
      <w:rFonts w:ascii="Arial" w:eastAsia="Times New Roman" w:hAnsi="Arial" w:cs="Times New Roman"/>
      <w:sz w:val="20"/>
      <w:szCs w:val="20"/>
      <w:lang w:eastAsia="en-GB"/>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semiHidden/>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paragraph" w:styleId="CommentSubject">
    <w:name w:val="annotation subject"/>
    <w:basedOn w:val="CommentText"/>
    <w:next w:val="CommentText"/>
    <w:link w:val="CommentSubjectChar"/>
    <w:semiHidden/>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b/>
      <w:bCs/>
      <w:bdr w:val="none" w:sz="0" w:space="0" w:color="auto"/>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bdr w:val="nil"/>
      <w:lang w:val="lv-LV"/>
    </w:rPr>
  </w:style>
  <w:style w:type="paragraph" w:styleId="Revision">
    <w:name w:val="Revision"/>
    <w:hidden/>
    <w:semiHidden/>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semiHidden/>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ZFlagChar">
    <w:name w:val="Z_Flag Char"/>
    <w:basedOn w:val="DefaultParagraphFont"/>
    <w:link w:val="ZFlag"/>
    <w:uiPriority w:val="2"/>
    <w:rPr>
      <w:rFonts w:ascii="Times New Roman" w:eastAsia="Times New Roman" w:hAnsi="Times New Roman" w:cs="Times New Roman"/>
      <w:sz w:val="24"/>
      <w:szCs w:val="20"/>
    </w:rPr>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after="580" w:line="244" w:lineRule="exact"/>
      <w:ind w:hanging="740"/>
    </w:p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3923">
      <w:bodyDiv w:val="1"/>
      <w:marLeft w:val="0"/>
      <w:marRight w:val="0"/>
      <w:marTop w:val="0"/>
      <w:marBottom w:val="0"/>
      <w:divBdr>
        <w:top w:val="none" w:sz="0" w:space="0" w:color="auto"/>
        <w:left w:val="none" w:sz="0" w:space="0" w:color="auto"/>
        <w:bottom w:val="none" w:sz="0" w:space="0" w:color="auto"/>
        <w:right w:val="none" w:sz="0" w:space="0" w:color="auto"/>
      </w:divBdr>
    </w:div>
    <w:div w:id="862326658">
      <w:bodyDiv w:val="1"/>
      <w:marLeft w:val="0"/>
      <w:marRight w:val="0"/>
      <w:marTop w:val="0"/>
      <w:marBottom w:val="0"/>
      <w:divBdr>
        <w:top w:val="none" w:sz="0" w:space="0" w:color="auto"/>
        <w:left w:val="none" w:sz="0" w:space="0" w:color="auto"/>
        <w:bottom w:val="none" w:sz="0" w:space="0" w:color="auto"/>
        <w:right w:val="none" w:sz="0" w:space="0" w:color="auto"/>
      </w:divBdr>
    </w:div>
    <w:div w:id="1142230593">
      <w:bodyDiv w:val="1"/>
      <w:marLeft w:val="0"/>
      <w:marRight w:val="0"/>
      <w:marTop w:val="0"/>
      <w:marBottom w:val="0"/>
      <w:divBdr>
        <w:top w:val="none" w:sz="0" w:space="0" w:color="auto"/>
        <w:left w:val="none" w:sz="0" w:space="0" w:color="auto"/>
        <w:bottom w:val="none" w:sz="0" w:space="0" w:color="auto"/>
        <w:right w:val="none" w:sz="0" w:space="0" w:color="auto"/>
      </w:divBdr>
    </w:div>
    <w:div w:id="1183933923">
      <w:bodyDiv w:val="1"/>
      <w:marLeft w:val="0"/>
      <w:marRight w:val="0"/>
      <w:marTop w:val="0"/>
      <w:marBottom w:val="0"/>
      <w:divBdr>
        <w:top w:val="none" w:sz="0" w:space="0" w:color="auto"/>
        <w:left w:val="none" w:sz="0" w:space="0" w:color="auto"/>
        <w:bottom w:val="none" w:sz="0" w:space="0" w:color="auto"/>
        <w:right w:val="none" w:sz="0" w:space="0" w:color="auto"/>
      </w:divBdr>
    </w:div>
    <w:div w:id="1408961150">
      <w:bodyDiv w:val="1"/>
      <w:marLeft w:val="0"/>
      <w:marRight w:val="0"/>
      <w:marTop w:val="0"/>
      <w:marBottom w:val="0"/>
      <w:divBdr>
        <w:top w:val="none" w:sz="0" w:space="0" w:color="auto"/>
        <w:left w:val="none" w:sz="0" w:space="0" w:color="auto"/>
        <w:bottom w:val="none" w:sz="0" w:space="0" w:color="auto"/>
        <w:right w:val="none" w:sz="0" w:space="0" w:color="auto"/>
      </w:divBdr>
    </w:div>
    <w:div w:id="1498496545">
      <w:bodyDiv w:val="1"/>
      <w:marLeft w:val="0"/>
      <w:marRight w:val="0"/>
      <w:marTop w:val="0"/>
      <w:marBottom w:val="0"/>
      <w:divBdr>
        <w:top w:val="none" w:sz="0" w:space="0" w:color="auto"/>
        <w:left w:val="none" w:sz="0" w:space="0" w:color="auto"/>
        <w:bottom w:val="none" w:sz="0" w:space="0" w:color="auto"/>
        <w:right w:val="none" w:sz="0" w:space="0" w:color="auto"/>
      </w:divBdr>
    </w:div>
    <w:div w:id="1665431773">
      <w:bodyDiv w:val="1"/>
      <w:marLeft w:val="0"/>
      <w:marRight w:val="0"/>
      <w:marTop w:val="0"/>
      <w:marBottom w:val="0"/>
      <w:divBdr>
        <w:top w:val="none" w:sz="0" w:space="0" w:color="auto"/>
        <w:left w:val="none" w:sz="0" w:space="0" w:color="auto"/>
        <w:bottom w:val="none" w:sz="0" w:space="0" w:color="auto"/>
        <w:right w:val="none" w:sz="0" w:space="0" w:color="auto"/>
      </w:divBdr>
    </w:div>
    <w:div w:id="169812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environment/eir/p2p/index_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nvironment/forests/eu_comm_2019.htm" TargetMode="External"/><Relationship Id="rId13" Type="http://schemas.openxmlformats.org/officeDocument/2006/relationships/hyperlink" Target="https://europa.eu/new-european-bauhaus/index_en" TargetMode="External"/><Relationship Id="rId18" Type="http://schemas.openxmlformats.org/officeDocument/2006/relationships/hyperlink" Target="https://www.weforum.org/press/2020/08/us-businesses-governments-and-non-profits-join-global-push-for-1-trillion-trees/" TargetMode="External"/><Relationship Id="rId26" Type="http://schemas.openxmlformats.org/officeDocument/2006/relationships/hyperlink" Target="http://eur-lex.europa.eu/legal-content/EN/TXT/?uri=CELEX:31992R2158" TargetMode="External"/><Relationship Id="rId3" Type="http://schemas.openxmlformats.org/officeDocument/2006/relationships/hyperlink" Target="https://publications.jrc.ec.europa.eu/repository/handle/JRC124374" TargetMode="External"/><Relationship Id="rId21" Type="http://schemas.openxmlformats.org/officeDocument/2006/relationships/hyperlink" Target="https://www.prosilva.org/information-news/news/exemplary-forests-network/" TargetMode="External"/><Relationship Id="rId34" Type="http://schemas.openxmlformats.org/officeDocument/2006/relationships/hyperlink" Target="https://ec.europa.eu/environment/eir/p2p/index_en.htm" TargetMode="External"/><Relationship Id="rId7" Type="http://schemas.openxmlformats.org/officeDocument/2006/relationships/hyperlink" Target="https://ec.europa.eu/environment/forests/eu_comm_2019.htm" TargetMode="External"/><Relationship Id="rId12" Type="http://schemas.openxmlformats.org/officeDocument/2006/relationships/hyperlink" Target="https://doi.org/10.1016/j.forpol.2020.102175" TargetMode="External"/><Relationship Id="rId17" Type="http://schemas.openxmlformats.org/officeDocument/2006/relationships/hyperlink" Target="https://ec.europa.eu/jrc/en/publication/eur-scientific-and-technical-research-reports/use-woody-biomass-energy-production-eu" TargetMode="External"/><Relationship Id="rId25" Type="http://schemas.openxmlformats.org/officeDocument/2006/relationships/hyperlink" Target="http://eur-lex.europa.eu/legal-content/EN/TXT/?uri=CELEX:31986R3528" TargetMode="External"/><Relationship Id="rId33" Type="http://schemas.openxmlformats.org/officeDocument/2006/relationships/hyperlink" Target="https://ec.europa.eu/environment/nature/natura2000/management/guidance_en.htm" TargetMode="External"/><Relationship Id="rId2" Type="http://schemas.openxmlformats.org/officeDocument/2006/relationships/hyperlink" Target="http://www.fao.org/faostat/en/" TargetMode="External"/><Relationship Id="rId16" Type="http://schemas.openxmlformats.org/officeDocument/2006/relationships/hyperlink" Target="https://ec.europa.eu/jrc/en/science-update/forest-based-bioeconomy-and-climate-change-mitigation-trade-offs-and-synergies" TargetMode="External"/><Relationship Id="rId20" Type="http://schemas.openxmlformats.org/officeDocument/2006/relationships/hyperlink" Target="http://www.forbiodiv.org" TargetMode="External"/><Relationship Id="rId29" Type="http://schemas.openxmlformats.org/officeDocument/2006/relationships/hyperlink" Target="https://digital-strategy.ec.europa.eu/en/policies/destination-earth" TargetMode="External"/><Relationship Id="rId1" Type="http://schemas.openxmlformats.org/officeDocument/2006/relationships/hyperlink" Target="https://ec.europa.eu/eurostat/statistics-explained/index.php?title=Glossary:Forest" TargetMode="External"/><Relationship Id="rId6" Type="http://schemas.openxmlformats.org/officeDocument/2006/relationships/hyperlink" Target="https://en.wikipedia.org/wiki/Biodiversity" TargetMode="External"/><Relationship Id="rId11" Type="http://schemas.openxmlformats.org/officeDocument/2006/relationships/hyperlink" Target="file:///C:\Users\brauhel\Downloads\brief_on_role_of_forest-based_bioeconomy_in_mitigating_cc_online%20(2).pdf" TargetMode="External"/><Relationship Id="rId24" Type="http://schemas.openxmlformats.org/officeDocument/2006/relationships/hyperlink" Target="https://enrd.ec.europa.eu/" TargetMode="External"/><Relationship Id="rId32" Type="http://schemas.openxmlformats.org/officeDocument/2006/relationships/hyperlink" Target="https://ec.europa.eu/environment/nature/conservation/species/guidance/index_en.htm" TargetMode="External"/><Relationship Id="rId5" Type="http://schemas.openxmlformats.org/officeDocument/2006/relationships/hyperlink" Target="https://en.wikipedia.org/wiki/Desertification" TargetMode="External"/><Relationship Id="rId15" Type="http://schemas.openxmlformats.org/officeDocument/2006/relationships/hyperlink" Target="https://ec.europa.eu/clima/policies/innovation-fund_en" TargetMode="External"/><Relationship Id="rId23" Type="http://schemas.openxmlformats.org/officeDocument/2006/relationships/hyperlink" Target="https://www.bmel.de/SharedDocs/Downloads/DE/Broschueren/bundeswaldinventur3.html" TargetMode="External"/><Relationship Id="rId28" Type="http://schemas.openxmlformats.org/officeDocument/2006/relationships/hyperlink" Target="https://effis.jrc.ec.europa.eu" TargetMode="External"/><Relationship Id="rId36" Type="http://schemas.openxmlformats.org/officeDocument/2006/relationships/hyperlink" Target="https://ec.europa.eu/info/overview-funding-programmes/technical-support-instrument-tsi_en" TargetMode="External"/><Relationship Id="rId10" Type="http://schemas.openxmlformats.org/officeDocument/2006/relationships/hyperlink" Target="https://doi.org/10.3390/su12030758" TargetMode="External"/><Relationship Id="rId19" Type="http://schemas.openxmlformats.org/officeDocument/2006/relationships/hyperlink" Target="https://www.prosilva.org/close-to-nature-forestry/examplary-forests/" TargetMode="External"/><Relationship Id="rId31" Type="http://schemas.openxmlformats.org/officeDocument/2006/relationships/hyperlink" Target="https://ec.europa.eu/environment/forests/pdf/fmp_table.pdf" TargetMode="External"/><Relationship Id="rId4" Type="http://schemas.openxmlformats.org/officeDocument/2006/relationships/hyperlink" Target="file:///C:\Users\brauhel\Downloads\brief_on_role_of_forest-based_bioeconomy_in_mitigating_cc_online%20(2).pdf" TargetMode="External"/><Relationship Id="rId9" Type="http://schemas.openxmlformats.org/officeDocument/2006/relationships/hyperlink" Target="https://ec.europa.eu/eurostat/statistics-explained/index.php?title=Wood_products_-_production_and_trade" TargetMode="External"/><Relationship Id="rId14" Type="http://schemas.openxmlformats.org/officeDocument/2006/relationships/hyperlink" Target="https://europa.eu/new-european-bauhaus/index_en" TargetMode="External"/><Relationship Id="rId22" Type="http://schemas.openxmlformats.org/officeDocument/2006/relationships/hyperlink" Target="https://askafor.eu/" TargetMode="External"/><Relationship Id="rId27" Type="http://schemas.openxmlformats.org/officeDocument/2006/relationships/hyperlink" Target="https://ec.europa.eu/environment/archives/forests/ffocus.htm" TargetMode="External"/><Relationship Id="rId30" Type="http://schemas.openxmlformats.org/officeDocument/2006/relationships/hyperlink" Target="https://eur-lex.europa.eu/legal-content/LV/TXT/?uri=CELEX%3A52019DC0352&amp;qid=1630065850655" TargetMode="External"/><Relationship Id="rId35" Type="http://schemas.openxmlformats.org/officeDocument/2006/relationships/hyperlink" Target="https://ec.europa.eu/info/overview-funding-programmes/technical-support-instrument-tsi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0421265-1151-408A-BE20-6BC7F55C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10791</Words>
  <Characters>74568</Characters>
  <Application>Microsoft Office Word</Application>
  <DocSecurity>0</DocSecurity>
  <Lines>1165</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76</cp:revision>
  <cp:lastPrinted>2021-07-13T07:15:00Z</cp:lastPrinted>
  <dcterms:created xsi:type="dcterms:W3CDTF">2021-07-13T18:43:00Z</dcterms:created>
  <dcterms:modified xsi:type="dcterms:W3CDTF">2021-09-10T09:01:00Z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20200226</vt:lpwstr>
  </property>
  <property fmtid="{D5CDD505-2E9C-101B-9397-08002B2CF9AE}" pid="8" name="Created using">
    <vt:lpwstr>LW 6.0.1, Build 20180503</vt:lpwstr>
  </property>
</Properties>
</file>