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Pagedecouverture"/>
        <w:rPr>
          <w:noProof/>
        </w:rPr>
      </w:pPr>
      <w:bookmarkStart w:id="0" w:name="LW_BM_COVERPAGE"/>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4" type="#_x0000_t75" alt="C913BAB3-4603-49B7-9C2D-5C765AAC5834" style="width:455.25pt;height:310.5pt">
            <v:imagedata r:id="rId17" o:title=""/>
          </v:shape>
        </w:pict>
      </w:r>
    </w:p>
    <w:bookmarkEnd w:id="0"/>
    <w:p>
      <w:pPr>
        <w:rPr>
          <w:noProof/>
        </w:rPr>
        <w:sectPr>
          <w:headerReference w:type="even" r:id="rId18"/>
          <w:headerReference w:type="default" r:id="rId19"/>
          <w:footerReference w:type="even" r:id="rId20"/>
          <w:footerReference w:type="default" r:id="rId21"/>
          <w:headerReference w:type="first" r:id="rId22"/>
          <w:footerReference w:type="first" r:id="rId23"/>
          <w:pgSz w:w="11906" w:h="16838"/>
          <w:pgMar w:top="1134" w:right="1417" w:bottom="1134" w:left="1417" w:header="709" w:footer="709" w:gutter="0"/>
          <w:pgNumType w:start="0"/>
          <w:cols w:space="720"/>
          <w:docGrid w:linePitch="326"/>
        </w:sectPr>
      </w:pPr>
    </w:p>
    <w:p>
      <w:pPr>
        <w:rPr>
          <w:noProof/>
        </w:rPr>
      </w:pPr>
      <w:bookmarkStart w:id="1" w:name="_GoBack"/>
      <w:bookmarkEnd w:id="1"/>
    </w:p>
    <w:p>
      <w:pPr>
        <w:rPr>
          <w:noProof/>
        </w:rPr>
      </w:pPr>
    </w:p>
    <w:p>
      <w:pPr>
        <w:jc w:val="center"/>
        <w:rPr>
          <w:b/>
          <w:noProof/>
        </w:rPr>
      </w:pPr>
      <w:r>
        <w:rPr>
          <w:b/>
          <w:noProof/>
        </w:rPr>
        <w:t>Rapport från kommissionen till Europaparlamentet och rådet om artikel 7 a i rådets förordning (EG) nr 2271/96 (den blockerande stadgan)</w:t>
      </w:r>
    </w:p>
    <w:p>
      <w:pPr>
        <w:rPr>
          <w:noProof/>
        </w:rPr>
      </w:pPr>
    </w:p>
    <w:p>
      <w:pPr>
        <w:spacing w:line="276" w:lineRule="auto"/>
        <w:rPr>
          <w:noProof/>
        </w:rPr>
      </w:pPr>
      <w:r>
        <w:rPr>
          <w:noProof/>
        </w:rPr>
        <w:t>Restriktiva åtgärder (sanktioner) är ett viktigt verktyg för unionens gemensamma utrikes- och säkerhetspolitik, genom vilket Europeiska unionen (EU) vid behov kan ingripa för att förebygga konflikter eller reagera på begynnande eller befintliga kriser. Även om EU-sanktionerna i sig syftar till att påverka politik eller verksamhet i tredjeländer är de enbart tillämpliga där EU har jurisdiktion. De skyldigheter som införs genom dessa är med andra ord bindande för unionsmedborgare eller personer som befinner sig i EU eller som bedriver verksamhet här. Andra jurisdiktioner tillämpar dock vissa av sina sanktioner extraterritoriellt, dvs. de förväntar sig att medborgare och företag i tredjeländer, inbegripet EU:s medlemsstater, ska agera i enlighet med dem. EU anser av principskäl att extraterritoriell tillämpning av sanktioner strider mot internationella lagar.</w:t>
      </w:r>
    </w:p>
    <w:p>
      <w:pPr>
        <w:spacing w:line="276" w:lineRule="auto"/>
        <w:rPr>
          <w:noProof/>
        </w:rPr>
      </w:pPr>
      <w:r>
        <w:rPr>
          <w:noProof/>
        </w:rPr>
        <w:t>Under 1996 antog EU rådets förordning (EG) nr 2271/96</w:t>
      </w:r>
      <w:r>
        <w:rPr>
          <w:rStyle w:val="FootnoteReference"/>
          <w:noProof/>
          <w:lang w:val="en-US"/>
        </w:rPr>
        <w:footnoteReference w:id="1"/>
      </w:r>
      <w:r>
        <w:rPr>
          <w:noProof/>
        </w:rPr>
        <w:t xml:space="preserve"> (</w:t>
      </w:r>
      <w:r>
        <w:rPr>
          <w:i/>
          <w:noProof/>
        </w:rPr>
        <w:t>den blockerande stadgan</w:t>
      </w:r>
      <w:r>
        <w:rPr>
          <w:noProof/>
        </w:rPr>
        <w:t>) för att ge verkan åt denna princip. Syftet med den blockerande stadgan är att motverka tredjeländers extraterritoriella tillämpning av lagar, förordningar och andra rättsakter som syftar till att reglera fysiska och juridiska personers verksamhet under medlemsstaternas jurisdiktion.</w:t>
      </w:r>
    </w:p>
    <w:p>
      <w:pPr>
        <w:spacing w:line="276" w:lineRule="auto"/>
        <w:rPr>
          <w:noProof/>
        </w:rPr>
      </w:pPr>
      <w:r>
        <w:rPr>
          <w:noProof/>
        </w:rPr>
        <w:t>Enligt den blockerande stadgan ska kommissionen informera Europaparlamentet och rådet om effekterna av rättsakterna och de därav följande åtgärderna på grundval av den information som kommissionen erhållit enligt förordningen, och regelbundet offentliggöra en utförlig rapport om resultaten</w:t>
      </w:r>
      <w:r>
        <w:rPr>
          <w:rStyle w:val="FootnoteReference"/>
          <w:noProof/>
        </w:rPr>
        <w:footnoteReference w:id="2"/>
      </w:r>
      <w:r>
        <w:rPr>
          <w:noProof/>
        </w:rPr>
        <w:t>.</w:t>
      </w:r>
    </w:p>
    <w:p>
      <w:pPr>
        <w:spacing w:line="276" w:lineRule="auto"/>
        <w:rPr>
          <w:noProof/>
        </w:rPr>
      </w:pPr>
      <w:r>
        <w:rPr>
          <w:noProof/>
        </w:rPr>
        <w:t>Till följd av återaktiveringen av den blockerande stadgan genom en ändring i dess bilaga under 2018</w:t>
      </w:r>
      <w:r>
        <w:rPr>
          <w:rStyle w:val="FootnoteReference"/>
          <w:rFonts w:cs="Calibri"/>
          <w:noProof/>
        </w:rPr>
        <w:footnoteReference w:id="3"/>
      </w:r>
      <w:r>
        <w:rPr>
          <w:noProof/>
        </w:rPr>
        <w:t xml:space="preserve"> delar personer och företag inom EU med sig av information till kommissionen om hur de förtecknade extraterritoriella sanktionerna påverkar deras ekonomiska och/eller finansiella intressen</w:t>
      </w:r>
      <w:r>
        <w:rPr>
          <w:rStyle w:val="FootnoteReference"/>
          <w:noProof/>
        </w:rPr>
        <w:footnoteReference w:id="4"/>
      </w:r>
      <w:r>
        <w:rPr>
          <w:noProof/>
        </w:rPr>
        <w:t xml:space="preserve">. Efter ändringen av den blockerade stadgan 2018, och Förenta staternas återaktivering av avdelning III och IV i Helms-Burton-lagen 2019, har kommissionen mottagit ett stort antal anmälningar. I denna rapport redogörs för dessa anmälningar. Syftet är att ge en överblick över de effekter som orsakas av den extraterritoriella tillämpningen av tredjeländers sanktioner. Rapporten grundas på den information som kommissionen erhållit enligt detta förfarande. Den är därmed inte uttömmande och omfattar inte fall som inte rapporterats in till kommissionen. </w:t>
      </w:r>
    </w:p>
    <w:p>
      <w:pPr>
        <w:pStyle w:val="Heading1"/>
        <w:spacing w:line="276" w:lineRule="auto"/>
        <w:rPr>
          <w:noProof/>
        </w:rPr>
      </w:pPr>
      <w:r>
        <w:rPr>
          <w:noProof/>
        </w:rPr>
        <w:lastRenderedPageBreak/>
        <w:t>Den blockerande stadgan</w:t>
      </w:r>
    </w:p>
    <w:p>
      <w:pPr>
        <w:spacing w:line="276" w:lineRule="auto"/>
        <w:rPr>
          <w:noProof/>
        </w:rPr>
      </w:pPr>
      <w:r>
        <w:rPr>
          <w:noProof/>
        </w:rPr>
        <w:t>Den blockerande stadgan består av tolv artiklar och innehåller en bilaga med en förteckning över de särskilda lagar som avses</w:t>
      </w:r>
      <w:r>
        <w:rPr>
          <w:rStyle w:val="FootnoteReference"/>
          <w:noProof/>
        </w:rPr>
        <w:footnoteReference w:id="5"/>
      </w:r>
      <w:r>
        <w:rPr>
          <w:noProof/>
        </w:rPr>
        <w:t xml:space="preserve"> (</w:t>
      </w:r>
      <w:r>
        <w:rPr>
          <w:i/>
          <w:noProof/>
        </w:rPr>
        <w:t>förtecknade extraterritoriella lagar</w:t>
      </w:r>
      <w:r>
        <w:rPr>
          <w:noProof/>
        </w:rPr>
        <w:t>). Den bör läsas parallellt med följande tre viktiga handlingar:</w:t>
      </w:r>
    </w:p>
    <w:p>
      <w:pPr>
        <w:numPr>
          <w:ilvl w:val="0"/>
          <w:numId w:val="22"/>
        </w:numPr>
        <w:spacing w:line="276" w:lineRule="auto"/>
        <w:ind w:left="284" w:hanging="284"/>
        <w:rPr>
          <w:noProof/>
        </w:rPr>
      </w:pPr>
      <w:hyperlink r:id="rId24" w:history="1">
        <w:r>
          <w:rPr>
            <w:rStyle w:val="Hyperlink"/>
            <w:noProof/>
          </w:rPr>
          <w:t>Kommissionens delegerade förordning (EU) 2018/1100</w:t>
        </w:r>
      </w:hyperlink>
      <w:r>
        <w:rPr>
          <w:rStyle w:val="FootnoteReference"/>
        </w:rPr>
        <w:footnoteReference w:id="6"/>
      </w:r>
      <w:r>
        <w:rPr>
          <w:noProof/>
        </w:rPr>
        <w:t xml:space="preserve"> genom vilken de senaste ändringarna av bilagan till den blockerande stadgan genomfördes.</w:t>
      </w:r>
    </w:p>
    <w:p>
      <w:pPr>
        <w:numPr>
          <w:ilvl w:val="0"/>
          <w:numId w:val="22"/>
        </w:numPr>
        <w:spacing w:line="276" w:lineRule="auto"/>
        <w:ind w:left="284" w:hanging="284"/>
        <w:rPr>
          <w:noProof/>
        </w:rPr>
      </w:pPr>
      <w:hyperlink r:id="rId25" w:history="1">
        <w:r>
          <w:rPr>
            <w:rStyle w:val="Hyperlink"/>
            <w:noProof/>
          </w:rPr>
          <w:t>Kommissionens genomförandeförordning (EU) 2018/1101</w:t>
        </w:r>
      </w:hyperlink>
      <w:r>
        <w:rPr>
          <w:rStyle w:val="FootnoteReference"/>
          <w:noProof/>
        </w:rPr>
        <w:footnoteReference w:id="7"/>
      </w:r>
      <w:r>
        <w:rPr>
          <w:noProof/>
        </w:rPr>
        <w:t xml:space="preserve"> innehåller de kriterier som kommissionen tillämpar vid godkännande av tillstånd att följa en förtecknad extraterritoriell lag.</w:t>
      </w:r>
    </w:p>
    <w:p>
      <w:pPr>
        <w:numPr>
          <w:ilvl w:val="0"/>
          <w:numId w:val="22"/>
        </w:numPr>
        <w:spacing w:line="276" w:lineRule="auto"/>
        <w:ind w:left="284" w:hanging="284"/>
        <w:rPr>
          <w:noProof/>
        </w:rPr>
      </w:pPr>
      <w:hyperlink r:id="rId26" w:history="1">
        <w:r>
          <w:rPr>
            <w:rStyle w:val="Hyperlink"/>
            <w:noProof/>
          </w:rPr>
          <w:t>Vägledning</w:t>
        </w:r>
      </w:hyperlink>
      <w:r>
        <w:rPr>
          <w:noProof/>
        </w:rPr>
        <w:t xml:space="preserve"> –</w:t>
      </w:r>
      <w:hyperlink r:id="rId27" w:history="1">
        <w:r>
          <w:rPr>
            <w:rStyle w:val="Hyperlink"/>
            <w:noProof/>
          </w:rPr>
          <w:t>Frågor och svar: antagandet av en uppdatering av den blockerande stadgan (2018/C 277 I/03)</w:t>
        </w:r>
      </w:hyperlink>
      <w:r>
        <w:rPr>
          <w:rStyle w:val="FootnoteReference"/>
          <w:noProof/>
        </w:rPr>
        <w:footnoteReference w:id="8"/>
      </w:r>
      <w:r>
        <w:rPr>
          <w:noProof/>
        </w:rPr>
        <w:t xml:space="preserve"> som ger en utförlig förklaring till vanliga frågeställningar i form av frågor och svar. </w:t>
      </w:r>
    </w:p>
    <w:p>
      <w:pPr>
        <w:spacing w:line="276" w:lineRule="auto"/>
        <w:rPr>
          <w:noProof/>
          <w:u w:val="single"/>
        </w:rPr>
      </w:pPr>
      <w:r>
        <w:rPr>
          <w:noProof/>
          <w:u w:val="single"/>
        </w:rPr>
        <w:t>Den blockerande stadgan skyddar EU:s intressen, medborgare och företag</w:t>
      </w:r>
      <w:r>
        <w:rPr>
          <w:rStyle w:val="FootnoteReference"/>
          <w:noProof/>
          <w:u w:val="single"/>
        </w:rPr>
        <w:footnoteReference w:id="9"/>
      </w:r>
      <w:r>
        <w:rPr>
          <w:noProof/>
          <w:u w:val="single"/>
        </w:rPr>
        <w:t xml:space="preserve"> på följande sätt:</w:t>
      </w:r>
    </w:p>
    <w:p>
      <w:pPr>
        <w:numPr>
          <w:ilvl w:val="0"/>
          <w:numId w:val="43"/>
        </w:numPr>
        <w:spacing w:line="276" w:lineRule="auto"/>
        <w:rPr>
          <w:noProof/>
        </w:rPr>
      </w:pPr>
      <w:r>
        <w:rPr>
          <w:noProof/>
        </w:rPr>
        <w:t xml:space="preserve">Effekterna i EU av utländska rättsliga avgöranden som grundar sig på de förtecknade extraterritoriella lagarna upphävs (artikel 4). </w:t>
      </w:r>
    </w:p>
    <w:p>
      <w:pPr>
        <w:numPr>
          <w:ilvl w:val="0"/>
          <w:numId w:val="43"/>
        </w:numPr>
        <w:spacing w:line="276" w:lineRule="auto"/>
        <w:rPr>
          <w:noProof/>
        </w:rPr>
      </w:pPr>
      <w:r>
        <w:rPr>
          <w:noProof/>
        </w:rPr>
        <w:t xml:space="preserve">Personer och företag i EU förbjuds från att uppfylla krav eller förbud i de förtecknade extraterritoriella lagarna (artikel 5 första stycket). </w:t>
      </w:r>
    </w:p>
    <w:p>
      <w:pPr>
        <w:numPr>
          <w:ilvl w:val="0"/>
          <w:numId w:val="43"/>
        </w:numPr>
        <w:spacing w:line="276" w:lineRule="auto"/>
        <w:rPr>
          <w:noProof/>
        </w:rPr>
      </w:pPr>
      <w:r>
        <w:rPr>
          <w:noProof/>
        </w:rPr>
        <w:t xml:space="preserve">Personer och företag i EU kan få ersättning för skador som uppstått till följd av extraterritoriell tillämpning av de förtecknade extraterritoriella lagarna (artikel 6). </w:t>
      </w:r>
    </w:p>
    <w:p>
      <w:pPr>
        <w:numPr>
          <w:ilvl w:val="0"/>
          <w:numId w:val="43"/>
        </w:numPr>
        <w:spacing w:line="276" w:lineRule="auto"/>
        <w:rPr>
          <w:noProof/>
        </w:rPr>
      </w:pPr>
      <w:r>
        <w:rPr>
          <w:noProof/>
        </w:rPr>
        <w:t>Personer i EU måste informera kommissionen om de förtecknade extraterritoriella lagarna påverkar deras ekonomiska eller finansiella intressen (artikel 2).</w:t>
      </w:r>
    </w:p>
    <w:p>
      <w:pPr>
        <w:spacing w:after="0" w:line="276" w:lineRule="auto"/>
        <w:rPr>
          <w:noProof/>
        </w:rPr>
      </w:pPr>
    </w:p>
    <w:p>
      <w:pPr>
        <w:spacing w:line="276" w:lineRule="auto"/>
        <w:rPr>
          <w:noProof/>
          <w:u w:val="single"/>
        </w:rPr>
      </w:pPr>
      <w:r>
        <w:rPr>
          <w:noProof/>
          <w:u w:val="single"/>
        </w:rPr>
        <w:t>Följande specifika bestämmelser i den blockerande stadgan är av särskild relevans för denna rapport:</w:t>
      </w:r>
    </w:p>
    <w:p>
      <w:pPr>
        <w:pStyle w:val="Text1"/>
        <w:numPr>
          <w:ilvl w:val="0"/>
          <w:numId w:val="40"/>
        </w:numPr>
        <w:spacing w:line="276" w:lineRule="auto"/>
        <w:rPr>
          <w:noProof/>
        </w:rPr>
      </w:pPr>
      <w:r>
        <w:rPr>
          <w:noProof/>
        </w:rPr>
        <w:t>Skyldigheten att rapportera in skador på ekonomiska och finansiella intressen.</w:t>
      </w:r>
    </w:p>
    <w:p>
      <w:pPr>
        <w:spacing w:line="276" w:lineRule="auto"/>
        <w:rPr>
          <w:noProof/>
        </w:rPr>
      </w:pPr>
      <w:r>
        <w:rPr>
          <w:noProof/>
        </w:rPr>
        <w:t>I den blockerande stadgan föreskrivs att personer och företag i EU ska informera kommissionen om de förtecknade extraterritoriella lagarna direkt eller indirekt påverkar deras ekonomiska eller finansiella intressen</w:t>
      </w:r>
      <w:r>
        <w:rPr>
          <w:rStyle w:val="FootnoteReference"/>
          <w:noProof/>
        </w:rPr>
        <w:footnoteReference w:id="10"/>
      </w:r>
      <w:r>
        <w:rPr>
          <w:noProof/>
        </w:rPr>
        <w:t>. De bör informera kommissionen inom 30 dagar från skadan eller händelsen</w:t>
      </w:r>
      <w:r>
        <w:rPr>
          <w:rStyle w:val="FootnoteReference"/>
          <w:noProof/>
        </w:rPr>
        <w:footnoteReference w:id="11"/>
      </w:r>
      <w:r>
        <w:rPr>
          <w:noProof/>
        </w:rPr>
        <w:t>. När det gäller företag åligger denna skyldighet direktörer, företagsledare eller personer som agerar i företagsledande ställning</w:t>
      </w:r>
      <w:r>
        <w:rPr>
          <w:rStyle w:val="FootnoteReference"/>
          <w:noProof/>
        </w:rPr>
        <w:footnoteReference w:id="12"/>
      </w:r>
      <w:r>
        <w:rPr>
          <w:noProof/>
        </w:rPr>
        <w:t xml:space="preserve">. </w:t>
      </w:r>
    </w:p>
    <w:p>
      <w:pPr>
        <w:spacing w:line="276" w:lineRule="auto"/>
        <w:rPr>
          <w:b/>
          <w:noProof/>
        </w:rPr>
      </w:pPr>
      <w:r>
        <w:rPr>
          <w:noProof/>
        </w:rPr>
        <w:t>Kommissionen samlar genom sådana anmälningar in information från personer och företag i EU om eventuell tillämpning av de förtecknade extraterritoriella lagarna. Om en anmälan lämnas in direkt till kommissionen informerar den omedelbart medlemsstatens behöriga myndigheter. Personer och företag i EU kan även kontakta den behöriga myndigheten i den medlemsstat där personen är bosatt eller där företaget har sitt säte.</w:t>
      </w:r>
    </w:p>
    <w:p>
      <w:pPr>
        <w:pStyle w:val="Text1"/>
        <w:keepNext/>
        <w:numPr>
          <w:ilvl w:val="0"/>
          <w:numId w:val="40"/>
        </w:numPr>
        <w:spacing w:line="276" w:lineRule="auto"/>
        <w:ind w:left="714" w:hanging="357"/>
        <w:rPr>
          <w:rFonts w:cs="Calibri"/>
          <w:noProof/>
        </w:rPr>
      </w:pPr>
      <w:r>
        <w:rPr>
          <w:noProof/>
        </w:rPr>
        <w:t>Information till Europaparlamentet och rådet</w:t>
      </w:r>
    </w:p>
    <w:p>
      <w:pPr>
        <w:spacing w:line="276" w:lineRule="auto"/>
        <w:rPr>
          <w:b/>
          <w:noProof/>
        </w:rPr>
      </w:pPr>
      <w:r>
        <w:rPr>
          <w:noProof/>
        </w:rPr>
        <w:t>Mot bakgrund av den information som kommissionen samlar in genom anmälningarna i samband med genomförandet av den blockerande stadgan informerar kommissionen Europaparlamentet och rådet om effekterna av de förtecknade extraterritoriella lagarna</w:t>
      </w:r>
      <w:r>
        <w:rPr>
          <w:rStyle w:val="FootnoteReference"/>
          <w:noProof/>
          <w:lang w:val="en-US"/>
        </w:rPr>
        <w:footnoteReference w:id="13"/>
      </w:r>
      <w:r>
        <w:rPr>
          <w:noProof/>
        </w:rPr>
        <w:t xml:space="preserve">. </w:t>
      </w:r>
    </w:p>
    <w:p>
      <w:pPr>
        <w:spacing w:line="276" w:lineRule="auto"/>
        <w:rPr>
          <w:noProof/>
          <w:u w:val="single"/>
        </w:rPr>
      </w:pPr>
      <w:r>
        <w:rPr>
          <w:noProof/>
          <w:u w:val="single"/>
        </w:rPr>
        <w:t>Europeiska kommissionens övriga behörigheter enligt den blockerande stadgan är följande:</w:t>
      </w:r>
    </w:p>
    <w:p>
      <w:pPr>
        <w:numPr>
          <w:ilvl w:val="0"/>
          <w:numId w:val="38"/>
        </w:numPr>
        <w:spacing w:line="276" w:lineRule="auto"/>
        <w:rPr>
          <w:noProof/>
        </w:rPr>
      </w:pPr>
      <w:r>
        <w:rPr>
          <w:b/>
          <w:noProof/>
        </w:rPr>
        <w:t>Bevilja tillstånd för att följa de förtecknade extraterritoriella lagarna:</w:t>
      </w:r>
      <w:r>
        <w:rPr>
          <w:noProof/>
        </w:rPr>
        <w:t xml:space="preserve"> Kommissionen kan i undantagsfall bevilja tillstånd till personer eller företag i EU att helt eller delvis följa en förtecknad extraterritoriell lag, om det allvarligt skulle skada deras eller EU:s intressen att inte följa den</w:t>
      </w:r>
      <w:r>
        <w:rPr>
          <w:rStyle w:val="FootnoteReference"/>
          <w:noProof/>
        </w:rPr>
        <w:footnoteReference w:id="14"/>
      </w:r>
      <w:r>
        <w:rPr>
          <w:noProof/>
        </w:rPr>
        <w:t xml:space="preserve">. </w:t>
      </w:r>
    </w:p>
    <w:p>
      <w:pPr>
        <w:spacing w:line="276" w:lineRule="auto"/>
        <w:ind w:left="720"/>
        <w:rPr>
          <w:noProof/>
        </w:rPr>
      </w:pPr>
      <w:r>
        <w:rPr>
          <w:noProof/>
        </w:rPr>
        <w:t>Ett sådant tillstånd kan beviljas under särskilda och vederbörligen motiverade omständigheter, till exempel ett undantag från förbudet mot att följa förtecknade extraterritoriella lagar. Ansökningarna bedöms utifrån de kriterier som fastställs i genomförandeförordning (EU) 2018/1101. Kommittén för extraterritoriell lagstiftning, som består av en företrädare för varje medlemsstat, bistår kommissionen vid bedömningen av dessa ansökningar</w:t>
      </w:r>
      <w:r>
        <w:rPr>
          <w:rStyle w:val="FootnoteReference"/>
          <w:noProof/>
        </w:rPr>
        <w:footnoteReference w:id="15"/>
      </w:r>
      <w:r>
        <w:rPr>
          <w:noProof/>
        </w:rPr>
        <w:t>.</w:t>
      </w:r>
    </w:p>
    <w:p>
      <w:pPr>
        <w:numPr>
          <w:ilvl w:val="0"/>
          <w:numId w:val="38"/>
        </w:numPr>
        <w:spacing w:line="276" w:lineRule="auto"/>
        <w:rPr>
          <w:noProof/>
        </w:rPr>
      </w:pPr>
      <w:r>
        <w:rPr>
          <w:b/>
          <w:noProof/>
        </w:rPr>
        <w:t>Stödja medlemsstaterna och de personer och företag som är verksamma i EU:</w:t>
      </w:r>
      <w:r>
        <w:rPr>
          <w:noProof/>
        </w:rPr>
        <w:t xml:space="preserve"> Kommissionen har nära kontakt med medlemsstaterna och de personer och företag som är verksamma i EU för att stödja dem i tillämpningen av den blockerande stadgan, bland annat genom att ge vägledning. Kommissionen övervakar och kontrollerar även medlemsstaternas genomförande av den blockerande stadgan.</w:t>
      </w:r>
    </w:p>
    <w:p>
      <w:pPr>
        <w:numPr>
          <w:ilvl w:val="0"/>
          <w:numId w:val="38"/>
        </w:numPr>
        <w:spacing w:line="276" w:lineRule="auto"/>
        <w:rPr>
          <w:noProof/>
        </w:rPr>
      </w:pPr>
      <w:r>
        <w:rPr>
          <w:b/>
          <w:noProof/>
        </w:rPr>
        <w:t>Uppdatera förteckningen över de extraterritoriella lagarna:</w:t>
      </w:r>
      <w:r>
        <w:rPr>
          <w:noProof/>
        </w:rPr>
        <w:t xml:space="preserve"> Kommissionen har befogenhet att i bilagan till den blockerande stadgan lägga till tredjeländers lagar med extraterritoriell tillämpning som kan påverka intressen för personer och företag i EU och EU som helhet</w:t>
      </w:r>
      <w:r>
        <w:rPr>
          <w:rStyle w:val="FootnoteReference"/>
          <w:noProof/>
          <w:lang w:val="en-IE"/>
        </w:rPr>
        <w:footnoteReference w:id="16"/>
      </w:r>
      <w:r>
        <w:rPr>
          <w:noProof/>
        </w:rPr>
        <w:t xml:space="preserve">. Detta gjordes senast 2018. </w:t>
      </w:r>
    </w:p>
    <w:p>
      <w:pPr>
        <w:numPr>
          <w:ilvl w:val="0"/>
          <w:numId w:val="38"/>
        </w:numPr>
        <w:spacing w:line="276" w:lineRule="auto"/>
        <w:rPr>
          <w:noProof/>
        </w:rPr>
      </w:pPr>
      <w:r>
        <w:rPr>
          <w:b/>
          <w:noProof/>
        </w:rPr>
        <w:t>Nå ut till internationella partner:</w:t>
      </w:r>
      <w:r>
        <w:rPr>
          <w:noProof/>
        </w:rPr>
        <w:t xml:space="preserve"> Kommissionen stödjer Europeiska utrikestjänsten i dess arbete med att nå ut till internationella partner som har samma farhågor när det gäller extraterritoriell tillämpning av tredjeländers sanktioner</w:t>
      </w:r>
      <w:r>
        <w:rPr>
          <w:rStyle w:val="FootnoteReference"/>
          <w:noProof/>
        </w:rPr>
        <w:footnoteReference w:id="17"/>
      </w:r>
      <w:r>
        <w:rPr>
          <w:noProof/>
        </w:rPr>
        <w:t>.</w:t>
      </w:r>
    </w:p>
    <w:p>
      <w:pPr>
        <w:numPr>
          <w:ilvl w:val="0"/>
          <w:numId w:val="38"/>
        </w:numPr>
        <w:spacing w:line="276" w:lineRule="auto"/>
        <w:rPr>
          <w:noProof/>
        </w:rPr>
      </w:pPr>
      <w:r>
        <w:rPr>
          <w:b/>
          <w:noProof/>
        </w:rPr>
        <w:t xml:space="preserve">Offentliggöra uppgifter om behöriga nationella myndigheterna för den blockerande stadgan: </w:t>
      </w:r>
      <w:r>
        <w:rPr>
          <w:noProof/>
        </w:rPr>
        <w:t xml:space="preserve">Kommissionen offentliggör namnen på och adresserna till medlemsstaternas behöriga myndigheter i </w:t>
      </w:r>
      <w:r>
        <w:rPr>
          <w:i/>
          <w:iCs/>
          <w:noProof/>
        </w:rPr>
        <w:t>Europeiska unionens officiella tidning</w:t>
      </w:r>
      <w:r>
        <w:rPr>
          <w:noProof/>
        </w:rPr>
        <w:t xml:space="preserve"> enligt artikel 2 i den blockerande stadgan</w:t>
      </w:r>
      <w:r>
        <w:rPr>
          <w:rStyle w:val="FootnoteReference"/>
          <w:noProof/>
          <w:lang w:val="en-US"/>
        </w:rPr>
        <w:footnoteReference w:id="18"/>
      </w:r>
      <w:r>
        <w:rPr>
          <w:noProof/>
        </w:rPr>
        <w:t>.</w:t>
      </w:r>
    </w:p>
    <w:p>
      <w:pPr>
        <w:pStyle w:val="Heading1"/>
        <w:spacing w:line="276" w:lineRule="auto"/>
        <w:rPr>
          <w:noProof/>
        </w:rPr>
      </w:pPr>
      <w:r>
        <w:rPr>
          <w:noProof/>
        </w:rPr>
        <w:t>Förtecknade extraterritoriella lagar i bilagan till den blockerande stadgan</w:t>
      </w:r>
    </w:p>
    <w:p>
      <w:pPr>
        <w:spacing w:line="276" w:lineRule="auto"/>
        <w:rPr>
          <w:noProof/>
        </w:rPr>
      </w:pPr>
      <w:r>
        <w:rPr>
          <w:noProof/>
        </w:rPr>
        <w:t xml:space="preserve">Den blockerande stadgan endast tillämplig för Förenta staternas sanktioner mot Iran och Kuba. </w:t>
      </w:r>
    </w:p>
    <w:p>
      <w:pPr>
        <w:pStyle w:val="Normal1"/>
        <w:spacing w:before="0" w:beforeAutospacing="0" w:after="0" w:afterAutospacing="0" w:line="276" w:lineRule="auto"/>
        <w:jc w:val="both"/>
        <w:rPr>
          <w:noProof/>
        </w:rPr>
      </w:pPr>
      <w:r>
        <w:rPr>
          <w:noProof/>
        </w:rPr>
        <w:t>Följande extraterritoriella lagar finns upptagna i bilagan:</w:t>
      </w:r>
    </w:p>
    <w:p>
      <w:pPr>
        <w:pStyle w:val="Normal1"/>
        <w:spacing w:before="0" w:beforeAutospacing="0" w:after="0" w:afterAutospacing="0" w:line="276" w:lineRule="auto"/>
        <w:jc w:val="both"/>
        <w:rPr>
          <w:noProof/>
        </w:rPr>
      </w:pPr>
    </w:p>
    <w:p>
      <w:pPr>
        <w:pStyle w:val="Heading2"/>
        <w:rPr>
          <w:noProof/>
        </w:rPr>
      </w:pPr>
      <w:r>
        <w:rPr>
          <w:noProof/>
        </w:rPr>
        <w:t>Iran:</w:t>
      </w:r>
    </w:p>
    <w:p>
      <w:pPr>
        <w:spacing w:line="276" w:lineRule="auto"/>
        <w:rPr>
          <w:noProof/>
          <w:szCs w:val="24"/>
        </w:rPr>
      </w:pPr>
      <w:r>
        <w:rPr>
          <w:noProof/>
        </w:rPr>
        <w:t xml:space="preserve">Efter att Iran drog sig ur den gemensamma övergripande handlingsplanen (JCPOA) återinförde Förenta staterna sanktioner mot Iran. Den 7 augusti 2018 ändrade Europeiska kommissionen den blockerande stadgan för att ta hänsyn till denna utveckling. Följande är de förtecknade extraterritoriella lagar som avser Iran: </w:t>
      </w:r>
    </w:p>
    <w:p>
      <w:pPr>
        <w:spacing w:line="276" w:lineRule="auto"/>
        <w:rPr>
          <w:noProof/>
          <w:szCs w:val="24"/>
        </w:rPr>
      </w:pPr>
      <w:r>
        <w:rPr>
          <w:noProof/>
        </w:rPr>
        <w:t>— ”Iran Sanctions Act of 1996”.</w:t>
      </w:r>
    </w:p>
    <w:p>
      <w:pPr>
        <w:spacing w:line="276" w:lineRule="auto"/>
        <w:rPr>
          <w:noProof/>
          <w:szCs w:val="24"/>
          <w:lang w:val="en-US"/>
        </w:rPr>
      </w:pPr>
      <w:r>
        <w:rPr>
          <w:noProof/>
          <w:lang w:val="en-US"/>
        </w:rPr>
        <w:t>— ”Iran Freedom and Counter-Proliferation Act of 2012”.</w:t>
      </w:r>
    </w:p>
    <w:p>
      <w:pPr>
        <w:spacing w:line="276" w:lineRule="auto"/>
        <w:rPr>
          <w:noProof/>
          <w:szCs w:val="24"/>
          <w:lang w:val="en-US"/>
        </w:rPr>
      </w:pPr>
      <w:r>
        <w:rPr>
          <w:noProof/>
          <w:lang w:val="en-US"/>
        </w:rPr>
        <w:t xml:space="preserve">— ”National Defense Authorization Act for Fiscal Year 2012”. </w:t>
      </w:r>
    </w:p>
    <w:p>
      <w:pPr>
        <w:spacing w:line="276" w:lineRule="auto"/>
        <w:rPr>
          <w:noProof/>
          <w:szCs w:val="24"/>
          <w:lang w:val="en-US"/>
        </w:rPr>
      </w:pPr>
      <w:r>
        <w:rPr>
          <w:noProof/>
          <w:lang w:val="en-US"/>
        </w:rPr>
        <w:t xml:space="preserve">— ”Iran Threat Reduction and Syria Human Rights Act of 2012”. </w:t>
      </w:r>
    </w:p>
    <w:p>
      <w:pPr>
        <w:spacing w:line="276" w:lineRule="auto"/>
        <w:rPr>
          <w:noProof/>
          <w:szCs w:val="24"/>
        </w:rPr>
      </w:pPr>
      <w:r>
        <w:rPr>
          <w:noProof/>
        </w:rPr>
        <w:t>— ”Iranian Transactions and Sanctions Regulations”.</w:t>
      </w:r>
    </w:p>
    <w:p>
      <w:pPr>
        <w:spacing w:line="276" w:lineRule="auto"/>
        <w:rPr>
          <w:noProof/>
          <w:szCs w:val="24"/>
        </w:rPr>
      </w:pPr>
      <w:hyperlink r:id="rId28" w:history="1">
        <w:r>
          <w:rPr>
            <w:rStyle w:val="Hyperlink"/>
            <w:noProof/>
          </w:rPr>
          <w:t>Kommissionens delegerade förordning (EU) 2018/1100</w:t>
        </w:r>
      </w:hyperlink>
      <w:r>
        <w:rPr>
          <w:noProof/>
        </w:rPr>
        <w:t xml:space="preserve"> innehåller en sammanfattning av dessa lagar och förordningar. Se de relevanta instrumenten för de fullständiga bestämmelserna</w:t>
      </w:r>
      <w:r>
        <w:rPr>
          <w:rStyle w:val="FootnoteReference"/>
          <w:noProof/>
          <w:szCs w:val="24"/>
        </w:rPr>
        <w:footnoteReference w:id="19"/>
      </w:r>
      <w:r>
        <w:rPr>
          <w:noProof/>
        </w:rPr>
        <w:t xml:space="preserve">. </w:t>
      </w:r>
    </w:p>
    <w:p>
      <w:pPr>
        <w:spacing w:line="276" w:lineRule="auto"/>
        <w:rPr>
          <w:noProof/>
          <w:szCs w:val="24"/>
        </w:rPr>
      </w:pPr>
      <w:r>
        <w:rPr>
          <w:noProof/>
        </w:rPr>
        <w:t>Riskerna i samband med överträdelser av Förenta staternas extraterritoriella sanktioner är generellt sett följande:</w:t>
      </w:r>
    </w:p>
    <w:p>
      <w:pPr>
        <w:numPr>
          <w:ilvl w:val="0"/>
          <w:numId w:val="27"/>
        </w:numPr>
        <w:spacing w:line="276" w:lineRule="auto"/>
        <w:rPr>
          <w:b/>
          <w:noProof/>
        </w:rPr>
      </w:pPr>
      <w:r>
        <w:rPr>
          <w:b/>
          <w:noProof/>
        </w:rPr>
        <w:t xml:space="preserve">Civil- och straffrättsliga påföljder samt administrativa sanktioner. </w:t>
      </w:r>
      <w:r>
        <w:rPr>
          <w:noProof/>
        </w:rPr>
        <w:t>Företag och enskilda personer kan åläggas civilrättsliga böter på upp till 250 000 US-dollar eller det dubbla transaktionsvärdet</w:t>
      </w:r>
      <w:r>
        <w:rPr>
          <w:rStyle w:val="FootnoteReference"/>
          <w:noProof/>
        </w:rPr>
        <w:footnoteReference w:id="20"/>
      </w:r>
      <w:r>
        <w:rPr>
          <w:noProof/>
        </w:rPr>
        <w:t>.</w:t>
      </w:r>
      <w:r>
        <w:rPr>
          <w:rStyle w:val="FootnoteReference"/>
          <w:noProof/>
        </w:rPr>
        <w:t xml:space="preserve"> </w:t>
      </w:r>
      <w:r>
        <w:rPr>
          <w:noProof/>
        </w:rPr>
        <w:t xml:space="preserve">Det finns även administrativa sanktioner, såsom förvägrade export- och återexporträttigheter för varor av amerikanskt ursprung. Uppsåtliga överträdelser kan dessutom anses vara straffbara gärningar, och enskilda personer kan bestraffas för dessa genom böter eller fängelsestraff. </w:t>
      </w:r>
    </w:p>
    <w:p>
      <w:pPr>
        <w:numPr>
          <w:ilvl w:val="0"/>
          <w:numId w:val="27"/>
        </w:numPr>
        <w:spacing w:line="276" w:lineRule="auto"/>
        <w:rPr>
          <w:noProof/>
        </w:rPr>
      </w:pPr>
      <w:r>
        <w:rPr>
          <w:b/>
          <w:noProof/>
        </w:rPr>
        <w:t>Förteckningar över särskilt angivna medborgare.</w:t>
      </w:r>
      <w:r>
        <w:rPr>
          <w:noProof/>
        </w:rPr>
        <w:t xml:space="preserve"> Amerikanska finansdepartementets byrå för kontroll av utländska tillgångar (</w:t>
      </w:r>
      <w:r>
        <w:rPr>
          <w:i/>
          <w:iCs/>
          <w:noProof/>
        </w:rPr>
        <w:t>US Treasury Department’s Office of Foreign Assets Control</w:t>
      </w:r>
      <w:r>
        <w:rPr>
          <w:noProof/>
        </w:rPr>
        <w:t xml:space="preserve">, </w:t>
      </w:r>
      <w:r>
        <w:rPr>
          <w:i/>
          <w:iCs/>
          <w:noProof/>
        </w:rPr>
        <w:t>byrån</w:t>
      </w:r>
      <w:r>
        <w:rPr>
          <w:noProof/>
        </w:rPr>
        <w:t>)</w:t>
      </w:r>
      <w:r>
        <w:rPr>
          <w:rStyle w:val="FootnoteReference"/>
          <w:noProof/>
        </w:rPr>
        <w:footnoteReference w:id="21"/>
      </w:r>
      <w:r>
        <w:rPr>
          <w:noProof/>
        </w:rPr>
        <w:t xml:space="preserve"> upprätthåller en förteckning över enskilda personer och företag, så kallade </w:t>
      </w:r>
      <w:r>
        <w:rPr>
          <w:i/>
          <w:iCs/>
          <w:noProof/>
        </w:rPr>
        <w:t>särskilt angivna medborgare och spärrade personer</w:t>
      </w:r>
      <w:r>
        <w:rPr>
          <w:noProof/>
        </w:rPr>
        <w:t xml:space="preserve"> som upptas i förteckningen om de har agerat i strid med den amerikanska sanktionspolicyn. Personer och företag i EU kan upptas i förteckningen om byrån anser att de har agerat i strid mot amerikansk extraterritoriell lagstiftning genom att genomföra vissa transaktioner. Personer och företag i EU kan också upptas i förteckningen för att ha bedrivit verksamhet med särskilt angivna medborgare (exempelvis en förtecknad iransk enhet).</w:t>
      </w:r>
    </w:p>
    <w:p>
      <w:pPr>
        <w:numPr>
          <w:ilvl w:val="0"/>
          <w:numId w:val="27"/>
        </w:numPr>
        <w:spacing w:line="276" w:lineRule="auto"/>
        <w:rPr>
          <w:rStyle w:val="citation"/>
          <w:b/>
          <w:noProof/>
        </w:rPr>
      </w:pPr>
      <w:r>
        <w:rPr>
          <w:b/>
          <w:noProof/>
        </w:rPr>
        <w:t xml:space="preserve">Restriktioner avseende Förenta staterna. </w:t>
      </w:r>
      <w:r>
        <w:rPr>
          <w:rStyle w:val="citation"/>
          <w:noProof/>
        </w:rPr>
        <w:t xml:space="preserve">Sådana restriktioner kan leda till uteslutning från den amerikanska marknaden till följd av nekad tillgång till det amerikanska finansiella systemet, eller förlust av amerikanska korrespondentbankkonton eller inreseförbud till Förenta staterna för enskilda personer. </w:t>
      </w:r>
    </w:p>
    <w:p>
      <w:pPr>
        <w:pStyle w:val="Heading2"/>
        <w:rPr>
          <w:noProof/>
        </w:rPr>
      </w:pPr>
      <w:r>
        <w:rPr>
          <w:noProof/>
        </w:rPr>
        <w:t>Kuba:</w:t>
      </w:r>
    </w:p>
    <w:p>
      <w:pPr>
        <w:spacing w:line="276" w:lineRule="auto"/>
        <w:ind w:left="720" w:hanging="720"/>
        <w:rPr>
          <w:rStyle w:val="bold"/>
          <w:noProof/>
          <w:lang w:val="en-US"/>
        </w:rPr>
      </w:pPr>
      <w:r>
        <w:rPr>
          <w:noProof/>
          <w:lang w:val="en-US"/>
        </w:rPr>
        <w:t>—</w:t>
      </w:r>
      <w:r>
        <w:rPr>
          <w:noProof/>
          <w:lang w:val="en-US"/>
        </w:rPr>
        <w:tab/>
        <w:t>”National Defense Authorization Act for Fiscal Year 1993”, avdelning XVII ”Cuban Democracy Act of 1992”, avsnitten 1704 och 1706.</w:t>
      </w:r>
    </w:p>
    <w:p>
      <w:pPr>
        <w:spacing w:line="276" w:lineRule="auto"/>
        <w:rPr>
          <w:rStyle w:val="bold"/>
          <w:noProof/>
          <w:lang w:val="en-US"/>
        </w:rPr>
      </w:pPr>
      <w:r>
        <w:rPr>
          <w:noProof/>
          <w:lang w:val="en-US"/>
        </w:rPr>
        <w:t>—</w:t>
      </w:r>
      <w:r>
        <w:rPr>
          <w:rStyle w:val="bold"/>
          <w:noProof/>
          <w:lang w:val="en-US"/>
        </w:rPr>
        <w:t xml:space="preserve">        ”Cuban Liberty and Democratic Solidarity Act of 1996” (Helms-Burton-lagen).</w:t>
      </w:r>
    </w:p>
    <w:p>
      <w:pPr>
        <w:spacing w:line="276" w:lineRule="auto"/>
        <w:rPr>
          <w:noProof/>
        </w:rPr>
      </w:pPr>
      <w:r>
        <w:rPr>
          <w:noProof/>
        </w:rPr>
        <w:t xml:space="preserve">I Helms-Burton-lagen kodifieras Förenta staternas åtgärder mot Kuba. Lagen syftar till att avskräcka företag från att bedriva verksamhet i Kuba genom att tvinga dem att efterleva amerikanskt embargo (avdelning I) och utsätta dem för civila rättsprövningar (avdelning III) och administrativa sanktioner (avdelning IV). </w:t>
      </w:r>
    </w:p>
    <w:p>
      <w:pPr>
        <w:spacing w:line="276" w:lineRule="auto"/>
        <w:rPr>
          <w:noProof/>
        </w:rPr>
      </w:pPr>
      <w:r>
        <w:rPr>
          <w:noProof/>
        </w:rPr>
        <w:t xml:space="preserve">Förenta staterna hade upphävt tillämpningen av Helms-Burton-lagen sedan 1996. Den 2 maj 2019 meddelade Förenta staterna att avdelning III i lagen skulle återaktiveras fullständigt och att avdelning IV i lagen skulle gälla på nytt.  </w:t>
      </w:r>
    </w:p>
    <w:p>
      <w:pPr>
        <w:numPr>
          <w:ilvl w:val="0"/>
          <w:numId w:val="23"/>
        </w:numPr>
        <w:spacing w:line="276" w:lineRule="auto"/>
        <w:rPr>
          <w:noProof/>
        </w:rPr>
      </w:pPr>
      <w:r>
        <w:rPr>
          <w:b/>
          <w:noProof/>
        </w:rPr>
        <w:t>Avdelning I:</w:t>
      </w:r>
      <w:r>
        <w:rPr>
          <w:noProof/>
        </w:rPr>
        <w:t xml:space="preserve"> I avdelning I föreskrivs ett ekonomiskt och finansiellt embargo mot Kuba samt ett extraterritoriellt tillämpningsområde. I praktiken avser detta främst export till Förenta staterna av varor från Kuba eller varor som transporterats genom Kuba, import till Kuba av varor eller tjänster av amerikanskt ursprung och en blockering av alla ekonomiska transaktioner med Kuba. </w:t>
      </w:r>
    </w:p>
    <w:p>
      <w:pPr>
        <w:numPr>
          <w:ilvl w:val="0"/>
          <w:numId w:val="23"/>
        </w:numPr>
        <w:spacing w:line="276" w:lineRule="auto"/>
        <w:rPr>
          <w:noProof/>
        </w:rPr>
      </w:pPr>
      <w:r>
        <w:rPr>
          <w:b/>
          <w:noProof/>
        </w:rPr>
        <w:t>Avdelning III:</w:t>
      </w:r>
      <w:r>
        <w:rPr>
          <w:noProof/>
        </w:rPr>
        <w:t xml:space="preserve"> Avdelning III innehåller skäl för amerikansk domstol att vidta rättsliga åtgärder mot enskilda personer eller företag som, enligt käranden, handlar med egendom som den kubanska regeringen exproprierat. Begreppet </w:t>
      </w:r>
      <w:r>
        <w:rPr>
          <w:i/>
          <w:noProof/>
        </w:rPr>
        <w:t>handel</w:t>
      </w:r>
      <w:r>
        <w:rPr>
          <w:noProof/>
        </w:rPr>
        <w:t xml:space="preserve"> definieras mycket brett (ägande av egendom, ockupering av mark, utnyttjande av mark eller egendom). </w:t>
      </w:r>
    </w:p>
    <w:p>
      <w:pPr>
        <w:numPr>
          <w:ilvl w:val="0"/>
          <w:numId w:val="24"/>
        </w:numPr>
        <w:spacing w:line="276" w:lineRule="auto"/>
        <w:rPr>
          <w:noProof/>
        </w:rPr>
      </w:pPr>
      <w:r>
        <w:rPr>
          <w:b/>
          <w:noProof/>
        </w:rPr>
        <w:t>Avdelning IV:</w:t>
      </w:r>
      <w:r>
        <w:rPr>
          <w:noProof/>
        </w:rPr>
        <w:t xml:space="preserve"> Det amerikanska utrikesdepartementet driver även förfaranden enligt avdelning IV i Helms-Burton-lagen. Enligt denna avdelning kan administrationen vägra utländska personer, särskilt personer i företagsledningar och deras familjer, inresa till Förenta staterna. </w:t>
      </w:r>
    </w:p>
    <w:p>
      <w:pPr>
        <w:pStyle w:val="Heading1"/>
        <w:spacing w:line="276" w:lineRule="auto"/>
        <w:rPr>
          <w:noProof/>
        </w:rPr>
      </w:pPr>
      <w:r>
        <w:rPr>
          <w:noProof/>
        </w:rPr>
        <w:t>Överblick över anmälningar enligt artikel 2 i den blockerande stadgan</w:t>
      </w:r>
    </w:p>
    <w:p>
      <w:pPr>
        <w:spacing w:line="276" w:lineRule="auto"/>
        <w:rPr>
          <w:noProof/>
        </w:rPr>
      </w:pPr>
      <w:r>
        <w:rPr>
          <w:noProof/>
        </w:rPr>
        <w:t>Större delen av de anmälningar som kommissionen tagit emot är från företag som är verksamma inom internationell handel eller bankverksamhet. Den har även tagit emot ett antal anmälningar från enskilda personer och andra enheter såsom organisationer, diplomatiska beskickningar och branschorganisationer.</w:t>
      </w:r>
    </w:p>
    <w:p>
      <w:pPr>
        <w:spacing w:line="276" w:lineRule="auto"/>
        <w:rPr>
          <w:noProof/>
        </w:rPr>
      </w:pPr>
      <w:r>
        <w:rPr>
          <w:noProof/>
        </w:rPr>
        <w:t xml:space="preserve">Mellan den 1 augusti 2018 och den 1 mars 2021 tog kommissionen emot </w:t>
      </w:r>
      <w:r>
        <w:rPr>
          <w:b/>
          <w:noProof/>
        </w:rPr>
        <w:t xml:space="preserve">sammanlagt </w:t>
      </w:r>
      <w:r>
        <w:rPr>
          <w:noProof/>
        </w:rPr>
        <w:t xml:space="preserve">63 anmälningar enligt följande: </w:t>
      </w:r>
    </w:p>
    <w:p>
      <w:pPr>
        <w:numPr>
          <w:ilvl w:val="1"/>
          <w:numId w:val="28"/>
        </w:numPr>
        <w:spacing w:line="276" w:lineRule="auto"/>
        <w:rPr>
          <w:noProof/>
        </w:rPr>
      </w:pPr>
      <w:r>
        <w:rPr>
          <w:noProof/>
        </w:rPr>
        <w:t xml:space="preserve">35 anmälningar avsåg Förenta staternas sanktioner mot Kuba.  </w:t>
      </w:r>
    </w:p>
    <w:p>
      <w:pPr>
        <w:numPr>
          <w:ilvl w:val="1"/>
          <w:numId w:val="28"/>
        </w:numPr>
        <w:spacing w:line="276" w:lineRule="auto"/>
        <w:rPr>
          <w:noProof/>
        </w:rPr>
      </w:pPr>
      <w:r>
        <w:rPr>
          <w:noProof/>
        </w:rPr>
        <w:t xml:space="preserve">28 anmälningar avsåg Förenta staternas sanktioner mot Kuba. </w:t>
      </w:r>
    </w:p>
    <w:p>
      <w:pPr>
        <w:spacing w:line="276" w:lineRule="auto"/>
        <w:rPr>
          <w:noProof/>
        </w:rPr>
      </w:pPr>
      <w:r>
        <w:rPr>
          <w:noProof/>
        </w:rPr>
        <w:t xml:space="preserve">Kommissionen tog emot anmälningar från personer och enheter hemmahörande i </w:t>
      </w:r>
      <w:r>
        <w:rPr>
          <w:b/>
          <w:noProof/>
        </w:rPr>
        <w:t>12 olika medlemsstater.</w:t>
      </w:r>
      <w:r>
        <w:rPr>
          <w:noProof/>
        </w:rPr>
        <w:t xml:space="preserve"> Antalet mottagna anmälningar varierar mycket mellan medlemsstaterna. </w:t>
      </w:r>
    </w:p>
    <w:p>
      <w:pPr>
        <w:spacing w:line="276" w:lineRule="auto"/>
        <w:rPr>
          <w:noProof/>
        </w:rPr>
      </w:pPr>
      <w:r>
        <w:rPr>
          <w:noProof/>
        </w:rPr>
        <w:t>Kommissionen uppmärksammades om tio anmälningar som var kopplade till, eller följdes av, domstolsförhandlingar vid nationella domstolar i EU (se avsnitt 4.2).</w:t>
      </w:r>
    </w:p>
    <w:p>
      <w:pPr>
        <w:spacing w:line="276" w:lineRule="auto"/>
        <w:rPr>
          <w:noProof/>
        </w:rPr>
      </w:pPr>
      <w:r>
        <w:rPr>
          <w:noProof/>
        </w:rPr>
        <w:t>I denna rapport delas de mottagna anmälningarna in beroende på vilken typ av negativ effekt som rapporterats, enligt följande:</w:t>
      </w:r>
    </w:p>
    <w:p>
      <w:pPr>
        <w:numPr>
          <w:ilvl w:val="0"/>
          <w:numId w:val="24"/>
        </w:numPr>
        <w:spacing w:line="276" w:lineRule="auto"/>
        <w:rPr>
          <w:noProof/>
        </w:rPr>
      </w:pPr>
      <w:r>
        <w:rPr>
          <w:b/>
          <w:noProof/>
        </w:rPr>
        <w:t>Negativa effekter i samband med bankverksamhet eller andra finansiella tjänster</w:t>
      </w:r>
      <w:r>
        <w:rPr>
          <w:noProof/>
        </w:rPr>
        <w:t xml:space="preserve">: Många personer och företag i EU meddelade kommissionen om negativa effekter som hade att göra med tillgången till dagliga banktjänster eller ensidiga upphävanden från de finansiella institutioner som tillhandahåller banktjänster. </w:t>
      </w:r>
    </w:p>
    <w:p>
      <w:pPr>
        <w:numPr>
          <w:ilvl w:val="0"/>
          <w:numId w:val="24"/>
        </w:numPr>
        <w:spacing w:line="276" w:lineRule="auto"/>
        <w:rPr>
          <w:noProof/>
        </w:rPr>
      </w:pPr>
      <w:r>
        <w:rPr>
          <w:b/>
          <w:noProof/>
        </w:rPr>
        <w:t>Negativa effekter orsakade av en eller flera affärspartner:</w:t>
      </w:r>
      <w:r>
        <w:rPr>
          <w:noProof/>
        </w:rPr>
        <w:t xml:space="preserve"> Personer och företag i EU underrättade ofta kommissionen om negativa effekter som orsakats av deras affärspartner, oftast på grund av att en affärspartner beslutat att avsluta affärsförbindelsen med den underrättande parten. </w:t>
      </w:r>
    </w:p>
    <w:p>
      <w:pPr>
        <w:numPr>
          <w:ilvl w:val="0"/>
          <w:numId w:val="24"/>
        </w:numPr>
        <w:spacing w:line="276" w:lineRule="auto"/>
        <w:rPr>
          <w:noProof/>
        </w:rPr>
      </w:pPr>
      <w:r>
        <w:rPr>
          <w:b/>
          <w:noProof/>
        </w:rPr>
        <w:t>Administrativa och rättsliga förfaranden i Förenta staterna:</w:t>
      </w:r>
      <w:r>
        <w:rPr>
          <w:noProof/>
        </w:rPr>
        <w:t xml:space="preserve"> I flera anmälningar som avser Kuba, och några som avser Iran, rapporterades förekomsten av eller hot om förhandlingar vid Förenta staternas administrativa eller rättsliga myndigheter.  </w:t>
      </w:r>
    </w:p>
    <w:p>
      <w:pPr>
        <w:numPr>
          <w:ilvl w:val="0"/>
          <w:numId w:val="24"/>
        </w:numPr>
        <w:spacing w:line="276" w:lineRule="auto"/>
        <w:rPr>
          <w:b/>
          <w:noProof/>
        </w:rPr>
      </w:pPr>
      <w:r>
        <w:rPr>
          <w:b/>
          <w:noProof/>
        </w:rPr>
        <w:t>Ovilja att investera i eller bedriva verksamhet med länder som omfattas av de förtecknade extraterritoriella lagarna</w:t>
      </w:r>
      <w:r>
        <w:rPr>
          <w:noProof/>
        </w:rPr>
        <w:t xml:space="preserve"> Ett begränsat antal personer och företag i EU anmälde formellt till kommissionen sin ovillighet att investera, eller bedriva verksamhet, i de länder som omfattas av de förtecknade extraterritoriella lagarna eftersom de förväntar sig negativa effekter av detta.</w:t>
      </w:r>
    </w:p>
    <w:p>
      <w:pPr>
        <w:spacing w:line="276" w:lineRule="auto"/>
        <w:rPr>
          <w:b/>
          <w:noProof/>
        </w:rPr>
      </w:pPr>
      <w:r>
        <w:rPr>
          <w:noProof/>
        </w:rPr>
        <w:br w:type="page"/>
      </w:r>
    </w:p>
    <w:p>
      <w:pPr>
        <w:spacing w:line="276" w:lineRule="auto"/>
        <w:rPr>
          <w:b/>
          <w:noProof/>
        </w:rPr>
      </w:pPr>
    </w:p>
    <w:p>
      <w:pPr>
        <w:spacing w:line="276" w:lineRule="auto"/>
        <w:rPr>
          <w:noProof/>
        </w:rPr>
      </w:pPr>
      <w:r>
        <w:rPr>
          <w:b/>
          <w:noProof/>
        </w:rPr>
        <w:t>De negativa effekterna i de 63 anmälningar som kommissionen mottagit är fördelade enligt följande</w:t>
      </w:r>
      <w:r>
        <w:rPr>
          <w:noProof/>
        </w:rPr>
        <w:t xml:space="preserve">: </w:t>
      </w:r>
    </w:p>
    <w:p>
      <w:pPr>
        <w:spacing w:line="276" w:lineRule="auto"/>
        <w:rPr>
          <w:noProof/>
        </w:rPr>
      </w:pPr>
    </w:p>
    <w:p>
      <w:pPr>
        <w:spacing w:line="276" w:lineRule="auto"/>
        <w:rPr>
          <w:noProof/>
        </w:rPr>
      </w:pPr>
    </w:p>
    <w:p>
      <w:pPr>
        <w:spacing w:line="276" w:lineRule="auto"/>
        <w:ind w:left="-426" w:hanging="142"/>
        <w:jc w:val="center"/>
        <w:rPr>
          <w:noProof/>
        </w:rPr>
      </w:pPr>
      <w:r>
        <w:rPr>
          <w:noProof/>
        </w:rPr>
        <w:pict>
          <v:shape id="_x0000_i1026" type="#_x0000_t75" style="width:430.5pt;height:346.5pt">
            <v:imagedata r:id="rId29" o:title=""/>
          </v:shape>
        </w:pict>
      </w:r>
    </w:p>
    <w:p>
      <w:pPr>
        <w:spacing w:line="276" w:lineRule="auto"/>
        <w:ind w:left="360"/>
        <w:jc w:val="center"/>
        <w:rPr>
          <w:noProof/>
          <w:lang w:val="en-US"/>
        </w:rPr>
      </w:pPr>
    </w:p>
    <w:p>
      <w:pPr>
        <w:spacing w:line="276" w:lineRule="auto"/>
        <w:ind w:left="360"/>
        <w:jc w:val="center"/>
        <w:rPr>
          <w:noProof/>
        </w:rPr>
      </w:pPr>
    </w:p>
    <w:p>
      <w:pPr>
        <w:spacing w:line="276" w:lineRule="auto"/>
        <w:rPr>
          <w:noProof/>
        </w:rPr>
      </w:pPr>
    </w:p>
    <w:p>
      <w:pPr>
        <w:pStyle w:val="Heading2"/>
        <w:tabs>
          <w:tab w:val="clear" w:pos="1276"/>
          <w:tab w:val="clear" w:pos="3718"/>
          <w:tab w:val="left" w:pos="851"/>
        </w:tabs>
        <w:ind w:left="3544" w:hanging="3292"/>
        <w:rPr>
          <w:noProof/>
        </w:rPr>
      </w:pPr>
      <w:r>
        <w:rPr>
          <w:noProof/>
        </w:rPr>
        <w:br w:type="page"/>
        <w:t>Metod för räkning av anmälningar</w:t>
      </w:r>
    </w:p>
    <w:p>
      <w:pPr>
        <w:spacing w:line="276" w:lineRule="auto"/>
        <w:rPr>
          <w:noProof/>
        </w:rPr>
      </w:pPr>
      <w:r>
        <w:rPr>
          <w:noProof/>
        </w:rPr>
        <w:t xml:space="preserve">Tillämpningsområdet för denna rapport omfattar anmälningar som kommissionen mottagit direkt eller som en behörig nationell myndighet anmält till kommissionen mellan den 1 augusti 2018 och den 1 mars 2021. </w:t>
      </w:r>
    </w:p>
    <w:p>
      <w:pPr>
        <w:spacing w:line="276" w:lineRule="auto"/>
        <w:rPr>
          <w:noProof/>
        </w:rPr>
      </w:pPr>
      <w:r>
        <w:rPr>
          <w:noProof/>
        </w:rPr>
        <w:t xml:space="preserve">Anmälningarna utgörs av formella inlämningar till kommissionen för att rapportera negativa effekter till följd av förtecknade extraterritoriella lagar. Anmälningarna kan lämnas in av enskilda personer, företag eller andra enheter, såsom organisationer, diplomatiska beskickningar och branschorganisationer.  Gemensamma anmälningar har också mottagits (d.v.s. flera anmälande parter för en anmälan).  </w:t>
      </w:r>
    </w:p>
    <w:p>
      <w:pPr>
        <w:spacing w:line="276" w:lineRule="auto"/>
        <w:rPr>
          <w:noProof/>
        </w:rPr>
      </w:pPr>
      <w:r>
        <w:rPr>
          <w:noProof/>
        </w:rPr>
        <w:t xml:space="preserve">Kommissionen kan strängt taget enbart ta i beaktande anmälningar från personer som omfattas av artikel 11 i den blockerande stadgan. Kommissionen har icke desto mindre inbegripit ett antal anmälningar från utrikes representationer i EU-länder. </w:t>
      </w:r>
    </w:p>
    <w:p>
      <w:pPr>
        <w:spacing w:line="276" w:lineRule="auto"/>
        <w:rPr>
          <w:noProof/>
        </w:rPr>
      </w:pPr>
      <w:r>
        <w:rPr>
          <w:noProof/>
        </w:rPr>
        <w:t>Den anmälande parten tillhandahåller i vissa fall kommissionen eller den behöriga nationella myndigheten med ytterligare information eller uppdateringar avseende samma negativa effekt. I sådana fall anses inte dessa uppdateringar vara nya anmälningar, utan hanteras som uppföljningar av den första anmälan.</w:t>
      </w:r>
    </w:p>
    <w:p>
      <w:pPr>
        <w:spacing w:line="276" w:lineRule="auto"/>
        <w:rPr>
          <w:noProof/>
        </w:rPr>
      </w:pPr>
      <w:r>
        <w:rPr>
          <w:noProof/>
        </w:rPr>
        <w:t>Men om den negativa effekt som rapporteras av den anmälande parten i en efterföljande korrespondens med kommission eller den behöriga nationella myndigheten inte är identiskt med den negativa effekt som rapporterades i den första anmälan anses detta vara en ny anmälan. Endast några få personer och företag i EU har informerat kommissionen eller den behöriga nationella myndigheten om att de har påverkats av flera typer av negativa effekter.</w:t>
      </w:r>
    </w:p>
    <w:p>
      <w:pPr>
        <w:spacing w:line="276" w:lineRule="auto"/>
        <w:rPr>
          <w:noProof/>
        </w:rPr>
      </w:pPr>
      <w:r>
        <w:rPr>
          <w:noProof/>
        </w:rPr>
        <w:t xml:space="preserve">I följande avsnitt ges utförlig information om de identifierade negativa effekterna för personer och företag i EU, samt om deras sammanhang. </w:t>
      </w:r>
    </w:p>
    <w:p>
      <w:pPr>
        <w:pStyle w:val="Heading2"/>
        <w:tabs>
          <w:tab w:val="clear" w:pos="1276"/>
          <w:tab w:val="clear" w:pos="3718"/>
          <w:tab w:val="left" w:pos="851"/>
        </w:tabs>
        <w:ind w:left="1134" w:hanging="992"/>
        <w:rPr>
          <w:noProof/>
        </w:rPr>
      </w:pPr>
      <w:r>
        <w:rPr>
          <w:noProof/>
        </w:rPr>
        <w:t>Negativa effekter i samband med bankverksamhet och andra finansiella tjänster</w:t>
      </w:r>
    </w:p>
    <w:p>
      <w:pPr>
        <w:spacing w:line="276" w:lineRule="auto"/>
        <w:rPr>
          <w:noProof/>
        </w:rPr>
      </w:pPr>
      <w:r>
        <w:rPr>
          <w:noProof/>
        </w:rPr>
        <w:t xml:space="preserve">Personer och företag i EU, inbegripet banker, har med jämna mellanrum lämnat in anmälningar till kommissionen om negativa effekter i samband med bankverksamhet eller finansiella tjänster i såväl Kuba som Iran. I vissa fall gjordes samma anmälning av flera olika personer eller företag som en gemensam anmälning. </w:t>
      </w:r>
    </w:p>
    <w:p>
      <w:pPr>
        <w:spacing w:line="276" w:lineRule="auto"/>
        <w:rPr>
          <w:noProof/>
        </w:rPr>
      </w:pPr>
      <w:r>
        <w:rPr>
          <w:noProof/>
        </w:rPr>
        <w:t xml:space="preserve">Mellan den 1 augusti 2018 och den 1 mars 2021 tog kommissionen emot 18 anmälningar med rapporter om negativa effekter i samband med bankverksamhet. De flesta av dessa anmälningar var kopplade till Förenta staternas extraterritoriella sanktioner mot Iran. </w:t>
      </w:r>
    </w:p>
    <w:p>
      <w:pPr>
        <w:spacing w:line="276" w:lineRule="auto"/>
        <w:rPr>
          <w:noProof/>
        </w:rPr>
      </w:pPr>
      <w:r>
        <w:rPr>
          <w:noProof/>
        </w:rPr>
        <w:t>Interaktionen mellan finansiella system är stor, vilket kan utsätta EU-banker och andra tillhandahållare av finansiella tjänster för extraterritoriella sanktioner. EU-banker och andra tillhandahållare av finansiella tjänster drabbas således av negativa effekter men kan också, som en dominoeffekt, orsaka andra personer och företag i EU sådana negativa effekter när de uppfyller extraterritoriella sanktioner.</w:t>
      </w:r>
    </w:p>
    <w:p>
      <w:pPr>
        <w:spacing w:line="276" w:lineRule="auto"/>
        <w:rPr>
          <w:noProof/>
        </w:rPr>
      </w:pPr>
      <w:r>
        <w:rPr>
          <w:noProof/>
        </w:rPr>
        <w:t xml:space="preserve">De negativa effekterna är skiftande och kan omfatta följande: </w:t>
      </w:r>
    </w:p>
    <w:p>
      <w:pPr>
        <w:numPr>
          <w:ilvl w:val="0"/>
          <w:numId w:val="29"/>
        </w:numPr>
        <w:spacing w:line="276" w:lineRule="auto"/>
        <w:rPr>
          <w:noProof/>
        </w:rPr>
      </w:pPr>
      <w:r>
        <w:rPr>
          <w:noProof/>
        </w:rPr>
        <w:t>Spärrning av bankverksamhet som avser Kuba eller Iran (exempelvis om verksamheten omfattar en medborgare i ett av dessa länder eller en slutkund eller leverantör i dessa länder).</w:t>
      </w:r>
    </w:p>
    <w:p>
      <w:pPr>
        <w:numPr>
          <w:ilvl w:val="0"/>
          <w:numId w:val="29"/>
        </w:numPr>
        <w:spacing w:line="276" w:lineRule="auto"/>
        <w:rPr>
          <w:noProof/>
        </w:rPr>
      </w:pPr>
      <w:r>
        <w:rPr>
          <w:noProof/>
        </w:rPr>
        <w:t xml:space="preserve">Oskäliga dröjsmål vid behandling av orelaterad bankverksamhet. </w:t>
      </w:r>
    </w:p>
    <w:p>
      <w:pPr>
        <w:numPr>
          <w:ilvl w:val="0"/>
          <w:numId w:val="29"/>
        </w:numPr>
        <w:spacing w:line="276" w:lineRule="auto"/>
        <w:rPr>
          <w:noProof/>
        </w:rPr>
      </w:pPr>
      <w:r>
        <w:rPr>
          <w:noProof/>
        </w:rPr>
        <w:t xml:space="preserve">Upphävande av bankförbindelsen. </w:t>
      </w:r>
    </w:p>
    <w:p>
      <w:pPr>
        <w:numPr>
          <w:ilvl w:val="0"/>
          <w:numId w:val="29"/>
        </w:numPr>
        <w:spacing w:line="276" w:lineRule="auto"/>
        <w:rPr>
          <w:noProof/>
        </w:rPr>
      </w:pPr>
      <w:r>
        <w:rPr>
          <w:noProof/>
        </w:rPr>
        <w:t xml:space="preserve">Oförmåga att öppna eller ha ett fungerande bankkonto. </w:t>
      </w:r>
    </w:p>
    <w:p>
      <w:pPr>
        <w:spacing w:line="276" w:lineRule="auto"/>
        <w:rPr>
          <w:noProof/>
        </w:rPr>
      </w:pPr>
      <w:r>
        <w:rPr>
          <w:noProof/>
        </w:rPr>
        <w:t>I flera fall har upphävandet av bankförbindelsen medfört svår finansiell och ekonomisk skada för den anmälande parten. I typiska fall har en bank spärrat överföringar för export av varor eller tjänster från eller till Kuba och Iran, och företaget i EU har därmed inte kunnat få betalt. Många anmälande parter påpekade att deras affärspartner inte var särskilt angivna medborgare.</w:t>
      </w:r>
    </w:p>
    <w:p>
      <w:pPr>
        <w:spacing w:line="276" w:lineRule="auto"/>
        <w:rPr>
          <w:noProof/>
        </w:rPr>
      </w:pPr>
      <w:r>
        <w:rPr>
          <w:noProof/>
        </w:rPr>
        <w:t xml:space="preserve">Dessutom rapporterade flera banker som är verksamma i EU men vars huvudkontor är belägna i Iran eller Kuba att banker i EU ensidigt upphävde avtal om banktjänster och finansiella tjänster. På liknande sätt underrättades kommissionen om sådana upphävanden av utrikes representationer i EU-länder. </w:t>
      </w:r>
    </w:p>
    <w:p>
      <w:pPr>
        <w:spacing w:line="276" w:lineRule="auto"/>
        <w:rPr>
          <w:noProof/>
        </w:rPr>
      </w:pPr>
      <w:r>
        <w:rPr>
          <w:noProof/>
        </w:rPr>
        <w:t xml:space="preserve">Slutligen underrättade ett fåtal enskilda personer kommissionen om spärrning av viss bankverksamhet som avser Kuba eller Iran. </w:t>
      </w:r>
    </w:p>
    <w:p>
      <w:pPr>
        <w:pStyle w:val="Heading2"/>
        <w:tabs>
          <w:tab w:val="clear" w:pos="1276"/>
          <w:tab w:val="clear" w:pos="3718"/>
          <w:tab w:val="left" w:pos="851"/>
        </w:tabs>
        <w:ind w:left="1276" w:hanging="992"/>
        <w:rPr>
          <w:noProof/>
        </w:rPr>
      </w:pPr>
      <w:r>
        <w:rPr>
          <w:noProof/>
        </w:rPr>
        <w:t>Negativa effekter orsakade av en eller flera affärspartner:</w:t>
      </w:r>
    </w:p>
    <w:p>
      <w:pPr>
        <w:spacing w:line="276" w:lineRule="auto"/>
        <w:rPr>
          <w:noProof/>
        </w:rPr>
      </w:pPr>
      <w:r>
        <w:rPr>
          <w:noProof/>
        </w:rPr>
        <w:t xml:space="preserve">Negativa effekter som orsakas av affärspartner är återkommande, oberoende av om den anmälande parten bedrivit verksamhet med Iran eller Kuba. De som anmäler dessa negativa effekter till kommissionen är företag och banker i EU, inbegripet enskilda personer. </w:t>
      </w:r>
    </w:p>
    <w:p>
      <w:pPr>
        <w:spacing w:line="276" w:lineRule="auto"/>
        <w:rPr>
          <w:noProof/>
        </w:rPr>
      </w:pPr>
      <w:r>
        <w:rPr>
          <w:noProof/>
        </w:rPr>
        <w:t>Mellan den 1 augusti 2018 och den 1 mars 2021 tog kommissionen emot 15 anmälningar om negativa effekter orsakade av en eller flera av den anmälande partens affärspartner. De flesta av dessa anmälningar gällde Iran.</w:t>
      </w:r>
    </w:p>
    <w:p>
      <w:pPr>
        <w:spacing w:line="276" w:lineRule="auto"/>
        <w:rPr>
          <w:noProof/>
        </w:rPr>
      </w:pPr>
      <w:r>
        <w:rPr>
          <w:noProof/>
        </w:rPr>
        <w:t>De rapporterade negativa effekterna avser ensidigt upphävande av affärsförbindelser, ofta i strid mot avtalet. Affärspartner som påståtts överträda den blockerande stadgan är import-/exportföretag, programvaruleverantörer och telekommunikationsleverantörer, industrier, flygbolag, post- och leveranstjänster samt rederier och konsumentproduktföretag</w:t>
      </w:r>
      <w:r>
        <w:rPr>
          <w:rStyle w:val="FootnoteReference"/>
          <w:noProof/>
        </w:rPr>
        <w:footnoteReference w:id="22"/>
      </w:r>
      <w:r>
        <w:rPr>
          <w:noProof/>
        </w:rPr>
        <w:t xml:space="preserve">. </w:t>
      </w:r>
    </w:p>
    <w:p>
      <w:pPr>
        <w:spacing w:line="276" w:lineRule="auto"/>
        <w:rPr>
          <w:noProof/>
        </w:rPr>
      </w:pPr>
      <w:r>
        <w:rPr>
          <w:noProof/>
        </w:rPr>
        <w:t xml:space="preserve">De anmälande parterna rapporterade att de hade drabbats av allvarliga negativa effekter till följd av att avtalsförpliktelserna inte fullföljts eller att affärsförbindelsen avslutats. Dessa effekter varierar från allvarliga svårigheter att exportera eller leverera varor till Iran eller Kuba till fysisk oförmåga att bedriva en ekonomisk verksamhet. Flera anmälande parter valde att inleda rättsliga förfaranden för att bestrida dessa överträdelser. Kommissionen följer noggrant de domstolsmål som den har uppmärksammats på, och den bidrar på begäran med tekniskt stöd till personer och företag i EU som har påverkats negativt. </w:t>
      </w:r>
    </w:p>
    <w:p>
      <w:pPr>
        <w:spacing w:line="276" w:lineRule="auto"/>
        <w:rPr>
          <w:noProof/>
        </w:rPr>
      </w:pPr>
      <w:r>
        <w:rPr>
          <w:noProof/>
        </w:rPr>
        <w:t xml:space="preserve">I typiska fall drabbas ett företag i EU av ett plötsligt ensidigt upphävande av affärsförbindelser med en eller flera affärspartner. Dessa affärspartner påstås överträda sina avtalsförhållanden trots att den anmälande parten inte berörs direkt av Förenta staternas sanktioner. De angivna, underförstådda eller misstänkta skälen kan bland annat vara att Kuba eller Iran är hemlandet för moderbolaget eller det berörda EU-företagets verkliga huvudman, mottagarlandet för de avsedda produkterna eller landet för produktens eller tjänstens förmånstagare. I sällsynta fall underrättades kommissionen av ett företag i EU om negativa effekter orsakade av utländska affärspartner som direkt omfattades av Förenta staternas sanktioner. </w:t>
      </w:r>
    </w:p>
    <w:p>
      <w:pPr>
        <w:spacing w:line="276" w:lineRule="auto"/>
        <w:rPr>
          <w:noProof/>
        </w:rPr>
      </w:pPr>
      <w:r>
        <w:rPr>
          <w:noProof/>
        </w:rPr>
        <w:t>Flera banker som är verksamma i EU men vars huvudkontor är belägna i Iran eller Kuba rapporterade dessutom att de ansåg att vissa av deras affärspartner, däribland telekommunikationsleverantörer och tillverkare, hade avbrutit förbindelserna för att följa Förenta staternas sanktioner (så kallad överdriven efterlevnad).</w:t>
      </w:r>
    </w:p>
    <w:p>
      <w:pPr>
        <w:spacing w:line="276" w:lineRule="auto"/>
        <w:rPr>
          <w:noProof/>
        </w:rPr>
      </w:pPr>
      <w:r>
        <w:rPr>
          <w:noProof/>
        </w:rPr>
        <w:t xml:space="preserve">Slutligen lämnade en enskild person in en anmälan till kommissionen om en postoperatörs vägran att leverera ett paket till Kuba. Postoperatören uppgav uttryckligen till sin kund att leveransen inte kunde genomföras till följd av Förenta staternas embargo mot Kuba. </w:t>
      </w:r>
    </w:p>
    <w:p>
      <w:pPr>
        <w:pStyle w:val="Heading2"/>
        <w:tabs>
          <w:tab w:val="clear" w:pos="1276"/>
          <w:tab w:val="clear" w:pos="3718"/>
          <w:tab w:val="left" w:pos="851"/>
        </w:tabs>
        <w:ind w:left="1276" w:hanging="992"/>
        <w:rPr>
          <w:noProof/>
        </w:rPr>
      </w:pPr>
      <w:r>
        <w:rPr>
          <w:noProof/>
        </w:rPr>
        <w:t>Administrativa och rättsliga förfaranden i Förenta staterna:</w:t>
      </w:r>
    </w:p>
    <w:p>
      <w:pPr>
        <w:spacing w:line="276" w:lineRule="auto"/>
        <w:rPr>
          <w:noProof/>
        </w:rPr>
      </w:pPr>
      <w:r>
        <w:rPr>
          <w:noProof/>
        </w:rPr>
        <w:t xml:space="preserve">Allt som allt informerade 28 anmälande parter kommissionen eller den behöriga nationella myndigheten om rättstvister inför en amerikansk rättslig myndighet eller förfaranden inför en amerikansk administrativ myndighet. De flesta av dessa anmälningar avser tillämpningen av avdelning III i Helms-Burton-lagen, som omfattar </w:t>
      </w:r>
      <w:r>
        <w:rPr>
          <w:i/>
          <w:noProof/>
        </w:rPr>
        <w:t>handel</w:t>
      </w:r>
      <w:r>
        <w:rPr>
          <w:noProof/>
        </w:rPr>
        <w:t xml:space="preserve"> med egendom som exproprierats av Kubanska regeringen. De åtgärder som vidtas enligt avdelning III påverkar uteslutande företag i EU, medan förfaranden enligt avdelning IV riktas mot enskilda personer. Ett begränsat antal fall gällde Iran. </w:t>
      </w:r>
    </w:p>
    <w:p>
      <w:pPr>
        <w:pStyle w:val="Heading3"/>
        <w:rPr>
          <w:noProof/>
        </w:rPr>
      </w:pPr>
      <w:r>
        <w:rPr>
          <w:noProof/>
        </w:rPr>
        <w:t xml:space="preserve">Rättstvister avseende tillämpningen av avdelning III i </w:t>
      </w:r>
      <w:r>
        <w:rPr>
          <w:noProof/>
        </w:rPr>
        <w:br/>
        <w:t>Helms-Burton-lagen (Kuba)</w:t>
      </w:r>
    </w:p>
    <w:p>
      <w:pPr>
        <w:spacing w:after="0" w:line="276" w:lineRule="auto"/>
        <w:rPr>
          <w:noProof/>
        </w:rPr>
      </w:pPr>
      <w:r>
        <w:rPr>
          <w:noProof/>
        </w:rPr>
        <w:t xml:space="preserve">Flera personer och företag i EU rapporterade att de mottagit meddelanden om avsikten att väcka talan vid amerikansk domstol enligt avdelning III i Helms-Burton-lagen. Dessa meddelanden skickades av personer eller företag i Förenta staterna som hävdade att företag i EU hade handlat med exproprierad egendom i Kuba. De informerar vanligen företaget i EU om att de kommer att väcka talan om mottagaren av meddelandet inte omedelbart slutar handla med egendomen. </w:t>
      </w:r>
    </w:p>
    <w:p>
      <w:pPr>
        <w:widowControl w:val="0"/>
        <w:autoSpaceDE w:val="0"/>
        <w:autoSpaceDN w:val="0"/>
        <w:adjustRightInd w:val="0"/>
        <w:spacing w:after="0" w:line="276" w:lineRule="auto"/>
        <w:ind w:right="75"/>
        <w:rPr>
          <w:noProof/>
        </w:rPr>
      </w:pPr>
    </w:p>
    <w:p>
      <w:pPr>
        <w:widowControl w:val="0"/>
        <w:autoSpaceDE w:val="0"/>
        <w:autoSpaceDN w:val="0"/>
        <w:adjustRightInd w:val="0"/>
        <w:spacing w:after="0" w:line="276" w:lineRule="auto"/>
        <w:ind w:right="75"/>
        <w:rPr>
          <w:noProof/>
        </w:rPr>
      </w:pPr>
      <w:r>
        <w:rPr>
          <w:noProof/>
        </w:rPr>
        <w:t>Kommissionen meddelades också när talan väcktes inför amerikansk domstol.</w:t>
      </w:r>
      <w:r>
        <w:rPr>
          <w:noProof/>
          <w:color w:val="000000"/>
          <w:szCs w:val="24"/>
        </w:rPr>
        <w:t xml:space="preserve"> </w:t>
      </w:r>
      <w:r>
        <w:rPr>
          <w:noProof/>
        </w:rPr>
        <w:t xml:space="preserve">I detta avseende godkände domstolarna i Förenta staterna vid två tillfällen att förfarandet vilandeförklarades medan den svarande från EU begärde tillstånd från kommissionen Kommissionen håller just nu på att bedöma en ansökan om tillstånd i ett sådant ärende. </w:t>
      </w:r>
    </w:p>
    <w:p>
      <w:pPr>
        <w:widowControl w:val="0"/>
        <w:autoSpaceDE w:val="0"/>
        <w:autoSpaceDN w:val="0"/>
        <w:adjustRightInd w:val="0"/>
        <w:spacing w:after="0" w:line="276" w:lineRule="auto"/>
        <w:ind w:right="75"/>
        <w:rPr>
          <w:noProof/>
        </w:rPr>
      </w:pPr>
    </w:p>
    <w:p>
      <w:pPr>
        <w:pStyle w:val="Heading3"/>
        <w:rPr>
          <w:noProof/>
        </w:rPr>
      </w:pPr>
      <w:r>
        <w:rPr>
          <w:noProof/>
        </w:rPr>
        <w:t>Administrativa förfaranden i Förenta staterna enligt avdelning IV i Helms-Burton-lagen (Kuba)</w:t>
      </w:r>
    </w:p>
    <w:p>
      <w:pPr>
        <w:spacing w:line="276" w:lineRule="auto"/>
        <w:rPr>
          <w:noProof/>
        </w:rPr>
      </w:pPr>
      <w:r>
        <w:rPr>
          <w:noProof/>
        </w:rPr>
        <w:t xml:space="preserve">Några enskilda personer rapporterade att Förenta staternas utrikesdepartement hade informerat dem om inledandet av, eller avsikten att inleda, förfaranden enligt avdelning IV i Helms-Burton-lagen. Förenta staternas utrikesdepartement får enligt avdelning IV vägra utländska fysiska personer och deras familjer inresa till amerikanskt territorium om utrikesdepartementet anser att de har handlat med beslagtagen egendom i Kuba som amerikanska medborgare har gjort anspråk på. </w:t>
      </w:r>
    </w:p>
    <w:p>
      <w:pPr>
        <w:spacing w:line="276" w:lineRule="auto"/>
        <w:rPr>
          <w:noProof/>
        </w:rPr>
      </w:pPr>
      <w:r>
        <w:rPr>
          <w:noProof/>
        </w:rPr>
        <w:t xml:space="preserve">De berörda personerna är företagsledare eller högt uppsatta anställda i företag som anklagas för att ha handlat med beslagtagen amerikansk egendom. Kommissionen känner också till att vissa EU-medborgare och deras familjer har nekats inresa till Förenta staterna av dessa skäl. </w:t>
      </w:r>
    </w:p>
    <w:p>
      <w:pPr>
        <w:pStyle w:val="Heading3"/>
        <w:rPr>
          <w:noProof/>
        </w:rPr>
      </w:pPr>
      <w:r>
        <w:rPr>
          <w:noProof/>
        </w:rPr>
        <w:t>Anmälningar om Förenta staternas domstolsförhandlingar avseende amerikanska sanktioner mot Iran</w:t>
      </w:r>
    </w:p>
    <w:p>
      <w:pPr>
        <w:spacing w:line="276" w:lineRule="auto"/>
        <w:rPr>
          <w:noProof/>
        </w:rPr>
      </w:pPr>
      <w:r>
        <w:rPr>
          <w:noProof/>
        </w:rPr>
        <w:t xml:space="preserve">Ett fåtal anmälningar avser domstolsförhandlingar i Förenta staterna mot personer och företag i EU avseende amerikanska extraterritoriella sanktioner mot Iran. I andra anmälningar rapporteras om begäranden från Förenta staterna att utlämna iranska medborgare som bor i EU och som anklagas för att ha brutit mot de amerikanska sanktionerna. Ytterligare andra anmälningar är kopplade till administrativa förfaranden inom bankområdet. </w:t>
      </w:r>
    </w:p>
    <w:p>
      <w:pPr>
        <w:pStyle w:val="Heading2"/>
        <w:tabs>
          <w:tab w:val="clear" w:pos="1276"/>
          <w:tab w:val="clear" w:pos="3718"/>
          <w:tab w:val="left" w:pos="851"/>
        </w:tabs>
        <w:ind w:left="1276" w:hanging="992"/>
        <w:rPr>
          <w:noProof/>
        </w:rPr>
      </w:pPr>
      <w:r>
        <w:rPr>
          <w:noProof/>
        </w:rPr>
        <w:t>Ovilja att investera i eller bedriva verksamhet med länder som omfattas av de förtecknade extraterritoriella lagarna</w:t>
      </w:r>
    </w:p>
    <w:p>
      <w:pPr>
        <w:spacing w:line="276" w:lineRule="auto"/>
        <w:rPr>
          <w:noProof/>
        </w:rPr>
      </w:pPr>
      <w:r>
        <w:rPr>
          <w:noProof/>
        </w:rPr>
        <w:t xml:space="preserve">Personer och företag i EU meddelade även kommissionen om sin ovilja att investera i länder som omfattas av de förtecknade extraterritoriella lagarna. De hade avskräckts från att bedriva legitim och laglig verksamhet i Kuba och Iran eftersom de förväntade sig möjliga negativa effekter. Personer och företag i EU som meddelade kommissionen eller sin behöriga nationella myndighet efterfrågade även försäkran och stöd innan de fattade ett beslut om investering. </w:t>
      </w:r>
    </w:p>
    <w:p>
      <w:pPr>
        <w:spacing w:line="276" w:lineRule="auto"/>
        <w:rPr>
          <w:noProof/>
        </w:rPr>
      </w:pPr>
      <w:r>
        <w:rPr>
          <w:noProof/>
        </w:rPr>
        <w:t>Kommissionen har endast mottagit ett begränsat antal anmälningar med dessa skäl, men bedömer att betydligt fler personer och företag i EU kan dela samma oro. Kommissionen följer noggrant alla anmälningar och uppmuntrar personer och företag i EU att kontakta dess avdelningar</w:t>
      </w:r>
      <w:r>
        <w:rPr>
          <w:noProof/>
          <w:vertAlign w:val="superscript"/>
        </w:rPr>
        <w:footnoteReference w:id="23"/>
      </w:r>
      <w:r>
        <w:rPr>
          <w:noProof/>
        </w:rPr>
        <w:t xml:space="preserve"> för att anmäla negativa effekter av de förtecknade extraterritoriella lagarna. </w:t>
      </w:r>
    </w:p>
    <w:p>
      <w:pPr>
        <w:pStyle w:val="Heading1"/>
        <w:spacing w:line="276" w:lineRule="auto"/>
        <w:rPr>
          <w:noProof/>
        </w:rPr>
      </w:pPr>
      <w:r>
        <w:rPr>
          <w:noProof/>
        </w:rPr>
        <w:t>Rättslig tolkning av den blockerande stadgan vid EU-domstolarna och nationella domstolar</w:t>
      </w:r>
    </w:p>
    <w:p>
      <w:pPr>
        <w:spacing w:line="276" w:lineRule="auto"/>
        <w:rPr>
          <w:noProof/>
        </w:rPr>
      </w:pPr>
      <w:r>
        <w:rPr>
          <w:noProof/>
        </w:rPr>
        <w:t>Kommissionen känner till nedanstående rättsliga förfaranden som avser den blockerande stadgan på EU-nivå och nationell nivå.</w:t>
      </w:r>
    </w:p>
    <w:p>
      <w:pPr>
        <w:pStyle w:val="Heading2"/>
        <w:rPr>
          <w:noProof/>
        </w:rPr>
      </w:pPr>
      <w:r>
        <w:rPr>
          <w:noProof/>
        </w:rPr>
        <w:t>EU-nivå</w:t>
      </w:r>
    </w:p>
    <w:p>
      <w:pPr>
        <w:spacing w:line="276" w:lineRule="auto"/>
        <w:rPr>
          <w:noProof/>
        </w:rPr>
      </w:pPr>
      <w:r>
        <w:rPr>
          <w:i/>
          <w:noProof/>
        </w:rPr>
        <w:t>Begäran om förhandsavgörande (Bank Melli Iran mot Telekom Deutschland GmbH</w:t>
      </w:r>
      <w:r>
        <w:rPr>
          <w:noProof/>
        </w:rPr>
        <w:t>, mål C-124/20).</w:t>
      </w:r>
    </w:p>
    <w:p>
      <w:pPr>
        <w:spacing w:line="276" w:lineRule="auto"/>
        <w:ind w:left="360"/>
        <w:rPr>
          <w:noProof/>
        </w:rPr>
      </w:pPr>
      <w:r>
        <w:rPr>
          <w:noProof/>
        </w:rPr>
        <w:t xml:space="preserve">Det pågående målet vid Europeiska unionens domstol avser en begäran från </w:t>
      </w:r>
      <w:r>
        <w:rPr>
          <w:i/>
          <w:noProof/>
        </w:rPr>
        <w:t>Hanseatisches Oberlandesgericht Hamburg</w:t>
      </w:r>
      <w:r>
        <w:rPr>
          <w:noProof/>
        </w:rPr>
        <w:t xml:space="preserve"> (Tyskland) om förhandsavgörande i enlighet med artikel 267 i fördraget om Europeiska unionens funktionssätt. Tvisten avser uppsägningen av telekommunikationstjänster mellan sökanden, Bank Melli Iran, och svaranden, Telekom Deutschland GmbH. Sökanden är en iransk bank som bildats enligt iransk lag och som har en filial i Hamburg i Tyskland. Svaranden är ett dotterbolag till Deutsche Telekom AG, en av Tysklands ledande leverantörer av telekommunikationstjänster, med huvudkontor i Bonn i Tyskland. </w:t>
      </w:r>
    </w:p>
    <w:p>
      <w:pPr>
        <w:spacing w:line="276" w:lineRule="auto"/>
        <w:rPr>
          <w:i/>
          <w:noProof/>
        </w:rPr>
      </w:pPr>
      <w:r>
        <w:rPr>
          <w:i/>
          <w:noProof/>
        </w:rPr>
        <w:t>Talan vid Europeiska unionens tribunal om att ogiltigförklara ett beslut (IFIC Holding AG mot kommissionen</w:t>
      </w:r>
      <w:r>
        <w:rPr>
          <w:noProof/>
        </w:rPr>
        <w:t>, mål T-8/21).</w:t>
      </w:r>
    </w:p>
    <w:p>
      <w:pPr>
        <w:spacing w:line="276" w:lineRule="auto"/>
        <w:ind w:left="426"/>
        <w:rPr>
          <w:noProof/>
        </w:rPr>
      </w:pPr>
      <w:r>
        <w:rPr>
          <w:noProof/>
        </w:rPr>
        <w:t>IFIC Holding, en investeringsgren vid Iran Foreign Investment Company (IFIC) som är belägen i Tyskland, väckte talan vid tribunalen för att överklaga det tillstånd som kommissionen beviljade Clearstream Banking AG den 28 april 2020, enligt artikel 5.2 i rådets förordning (EG) nr 2271/96 på bl.a. följande grunder: Åsidosättande av målsägandes rätt att höras och åsidosättande av motiveringsskyldigheten.</w:t>
      </w:r>
    </w:p>
    <w:p>
      <w:pPr>
        <w:spacing w:line="276" w:lineRule="auto"/>
        <w:rPr>
          <w:noProof/>
        </w:rPr>
      </w:pPr>
      <w:r>
        <w:rPr>
          <w:noProof/>
        </w:rPr>
        <w:t>De pågående målen vid Europeiska unionens domstol förväntas förenkla tolkningen och genomförandet av vissa bestämmelser i den blockerande stadgan och leda till ytterligare ökad rättssäkerhet och tydlighet avseende de olika förfaranden som fastställs i stadgan.</w:t>
      </w:r>
    </w:p>
    <w:p>
      <w:pPr>
        <w:pStyle w:val="Heading2"/>
        <w:rPr>
          <w:noProof/>
        </w:rPr>
      </w:pPr>
      <w:r>
        <w:rPr>
          <w:noProof/>
        </w:rPr>
        <w:t>Nationell nivå</w:t>
      </w:r>
    </w:p>
    <w:p>
      <w:pPr>
        <w:spacing w:line="276" w:lineRule="auto"/>
        <w:rPr>
          <w:noProof/>
        </w:rPr>
      </w:pPr>
      <w:r>
        <w:rPr>
          <w:noProof/>
        </w:rPr>
        <w:t xml:space="preserve">Kommissionen fick kännedom om tio rättsliga förfaranden vid medlemsstaternas domstolar som avsåg den blockerande stadgan. </w:t>
      </w:r>
    </w:p>
    <w:p>
      <w:pPr>
        <w:spacing w:line="276" w:lineRule="auto"/>
        <w:rPr>
          <w:noProof/>
        </w:rPr>
      </w:pPr>
      <w:r>
        <w:rPr>
          <w:noProof/>
        </w:rPr>
        <w:t>I Tyskland underrättade en bank ett internationellt logistikföretag om att den skulle säga upp sina tjänster och hänvisade till risken för amerikanska extraterritoriella sanktioner som skä</w:t>
      </w:r>
      <w:r>
        <w:rPr>
          <w:rStyle w:val="FootnoteReference"/>
          <w:noProof/>
          <w:lang w:val="en-IE"/>
        </w:rPr>
        <w:footnoteReference w:id="24"/>
      </w:r>
      <w:r>
        <w:rPr>
          <w:noProof/>
        </w:rPr>
        <w:t xml:space="preserve">l. Banken kunde enligt sina allmänna villkor säga upp tjänsterna om ett giltigt skäl uppgavs. Domstolen bedömde uppsägningen som lagenlig eftersom det i den blockerande stadgan inte föreskrivs att företag i EU måste fortsätta handla med iranska enheter om det skulle strida mot företagets kommersiella intressen. Domstolen ansåg att den risk som föreligger och risken att andra motsvarande banker skulle säga upp sitt samarbete för att undvika att utsätta sig för extraterritoriella sanktioner utgör ett sådant giltigt skäl till uppsägning av kontraktet. </w:t>
      </w:r>
    </w:p>
    <w:p>
      <w:pPr>
        <w:spacing w:line="276" w:lineRule="auto"/>
        <w:rPr>
          <w:noProof/>
        </w:rPr>
      </w:pPr>
      <w:r>
        <w:rPr>
          <w:noProof/>
        </w:rPr>
        <w:t>Ett annat mål i Tyskland avsåg uppsägningen av telekommunikationstjänster mellan en iransk banks filial belägen i EU som omfattas av amerikanska sanktioner och en större telekommunikationsleverantör</w:t>
      </w:r>
      <w:r>
        <w:rPr>
          <w:rStyle w:val="FootnoteReference"/>
          <w:noProof/>
          <w:lang w:val="en-IE"/>
        </w:rPr>
        <w:footnoteReference w:id="25"/>
      </w:r>
      <w:r>
        <w:rPr>
          <w:noProof/>
        </w:rPr>
        <w:t xml:space="preserve">. Eftersom banken kunde visa att den kunde fortsätta att betala för tjänsterna, och att den alltid hade kunnat göra det, utfärdade domstolen ett interimistiskt föreläggande som förpliktade telekommunikationsleverantören att återuppta tjänsterna tills avtalen löpt ut. Målet har vilandeförklarats eftersom det föreligger en begäran om förhandsavgörande hos Europeiska unionens domstol (se </w:t>
      </w:r>
      <w:r>
        <w:rPr>
          <w:i/>
          <w:iCs/>
          <w:noProof/>
        </w:rPr>
        <w:t>Bank Melli Iran mot Telekom Deutschland GmbH</w:t>
      </w:r>
      <w:r>
        <w:rPr>
          <w:noProof/>
        </w:rPr>
        <w:t xml:space="preserve"> ovan, mål C-124/20).</w:t>
      </w:r>
    </w:p>
    <w:p>
      <w:pPr>
        <w:spacing w:line="276" w:lineRule="auto"/>
        <w:rPr>
          <w:noProof/>
        </w:rPr>
      </w:pPr>
      <w:r>
        <w:rPr>
          <w:noProof/>
        </w:rPr>
        <w:t>I Nederländerna inleddes ett mål som avsåg ett distributionsavtal mellan Exact B.V. och Curaçao-baserade PAM International N.V. (PAM)</w:t>
      </w:r>
      <w:r>
        <w:rPr>
          <w:rStyle w:val="FootnoteReference"/>
          <w:noProof/>
        </w:rPr>
        <w:footnoteReference w:id="26"/>
      </w:r>
      <w:r>
        <w:rPr>
          <w:noProof/>
        </w:rPr>
        <w:t>. PAM distribuerade programvara som tillhandahölls av Exact B.V. till företag i Kuba. Exact B.V. sade upp detta avtal efter att ha förvärvats av ett investeringsföretag beläget i Förenta staterna. Domstolen beordrade Exact B.V. att fortsätta erbjuda sina tjänster och konstaterade vidare att Exact B.V. kan ha brutit mot den blockerande stadgan genom att säga upp avtalet.</w:t>
      </w:r>
    </w:p>
    <w:p>
      <w:pPr>
        <w:spacing w:line="276" w:lineRule="auto"/>
        <w:rPr>
          <w:noProof/>
        </w:rPr>
      </w:pPr>
      <w:r>
        <w:rPr>
          <w:noProof/>
        </w:rPr>
        <w:t>Kommissionen uppmärksammades på två mål som inletts i Italien. I det första målet meddelade en bank sin kund, ett företag som styrs av partner i Iran, om att banken skulle säga upp sina tjänster. Företaget inledde interimistiska förfaranden så att banken skulle åläggas att inte upphöra med sina tjänster En italiensk domstol fastslog att uppsägningen av dessa tjänster skulle bryta mot den blockerande stadgan och utfärdade ett preliminärt föreläggande mot banken för att förhindra att dessa tjänster sades upp</w:t>
      </w:r>
      <w:r>
        <w:rPr>
          <w:rStyle w:val="FootnoteReference"/>
          <w:noProof/>
        </w:rPr>
        <w:footnoteReference w:id="27"/>
      </w:r>
      <w:r>
        <w:rPr>
          <w:noProof/>
        </w:rPr>
        <w:t>.</w:t>
      </w:r>
    </w:p>
    <w:p>
      <w:pPr>
        <w:spacing w:line="276" w:lineRule="auto"/>
        <w:rPr>
          <w:noProof/>
        </w:rPr>
      </w:pPr>
      <w:r>
        <w:rPr>
          <w:noProof/>
        </w:rPr>
        <w:t>I det andra målet ingick ett italienskt företag ett leveransavtal med ett iranskt företag som senare kom att omfattas av amerikanska sanktioner. Det iranska företagets betalning frystes av det italienska företagets bank. Domstolen beslutade att medlen skulle frigöras, eftersom Förenta staternas upptagning av det iranska företaget i byråns förteckning över särskilt angivna medborgare inte hade någon effekt i EU enligt den blockerande stadgan och eftersom företaget därmed inte omfattades av sanktioner i EU</w:t>
      </w:r>
      <w:r>
        <w:rPr>
          <w:rStyle w:val="FootnoteReference"/>
          <w:noProof/>
        </w:rPr>
        <w:footnoteReference w:id="28"/>
      </w:r>
      <w:r>
        <w:rPr>
          <w:noProof/>
        </w:rPr>
        <w:t>.</w:t>
      </w:r>
    </w:p>
    <w:p>
      <w:pPr>
        <w:spacing w:line="276" w:lineRule="auto"/>
        <w:rPr>
          <w:noProof/>
        </w:rPr>
      </w:pPr>
      <w:r>
        <w:rPr>
          <w:noProof/>
        </w:rPr>
        <w:t>Kommissionen underrättades om flera förfaranden som gällde samma företag i Frankrike Efter ingåendet av ett avtal för varuleveranser till Iran kunde företaget inte ta emot betalningen. Detta var ett långvarigt problem eftersom företaget under flera år hade fått flera av sina bankkonton avslutade. Banken vägrade att överföra dessa medel och åberopade olika skäl, bland annat efterlevnad av amerikanska sanktioner. I den senaste uppdatering av domstolsförhandlingarna som kommissionen mottagit ansåg förstainstansdomstolen att banken inte borde ha avslutat företagets konto och sagt upp banktjänsterna utan förvarning. Domstolen ansåg emellertid också att det var lagenligt att säga upp banktjänsterna mot bakgrund av att banken stod inför ekonomiska och strategiska begränsningar, däribland möjligheten att Förenta staterna skulle införa sanktioner.</w:t>
      </w:r>
    </w:p>
    <w:p>
      <w:pPr>
        <w:pStyle w:val="Heading1"/>
        <w:spacing w:line="276" w:lineRule="auto"/>
        <w:rPr>
          <w:noProof/>
        </w:rPr>
      </w:pPr>
      <w:r>
        <w:rPr>
          <w:noProof/>
        </w:rPr>
        <w:t>Slutsats</w:t>
      </w:r>
    </w:p>
    <w:p>
      <w:pPr>
        <w:pStyle w:val="Text1"/>
        <w:spacing w:line="276" w:lineRule="auto"/>
        <w:ind w:left="0"/>
        <w:rPr>
          <w:noProof/>
        </w:rPr>
      </w:pPr>
      <w:r>
        <w:rPr>
          <w:noProof/>
        </w:rPr>
        <w:t xml:space="preserve">EU anser att tredjeländers extraterritoriella tillämpning av åtgärder mot EU-aktörer strider mot internationella lagar. Dessa åtgärder utgör ett hot mot den inre marknadens integritet och EU:s finansiella system, gör EU:s utrikespolitik mindre ändamålsenlig och påverkar laglig handel och investeringar eftersom den internationella rättens grundprinciper äventyras </w:t>
      </w:r>
    </w:p>
    <w:p>
      <w:pPr>
        <w:pStyle w:val="Text1"/>
        <w:spacing w:line="276" w:lineRule="auto"/>
        <w:ind w:left="0"/>
        <w:rPr>
          <w:noProof/>
        </w:rPr>
      </w:pPr>
      <w:r>
        <w:rPr>
          <w:noProof/>
        </w:rPr>
        <w:t>Med den information som samlats in med hjälp av anmälningsförfarandet i artikel 2 har kommissionen kunnat hålla sig uppdaterad om en rad framsteg som gjorts på det strategiska, juridiska, ekonomiska och finansiella områdena som påverkar personer och företag i EU, och i unionen som helhet. Kommissionen kommer att fortsätta att övervaka de förtecknade extraterritoriella lagarnas inverkan och informera Europaparlamentet och rådet i enlighet med artikel 7.a i den blockerande stadgan.</w:t>
      </w:r>
    </w:p>
    <w:p>
      <w:pPr>
        <w:pStyle w:val="Text1"/>
        <w:spacing w:line="276" w:lineRule="auto"/>
        <w:ind w:left="0"/>
        <w:rPr>
          <w:noProof/>
        </w:rPr>
      </w:pPr>
      <w:r>
        <w:rPr>
          <w:noProof/>
        </w:rPr>
        <w:t xml:space="preserve">Ett mångfaldigande av sådana sanktioner kräver en mer ingående diskussion om eventuella ytterligare åtgärder för att öka den avskräckande effekten och, om det krävs, motverka dem. Denna rapport kommer att bidra till diskussionen om genomförandet av kommissionens meddelande av den 19 januari 2021, </w:t>
      </w:r>
      <w:r>
        <w:rPr>
          <w:i/>
          <w:noProof/>
        </w:rPr>
        <w:t>Det europeiska ekonomiska och finansiella systemet:</w:t>
      </w:r>
      <w:r>
        <w:rPr>
          <w:noProof/>
        </w:rPr>
        <w:t xml:space="preserve"> </w:t>
      </w:r>
      <w:r>
        <w:rPr>
          <w:i/>
          <w:iCs/>
          <w:noProof/>
        </w:rPr>
        <w:t>främja öppenhet, styrka och motståndskraft</w:t>
      </w:r>
      <w:r>
        <w:rPr>
          <w:rStyle w:val="FootnoteReference"/>
          <w:noProof/>
        </w:rPr>
        <w:footnoteReference w:id="29"/>
      </w:r>
      <w:r>
        <w:rPr>
          <w:noProof/>
        </w:rPr>
        <w:t>. Kommissionen inledde en allmän reflektion om politiska alternativ för att modernisera EU:s verktygslåda i arbetet med att motverka effekterna av olaglig extraterritoriell tillämpning av tredjeländers ensidiga sanktioner mot personer och enheter i EU.</w:t>
      </w:r>
    </w:p>
    <w:p>
      <w:pPr>
        <w:pStyle w:val="Text1"/>
        <w:spacing w:line="276" w:lineRule="auto"/>
        <w:ind w:left="0"/>
        <w:rPr>
          <w:noProof/>
        </w:rPr>
      </w:pPr>
    </w:p>
    <w:sectPr>
      <w:headerReference w:type="even" r:id="rId30"/>
      <w:headerReference w:type="default" r:id="rId31"/>
      <w:footerReference w:type="even" r:id="rId32"/>
      <w:footerReference w:type="default" r:id="rId33"/>
      <w:headerReference w:type="first" r:id="rId34"/>
      <w:footerReference w:type="first" r:id="rId35"/>
      <w:pgSz w:w="11906" w:h="16838"/>
      <w:pgMar w:top="1020" w:right="1701" w:bottom="1020" w:left="1587" w:header="601" w:footer="1077"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pPr>
        <w:spacing w:after="0"/>
      </w:pPr>
      <w:r>
        <w:separator/>
      </w:r>
    </w:p>
  </w:endnote>
  <w:endnote w:type="continuationSeparator" w:id="0">
    <w:p>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Minion Pro">
    <w:altName w:val="Minion Pro"/>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CoverPage"/>
      <w:rPr>
        <w:rFonts w:ascii="Arial" w:hAnsi="Arial" w:cs="Arial"/>
        <w:b/>
        <w:sz w:val="48"/>
      </w:rPr>
    </w:pPr>
    <w:r>
      <w:rPr>
        <w:rFonts w:ascii="Arial" w:hAnsi="Arial" w:cs="Arial"/>
        <w:b/>
        <w:sz w:val="48"/>
      </w:rPr>
      <w:t>SV</w:t>
    </w:r>
    <w:r>
      <w:rPr>
        <w:rFonts w:ascii="Arial" w:hAnsi="Arial" w:cs="Arial"/>
        <w:b/>
        <w:sz w:val="48"/>
      </w:rPr>
      <w:tab/>
    </w:r>
    <w:r>
      <w:rPr>
        <w:rFonts w:ascii="Arial" w:hAnsi="Arial" w:cs="Arial"/>
        <w:b/>
        <w:sz w:val="48"/>
      </w:rPr>
      <w:tab/>
    </w:r>
    <w:r>
      <w:tab/>
    </w:r>
    <w:r>
      <w:rPr>
        <w:rFonts w:ascii="Arial" w:hAnsi="Arial" w:cs="Arial"/>
        <w:b/>
        <w:sz w:val="48"/>
      </w:rPr>
      <w:t>SV</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CoverPage"/>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jc w:val="center"/>
    </w:pPr>
    <w:r>
      <w:fldChar w:fldCharType="begin"/>
    </w:r>
    <w:r>
      <w:instrText>PAGE</w:instrText>
    </w:r>
    <w:r>
      <w:fldChar w:fldCharType="separate"/>
    </w:r>
    <w:r>
      <w:rPr>
        <w:noProof/>
      </w:rPr>
      <w:t>2</w:t>
    </w:r>
    <w: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jc w:val="right"/>
      <w:rPr>
        <w:rFonts w:ascii="Times New Roman" w:hAnsi="Times New Roman"/>
        <w:sz w:val="20"/>
      </w:rPr>
    </w:pPr>
    <w:r>
      <w:rPr>
        <w:rFonts w:ascii="Times New Roman" w:hAnsi="Times New Roman"/>
        <w:sz w:val="20"/>
      </w:rPr>
      <w:fldChar w:fldCharType="begin"/>
    </w:r>
    <w:r>
      <w:rPr>
        <w:rFonts w:ascii="Times New Roman" w:hAnsi="Times New Roman"/>
        <w:sz w:val="20"/>
      </w:rPr>
      <w:instrText xml:space="preserve"> PAGE   \* MERGEFORMAT </w:instrText>
    </w:r>
    <w:r>
      <w:rPr>
        <w:rFonts w:ascii="Times New Roman" w:hAnsi="Times New Roman"/>
        <w:sz w:val="20"/>
      </w:rPr>
      <w:fldChar w:fldCharType="separate"/>
    </w:r>
    <w:r>
      <w:rPr>
        <w:rFonts w:ascii="Times New Roman" w:hAnsi="Times New Roman"/>
        <w:noProof/>
        <w:sz w:val="20"/>
      </w:rPr>
      <w:t>1</w:t>
    </w:r>
    <w:r>
      <w:rPr>
        <w:rFonts w:ascii="Times New Roman" w:hAnsi="Times New Roman"/>
        <w:sz w:val="20"/>
      </w:rPr>
      <w:fldChar w:fldCharType="end"/>
    </w:r>
  </w:p>
  <w:p>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pPr>
        <w:spacing w:after="0"/>
      </w:pPr>
      <w:r>
        <w:separator/>
      </w:r>
    </w:p>
  </w:footnote>
  <w:footnote w:type="continuationSeparator" w:id="0">
    <w:p>
      <w:pPr>
        <w:spacing w:after="0"/>
      </w:pPr>
      <w:r>
        <w:continuationSeparator/>
      </w:r>
    </w:p>
  </w:footnote>
  <w:footnote w:id="1">
    <w:p>
      <w:pPr>
        <w:pStyle w:val="FootnoteText"/>
        <w:spacing w:after="0"/>
        <w:ind w:left="142" w:hanging="142"/>
      </w:pPr>
      <w:r>
        <w:rPr>
          <w:rStyle w:val="FootnoteReference"/>
        </w:rPr>
        <w:footnoteRef/>
      </w:r>
      <w:r>
        <w:t xml:space="preserve"> Rådets förordning (EG) nr 2271/96 av den 22 november 1996 om skydd mot följderna av tillämpning av extraterritoriell lagstiftning som antas av ett tredje land, och åtgärder som grundar sig på eller är en följd av denna lagstiftning (EGT L 309, 29.11.1996, s. 1).</w:t>
      </w:r>
    </w:p>
  </w:footnote>
  <w:footnote w:id="2">
    <w:p>
      <w:pPr>
        <w:pStyle w:val="FootnoteText"/>
        <w:spacing w:after="0"/>
        <w:ind w:left="0" w:firstLine="0"/>
      </w:pPr>
      <w:r>
        <w:rPr>
          <w:rStyle w:val="FootnoteReference"/>
        </w:rPr>
        <w:footnoteRef/>
      </w:r>
      <w:r>
        <w:t xml:space="preserve"> Artikel 7 a i den blockerande stadgan.</w:t>
      </w:r>
    </w:p>
  </w:footnote>
  <w:footnote w:id="3">
    <w:p>
      <w:pPr>
        <w:pStyle w:val="FootnoteText"/>
        <w:spacing w:after="0"/>
      </w:pPr>
      <w:r>
        <w:rPr>
          <w:rStyle w:val="FootnoteReference"/>
        </w:rPr>
        <w:footnoteRef/>
      </w:r>
      <w:r>
        <w:t xml:space="preserve"> Se avsnitt 2 nedan.</w:t>
      </w:r>
    </w:p>
  </w:footnote>
  <w:footnote w:id="4">
    <w:p>
      <w:pPr>
        <w:pStyle w:val="FootnoteText"/>
        <w:spacing w:after="0"/>
      </w:pPr>
      <w:r>
        <w:rPr>
          <w:rStyle w:val="FootnoteReference"/>
        </w:rPr>
        <w:footnoteRef/>
      </w:r>
      <w:r>
        <w:t xml:space="preserve"> Artikel 2 i den blockerande stadgan.</w:t>
      </w:r>
    </w:p>
  </w:footnote>
  <w:footnote w:id="5">
    <w:p>
      <w:pPr>
        <w:pStyle w:val="FootnoteText"/>
        <w:spacing w:after="0"/>
      </w:pPr>
      <w:r>
        <w:rPr>
          <w:rStyle w:val="FootnoteReference"/>
        </w:rPr>
        <w:footnoteRef/>
      </w:r>
      <w:r>
        <w:t xml:space="preserve"> Bilagan innehåller för närvarande amerikanska lagar riktade mot Iran och Kuba.</w:t>
      </w:r>
    </w:p>
  </w:footnote>
  <w:footnote w:id="6">
    <w:p>
      <w:pPr>
        <w:pStyle w:val="FootnoteText"/>
        <w:spacing w:after="0"/>
      </w:pPr>
      <w:r>
        <w:rPr>
          <w:rStyle w:val="FootnoteReference"/>
        </w:rPr>
        <w:footnoteRef/>
      </w:r>
      <w:r>
        <w:t xml:space="preserve"> EUT L 199I, 7.8.2018, s. 1.</w:t>
      </w:r>
    </w:p>
  </w:footnote>
  <w:footnote w:id="7">
    <w:p>
      <w:pPr>
        <w:pStyle w:val="FootnoteText"/>
        <w:spacing w:after="0"/>
      </w:pPr>
      <w:r>
        <w:rPr>
          <w:rStyle w:val="FootnoteReference"/>
        </w:rPr>
        <w:footnoteRef/>
      </w:r>
      <w:r>
        <w:t xml:space="preserve"> EUT L 199I, 7.8.2018, s. 7.</w:t>
      </w:r>
    </w:p>
  </w:footnote>
  <w:footnote w:id="8">
    <w:p>
      <w:pPr>
        <w:pStyle w:val="FootnoteText"/>
        <w:spacing w:after="0"/>
      </w:pPr>
      <w:r>
        <w:rPr>
          <w:rStyle w:val="FootnoteReference"/>
        </w:rPr>
        <w:footnoteRef/>
      </w:r>
      <w:r>
        <w:t xml:space="preserve"> EUT C 277I, 7.8.2018, s. 4. </w:t>
      </w:r>
    </w:p>
  </w:footnote>
  <w:footnote w:id="9">
    <w:p>
      <w:pPr>
        <w:pStyle w:val="FootnoteText"/>
        <w:spacing w:after="0"/>
      </w:pPr>
      <w:r>
        <w:rPr>
          <w:rStyle w:val="FootnoteReference"/>
        </w:rPr>
        <w:footnoteRef/>
      </w:r>
      <w:r>
        <w:t xml:space="preserve"> Den blockerande stadgan är tillämplig för de fysiska och juridiska personer som avses i artikel 11. </w:t>
      </w:r>
    </w:p>
  </w:footnote>
  <w:footnote w:id="10">
    <w:p>
      <w:pPr>
        <w:pStyle w:val="FootnoteText"/>
        <w:spacing w:after="0"/>
      </w:pPr>
      <w:r>
        <w:rPr>
          <w:rStyle w:val="FootnoteReference"/>
        </w:rPr>
        <w:footnoteRef/>
      </w:r>
      <w:r>
        <w:t xml:space="preserve"> Artikel 2 i den blockerande stadgan.</w:t>
      </w:r>
    </w:p>
  </w:footnote>
  <w:footnote w:id="11">
    <w:p>
      <w:pPr>
        <w:pStyle w:val="FootnoteText"/>
        <w:spacing w:after="0"/>
      </w:pPr>
      <w:r>
        <w:rPr>
          <w:rStyle w:val="FootnoteReference"/>
        </w:rPr>
        <w:footnoteRef/>
      </w:r>
      <w:r>
        <w:t xml:space="preserve"> Se fotnot 6 ovan.</w:t>
      </w:r>
    </w:p>
  </w:footnote>
  <w:footnote w:id="12">
    <w:p>
      <w:pPr>
        <w:pStyle w:val="FootnoteText"/>
        <w:spacing w:after="0"/>
      </w:pPr>
      <w:r>
        <w:rPr>
          <w:rStyle w:val="FootnoteReference"/>
        </w:rPr>
        <w:footnoteRef/>
      </w:r>
      <w:r>
        <w:t xml:space="preserve"> Se fotnot 6 ovan.</w:t>
      </w:r>
    </w:p>
  </w:footnote>
  <w:footnote w:id="13">
    <w:p>
      <w:pPr>
        <w:pStyle w:val="FootnoteText"/>
        <w:spacing w:after="0"/>
      </w:pPr>
      <w:r>
        <w:rPr>
          <w:rStyle w:val="FootnoteReference"/>
        </w:rPr>
        <w:footnoteRef/>
      </w:r>
      <w:r>
        <w:t xml:space="preserve"> Artikel 7 a i den blockerande stadgan.</w:t>
      </w:r>
    </w:p>
  </w:footnote>
  <w:footnote w:id="14">
    <w:p>
      <w:pPr>
        <w:pStyle w:val="FootnoteText"/>
        <w:spacing w:after="0"/>
      </w:pPr>
      <w:r>
        <w:rPr>
          <w:vertAlign w:val="superscript"/>
        </w:rPr>
        <w:footnoteRef/>
      </w:r>
      <w:r>
        <w:t xml:space="preserve"> Artiklarna 5 och 7 b i den blockerande stadgan.</w:t>
      </w:r>
    </w:p>
  </w:footnote>
  <w:footnote w:id="15">
    <w:p>
      <w:pPr>
        <w:pStyle w:val="FootnoteText"/>
        <w:spacing w:after="0"/>
      </w:pPr>
      <w:r>
        <w:rPr>
          <w:rStyle w:val="FootnoteReference"/>
        </w:rPr>
        <w:footnoteRef/>
      </w:r>
      <w:r>
        <w:t xml:space="preserve"> Artikel 8 i den blockerande stadgan.</w:t>
      </w:r>
    </w:p>
  </w:footnote>
  <w:footnote w:id="16">
    <w:p>
      <w:pPr>
        <w:pStyle w:val="FootnoteText"/>
        <w:spacing w:after="0"/>
      </w:pPr>
      <w:r>
        <w:rPr>
          <w:rStyle w:val="FootnoteReference"/>
        </w:rPr>
        <w:footnoteRef/>
      </w:r>
      <w:r>
        <w:t xml:space="preserve"> Artikel 1 i den blockerande stadgan.</w:t>
      </w:r>
    </w:p>
  </w:footnote>
  <w:footnote w:id="17">
    <w:p>
      <w:pPr>
        <w:pStyle w:val="FootnoteText"/>
        <w:spacing w:after="0"/>
        <w:ind w:left="142" w:hanging="142"/>
        <w:rPr>
          <w:lang w:val="en-US"/>
        </w:rPr>
      </w:pPr>
      <w:r>
        <w:rPr>
          <w:rStyle w:val="FootnoteReference"/>
        </w:rPr>
        <w:footnoteRef/>
      </w:r>
      <w:r>
        <w:rPr>
          <w:lang w:val="en-US"/>
        </w:rPr>
        <w:t xml:space="preserve"> Se exempelvis </w:t>
      </w:r>
      <w:r>
        <w:rPr>
          <w:i/>
          <w:iCs/>
          <w:lang w:val="en-US"/>
        </w:rPr>
        <w:t>Joint Statement by Federica Mogherini, Chrystia Freeland and Cecilia Malmström on the decision of the United States to further activate Title III of the Helms Burton (Libertad) Act</w:t>
      </w:r>
      <w:r>
        <w:rPr>
          <w:lang w:val="en-US"/>
        </w:rPr>
        <w:t xml:space="preserve">, som finns tillgänglig på: </w:t>
      </w:r>
      <w:hyperlink r:id="rId1" w:history="1">
        <w:r>
          <w:rPr>
            <w:rStyle w:val="Hyperlink"/>
            <w:lang w:val="en-US"/>
          </w:rPr>
          <w:t>https://eeas.europa.eu/headquarters/headquarters-homepage/61181/joint-statement-federica-mogherini-chrystia-freeland-and-cecilia-malmström-decision-united_ko</w:t>
        </w:r>
      </w:hyperlink>
      <w:r>
        <w:rPr>
          <w:lang w:val="en-US"/>
        </w:rPr>
        <w:t xml:space="preserve">. </w:t>
      </w:r>
    </w:p>
  </w:footnote>
  <w:footnote w:id="18">
    <w:p>
      <w:pPr>
        <w:pStyle w:val="FootnoteText"/>
        <w:spacing w:after="0"/>
      </w:pPr>
      <w:r>
        <w:rPr>
          <w:rStyle w:val="FootnoteReference"/>
        </w:rPr>
        <w:footnoteRef/>
      </w:r>
      <w:r>
        <w:t xml:space="preserve"> Förteckning över nationella behöriga myndigheter, </w:t>
      </w:r>
      <w:r>
        <w:rPr>
          <w:rStyle w:val="Emphasis"/>
          <w:i w:val="0"/>
        </w:rPr>
        <w:t>EUT C 251, 28.6.2021, s. 11</w:t>
      </w:r>
      <w:r>
        <w:t xml:space="preserve">, </w:t>
      </w:r>
      <w:r>
        <w:rPr>
          <w:i/>
        </w:rPr>
        <w:t>https://eur-lex.europa.eu/legal-content/SV/TXT/?uri=CELEX%3A52021XC0628%2801%29</w:t>
      </w:r>
      <w:r>
        <w:t>.</w:t>
      </w:r>
    </w:p>
  </w:footnote>
  <w:footnote w:id="19">
    <w:p>
      <w:pPr>
        <w:pStyle w:val="FootnoteText"/>
        <w:rPr>
          <w:lang w:val="fr-BE"/>
        </w:rPr>
      </w:pPr>
      <w:r>
        <w:rPr>
          <w:rStyle w:val="FootnoteReference"/>
        </w:rPr>
        <w:footnoteRef/>
      </w:r>
      <w:r>
        <w:rPr>
          <w:lang w:val="fr-BE"/>
        </w:rPr>
        <w:t xml:space="preserve"> Se https://www.govinfo.gov/</w:t>
      </w:r>
    </w:p>
  </w:footnote>
  <w:footnote w:id="20">
    <w:p>
      <w:pPr>
        <w:pStyle w:val="FootnoteText"/>
        <w:spacing w:after="0"/>
        <w:ind w:left="142" w:hanging="142"/>
      </w:pPr>
      <w:r>
        <w:rPr>
          <w:rStyle w:val="FootnoteReference"/>
        </w:rPr>
        <w:footnoteRef/>
      </w:r>
      <w:r>
        <w:rPr>
          <w:lang w:val="en-US"/>
        </w:rPr>
        <w:t xml:space="preserve"> 31 Code of Federal Regulations, part 501 Economic Sanctions Enforcement Guidelines. </w:t>
      </w:r>
      <w:r>
        <w:t>Se https://home.treasury.gov/system/files/126/fr74_57593.pdf</w:t>
      </w:r>
    </w:p>
  </w:footnote>
  <w:footnote w:id="21">
    <w:p>
      <w:pPr>
        <w:pStyle w:val="FootnoteText"/>
        <w:spacing w:after="0"/>
        <w:ind w:left="142" w:hanging="142"/>
      </w:pPr>
      <w:r>
        <w:rPr>
          <w:rStyle w:val="FootnoteReference"/>
        </w:rPr>
        <w:footnoteRef/>
      </w:r>
      <w:r>
        <w:t xml:space="preserve"> Byrån är den amerikanska myndighet som utfärdar och verkställer ekonomiska sanktioner och handelssanktioner för att stödja de amerikanska målen för nationell säkerhet och utrikespolitik.</w:t>
      </w:r>
    </w:p>
  </w:footnote>
  <w:footnote w:id="22">
    <w:p>
      <w:pPr>
        <w:pStyle w:val="FootnoteText"/>
        <w:spacing w:after="0"/>
        <w:ind w:left="142" w:hanging="142"/>
      </w:pPr>
      <w:r>
        <w:rPr>
          <w:rStyle w:val="FootnoteReference"/>
        </w:rPr>
        <w:footnoteRef/>
      </w:r>
      <w:r>
        <w:t xml:space="preserve"> Banker och andra leverantörer av finansiella tjänster ingår inte i denna kategori eftersom de omfattades av ovannämnda särskilda kategori (se 3.2 ovan).</w:t>
      </w:r>
    </w:p>
  </w:footnote>
  <w:footnote w:id="23">
    <w:p>
      <w:pPr>
        <w:pStyle w:val="FootnoteText"/>
        <w:spacing w:after="0"/>
        <w:ind w:left="284" w:hanging="284"/>
      </w:pPr>
      <w:r>
        <w:rPr>
          <w:rStyle w:val="FootnoteReference"/>
        </w:rPr>
        <w:footnoteRef/>
      </w:r>
      <w:r>
        <w:t xml:space="preserve"> Kommissionen kan nås genom enhet E5, Rue de Spa 2, 1049 Bryssel, Belgien, eller via följande e-postadress: </w:t>
      </w:r>
      <w:hyperlink r:id="rId2" w:history="1">
        <w:r>
          <w:rPr>
            <w:rStyle w:val="Hyperlink"/>
          </w:rPr>
          <w:t>RELEX-SANCTIONS@ec.europa.eu</w:t>
        </w:r>
      </w:hyperlink>
      <w:r>
        <w:t xml:space="preserve">. </w:t>
      </w:r>
    </w:p>
  </w:footnote>
  <w:footnote w:id="24">
    <w:p>
      <w:pPr>
        <w:pStyle w:val="FootnoteText"/>
        <w:spacing w:after="0"/>
      </w:pPr>
      <w:r>
        <w:rPr>
          <w:rStyle w:val="FootnoteReference"/>
        </w:rPr>
        <w:footnoteRef/>
      </w:r>
      <w:r>
        <w:t xml:space="preserve"> LG Hamburgs 18:e tvistemålsavdelning, dom av den 15 oktober 2018, 318 O 330/18.</w:t>
      </w:r>
    </w:p>
  </w:footnote>
  <w:footnote w:id="25">
    <w:p>
      <w:pPr>
        <w:pStyle w:val="FootnoteText"/>
        <w:spacing w:after="0"/>
      </w:pPr>
      <w:r>
        <w:rPr>
          <w:rStyle w:val="FootnoteReference"/>
        </w:rPr>
        <w:footnoteRef/>
      </w:r>
      <w:r>
        <w:t xml:space="preserve"> LG Hamburgs 19:e tvistemålsavdelning, dom av den 28 november 2018, 319 O 265/18.</w:t>
      </w:r>
    </w:p>
  </w:footnote>
  <w:footnote w:id="26">
    <w:p>
      <w:pPr>
        <w:pStyle w:val="FootnoteText"/>
        <w:spacing w:after="0"/>
      </w:pPr>
      <w:r>
        <w:rPr>
          <w:rStyle w:val="FootnoteReference"/>
        </w:rPr>
        <w:footnoteRef/>
      </w:r>
      <w:r>
        <w:t xml:space="preserve"> PAM International N.V., Curaçao mot Exact Software Nederland B.V., dom av den 25 juni 2019, mål C-09-573240-KG ZA 19-430.</w:t>
      </w:r>
    </w:p>
  </w:footnote>
  <w:footnote w:id="27">
    <w:p>
      <w:pPr>
        <w:pStyle w:val="FootnoteText"/>
        <w:spacing w:after="0"/>
      </w:pPr>
      <w:r>
        <w:rPr>
          <w:rStyle w:val="FootnoteReference"/>
        </w:rPr>
        <w:footnoteRef/>
      </w:r>
      <w:r>
        <w:t xml:space="preserve"> Se Italian Judgments on the EU Blocking Regulation (EU Sanctions, den 2 oktober 2019), www.europeansanctions.com/2019/10/italian-judgments-on-the-eu-blocking-regulation. </w:t>
      </w:r>
    </w:p>
  </w:footnote>
  <w:footnote w:id="28">
    <w:p>
      <w:pPr>
        <w:pStyle w:val="FootnoteText"/>
        <w:spacing w:after="0"/>
      </w:pPr>
      <w:r>
        <w:rPr>
          <w:rStyle w:val="FootnoteReference"/>
        </w:rPr>
        <w:footnoteRef/>
      </w:r>
      <w:r>
        <w:t xml:space="preserve"> Se fotnot 27 ovan.</w:t>
      </w:r>
    </w:p>
  </w:footnote>
  <w:footnote w:id="29">
    <w:p>
      <w:pPr>
        <w:pStyle w:val="FootnoteText"/>
      </w:pPr>
      <w:r>
        <w:rPr>
          <w:rStyle w:val="FootnoteReference"/>
        </w:rPr>
        <w:footnoteRef/>
      </w:r>
      <w:r>
        <w:t xml:space="preserve"> Se https://ec.europa.eu/info/publications/210119-economic-financial-system-communication_sv</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CoverPag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CoverPage"/>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spacing w:after="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368029DA"/>
    <w:lvl w:ilvl="0">
      <w:start w:val="1"/>
      <w:numFmt w:val="decimal"/>
      <w:pStyle w:val="ListNumber5"/>
      <w:lvlText w:val="%1."/>
      <w:lvlJc w:val="left"/>
      <w:pPr>
        <w:tabs>
          <w:tab w:val="num" w:pos="1492"/>
        </w:tabs>
        <w:ind w:left="1492" w:hanging="360"/>
      </w:pPr>
    </w:lvl>
  </w:abstractNum>
  <w:abstractNum w:abstractNumId="1">
    <w:nsid w:val="FFFFFF80"/>
    <w:multiLevelType w:val="singleLevel"/>
    <w:tmpl w:val="1FA45650"/>
    <w:lvl w:ilvl="0">
      <w:start w:val="1"/>
      <w:numFmt w:val="bullet"/>
      <w:pStyle w:val="ListBullet5"/>
      <w:lvlText w:val=""/>
      <w:lvlJc w:val="left"/>
      <w:pPr>
        <w:tabs>
          <w:tab w:val="num" w:pos="1492"/>
        </w:tabs>
        <w:ind w:left="1492" w:hanging="360"/>
      </w:pPr>
      <w:rPr>
        <w:rFonts w:ascii="Symbol" w:hAnsi="Symbol" w:hint="default"/>
      </w:rPr>
    </w:lvl>
  </w:abstractNum>
  <w:abstractNum w:abstractNumId="2">
    <w:nsid w:val="FFFFFF89"/>
    <w:multiLevelType w:val="singleLevel"/>
    <w:tmpl w:val="38F6C18C"/>
    <w:lvl w:ilvl="0">
      <w:start w:val="1"/>
      <w:numFmt w:val="bullet"/>
      <w:lvlText w:val=""/>
      <w:lvlJc w:val="left"/>
      <w:pPr>
        <w:tabs>
          <w:tab w:val="num" w:pos="360"/>
        </w:tabs>
        <w:ind w:left="360" w:hanging="360"/>
      </w:pPr>
      <w:rPr>
        <w:rFonts w:ascii="Symbol" w:hAnsi="Symbol" w:hint="default"/>
      </w:rPr>
    </w:lvl>
  </w:abstractNum>
  <w:abstractNum w:abstractNumId="3">
    <w:nsid w:val="055652B5"/>
    <w:multiLevelType w:val="multilevel"/>
    <w:tmpl w:val="B10A6748"/>
    <w:lvl w:ilvl="0">
      <w:start w:val="1"/>
      <w:numFmt w:val="decimal"/>
      <w:pStyle w:val="ListNumber3"/>
      <w:lvlText w:val="(%1)"/>
      <w:lvlJc w:val="left"/>
      <w:pPr>
        <w:tabs>
          <w:tab w:val="num" w:pos="2625"/>
        </w:tabs>
        <w:ind w:left="2625" w:hanging="709"/>
      </w:pPr>
    </w:lvl>
    <w:lvl w:ilvl="1">
      <w:start w:val="1"/>
      <w:numFmt w:val="lowerLetter"/>
      <w:pStyle w:val="ListNumber3Level2"/>
      <w:lvlText w:val="(%2)"/>
      <w:lvlJc w:val="left"/>
      <w:pPr>
        <w:tabs>
          <w:tab w:val="num" w:pos="3333"/>
        </w:tabs>
        <w:ind w:left="3333" w:hanging="708"/>
      </w:pPr>
    </w:lvl>
    <w:lvl w:ilvl="2">
      <w:start w:val="1"/>
      <w:numFmt w:val="bullet"/>
      <w:pStyle w:val="ListNumber3Level3"/>
      <w:lvlText w:val="–"/>
      <w:lvlJc w:val="left"/>
      <w:pPr>
        <w:tabs>
          <w:tab w:val="num" w:pos="4042"/>
        </w:tabs>
        <w:ind w:left="4042" w:hanging="709"/>
      </w:pPr>
      <w:rPr>
        <w:rFonts w:ascii="Times New Roman" w:hAnsi="Times New Roman"/>
      </w:rPr>
    </w:lvl>
    <w:lvl w:ilvl="3">
      <w:start w:val="1"/>
      <w:numFmt w:val="bullet"/>
      <w:pStyle w:val="ListNumber3Level4"/>
      <w:lvlText w:val=""/>
      <w:lvlJc w:val="left"/>
      <w:pPr>
        <w:tabs>
          <w:tab w:val="num" w:pos="4751"/>
        </w:tabs>
        <w:ind w:left="4751"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
    <w:nsid w:val="05EC65EE"/>
    <w:multiLevelType w:val="hybridMultilevel"/>
    <w:tmpl w:val="D048D154"/>
    <w:lvl w:ilvl="0" w:tplc="37CE4FEE">
      <w:start w:val="1"/>
      <w:numFmt w:val="bullet"/>
      <w:lvlText w:val=""/>
      <w:lvlJc w:val="left"/>
      <w:pPr>
        <w:ind w:left="720" w:hanging="360"/>
      </w:pPr>
      <w:rPr>
        <w:rFonts w:ascii="Symbol" w:hAnsi="Symbol" w:hint="default"/>
        <w:b/>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0D2B57CC"/>
    <w:multiLevelType w:val="hybridMultilevel"/>
    <w:tmpl w:val="B82E4A8A"/>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1262685D"/>
    <w:multiLevelType w:val="singleLevel"/>
    <w:tmpl w:val="D96C95A2"/>
    <w:lvl w:ilvl="0">
      <w:start w:val="1"/>
      <w:numFmt w:val="bullet"/>
      <w:pStyle w:val="ListBullet4"/>
      <w:lvlText w:val=""/>
      <w:lvlJc w:val="left"/>
      <w:pPr>
        <w:tabs>
          <w:tab w:val="num" w:pos="3163"/>
        </w:tabs>
        <w:ind w:left="3163" w:hanging="283"/>
      </w:pPr>
      <w:rPr>
        <w:rFonts w:ascii="Symbol" w:hAnsi="Symbol"/>
      </w:rPr>
    </w:lvl>
  </w:abstractNum>
  <w:abstractNum w:abstractNumId="7">
    <w:nsid w:val="143D0A16"/>
    <w:multiLevelType w:val="singleLevel"/>
    <w:tmpl w:val="01FA5668"/>
    <w:lvl w:ilvl="0">
      <w:start w:val="1"/>
      <w:numFmt w:val="bullet"/>
      <w:pStyle w:val="ListBullet3"/>
      <w:lvlText w:val=""/>
      <w:lvlJc w:val="left"/>
      <w:pPr>
        <w:tabs>
          <w:tab w:val="num" w:pos="2199"/>
        </w:tabs>
        <w:ind w:left="2199" w:hanging="283"/>
      </w:pPr>
      <w:rPr>
        <w:rFonts w:ascii="Symbol" w:hAnsi="Symbol"/>
      </w:rPr>
    </w:lvl>
  </w:abstractNum>
  <w:abstractNum w:abstractNumId="8">
    <w:nsid w:val="14D159E2"/>
    <w:multiLevelType w:val="hybridMultilevel"/>
    <w:tmpl w:val="04BE640C"/>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24225E59"/>
    <w:multiLevelType w:val="singleLevel"/>
    <w:tmpl w:val="47806A40"/>
    <w:lvl w:ilvl="0">
      <w:start w:val="1"/>
      <w:numFmt w:val="bullet"/>
      <w:pStyle w:val="ListDash4"/>
      <w:lvlText w:val="–"/>
      <w:lvlJc w:val="left"/>
      <w:pPr>
        <w:tabs>
          <w:tab w:val="num" w:pos="3163"/>
        </w:tabs>
        <w:ind w:left="3163" w:hanging="283"/>
      </w:pPr>
      <w:rPr>
        <w:rFonts w:ascii="Times New Roman" w:hAnsi="Times New Roman"/>
      </w:rPr>
    </w:lvl>
  </w:abstractNum>
  <w:abstractNum w:abstractNumId="10">
    <w:nsid w:val="2C8D5AD3"/>
    <w:multiLevelType w:val="singleLevel"/>
    <w:tmpl w:val="82EE6B70"/>
    <w:lvl w:ilvl="0">
      <w:start w:val="1"/>
      <w:numFmt w:val="bullet"/>
      <w:pStyle w:val="ListBullet2"/>
      <w:lvlText w:val=""/>
      <w:lvlJc w:val="left"/>
      <w:pPr>
        <w:tabs>
          <w:tab w:val="num" w:pos="1360"/>
        </w:tabs>
        <w:ind w:left="1360" w:hanging="283"/>
      </w:pPr>
      <w:rPr>
        <w:rFonts w:ascii="Symbol" w:hAnsi="Symbol"/>
      </w:rPr>
    </w:lvl>
  </w:abstractNum>
  <w:abstractNum w:abstractNumId="11">
    <w:nsid w:val="3A7730C4"/>
    <w:multiLevelType w:val="singleLevel"/>
    <w:tmpl w:val="456C96DE"/>
    <w:lvl w:ilvl="0">
      <w:start w:val="1"/>
      <w:numFmt w:val="bullet"/>
      <w:pStyle w:val="ListBullet1"/>
      <w:lvlText w:val=""/>
      <w:lvlJc w:val="left"/>
      <w:pPr>
        <w:tabs>
          <w:tab w:val="num" w:pos="765"/>
        </w:tabs>
        <w:ind w:left="765" w:hanging="283"/>
      </w:pPr>
      <w:rPr>
        <w:rFonts w:ascii="Symbol" w:hAnsi="Symbol"/>
      </w:rPr>
    </w:lvl>
  </w:abstractNum>
  <w:abstractNum w:abstractNumId="12">
    <w:nsid w:val="3ED66231"/>
    <w:multiLevelType w:val="hybridMultilevel"/>
    <w:tmpl w:val="B274980C"/>
    <w:lvl w:ilvl="0" w:tplc="08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428415E7"/>
    <w:multiLevelType w:val="multilevel"/>
    <w:tmpl w:val="92100ADA"/>
    <w:lvl w:ilvl="0">
      <w:start w:val="1"/>
      <w:numFmt w:val="decimal"/>
      <w:pStyle w:val="ListNumber"/>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4">
    <w:nsid w:val="45481EA4"/>
    <w:multiLevelType w:val="multilevel"/>
    <w:tmpl w:val="28525E6E"/>
    <w:lvl w:ilvl="0">
      <w:start w:val="1"/>
      <w:numFmt w:val="decimal"/>
      <w:pStyle w:val="ListNumber2"/>
      <w:lvlText w:val="(%1)"/>
      <w:lvlJc w:val="left"/>
      <w:pPr>
        <w:tabs>
          <w:tab w:val="num" w:pos="1786"/>
        </w:tabs>
        <w:ind w:left="1786" w:hanging="709"/>
      </w:pPr>
    </w:lvl>
    <w:lvl w:ilvl="1">
      <w:start w:val="1"/>
      <w:numFmt w:val="lowerLetter"/>
      <w:pStyle w:val="ListNumber2Level2"/>
      <w:lvlText w:val="(%2)"/>
      <w:lvlJc w:val="left"/>
      <w:pPr>
        <w:tabs>
          <w:tab w:val="num" w:pos="2494"/>
        </w:tabs>
        <w:ind w:left="2494" w:hanging="708"/>
      </w:pPr>
    </w:lvl>
    <w:lvl w:ilvl="2">
      <w:start w:val="1"/>
      <w:numFmt w:val="bullet"/>
      <w:pStyle w:val="ListNumber2Level3"/>
      <w:lvlText w:val="–"/>
      <w:lvlJc w:val="left"/>
      <w:pPr>
        <w:tabs>
          <w:tab w:val="num" w:pos="3203"/>
        </w:tabs>
        <w:ind w:left="3203" w:hanging="709"/>
      </w:pPr>
      <w:rPr>
        <w:rFonts w:ascii="Times New Roman" w:hAnsi="Times New Roman"/>
      </w:rPr>
    </w:lvl>
    <w:lvl w:ilvl="3">
      <w:start w:val="1"/>
      <w:numFmt w:val="bullet"/>
      <w:pStyle w:val="ListNumber2Level4"/>
      <w:lvlText w:val=""/>
      <w:lvlJc w:val="left"/>
      <w:pPr>
        <w:tabs>
          <w:tab w:val="num" w:pos="3912"/>
        </w:tabs>
        <w:ind w:left="3912"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5">
    <w:nsid w:val="465D172F"/>
    <w:multiLevelType w:val="multilevel"/>
    <w:tmpl w:val="6AEE9BA4"/>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rPr>
    </w:lvl>
    <w:lvl w:ilvl="3">
      <w:start w:val="1"/>
      <w:numFmt w:val="bullet"/>
      <w:pStyle w:val="ListNumber1Level4"/>
      <w:lvlText w:val=""/>
      <w:lvlJc w:val="left"/>
      <w:pPr>
        <w:tabs>
          <w:tab w:val="num" w:pos="3317"/>
        </w:tabs>
        <w:ind w:left="331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6">
    <w:nsid w:val="48860AAB"/>
    <w:multiLevelType w:val="multilevel"/>
    <w:tmpl w:val="E8744BD2"/>
    <w:lvl w:ilvl="0">
      <w:start w:val="1"/>
      <w:numFmt w:val="decimal"/>
      <w:pStyle w:val="ListNumber4"/>
      <w:lvlText w:val="(%1)"/>
      <w:lvlJc w:val="left"/>
      <w:pPr>
        <w:tabs>
          <w:tab w:val="num" w:pos="3589"/>
        </w:tabs>
        <w:ind w:left="3589" w:hanging="709"/>
      </w:pPr>
    </w:lvl>
    <w:lvl w:ilvl="1">
      <w:start w:val="1"/>
      <w:numFmt w:val="lowerLetter"/>
      <w:pStyle w:val="ListNumber4Level2"/>
      <w:lvlText w:val="(%2)"/>
      <w:lvlJc w:val="left"/>
      <w:pPr>
        <w:tabs>
          <w:tab w:val="num" w:pos="4297"/>
        </w:tabs>
        <w:ind w:left="4297" w:hanging="708"/>
      </w:pPr>
    </w:lvl>
    <w:lvl w:ilvl="2">
      <w:start w:val="1"/>
      <w:numFmt w:val="bullet"/>
      <w:pStyle w:val="ListNumber4Level3"/>
      <w:lvlText w:val="–"/>
      <w:lvlJc w:val="left"/>
      <w:pPr>
        <w:tabs>
          <w:tab w:val="num" w:pos="5006"/>
        </w:tabs>
        <w:ind w:left="5006" w:hanging="709"/>
      </w:pPr>
      <w:rPr>
        <w:rFonts w:ascii="Times New Roman" w:hAnsi="Times New Roman"/>
      </w:rPr>
    </w:lvl>
    <w:lvl w:ilvl="3">
      <w:start w:val="1"/>
      <w:numFmt w:val="bullet"/>
      <w:pStyle w:val="ListNumber4Level4"/>
      <w:lvlText w:val=""/>
      <w:lvlJc w:val="left"/>
      <w:pPr>
        <w:tabs>
          <w:tab w:val="num" w:pos="5715"/>
        </w:tabs>
        <w:ind w:left="571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7">
    <w:nsid w:val="4A432656"/>
    <w:multiLevelType w:val="multilevel"/>
    <w:tmpl w:val="7A3CE2F8"/>
    <w:lvl w:ilvl="0">
      <w:start w:val="1"/>
      <w:numFmt w:val="decimal"/>
      <w:pStyle w:val="Heading1"/>
      <w:lvlText w:val="%1."/>
      <w:lvlJc w:val="left"/>
      <w:pPr>
        <w:tabs>
          <w:tab w:val="num" w:pos="480"/>
        </w:tabs>
        <w:ind w:left="480" w:hanging="480"/>
      </w:pPr>
    </w:lvl>
    <w:lvl w:ilvl="1">
      <w:start w:val="1"/>
      <w:numFmt w:val="decimal"/>
      <w:pStyle w:val="Heading2"/>
      <w:lvlText w:val="%1.%2."/>
      <w:lvlJc w:val="left"/>
      <w:pPr>
        <w:tabs>
          <w:tab w:val="num" w:pos="3718"/>
        </w:tabs>
        <w:ind w:left="3718" w:hanging="600"/>
      </w:pPr>
    </w:lvl>
    <w:lvl w:ilvl="2">
      <w:start w:val="1"/>
      <w:numFmt w:val="decimal"/>
      <w:pStyle w:val="Heading3"/>
      <w:lvlText w:val="%1.%2.%3."/>
      <w:lvlJc w:val="left"/>
      <w:pPr>
        <w:tabs>
          <w:tab w:val="num" w:pos="1920"/>
        </w:tabs>
        <w:ind w:left="1920" w:hanging="840"/>
      </w:pPr>
      <w:rPr>
        <w:rFonts w:ascii="Times New Roman" w:hAnsi="Times New Roman"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rPr>
    </w:lvl>
    <w:lvl w:ilvl="3">
      <w:start w:val="1"/>
      <w:numFmt w:val="decimal"/>
      <w:pStyle w:val="Heading4"/>
      <w:lvlText w:val="%1.%2.%3.%4."/>
      <w:lvlJc w:val="left"/>
      <w:pPr>
        <w:tabs>
          <w:tab w:val="num" w:pos="2880"/>
        </w:tabs>
        <w:ind w:left="2880" w:hanging="9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8">
    <w:nsid w:val="54BD0BEC"/>
    <w:multiLevelType w:val="singleLevel"/>
    <w:tmpl w:val="72D6F376"/>
    <w:lvl w:ilvl="0">
      <w:start w:val="1"/>
      <w:numFmt w:val="bullet"/>
      <w:pStyle w:val="ListBullet"/>
      <w:lvlText w:val=""/>
      <w:lvlJc w:val="left"/>
      <w:pPr>
        <w:tabs>
          <w:tab w:val="num" w:pos="283"/>
        </w:tabs>
        <w:ind w:left="283" w:hanging="283"/>
      </w:pPr>
      <w:rPr>
        <w:rFonts w:ascii="Symbol" w:hAnsi="Symbol"/>
      </w:rPr>
    </w:lvl>
  </w:abstractNum>
  <w:abstractNum w:abstractNumId="19">
    <w:nsid w:val="5C0205AD"/>
    <w:multiLevelType w:val="hybridMultilevel"/>
    <w:tmpl w:val="2E42F134"/>
    <w:lvl w:ilvl="0" w:tplc="08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5C305470"/>
    <w:multiLevelType w:val="hybridMultilevel"/>
    <w:tmpl w:val="12242CC2"/>
    <w:lvl w:ilvl="0" w:tplc="080C000B">
      <w:numFmt w:val="bullet"/>
      <w:lvlText w:val=""/>
      <w:lvlJc w:val="left"/>
      <w:pPr>
        <w:ind w:left="720" w:hanging="360"/>
      </w:pPr>
      <w:rPr>
        <w:rFonts w:ascii="Wingdings" w:eastAsia="Times New Roman" w:hAnsi="Wingdings" w:cs="Times New Roman"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1">
    <w:nsid w:val="62EF3CAF"/>
    <w:multiLevelType w:val="hybridMultilevel"/>
    <w:tmpl w:val="8D50A6FC"/>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nsid w:val="640904B7"/>
    <w:multiLevelType w:val="hybridMultilevel"/>
    <w:tmpl w:val="36ACC62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3">
    <w:nsid w:val="662B5C67"/>
    <w:multiLevelType w:val="singleLevel"/>
    <w:tmpl w:val="40D2097A"/>
    <w:lvl w:ilvl="0">
      <w:start w:val="1"/>
      <w:numFmt w:val="bullet"/>
      <w:pStyle w:val="ListDash"/>
      <w:lvlText w:val="–"/>
      <w:lvlJc w:val="left"/>
      <w:pPr>
        <w:tabs>
          <w:tab w:val="num" w:pos="283"/>
        </w:tabs>
        <w:ind w:left="283" w:hanging="283"/>
      </w:pPr>
      <w:rPr>
        <w:rFonts w:ascii="Times New Roman" w:hAnsi="Times New Roman"/>
      </w:rPr>
    </w:lvl>
  </w:abstractNum>
  <w:abstractNum w:abstractNumId="24">
    <w:nsid w:val="6681249B"/>
    <w:multiLevelType w:val="hybridMultilevel"/>
    <w:tmpl w:val="A9A4786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5">
    <w:nsid w:val="668A10F7"/>
    <w:multiLevelType w:val="singleLevel"/>
    <w:tmpl w:val="BD783356"/>
    <w:lvl w:ilvl="0">
      <w:start w:val="1"/>
      <w:numFmt w:val="bullet"/>
      <w:pStyle w:val="ListDash2"/>
      <w:lvlText w:val="–"/>
      <w:lvlJc w:val="left"/>
      <w:pPr>
        <w:tabs>
          <w:tab w:val="num" w:pos="1360"/>
        </w:tabs>
        <w:ind w:left="1360" w:hanging="283"/>
      </w:pPr>
      <w:rPr>
        <w:rFonts w:ascii="Times New Roman" w:hAnsi="Times New Roman"/>
      </w:rPr>
    </w:lvl>
  </w:abstractNum>
  <w:abstractNum w:abstractNumId="26">
    <w:nsid w:val="67671EEF"/>
    <w:multiLevelType w:val="singleLevel"/>
    <w:tmpl w:val="249CEA72"/>
    <w:lvl w:ilvl="0">
      <w:start w:val="1"/>
      <w:numFmt w:val="bullet"/>
      <w:pStyle w:val="ListDash1"/>
      <w:lvlText w:val="–"/>
      <w:lvlJc w:val="left"/>
      <w:pPr>
        <w:tabs>
          <w:tab w:val="num" w:pos="765"/>
        </w:tabs>
        <w:ind w:left="765" w:hanging="283"/>
      </w:pPr>
      <w:rPr>
        <w:rFonts w:ascii="Times New Roman" w:hAnsi="Times New Roman"/>
      </w:rPr>
    </w:lvl>
  </w:abstractNum>
  <w:abstractNum w:abstractNumId="27">
    <w:nsid w:val="6AD366AB"/>
    <w:multiLevelType w:val="hybridMultilevel"/>
    <w:tmpl w:val="DD5003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nsid w:val="6E447E15"/>
    <w:multiLevelType w:val="hybridMultilevel"/>
    <w:tmpl w:val="0582C6A8"/>
    <w:lvl w:ilvl="0" w:tplc="08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6E5C21E3"/>
    <w:multiLevelType w:val="singleLevel"/>
    <w:tmpl w:val="91AE4CCA"/>
    <w:lvl w:ilvl="0">
      <w:start w:val="1"/>
      <w:numFmt w:val="bullet"/>
      <w:pStyle w:val="ListDash3"/>
      <w:lvlText w:val="–"/>
      <w:lvlJc w:val="left"/>
      <w:pPr>
        <w:tabs>
          <w:tab w:val="num" w:pos="2199"/>
        </w:tabs>
        <w:ind w:left="2199" w:hanging="283"/>
      </w:pPr>
      <w:rPr>
        <w:rFonts w:ascii="Times New Roman" w:hAnsi="Times New Roman"/>
      </w:rPr>
    </w:lvl>
  </w:abstractNum>
  <w:abstractNum w:abstractNumId="30">
    <w:nsid w:val="73B121DF"/>
    <w:multiLevelType w:val="hybridMultilevel"/>
    <w:tmpl w:val="AC780360"/>
    <w:lvl w:ilvl="0" w:tplc="08090005">
      <w:start w:val="1"/>
      <w:numFmt w:val="bullet"/>
      <w:lvlText w:val=""/>
      <w:lvlJc w:val="left"/>
      <w:pPr>
        <w:ind w:left="720" w:hanging="360"/>
      </w:pPr>
      <w:rPr>
        <w:rFonts w:ascii="Wingdings" w:hAnsi="Wingdings" w:hint="default"/>
        <w:b/>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nsid w:val="78B2293F"/>
    <w:multiLevelType w:val="hybridMultilevel"/>
    <w:tmpl w:val="FD98448E"/>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2">
    <w:nsid w:val="79080126"/>
    <w:multiLevelType w:val="hybridMultilevel"/>
    <w:tmpl w:val="F3EEA2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nsid w:val="7CBE4812"/>
    <w:multiLevelType w:val="singleLevel"/>
    <w:tmpl w:val="23C821E4"/>
    <w:name w:val="Considérant"/>
    <w:lvl w:ilvl="0">
      <w:start w:val="1"/>
      <w:numFmt w:val="decimal"/>
      <w:lvlRestart w:val="0"/>
      <w:pStyle w:val="Considrant"/>
      <w:lvlText w:val="(%1)"/>
      <w:lvlJc w:val="left"/>
      <w:pPr>
        <w:tabs>
          <w:tab w:val="num" w:pos="709"/>
        </w:tabs>
        <w:ind w:left="709" w:hanging="709"/>
      </w:pPr>
    </w:lvl>
  </w:abstractNum>
  <w:abstractNum w:abstractNumId="34">
    <w:nsid w:val="7D0E592C"/>
    <w:multiLevelType w:val="hybridMultilevel"/>
    <w:tmpl w:val="2438BCBE"/>
    <w:lvl w:ilvl="0" w:tplc="08090001">
      <w:start w:val="1"/>
      <w:numFmt w:val="bullet"/>
      <w:lvlText w:val=""/>
      <w:lvlJc w:val="left"/>
      <w:pPr>
        <w:ind w:left="700" w:hanging="360"/>
      </w:pPr>
      <w:rPr>
        <w:rFonts w:ascii="Symbol" w:hAnsi="Symbol" w:hint="default"/>
      </w:rPr>
    </w:lvl>
    <w:lvl w:ilvl="1" w:tplc="08090003">
      <w:start w:val="1"/>
      <w:numFmt w:val="bullet"/>
      <w:lvlText w:val="o"/>
      <w:lvlJc w:val="left"/>
      <w:pPr>
        <w:ind w:left="1420" w:hanging="360"/>
      </w:pPr>
      <w:rPr>
        <w:rFonts w:ascii="Courier New" w:hAnsi="Courier New" w:cs="Courier New" w:hint="default"/>
      </w:rPr>
    </w:lvl>
    <w:lvl w:ilvl="2" w:tplc="08090005">
      <w:start w:val="1"/>
      <w:numFmt w:val="bullet"/>
      <w:lvlText w:val=""/>
      <w:lvlJc w:val="left"/>
      <w:pPr>
        <w:ind w:left="2140" w:hanging="360"/>
      </w:pPr>
      <w:rPr>
        <w:rFonts w:ascii="Wingdings" w:hAnsi="Wingdings" w:hint="default"/>
      </w:rPr>
    </w:lvl>
    <w:lvl w:ilvl="3" w:tplc="08090001">
      <w:start w:val="1"/>
      <w:numFmt w:val="bullet"/>
      <w:lvlText w:val=""/>
      <w:lvlJc w:val="left"/>
      <w:pPr>
        <w:ind w:left="2860" w:hanging="360"/>
      </w:pPr>
      <w:rPr>
        <w:rFonts w:ascii="Symbol" w:hAnsi="Symbol" w:hint="default"/>
      </w:rPr>
    </w:lvl>
    <w:lvl w:ilvl="4" w:tplc="08090003" w:tentative="1">
      <w:start w:val="1"/>
      <w:numFmt w:val="bullet"/>
      <w:lvlText w:val="o"/>
      <w:lvlJc w:val="left"/>
      <w:pPr>
        <w:ind w:left="3580" w:hanging="360"/>
      </w:pPr>
      <w:rPr>
        <w:rFonts w:ascii="Courier New" w:hAnsi="Courier New" w:cs="Courier New" w:hint="default"/>
      </w:rPr>
    </w:lvl>
    <w:lvl w:ilvl="5" w:tplc="08090005" w:tentative="1">
      <w:start w:val="1"/>
      <w:numFmt w:val="bullet"/>
      <w:lvlText w:val=""/>
      <w:lvlJc w:val="left"/>
      <w:pPr>
        <w:ind w:left="4300" w:hanging="360"/>
      </w:pPr>
      <w:rPr>
        <w:rFonts w:ascii="Wingdings" w:hAnsi="Wingdings" w:hint="default"/>
      </w:rPr>
    </w:lvl>
    <w:lvl w:ilvl="6" w:tplc="08090001" w:tentative="1">
      <w:start w:val="1"/>
      <w:numFmt w:val="bullet"/>
      <w:lvlText w:val=""/>
      <w:lvlJc w:val="left"/>
      <w:pPr>
        <w:ind w:left="5020" w:hanging="360"/>
      </w:pPr>
      <w:rPr>
        <w:rFonts w:ascii="Symbol" w:hAnsi="Symbol" w:hint="default"/>
      </w:rPr>
    </w:lvl>
    <w:lvl w:ilvl="7" w:tplc="08090003" w:tentative="1">
      <w:start w:val="1"/>
      <w:numFmt w:val="bullet"/>
      <w:lvlText w:val="o"/>
      <w:lvlJc w:val="left"/>
      <w:pPr>
        <w:ind w:left="5740" w:hanging="360"/>
      </w:pPr>
      <w:rPr>
        <w:rFonts w:ascii="Courier New" w:hAnsi="Courier New" w:cs="Courier New" w:hint="default"/>
      </w:rPr>
    </w:lvl>
    <w:lvl w:ilvl="8" w:tplc="08090005" w:tentative="1">
      <w:start w:val="1"/>
      <w:numFmt w:val="bullet"/>
      <w:lvlText w:val=""/>
      <w:lvlJc w:val="left"/>
      <w:pPr>
        <w:ind w:left="6460" w:hanging="360"/>
      </w:pPr>
      <w:rPr>
        <w:rFonts w:ascii="Wingdings" w:hAnsi="Wingdings" w:hint="default"/>
      </w:rPr>
    </w:lvl>
  </w:abstractNum>
  <w:abstractNum w:abstractNumId="35">
    <w:nsid w:val="7FE82D39"/>
    <w:multiLevelType w:val="hybridMultilevel"/>
    <w:tmpl w:val="2BF8437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17"/>
  </w:num>
  <w:num w:numId="4">
    <w:abstractNumId w:val="18"/>
  </w:num>
  <w:num w:numId="5">
    <w:abstractNumId w:val="11"/>
  </w:num>
  <w:num w:numId="6">
    <w:abstractNumId w:val="10"/>
  </w:num>
  <w:num w:numId="7">
    <w:abstractNumId w:val="7"/>
  </w:num>
  <w:num w:numId="8">
    <w:abstractNumId w:val="6"/>
  </w:num>
  <w:num w:numId="9">
    <w:abstractNumId w:val="23"/>
  </w:num>
  <w:num w:numId="10">
    <w:abstractNumId w:val="26"/>
  </w:num>
  <w:num w:numId="11">
    <w:abstractNumId w:val="25"/>
  </w:num>
  <w:num w:numId="12">
    <w:abstractNumId w:val="29"/>
  </w:num>
  <w:num w:numId="13">
    <w:abstractNumId w:val="9"/>
  </w:num>
  <w:num w:numId="14">
    <w:abstractNumId w:val="13"/>
  </w:num>
  <w:num w:numId="15">
    <w:abstractNumId w:val="15"/>
  </w:num>
  <w:num w:numId="16">
    <w:abstractNumId w:val="14"/>
  </w:num>
  <w:num w:numId="17">
    <w:abstractNumId w:val="3"/>
  </w:num>
  <w:num w:numId="18">
    <w:abstractNumId w:val="16"/>
  </w:num>
  <w:num w:numId="19">
    <w:abstractNumId w:val="31"/>
  </w:num>
  <w:num w:numId="20">
    <w:abstractNumId w:val="27"/>
  </w:num>
  <w:num w:numId="21">
    <w:abstractNumId w:val="32"/>
  </w:num>
  <w:num w:numId="22">
    <w:abstractNumId w:val="4"/>
  </w:num>
  <w:num w:numId="23">
    <w:abstractNumId w:val="8"/>
  </w:num>
  <w:num w:numId="24">
    <w:abstractNumId w:val="5"/>
  </w:num>
  <w:num w:numId="25">
    <w:abstractNumId w:val="20"/>
  </w:num>
  <w:num w:numId="26">
    <w:abstractNumId w:val="33"/>
  </w:num>
  <w:num w:numId="27">
    <w:abstractNumId w:val="19"/>
  </w:num>
  <w:num w:numId="28">
    <w:abstractNumId w:val="35"/>
  </w:num>
  <w:num w:numId="29">
    <w:abstractNumId w:val="21"/>
  </w:num>
  <w:num w:numId="30">
    <w:abstractNumId w:val="17"/>
  </w:num>
  <w:num w:numId="31">
    <w:abstractNumId w:val="17"/>
  </w:num>
  <w:num w:numId="32">
    <w:abstractNumId w:val="17"/>
  </w:num>
  <w:num w:numId="33">
    <w:abstractNumId w:val="17"/>
  </w:num>
  <w:num w:numId="34">
    <w:abstractNumId w:val="17"/>
  </w:num>
  <w:num w:numId="35">
    <w:abstractNumId w:val="17"/>
  </w:num>
  <w:num w:numId="36">
    <w:abstractNumId w:val="17"/>
  </w:num>
  <w:num w:numId="37">
    <w:abstractNumId w:val="22"/>
  </w:num>
  <w:num w:numId="38">
    <w:abstractNumId w:val="12"/>
  </w:num>
  <w:num w:numId="39">
    <w:abstractNumId w:val="17"/>
  </w:num>
  <w:num w:numId="40">
    <w:abstractNumId w:val="28"/>
  </w:num>
  <w:num w:numId="41">
    <w:abstractNumId w:val="2"/>
  </w:num>
  <w:num w:numId="42">
    <w:abstractNumId w:val="17"/>
  </w:num>
  <w:num w:numId="43">
    <w:abstractNumId w:val="30"/>
  </w:num>
  <w:num w:numId="44">
    <w:abstractNumId w:val="17"/>
  </w:num>
  <w:num w:numId="45">
    <w:abstractNumId w:val="17"/>
  </w:num>
  <w:num w:numId="46">
    <w:abstractNumId w:val="17"/>
  </w:num>
  <w:num w:numId="47">
    <w:abstractNumId w:val="17"/>
  </w:num>
  <w:num w:numId="48">
    <w:abstractNumId w:val="17"/>
  </w:num>
  <w:num w:numId="49">
    <w:abstractNumId w:val="17"/>
  </w:num>
  <w:num w:numId="50">
    <w:abstractNumId w:val="17"/>
  </w:num>
  <w:num w:numId="51">
    <w:abstractNumId w:val="34"/>
  </w:num>
  <w:num w:numId="52">
    <w:abstractNumId w:val="17"/>
  </w:num>
  <w:num w:numId="53">
    <w:abstractNumId w:val="17"/>
  </w:num>
  <w:num w:numId="54">
    <w:abstractNumId w:val="17"/>
  </w:num>
  <w:num w:numId="55">
    <w:abstractNumId w:val="24"/>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isplayHorizontalDrawingGridEvery w:val="0"/>
  <w:displayVerticalDrawingGridEvery w:val="0"/>
  <w:doNotUseMarginsForDrawingGridOrigin/>
  <w:noPunctuationKerning/>
  <w:characterSpacingControl w:val="doNotCompress"/>
  <w:hdrShapeDefaults>
    <o:shapedefaults v:ext="edit" spidmax="19457"/>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ocStatus" w:val="Green"/>
    <w:docVar w:name="LW_CORRIGENDUM" w:val="&lt;UNUSED&gt;"/>
    <w:docVar w:name="LW_COVERPAGE_EXISTS" w:val="True"/>
    <w:docVar w:name="LW_COVERPAGE_GUID" w:val="C913BAB3-4603-49B7-9C2D-5C765AAC5834"/>
    <w:docVar w:name="LW_COVERPAGE_TYPE" w:val="1"/>
    <w:docVar w:name="LW_CROSSREFERENCE" w:val="&lt;UNUSED&gt;"/>
    <w:docVar w:name="LW_DocType" w:val="NOT"/>
    <w:docVar w:name="LW_EMISSION" w:val="3.9.2021"/>
    <w:docVar w:name="LW_EMISSION_ISODATE" w:val="2021-09-03"/>
    <w:docVar w:name="LW_EMISSION_LOCATION" w:val="BRX"/>
    <w:docVar w:name="LW_EMISSION_PREFIX" w:val="Bryssel den "/>
    <w:docVar w:name="LW_EMISSION_SUFFIX" w:val=" "/>
    <w:docVar w:name="LW_ID_DOCTYPE_NONLW" w:val="CP-006"/>
    <w:docVar w:name="LW_LANGUE" w:val="SV"/>
    <w:docVar w:name="LW_LEVEL_OF_SENSITIVITY" w:val="Standard treatment"/>
    <w:docVar w:name="LW_NOM.INST" w:val="EUROPEISKA KOMMISSIONEN"/>
    <w:docVar w:name="LW_NOM.INST_JOINTDOC" w:val="&lt;EMPTY&gt;"/>
    <w:docVar w:name="LW_PART_NBR" w:val="1"/>
    <w:docVar w:name="LW_PART_NBR_TOTAL" w:val="1"/>
    <w:docVar w:name="LW_REF.INST.NEW" w:val="COM"/>
    <w:docVar w:name="LW_REF.INST.NEW_ADOPTED" w:val="final"/>
    <w:docVar w:name="LW_REF.INST.NEW_TEXT" w:val="(2021) 535"/>
    <w:docVar w:name="LW_REF.INTERNE" w:val="&lt;UNUSED&gt;"/>
    <w:docVar w:name="LW_SENSITIVITY" w:val="&lt;?xml version=&quot;1.0&quot; encoding=&quot;utf-8&quot;?&gt;_x000d__x000a_&lt;SensitivityLevel xmlns:xsi=&quot;http://www.w3.org/2001/XMLSchema-instance&quot; xmlns:xsd=&quot;http://www.w3.org/2001/XMLSchema&quot; id=&quot;standard&quot;&gt;_x000d__x000a_  &lt;nicename EN=&quot;Standard treatment&quot; FR=&quot;Traitement standard&quot; /&gt;_x000d__x000a_  &lt;documentProperty&gt;Standard treatment&lt;/documentProperty&gt;_x000d__x000a_  &lt;markingConfig isAvailable=&quot;false&quot; isMandatory=&quot;false&quot; sensitiveMarkingMandatory=&quot;false&quot; specialMarkingMandatory=&quot;true&quot; isOptionDisplayInHeaderAvailable=&quot;true&quot; sensitiveMarkingListSee=&quot;SensitiveMarkings&quot; specialMarkingListSee=&quot;SpecialMarkings&quot; sensitiveFootnoteTextSee=&quot;sensitiveFootnote&quot; specialFootnoteTextSee=&quot;specialFootnote&quot; /&gt;_x000d__x000a_  &lt;chosenMainMarking xsi:nil=&quot;true&quot; /&gt;_x000d__x000a_  &lt;dateMarking xsi:nil=&quot;true&quot; /&gt;_x000d__x000a_  &lt;releasableToConfig isAvailable=&quot;false&quot; institutionListSee=&quot;DefaultInstitutions&quot; /&gt;_x000d__x000a_  &lt;chosenReleasableTo xsi:nil=&quot;true&quot; /&gt;_x000d__x000a_  &lt;detached xsi:nil=&quot;true&quot; /&gt;_x000d__x000a_  &lt;declassify xsi:nil=&quot;true&quot; /&gt;_x000d__x000a_  &lt;headerTexts xsi:nil=&quot;true&quot; /&gt;_x000d__x000a_  &lt;footerTexts xsi:nil=&quot;true&quot; /&gt;_x000d__x000a_  &lt;isRestricted&gt;false&lt;/isRestricted&gt;_x000d__x000a_&lt;/SensitivityLevel&gt;"/>
    <w:docVar w:name="LW_SUPERTITRE" w:val="&lt;UNUSED&gt;"/>
    <w:docVar w:name="LW_TITRE.OBJ.CP" w:val="&lt;FMT:Bold&gt;om artikel 7 a i rådets förordning (EG) nr 2271/96 (den blockerande stadgan)&lt;/FMT&gt;_x000b_"/>
    <w:docVar w:name="LW_TYPE.DOC.CP" w:val="RAPPORT FRÅN KOMMISSIONEN TILL EUROPAPARLAMENTET OCH RÅDET"/>
    <w:docVar w:name="LwApiVersions" w:val="LW4CoDe 1.23.0.0; LW 8.0, Build 20210114"/>
  </w:docVar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945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sv-SE"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annotation text" w:uiPriority="0"/>
    <w:lsdException w:name="caption" w:semiHidden="0" w:uiPriority="35" w:unhideWhenUsed="0" w:qFormat="1"/>
    <w:lsdException w:name="footnote reference"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Normal">
    <w:name w:val="Normal"/>
    <w:qFormat/>
    <w:pPr>
      <w:spacing w:after="240"/>
      <w:jc w:val="both"/>
    </w:pPr>
    <w:rPr>
      <w:sz w:val="24"/>
    </w:rPr>
  </w:style>
  <w:style w:type="paragraph" w:styleId="Heading1">
    <w:name w:val="heading 1"/>
    <w:basedOn w:val="Normal"/>
    <w:next w:val="Text1"/>
    <w:qFormat/>
    <w:pPr>
      <w:keepNext/>
      <w:numPr>
        <w:numId w:val="3"/>
      </w:numPr>
      <w:spacing w:before="240"/>
      <w:outlineLvl w:val="0"/>
    </w:pPr>
    <w:rPr>
      <w:b/>
      <w:smallCaps/>
    </w:rPr>
  </w:style>
  <w:style w:type="paragraph" w:styleId="Heading2">
    <w:name w:val="heading 2"/>
    <w:basedOn w:val="Normal"/>
    <w:next w:val="Text2"/>
    <w:qFormat/>
    <w:pPr>
      <w:keepNext/>
      <w:numPr>
        <w:ilvl w:val="1"/>
        <w:numId w:val="3"/>
      </w:numPr>
      <w:tabs>
        <w:tab w:val="left" w:pos="1276"/>
      </w:tabs>
      <w:spacing w:before="240" w:line="276" w:lineRule="auto"/>
      <w:jc w:val="left"/>
      <w:outlineLvl w:val="1"/>
    </w:pPr>
    <w:rPr>
      <w:b/>
    </w:rPr>
  </w:style>
  <w:style w:type="paragraph" w:styleId="Heading3">
    <w:name w:val="heading 3"/>
    <w:basedOn w:val="Normal"/>
    <w:next w:val="Text3"/>
    <w:qFormat/>
    <w:pPr>
      <w:keepNext/>
      <w:numPr>
        <w:ilvl w:val="2"/>
        <w:numId w:val="3"/>
      </w:numPr>
      <w:tabs>
        <w:tab w:val="clear" w:pos="1920"/>
        <w:tab w:val="num" w:pos="1985"/>
      </w:tabs>
      <w:spacing w:line="276" w:lineRule="auto"/>
      <w:ind w:left="1985" w:hanging="709"/>
      <w:outlineLvl w:val="2"/>
    </w:pPr>
    <w:rPr>
      <w:b/>
      <w:i/>
    </w:rPr>
  </w:style>
  <w:style w:type="paragraph" w:styleId="Heading4">
    <w:name w:val="heading 4"/>
    <w:basedOn w:val="Normal"/>
    <w:next w:val="Text4"/>
    <w:qFormat/>
    <w:pPr>
      <w:keepNext/>
      <w:numPr>
        <w:ilvl w:val="3"/>
        <w:numId w:val="3"/>
      </w:numPr>
      <w:outlineLvl w:val="3"/>
    </w:pPr>
  </w:style>
  <w:style w:type="paragraph" w:styleId="Heading5">
    <w:name w:val="heading 5"/>
    <w:basedOn w:val="Normal"/>
    <w:next w:val="Normal"/>
    <w:qFormat/>
    <w:pPr>
      <w:spacing w:before="240" w:after="60"/>
      <w:ind w:left="3332" w:hanging="708"/>
      <w:outlineLvl w:val="4"/>
    </w:pPr>
    <w:rPr>
      <w:rFonts w:ascii="Arial" w:hAnsi="Arial"/>
      <w:sz w:val="22"/>
    </w:rPr>
  </w:style>
  <w:style w:type="paragraph" w:styleId="Heading6">
    <w:name w:val="heading 6"/>
    <w:basedOn w:val="Normal"/>
    <w:next w:val="Normal"/>
    <w:qFormat/>
    <w:pPr>
      <w:spacing w:before="240" w:after="60"/>
      <w:ind w:left="4040" w:hanging="708"/>
      <w:outlineLvl w:val="5"/>
    </w:pPr>
    <w:rPr>
      <w:rFonts w:ascii="Arial" w:hAnsi="Arial"/>
      <w:i/>
      <w:sz w:val="22"/>
    </w:rPr>
  </w:style>
  <w:style w:type="paragraph" w:styleId="Heading7">
    <w:name w:val="heading 7"/>
    <w:basedOn w:val="Normal"/>
    <w:next w:val="Normal"/>
    <w:qFormat/>
    <w:pPr>
      <w:spacing w:before="240" w:after="60"/>
      <w:ind w:left="4748" w:hanging="708"/>
      <w:outlineLvl w:val="6"/>
    </w:pPr>
    <w:rPr>
      <w:rFonts w:ascii="Arial" w:hAnsi="Arial"/>
      <w:sz w:val="20"/>
    </w:rPr>
  </w:style>
  <w:style w:type="paragraph" w:styleId="Heading8">
    <w:name w:val="heading 8"/>
    <w:basedOn w:val="Normal"/>
    <w:next w:val="Normal"/>
    <w:qFormat/>
    <w:pPr>
      <w:spacing w:before="240" w:after="60"/>
      <w:ind w:left="5456" w:hanging="708"/>
      <w:outlineLvl w:val="7"/>
    </w:pPr>
    <w:rPr>
      <w:rFonts w:ascii="Arial" w:hAnsi="Arial"/>
      <w:i/>
      <w:sz w:val="20"/>
    </w:rPr>
  </w:style>
  <w:style w:type="paragraph" w:styleId="Heading9">
    <w:name w:val="heading 9"/>
    <w:basedOn w:val="Normal"/>
    <w:next w:val="Normal"/>
    <w:qFormat/>
    <w:pPr>
      <w:spacing w:before="240" w:after="60"/>
      <w:ind w:left="6164" w:hanging="708"/>
      <w:outlineLvl w:val="8"/>
    </w:pPr>
    <w:rPr>
      <w:rFonts w:ascii="Arial" w:hAnsi="Arial"/>
      <w:i/>
      <w:sz w:val="1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ext1">
    <w:name w:val="Text 1"/>
    <w:basedOn w:val="Normal"/>
    <w:pPr>
      <w:ind w:left="482"/>
    </w:pPr>
  </w:style>
  <w:style w:type="paragraph" w:customStyle="1" w:styleId="Text2">
    <w:name w:val="Text 2"/>
    <w:basedOn w:val="Normal"/>
    <w:pPr>
      <w:tabs>
        <w:tab w:val="left" w:pos="2160"/>
      </w:tabs>
      <w:ind w:left="1077"/>
    </w:pPr>
  </w:style>
  <w:style w:type="paragraph" w:customStyle="1" w:styleId="Text3">
    <w:name w:val="Text 3"/>
    <w:basedOn w:val="Normal"/>
    <w:pPr>
      <w:tabs>
        <w:tab w:val="left" w:pos="2302"/>
      </w:tabs>
      <w:ind w:left="1916"/>
    </w:pPr>
  </w:style>
  <w:style w:type="paragraph" w:customStyle="1" w:styleId="Text4">
    <w:name w:val="Text 4"/>
    <w:basedOn w:val="Normal"/>
    <w:pPr>
      <w:ind w:left="2880"/>
    </w:pPr>
  </w:style>
  <w:style w:type="paragraph" w:customStyle="1" w:styleId="Address">
    <w:name w:val="Address"/>
    <w:basedOn w:val="Normal"/>
    <w:pPr>
      <w:spacing w:after="0"/>
      <w:jc w:val="left"/>
    </w:pPr>
  </w:style>
  <w:style w:type="paragraph" w:customStyle="1" w:styleId="AddressTL">
    <w:name w:val="AddressTL"/>
    <w:basedOn w:val="Normal"/>
    <w:next w:val="Normal"/>
    <w:pPr>
      <w:spacing w:after="720"/>
      <w:jc w:val="left"/>
    </w:pPr>
  </w:style>
  <w:style w:type="paragraph" w:customStyle="1" w:styleId="AddressTR">
    <w:name w:val="AddressTR"/>
    <w:basedOn w:val="Normal"/>
    <w:next w:val="Normal"/>
    <w:pPr>
      <w:spacing w:after="720"/>
      <w:ind w:left="5103"/>
      <w:jc w:val="left"/>
    </w:pPr>
  </w:style>
  <w:style w:type="paragraph" w:styleId="BlockText">
    <w:name w:val="Block Text"/>
    <w:basedOn w:val="Normal"/>
    <w:pPr>
      <w:spacing w:after="120"/>
      <w:ind w:left="1440" w:right="1440"/>
    </w:pPr>
  </w:style>
  <w:style w:type="paragraph" w:styleId="BodyText">
    <w:name w:val="Body Text"/>
    <w:basedOn w:val="Normal"/>
    <w:pPr>
      <w:spacing w:after="12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rPr>
  </w:style>
  <w:style w:type="paragraph" w:styleId="BodyTextFirstIndent">
    <w:name w:val="Body Text First Indent"/>
    <w:basedOn w:val="BodyText"/>
    <w:pPr>
      <w:ind w:firstLine="210"/>
    </w:pPr>
  </w:style>
  <w:style w:type="paragraph" w:styleId="BodyTextIndent">
    <w:name w:val="Body Text Indent"/>
    <w:basedOn w:val="Normal"/>
    <w:pPr>
      <w:spacing w:after="120"/>
      <w:ind w:left="283"/>
    </w:p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283"/>
    </w:pPr>
  </w:style>
  <w:style w:type="paragraph" w:styleId="BodyTextIndent3">
    <w:name w:val="Body Text Indent 3"/>
    <w:basedOn w:val="Normal"/>
    <w:pPr>
      <w:spacing w:after="120"/>
      <w:ind w:left="283"/>
    </w:pPr>
    <w:rPr>
      <w:sz w:val="16"/>
    </w:rPr>
  </w:style>
  <w:style w:type="paragraph" w:styleId="Caption">
    <w:name w:val="caption"/>
    <w:basedOn w:val="Normal"/>
    <w:next w:val="Normal"/>
    <w:qFormat/>
    <w:pPr>
      <w:spacing w:before="120" w:after="120"/>
    </w:pPr>
    <w:rPr>
      <w:b/>
    </w:rPr>
  </w:style>
  <w:style w:type="paragraph" w:styleId="Closing">
    <w:name w:val="Closing"/>
    <w:basedOn w:val="Normal"/>
    <w:next w:val="Signature"/>
    <w:pPr>
      <w:tabs>
        <w:tab w:val="left" w:pos="5103"/>
      </w:tabs>
      <w:spacing w:before="240"/>
      <w:ind w:left="5103"/>
      <w:jc w:val="left"/>
    </w:pPr>
  </w:style>
  <w:style w:type="paragraph" w:styleId="Signature">
    <w:name w:val="Signature"/>
    <w:basedOn w:val="Normal"/>
    <w:next w:val="Contact"/>
    <w:link w:val="SignatureChar"/>
    <w:uiPriority w:val="99"/>
    <w:pPr>
      <w:tabs>
        <w:tab w:val="left" w:pos="5103"/>
      </w:tabs>
      <w:spacing w:before="1200" w:after="0"/>
      <w:ind w:left="5103"/>
      <w:jc w:val="center"/>
    </w:pPr>
  </w:style>
  <w:style w:type="paragraph" w:customStyle="1" w:styleId="Enclosures">
    <w:name w:val="Enclosures"/>
    <w:basedOn w:val="Normal"/>
    <w:next w:val="Participants"/>
    <w:pPr>
      <w:keepNext/>
      <w:keepLines/>
      <w:tabs>
        <w:tab w:val="left" w:pos="5670"/>
      </w:tabs>
      <w:spacing w:before="480" w:after="0"/>
      <w:ind w:left="1985" w:hanging="1985"/>
      <w:jc w:val="left"/>
    </w:pPr>
  </w:style>
  <w:style w:type="paragraph" w:customStyle="1" w:styleId="Participants">
    <w:name w:val="Participants"/>
    <w:basedOn w:val="Normal"/>
    <w:next w:val="Copies"/>
    <w:pPr>
      <w:tabs>
        <w:tab w:val="left" w:pos="2552"/>
        <w:tab w:val="left" w:pos="2835"/>
        <w:tab w:val="left" w:pos="5670"/>
        <w:tab w:val="left" w:pos="6379"/>
        <w:tab w:val="left" w:pos="6804"/>
      </w:tabs>
      <w:spacing w:before="480" w:after="0"/>
      <w:ind w:left="1985" w:hanging="1985"/>
      <w:jc w:val="left"/>
    </w:pPr>
  </w:style>
  <w:style w:type="paragraph" w:customStyle="1" w:styleId="Copies">
    <w:name w:val="Copies"/>
    <w:basedOn w:val="Normal"/>
    <w:next w:val="Normal"/>
    <w:uiPriority w:val="99"/>
    <w:pPr>
      <w:tabs>
        <w:tab w:val="left" w:pos="2552"/>
        <w:tab w:val="left" w:pos="2835"/>
        <w:tab w:val="left" w:pos="5670"/>
        <w:tab w:val="left" w:pos="6379"/>
        <w:tab w:val="left" w:pos="6804"/>
      </w:tabs>
      <w:spacing w:before="480" w:after="0"/>
      <w:ind w:left="1985" w:hanging="1985"/>
      <w:jc w:val="left"/>
    </w:pPr>
  </w:style>
  <w:style w:type="paragraph" w:styleId="CommentText">
    <w:name w:val="annotation text"/>
    <w:basedOn w:val="Normal"/>
    <w:link w:val="CommentTextChar"/>
    <w:rPr>
      <w:sz w:val="20"/>
    </w:rPr>
  </w:style>
  <w:style w:type="paragraph" w:styleId="Date">
    <w:name w:val="Date"/>
    <w:basedOn w:val="Normal"/>
    <w:next w:val="References"/>
    <w:link w:val="DateChar"/>
    <w:uiPriority w:val="99"/>
    <w:pPr>
      <w:spacing w:after="0"/>
      <w:ind w:left="5103" w:right="-567"/>
      <w:jc w:val="left"/>
    </w:pPr>
  </w:style>
  <w:style w:type="paragraph" w:customStyle="1" w:styleId="References">
    <w:name w:val="References"/>
    <w:basedOn w:val="Normal"/>
    <w:next w:val="AddressTR"/>
    <w:uiPriority w:val="99"/>
    <w:pPr>
      <w:ind w:left="5103"/>
      <w:jc w:val="left"/>
    </w:pPr>
    <w:rPr>
      <w:sz w:val="20"/>
    </w:rPr>
  </w:style>
  <w:style w:type="paragraph" w:styleId="DocumentMap">
    <w:name w:val="Document Map"/>
    <w:basedOn w:val="Normal"/>
    <w:semiHidden/>
    <w:pPr>
      <w:shd w:val="clear" w:color="auto" w:fill="000080"/>
    </w:pPr>
    <w:rPr>
      <w:rFonts w:ascii="Tahoma" w:hAnsi="Tahoma"/>
    </w:rPr>
  </w:style>
  <w:style w:type="paragraph" w:customStyle="1" w:styleId="DoubSign">
    <w:name w:val="DoubSign"/>
    <w:basedOn w:val="Normal"/>
    <w:next w:val="Contact"/>
    <w:pPr>
      <w:tabs>
        <w:tab w:val="left" w:pos="5103"/>
      </w:tabs>
      <w:spacing w:before="1200" w:after="0"/>
      <w:jc w:val="left"/>
    </w:pPr>
  </w:style>
  <w:style w:type="paragraph" w:styleId="EndnoteText">
    <w:name w:val="endnote text"/>
    <w:basedOn w:val="Normal"/>
    <w:semiHidden/>
    <w:rPr>
      <w:sz w:val="20"/>
    </w:rPr>
  </w:style>
  <w:style w:type="paragraph" w:styleId="EnvelopeAddress">
    <w:name w:val="envelope address"/>
    <w:basedOn w:val="Normal"/>
    <w:pPr>
      <w:framePr w:w="7920" w:h="1980" w:hRule="exact" w:hSpace="180" w:wrap="auto" w:hAnchor="page" w:xAlign="center" w:yAlign="bottom"/>
      <w:spacing w:after="0"/>
    </w:pPr>
  </w:style>
  <w:style w:type="paragraph" w:styleId="EnvelopeReturn">
    <w:name w:val="envelope return"/>
    <w:basedOn w:val="Normal"/>
    <w:pPr>
      <w:spacing w:after="0"/>
    </w:pPr>
    <w:rPr>
      <w:sz w:val="20"/>
    </w:rPr>
  </w:style>
  <w:style w:type="paragraph" w:styleId="Footer">
    <w:name w:val="footer"/>
    <w:basedOn w:val="Normal"/>
    <w:link w:val="FooterChar"/>
    <w:uiPriority w:val="99"/>
    <w:pPr>
      <w:spacing w:after="0"/>
      <w:ind w:right="-567"/>
      <w:jc w:val="left"/>
    </w:pPr>
    <w:rPr>
      <w:rFonts w:ascii="Arial" w:hAnsi="Arial"/>
      <w:sz w:val="16"/>
    </w:rPr>
  </w:style>
  <w:style w:type="paragraph" w:styleId="FootnoteText">
    <w:name w:val="footnote text"/>
    <w:aliases w:val="Footnote Text Char,Footnote Text Char2 Char,Footnote Text Char Char Char1,Footnote Text Char1 Char Char Char,Footnote Text Char2 Char Char Char Char,Footnote Text Char1 Char1 Char Char Char Char,Footnote Text Char Char1 Char Char Char Cha"/>
    <w:basedOn w:val="Normal"/>
    <w:link w:val="FootnoteTextChar1"/>
    <w:uiPriority w:val="99"/>
    <w:qFormat/>
    <w:pPr>
      <w:ind w:left="357" w:hanging="357"/>
    </w:pPr>
    <w:rPr>
      <w:sz w:val="20"/>
    </w:rPr>
  </w:style>
  <w:style w:type="paragraph" w:styleId="Header">
    <w:name w:val="header"/>
    <w:basedOn w:val="Normal"/>
    <w:link w:val="HeaderChar"/>
    <w:uiPriority w:val="99"/>
    <w:pPr>
      <w:tabs>
        <w:tab w:val="center" w:pos="4153"/>
        <w:tab w:val="right" w:pos="8306"/>
      </w:tabs>
    </w:pPr>
  </w:style>
  <w:style w:type="paragraph" w:styleId="Index1">
    <w:name w:val="index 1"/>
    <w:basedOn w:val="Normal"/>
    <w:next w:val="Normal"/>
    <w:autoRedefine/>
    <w:semiHidden/>
    <w:pPr>
      <w:ind w:left="240" w:hanging="240"/>
    </w:pPr>
  </w:style>
  <w:style w:type="paragraph" w:styleId="Index2">
    <w:name w:val="index 2"/>
    <w:basedOn w:val="Normal"/>
    <w:next w:val="Normal"/>
    <w:autoRedefine/>
    <w:semiHidden/>
    <w:pPr>
      <w:ind w:left="480" w:hanging="240"/>
    </w:pPr>
  </w:style>
  <w:style w:type="paragraph" w:styleId="Index3">
    <w:name w:val="index 3"/>
    <w:basedOn w:val="Normal"/>
    <w:next w:val="Normal"/>
    <w:autoRedefine/>
    <w:semiHidden/>
    <w:pPr>
      <w:ind w:left="720" w:hanging="240"/>
    </w:pPr>
  </w:style>
  <w:style w:type="paragraph" w:styleId="Index4">
    <w:name w:val="index 4"/>
    <w:basedOn w:val="Normal"/>
    <w:next w:val="Normal"/>
    <w:autoRedefine/>
    <w:semiHidden/>
    <w:pPr>
      <w:ind w:left="960" w:hanging="240"/>
    </w:pPr>
  </w:style>
  <w:style w:type="paragraph" w:styleId="Index5">
    <w:name w:val="index 5"/>
    <w:basedOn w:val="Normal"/>
    <w:next w:val="Normal"/>
    <w:autoRedefine/>
    <w:semiHidden/>
    <w:pPr>
      <w:ind w:left="1200" w:hanging="240"/>
    </w:pPr>
  </w:style>
  <w:style w:type="paragraph" w:styleId="Index6">
    <w:name w:val="index 6"/>
    <w:basedOn w:val="Normal"/>
    <w:next w:val="Normal"/>
    <w:autoRedefine/>
    <w:semiHidden/>
    <w:pPr>
      <w:ind w:left="1440" w:hanging="240"/>
    </w:pPr>
  </w:style>
  <w:style w:type="paragraph" w:styleId="Index7">
    <w:name w:val="index 7"/>
    <w:basedOn w:val="Normal"/>
    <w:next w:val="Normal"/>
    <w:autoRedefine/>
    <w:semiHidden/>
    <w:pPr>
      <w:ind w:left="1680" w:hanging="240"/>
    </w:pPr>
  </w:style>
  <w:style w:type="paragraph" w:styleId="Index8">
    <w:name w:val="index 8"/>
    <w:basedOn w:val="Normal"/>
    <w:next w:val="Normal"/>
    <w:autoRedefine/>
    <w:semiHidden/>
    <w:pPr>
      <w:ind w:left="1920" w:hanging="240"/>
    </w:pPr>
  </w:style>
  <w:style w:type="paragraph" w:styleId="Index9">
    <w:name w:val="index 9"/>
    <w:basedOn w:val="Normal"/>
    <w:next w:val="Normal"/>
    <w:autoRedefine/>
    <w:semiHidden/>
    <w:pPr>
      <w:ind w:left="2160" w:hanging="240"/>
    </w:pPr>
  </w:style>
  <w:style w:type="paragraph" w:styleId="IndexHeading">
    <w:name w:val="index heading"/>
    <w:basedOn w:val="Normal"/>
    <w:next w:val="Index1"/>
    <w:semiHidden/>
    <w:rPr>
      <w:rFonts w:ascii="Arial" w:hAnsi="Arial"/>
      <w:b/>
    </w:rPr>
  </w:style>
  <w:style w:type="paragraph" w:styleId="List">
    <w:name w:val="List"/>
    <w:basedOn w:val="Normal"/>
    <w:pPr>
      <w:ind w:left="283" w:hanging="283"/>
    </w:pPr>
  </w:style>
  <w:style w:type="paragraph" w:styleId="List2">
    <w:name w:val="List 2"/>
    <w:basedOn w:val="Normal"/>
    <w:pPr>
      <w:ind w:left="566" w:hanging="283"/>
    </w:pPr>
  </w:style>
  <w:style w:type="paragraph" w:styleId="List3">
    <w:name w:val="List 3"/>
    <w:basedOn w:val="Normal"/>
    <w:pPr>
      <w:ind w:left="849" w:hanging="283"/>
    </w:pPr>
  </w:style>
  <w:style w:type="paragraph" w:styleId="List4">
    <w:name w:val="List 4"/>
    <w:basedOn w:val="Normal"/>
    <w:pPr>
      <w:ind w:left="1132" w:hanging="283"/>
    </w:pPr>
  </w:style>
  <w:style w:type="paragraph" w:styleId="List5">
    <w:name w:val="List 5"/>
    <w:basedOn w:val="Normal"/>
    <w:pPr>
      <w:ind w:left="1415" w:hanging="283"/>
    </w:pPr>
  </w:style>
  <w:style w:type="paragraph" w:styleId="ListBullet">
    <w:name w:val="List Bullet"/>
    <w:basedOn w:val="Normal"/>
    <w:pPr>
      <w:numPr>
        <w:numId w:val="4"/>
      </w:numPr>
    </w:pPr>
  </w:style>
  <w:style w:type="paragraph" w:styleId="ListBullet2">
    <w:name w:val="List Bullet 2"/>
    <w:basedOn w:val="Text2"/>
    <w:pPr>
      <w:numPr>
        <w:numId w:val="6"/>
      </w:numPr>
      <w:tabs>
        <w:tab w:val="clear" w:pos="2160"/>
      </w:tabs>
    </w:pPr>
  </w:style>
  <w:style w:type="paragraph" w:styleId="ListBullet3">
    <w:name w:val="List Bullet 3"/>
    <w:basedOn w:val="Text3"/>
    <w:pPr>
      <w:numPr>
        <w:numId w:val="7"/>
      </w:numPr>
      <w:tabs>
        <w:tab w:val="clear" w:pos="2302"/>
      </w:tabs>
    </w:pPr>
  </w:style>
  <w:style w:type="paragraph" w:styleId="ListBullet4">
    <w:name w:val="List Bullet 4"/>
    <w:basedOn w:val="Text4"/>
    <w:pPr>
      <w:numPr>
        <w:numId w:val="8"/>
      </w:numPr>
    </w:pPr>
  </w:style>
  <w:style w:type="paragraph" w:styleId="ListBullet5">
    <w:name w:val="List Bullet 5"/>
    <w:basedOn w:val="Normal"/>
    <w:autoRedefine/>
    <w:pPr>
      <w:numPr>
        <w:numId w:val="1"/>
      </w:numPr>
    </w:pPr>
  </w:style>
  <w:style w:type="paragraph" w:styleId="ListContinue">
    <w:name w:val="List Continue"/>
    <w:basedOn w:val="Normal"/>
    <w:pPr>
      <w:spacing w:after="120"/>
      <w:ind w:left="283"/>
    </w:pPr>
  </w:style>
  <w:style w:type="paragraph" w:styleId="ListContinue2">
    <w:name w:val="List Continue 2"/>
    <w:basedOn w:val="Normal"/>
    <w:pPr>
      <w:spacing w:after="120"/>
      <w:ind w:left="566"/>
    </w:pPr>
  </w:style>
  <w:style w:type="paragraph" w:styleId="ListContinue3">
    <w:name w:val="List Continue 3"/>
    <w:basedOn w:val="Normal"/>
    <w:pPr>
      <w:spacing w:after="120"/>
      <w:ind w:left="849"/>
    </w:pPr>
  </w:style>
  <w:style w:type="paragraph" w:styleId="ListContinue4">
    <w:name w:val="List Continue 4"/>
    <w:basedOn w:val="Normal"/>
    <w:pPr>
      <w:spacing w:after="120"/>
      <w:ind w:left="1132"/>
    </w:pPr>
  </w:style>
  <w:style w:type="paragraph" w:styleId="ListContinue5">
    <w:name w:val="List Continue 5"/>
    <w:basedOn w:val="Normal"/>
    <w:pPr>
      <w:spacing w:after="120"/>
      <w:ind w:left="1415"/>
    </w:pPr>
  </w:style>
  <w:style w:type="paragraph" w:styleId="ListNumber">
    <w:name w:val="List Number"/>
    <w:basedOn w:val="Normal"/>
    <w:pPr>
      <w:numPr>
        <w:numId w:val="14"/>
      </w:numPr>
    </w:pPr>
  </w:style>
  <w:style w:type="paragraph" w:styleId="ListNumber2">
    <w:name w:val="List Number 2"/>
    <w:basedOn w:val="Text2"/>
    <w:pPr>
      <w:numPr>
        <w:numId w:val="16"/>
      </w:numPr>
      <w:tabs>
        <w:tab w:val="clear" w:pos="2160"/>
      </w:tabs>
    </w:pPr>
  </w:style>
  <w:style w:type="paragraph" w:styleId="ListNumber3">
    <w:name w:val="List Number 3"/>
    <w:basedOn w:val="Text3"/>
    <w:pPr>
      <w:numPr>
        <w:numId w:val="17"/>
      </w:numPr>
      <w:tabs>
        <w:tab w:val="clear" w:pos="2302"/>
      </w:tabs>
    </w:pPr>
  </w:style>
  <w:style w:type="paragraph" w:styleId="ListNumber4">
    <w:name w:val="List Number 4"/>
    <w:basedOn w:val="Text4"/>
    <w:pPr>
      <w:numPr>
        <w:numId w:val="18"/>
      </w:numPr>
    </w:pPr>
  </w:style>
  <w:style w:type="paragraph" w:styleId="ListNumber5">
    <w:name w:val="List Number 5"/>
    <w:basedOn w:val="Normal"/>
    <w:pPr>
      <w:numPr>
        <w:numId w:val="2"/>
      </w:numPr>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spacing w:after="240"/>
      <w:jc w:val="both"/>
    </w:pPr>
    <w:rPr>
      <w:rFonts w:ascii="Courier New" w:hAnsi="Courier New"/>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rPr>
  </w:style>
  <w:style w:type="paragraph" w:styleId="NormalIndent">
    <w:name w:val="Normal Indent"/>
    <w:basedOn w:val="Normal"/>
    <w:pPr>
      <w:ind w:left="720"/>
    </w:pPr>
  </w:style>
  <w:style w:type="paragraph" w:styleId="NoteHeading">
    <w:name w:val="Note Heading"/>
    <w:basedOn w:val="Normal"/>
    <w:next w:val="Normal"/>
  </w:style>
  <w:style w:type="paragraph" w:customStyle="1" w:styleId="NoteHead">
    <w:name w:val="NoteHead"/>
    <w:basedOn w:val="Normal"/>
    <w:next w:val="Subject"/>
    <w:link w:val="NoteHeadChar"/>
    <w:pPr>
      <w:spacing w:before="720" w:after="720"/>
      <w:jc w:val="center"/>
    </w:pPr>
    <w:rPr>
      <w:b/>
      <w:smallCaps/>
    </w:rPr>
  </w:style>
  <w:style w:type="paragraph" w:customStyle="1" w:styleId="Subject">
    <w:name w:val="Subject"/>
    <w:basedOn w:val="Normal"/>
    <w:next w:val="Normal"/>
    <w:pPr>
      <w:spacing w:after="480"/>
      <w:ind w:left="1531" w:hanging="1531"/>
      <w:jc w:val="left"/>
    </w:pPr>
    <w:rPr>
      <w:b/>
    </w:rPr>
  </w:style>
  <w:style w:type="paragraph" w:customStyle="1" w:styleId="NoteList">
    <w:name w:val="NoteList"/>
    <w:basedOn w:val="Normal"/>
    <w:next w:val="Subject"/>
    <w:pPr>
      <w:tabs>
        <w:tab w:val="left" w:pos="5823"/>
      </w:tabs>
      <w:spacing w:before="720" w:after="720"/>
      <w:ind w:left="5104" w:hanging="3119"/>
      <w:jc w:val="left"/>
    </w:pPr>
    <w:rPr>
      <w:b/>
      <w:smallCaps/>
    </w:rPr>
  </w:style>
  <w:style w:type="paragraph" w:customStyle="1" w:styleId="NumPar1">
    <w:name w:val="NumPar 1"/>
    <w:basedOn w:val="Heading1"/>
    <w:next w:val="Text1"/>
    <w:pPr>
      <w:keepNext w:val="0"/>
      <w:spacing w:before="0"/>
      <w:outlineLvl w:val="9"/>
    </w:pPr>
    <w:rPr>
      <w:b w:val="0"/>
      <w:smallCaps w:val="0"/>
    </w:rPr>
  </w:style>
  <w:style w:type="paragraph" w:customStyle="1" w:styleId="NumPar2">
    <w:name w:val="NumPar 2"/>
    <w:basedOn w:val="Heading2"/>
    <w:next w:val="Text2"/>
    <w:pPr>
      <w:keepNext w:val="0"/>
      <w:outlineLvl w:val="9"/>
    </w:pPr>
    <w:rPr>
      <w:b w:val="0"/>
    </w:rPr>
  </w:style>
  <w:style w:type="paragraph" w:customStyle="1" w:styleId="NumPar3">
    <w:name w:val="NumPar 3"/>
    <w:basedOn w:val="Heading3"/>
    <w:next w:val="Text3"/>
    <w:pPr>
      <w:keepNext w:val="0"/>
      <w:outlineLvl w:val="9"/>
    </w:pPr>
    <w:rPr>
      <w:i w:val="0"/>
    </w:rPr>
  </w:style>
  <w:style w:type="paragraph" w:customStyle="1" w:styleId="NumPar4">
    <w:name w:val="NumPar 4"/>
    <w:basedOn w:val="Heading4"/>
    <w:next w:val="Text4"/>
    <w:pPr>
      <w:keepNext w:val="0"/>
      <w:outlineLvl w:val="9"/>
    </w:pPr>
  </w:style>
  <w:style w:type="paragraph" w:styleId="PlainText">
    <w:name w:val="Plain Text"/>
    <w:basedOn w:val="Normal"/>
    <w:rPr>
      <w:rFonts w:ascii="Courier New" w:hAnsi="Courier New"/>
      <w:sz w:val="20"/>
    </w:rPr>
  </w:style>
  <w:style w:type="paragraph" w:styleId="Salutation">
    <w:name w:val="Salutation"/>
    <w:basedOn w:val="Normal"/>
    <w:next w:val="Normal"/>
  </w:style>
  <w:style w:type="paragraph" w:styleId="Subtitle">
    <w:name w:val="Subtitle"/>
    <w:basedOn w:val="Normal"/>
    <w:qFormat/>
    <w:pPr>
      <w:spacing w:after="60"/>
      <w:jc w:val="center"/>
      <w:outlineLvl w:val="1"/>
    </w:pPr>
    <w:rPr>
      <w:rFonts w:ascii="Arial" w:hAnsi="Arial"/>
    </w:rPr>
  </w:style>
  <w:style w:type="paragraph" w:styleId="TableofAuthorities">
    <w:name w:val="table of authorities"/>
    <w:basedOn w:val="Normal"/>
    <w:next w:val="Normal"/>
    <w:semiHidden/>
    <w:pPr>
      <w:ind w:left="240" w:hanging="240"/>
    </w:pPr>
  </w:style>
  <w:style w:type="paragraph" w:styleId="TableofFigures">
    <w:name w:val="table of figures"/>
    <w:basedOn w:val="Normal"/>
    <w:next w:val="Normal"/>
    <w:semiHidden/>
    <w:pPr>
      <w:ind w:left="480" w:hanging="480"/>
    </w:pPr>
  </w:style>
  <w:style w:type="paragraph" w:styleId="Title">
    <w:name w:val="Title"/>
    <w:basedOn w:val="Normal"/>
    <w:qFormat/>
    <w:pPr>
      <w:spacing w:before="240" w:after="60"/>
      <w:jc w:val="center"/>
      <w:outlineLvl w:val="0"/>
    </w:pPr>
    <w:rPr>
      <w:rFonts w:ascii="Arial" w:hAnsi="Arial"/>
      <w:b/>
      <w:kern w:val="28"/>
      <w:sz w:val="32"/>
    </w:rPr>
  </w:style>
  <w:style w:type="paragraph" w:styleId="TOAHeading">
    <w:name w:val="toa heading"/>
    <w:basedOn w:val="Normal"/>
    <w:next w:val="Normal"/>
    <w:semiHidden/>
    <w:pPr>
      <w:spacing w:before="120"/>
    </w:pPr>
    <w:rPr>
      <w:rFonts w:ascii="Arial" w:hAnsi="Arial"/>
      <w:b/>
    </w:rPr>
  </w:style>
  <w:style w:type="paragraph" w:styleId="TOC1">
    <w:name w:val="toc 1"/>
    <w:basedOn w:val="Normal"/>
    <w:next w:val="Normal"/>
    <w:semiHidden/>
    <w:pPr>
      <w:tabs>
        <w:tab w:val="right" w:leader="dot" w:pos="8640"/>
      </w:tabs>
      <w:spacing w:before="120" w:after="120"/>
      <w:ind w:left="482" w:right="720" w:hanging="482"/>
    </w:pPr>
    <w:rPr>
      <w:caps/>
    </w:rPr>
  </w:style>
  <w:style w:type="paragraph" w:styleId="TOC2">
    <w:name w:val="toc 2"/>
    <w:basedOn w:val="Normal"/>
    <w:next w:val="Normal"/>
    <w:semiHidden/>
    <w:pPr>
      <w:tabs>
        <w:tab w:val="right" w:leader="dot" w:pos="8640"/>
      </w:tabs>
      <w:spacing w:before="60" w:after="60"/>
      <w:ind w:left="1077" w:right="720" w:hanging="595"/>
    </w:pPr>
  </w:style>
  <w:style w:type="paragraph" w:styleId="TOC3">
    <w:name w:val="toc 3"/>
    <w:basedOn w:val="Normal"/>
    <w:next w:val="Normal"/>
    <w:semiHidden/>
    <w:pPr>
      <w:tabs>
        <w:tab w:val="right" w:leader="dot" w:pos="8640"/>
      </w:tabs>
      <w:spacing w:before="60" w:after="60"/>
      <w:ind w:left="1916" w:right="720" w:hanging="839"/>
    </w:pPr>
  </w:style>
  <w:style w:type="paragraph" w:styleId="TOC4">
    <w:name w:val="toc 4"/>
    <w:basedOn w:val="Normal"/>
    <w:next w:val="Normal"/>
    <w:semiHidden/>
    <w:pPr>
      <w:tabs>
        <w:tab w:val="right" w:leader="dot" w:pos="8641"/>
      </w:tabs>
      <w:spacing w:before="60" w:after="60"/>
      <w:ind w:left="2880" w:right="720" w:hanging="964"/>
    </w:pPr>
  </w:style>
  <w:style w:type="paragraph" w:styleId="TOC5">
    <w:name w:val="toc 5"/>
    <w:basedOn w:val="Normal"/>
    <w:next w:val="Normal"/>
    <w:semiHidden/>
    <w:pPr>
      <w:tabs>
        <w:tab w:val="right" w:leader="dot" w:pos="8641"/>
      </w:tabs>
      <w:spacing w:before="240" w:after="120"/>
      <w:ind w:right="720"/>
    </w:pPr>
    <w:rPr>
      <w:caps/>
    </w:rPr>
  </w:style>
  <w:style w:type="paragraph" w:styleId="TOC6">
    <w:name w:val="toc 6"/>
    <w:basedOn w:val="Normal"/>
    <w:next w:val="Normal"/>
    <w:autoRedefine/>
    <w:semiHidden/>
    <w:pPr>
      <w:ind w:left="1200"/>
    </w:pPr>
  </w:style>
  <w:style w:type="paragraph" w:styleId="TOC7">
    <w:name w:val="toc 7"/>
    <w:basedOn w:val="Normal"/>
    <w:next w:val="Normal"/>
    <w:autoRedefine/>
    <w:semiHidden/>
    <w:pPr>
      <w:ind w:left="1440"/>
    </w:pPr>
  </w:style>
  <w:style w:type="paragraph" w:styleId="TOC8">
    <w:name w:val="toc 8"/>
    <w:basedOn w:val="Normal"/>
    <w:next w:val="Normal"/>
    <w:autoRedefine/>
    <w:semiHidden/>
    <w:pPr>
      <w:ind w:left="1680"/>
    </w:pPr>
  </w:style>
  <w:style w:type="paragraph" w:styleId="TOC9">
    <w:name w:val="toc 9"/>
    <w:basedOn w:val="Normal"/>
    <w:next w:val="Normal"/>
    <w:autoRedefine/>
    <w:semiHidden/>
    <w:pPr>
      <w:ind w:left="1920"/>
    </w:pPr>
  </w:style>
  <w:style w:type="paragraph" w:customStyle="1" w:styleId="YReferences">
    <w:name w:val="YReferences"/>
    <w:basedOn w:val="Normal"/>
    <w:next w:val="Normal"/>
    <w:pPr>
      <w:spacing w:after="480"/>
      <w:ind w:left="1531" w:hanging="1531"/>
    </w:pPr>
  </w:style>
  <w:style w:type="paragraph" w:customStyle="1" w:styleId="ListBullet1">
    <w:name w:val="List Bullet 1"/>
    <w:basedOn w:val="Text1"/>
    <w:pPr>
      <w:numPr>
        <w:numId w:val="5"/>
      </w:numPr>
    </w:pPr>
  </w:style>
  <w:style w:type="paragraph" w:customStyle="1" w:styleId="ListDash">
    <w:name w:val="List Dash"/>
    <w:basedOn w:val="Normal"/>
    <w:pPr>
      <w:numPr>
        <w:numId w:val="9"/>
      </w:numPr>
    </w:pPr>
  </w:style>
  <w:style w:type="paragraph" w:customStyle="1" w:styleId="ListDash1">
    <w:name w:val="List Dash 1"/>
    <w:basedOn w:val="Text1"/>
    <w:pPr>
      <w:numPr>
        <w:numId w:val="10"/>
      </w:numPr>
    </w:pPr>
  </w:style>
  <w:style w:type="paragraph" w:customStyle="1" w:styleId="ListDash2">
    <w:name w:val="List Dash 2"/>
    <w:basedOn w:val="Text2"/>
    <w:pPr>
      <w:numPr>
        <w:numId w:val="11"/>
      </w:numPr>
      <w:tabs>
        <w:tab w:val="clear" w:pos="2160"/>
      </w:tabs>
    </w:pPr>
  </w:style>
  <w:style w:type="paragraph" w:customStyle="1" w:styleId="ListDash3">
    <w:name w:val="List Dash 3"/>
    <w:basedOn w:val="Text3"/>
    <w:pPr>
      <w:numPr>
        <w:numId w:val="12"/>
      </w:numPr>
      <w:tabs>
        <w:tab w:val="clear" w:pos="2302"/>
      </w:tabs>
    </w:pPr>
  </w:style>
  <w:style w:type="paragraph" w:customStyle="1" w:styleId="ListDash4">
    <w:name w:val="List Dash 4"/>
    <w:basedOn w:val="Text4"/>
    <w:pPr>
      <w:numPr>
        <w:numId w:val="13"/>
      </w:numPr>
    </w:pPr>
  </w:style>
  <w:style w:type="paragraph" w:customStyle="1" w:styleId="ListNumberLevel2">
    <w:name w:val="List Number (Level 2)"/>
    <w:basedOn w:val="Normal"/>
    <w:pPr>
      <w:numPr>
        <w:ilvl w:val="1"/>
        <w:numId w:val="14"/>
      </w:numPr>
    </w:pPr>
  </w:style>
  <w:style w:type="paragraph" w:customStyle="1" w:styleId="ListNumberLevel3">
    <w:name w:val="List Number (Level 3)"/>
    <w:basedOn w:val="Normal"/>
    <w:pPr>
      <w:numPr>
        <w:ilvl w:val="2"/>
        <w:numId w:val="14"/>
      </w:numPr>
    </w:pPr>
  </w:style>
  <w:style w:type="paragraph" w:customStyle="1" w:styleId="ListNumberLevel4">
    <w:name w:val="List Number (Level 4)"/>
    <w:basedOn w:val="Normal"/>
    <w:pPr>
      <w:numPr>
        <w:ilvl w:val="3"/>
        <w:numId w:val="14"/>
      </w:numPr>
    </w:pPr>
  </w:style>
  <w:style w:type="paragraph" w:customStyle="1" w:styleId="ListNumber1">
    <w:name w:val="List Number 1"/>
    <w:basedOn w:val="Text1"/>
    <w:pPr>
      <w:numPr>
        <w:numId w:val="15"/>
      </w:numPr>
    </w:pPr>
  </w:style>
  <w:style w:type="paragraph" w:customStyle="1" w:styleId="ListNumber1Level2">
    <w:name w:val="List Number 1 (Level 2)"/>
    <w:basedOn w:val="Text1"/>
    <w:pPr>
      <w:numPr>
        <w:ilvl w:val="1"/>
        <w:numId w:val="15"/>
      </w:numPr>
    </w:pPr>
  </w:style>
  <w:style w:type="paragraph" w:customStyle="1" w:styleId="ListNumber1Level3">
    <w:name w:val="List Number 1 (Level 3)"/>
    <w:basedOn w:val="Text1"/>
    <w:pPr>
      <w:numPr>
        <w:ilvl w:val="2"/>
        <w:numId w:val="15"/>
      </w:numPr>
    </w:pPr>
  </w:style>
  <w:style w:type="paragraph" w:customStyle="1" w:styleId="ListNumber1Level4">
    <w:name w:val="List Number 1 (Level 4)"/>
    <w:basedOn w:val="Text1"/>
    <w:pPr>
      <w:numPr>
        <w:ilvl w:val="3"/>
        <w:numId w:val="15"/>
      </w:numPr>
    </w:pPr>
  </w:style>
  <w:style w:type="paragraph" w:customStyle="1" w:styleId="ListNumber2Level2">
    <w:name w:val="List Number 2 (Level 2)"/>
    <w:basedOn w:val="Text2"/>
    <w:pPr>
      <w:numPr>
        <w:ilvl w:val="1"/>
        <w:numId w:val="16"/>
      </w:numPr>
      <w:tabs>
        <w:tab w:val="clear" w:pos="2160"/>
      </w:tabs>
    </w:pPr>
  </w:style>
  <w:style w:type="paragraph" w:customStyle="1" w:styleId="ListNumber2Level3">
    <w:name w:val="List Number 2 (Level 3)"/>
    <w:basedOn w:val="Text2"/>
    <w:pPr>
      <w:numPr>
        <w:ilvl w:val="2"/>
        <w:numId w:val="16"/>
      </w:numPr>
      <w:tabs>
        <w:tab w:val="clear" w:pos="2160"/>
      </w:tabs>
    </w:pPr>
  </w:style>
  <w:style w:type="paragraph" w:customStyle="1" w:styleId="ListNumber2Level4">
    <w:name w:val="List Number 2 (Level 4)"/>
    <w:basedOn w:val="Text2"/>
    <w:pPr>
      <w:numPr>
        <w:ilvl w:val="3"/>
        <w:numId w:val="16"/>
      </w:numPr>
      <w:tabs>
        <w:tab w:val="clear" w:pos="2160"/>
      </w:tabs>
      <w:ind w:left="3901" w:hanging="703"/>
    </w:pPr>
  </w:style>
  <w:style w:type="paragraph" w:customStyle="1" w:styleId="ListNumber3Level2">
    <w:name w:val="List Number 3 (Level 2)"/>
    <w:basedOn w:val="Text3"/>
    <w:pPr>
      <w:numPr>
        <w:ilvl w:val="1"/>
        <w:numId w:val="17"/>
      </w:numPr>
      <w:tabs>
        <w:tab w:val="clear" w:pos="2302"/>
      </w:tabs>
    </w:pPr>
  </w:style>
  <w:style w:type="paragraph" w:customStyle="1" w:styleId="ListNumber3Level3">
    <w:name w:val="List Number 3 (Level 3)"/>
    <w:basedOn w:val="Text3"/>
    <w:pPr>
      <w:numPr>
        <w:ilvl w:val="2"/>
        <w:numId w:val="17"/>
      </w:numPr>
      <w:tabs>
        <w:tab w:val="clear" w:pos="2302"/>
      </w:tabs>
    </w:pPr>
  </w:style>
  <w:style w:type="paragraph" w:customStyle="1" w:styleId="ListNumber3Level4">
    <w:name w:val="List Number 3 (Level 4)"/>
    <w:basedOn w:val="Text3"/>
    <w:pPr>
      <w:numPr>
        <w:ilvl w:val="3"/>
        <w:numId w:val="17"/>
      </w:numPr>
      <w:tabs>
        <w:tab w:val="clear" w:pos="2302"/>
      </w:tabs>
    </w:pPr>
  </w:style>
  <w:style w:type="paragraph" w:customStyle="1" w:styleId="ListNumber4Level2">
    <w:name w:val="List Number 4 (Level 2)"/>
    <w:basedOn w:val="Text4"/>
    <w:pPr>
      <w:numPr>
        <w:ilvl w:val="1"/>
        <w:numId w:val="18"/>
      </w:numPr>
    </w:pPr>
  </w:style>
  <w:style w:type="paragraph" w:customStyle="1" w:styleId="ListNumber4Level3">
    <w:name w:val="List Number 4 (Level 3)"/>
    <w:basedOn w:val="Text4"/>
    <w:pPr>
      <w:numPr>
        <w:ilvl w:val="2"/>
        <w:numId w:val="18"/>
      </w:numPr>
    </w:pPr>
  </w:style>
  <w:style w:type="paragraph" w:customStyle="1" w:styleId="ListNumber4Level4">
    <w:name w:val="List Number 4 (Level 4)"/>
    <w:basedOn w:val="Text4"/>
    <w:pPr>
      <w:numPr>
        <w:ilvl w:val="3"/>
        <w:numId w:val="18"/>
      </w:numPr>
    </w:pPr>
  </w:style>
  <w:style w:type="paragraph" w:styleId="TOCHeading">
    <w:name w:val="TOC Heading"/>
    <w:basedOn w:val="Normal"/>
    <w:next w:val="Normal"/>
    <w:qFormat/>
    <w:pPr>
      <w:keepNext/>
      <w:spacing w:before="240"/>
      <w:jc w:val="center"/>
    </w:pPr>
    <w:rPr>
      <w:b/>
    </w:rPr>
  </w:style>
  <w:style w:type="paragraph" w:customStyle="1" w:styleId="Contact">
    <w:name w:val="Contact"/>
    <w:basedOn w:val="Normal"/>
    <w:next w:val="Normal"/>
    <w:pPr>
      <w:spacing w:before="480" w:after="0"/>
      <w:ind w:left="567" w:hanging="567"/>
      <w:jc w:val="left"/>
    </w:pPr>
  </w:style>
  <w:style w:type="paragraph" w:customStyle="1" w:styleId="DisclaimerNotice">
    <w:name w:val="Disclaimer Notice"/>
    <w:basedOn w:val="Normal"/>
    <w:next w:val="AddressTR"/>
    <w:pPr>
      <w:ind w:left="5103"/>
      <w:jc w:val="left"/>
    </w:pPr>
    <w:rPr>
      <w:i/>
      <w:sz w:val="20"/>
    </w:rPr>
  </w:style>
  <w:style w:type="paragraph" w:customStyle="1" w:styleId="Disclaimer">
    <w:name w:val="Disclaimer"/>
    <w:basedOn w:val="Normal"/>
    <w:pPr>
      <w:keepLines/>
      <w:pBdr>
        <w:top w:val="single" w:sz="4" w:space="1" w:color="auto"/>
      </w:pBdr>
      <w:spacing w:before="480" w:after="0"/>
    </w:pPr>
    <w:rPr>
      <w:i/>
    </w:rPr>
  </w:style>
  <w:style w:type="character" w:styleId="FollowedHyperlink">
    <w:name w:val="FollowedHyperlink"/>
    <w:rPr>
      <w:color w:val="800080"/>
      <w:u w:val="single"/>
    </w:rPr>
  </w:style>
  <w:style w:type="paragraph" w:customStyle="1" w:styleId="DisclaimerSJ">
    <w:name w:val="Disclaimer_SJ"/>
    <w:basedOn w:val="Normal"/>
    <w:next w:val="Normal"/>
    <w:pPr>
      <w:spacing w:after="0"/>
    </w:pPr>
    <w:rPr>
      <w:rFonts w:ascii="Arial" w:hAnsi="Arial"/>
      <w:b/>
      <w:sz w:val="16"/>
    </w:rPr>
  </w:style>
  <w:style w:type="paragraph" w:customStyle="1" w:styleId="Designator">
    <w:name w:val="Designator"/>
    <w:basedOn w:val="Normal"/>
    <w:pPr>
      <w:spacing w:after="0"/>
      <w:jc w:val="center"/>
    </w:pPr>
    <w:rPr>
      <w:b/>
      <w:caps/>
      <w:sz w:val="32"/>
    </w:rPr>
  </w:style>
  <w:style w:type="paragraph" w:customStyle="1" w:styleId="Releasable">
    <w:name w:val="Releasable"/>
    <w:basedOn w:val="Normal"/>
    <w:qFormat/>
    <w:pPr>
      <w:spacing w:after="0"/>
      <w:jc w:val="center"/>
    </w:pPr>
    <w:rPr>
      <w:b/>
      <w:caps/>
      <w:sz w:val="32"/>
    </w:rPr>
  </w:style>
  <w:style w:type="paragraph" w:customStyle="1" w:styleId="RUE">
    <w:name w:val="RUE"/>
    <w:basedOn w:val="Normal"/>
    <w:pPr>
      <w:spacing w:after="0"/>
      <w:jc w:val="center"/>
    </w:pPr>
    <w:rPr>
      <w:b/>
      <w:caps/>
      <w:sz w:val="32"/>
      <w:bdr w:val="single" w:sz="18" w:space="0" w:color="auto"/>
    </w:rPr>
  </w:style>
  <w:style w:type="paragraph" w:customStyle="1" w:styleId="ConfidentialUE">
    <w:name w:val="Confidential UE"/>
    <w:basedOn w:val="Normal"/>
    <w:pPr>
      <w:spacing w:after="0"/>
      <w:jc w:val="center"/>
    </w:pPr>
    <w:rPr>
      <w:b/>
      <w:caps/>
      <w:sz w:val="32"/>
      <w:bdr w:val="single" w:sz="18" w:space="0" w:color="auto"/>
    </w:rPr>
  </w:style>
  <w:style w:type="paragraph" w:customStyle="1" w:styleId="TrsSecretUE">
    <w:name w:val="Très Secret UE"/>
    <w:basedOn w:val="Normal"/>
    <w:pPr>
      <w:spacing w:after="0"/>
      <w:jc w:val="center"/>
    </w:pPr>
    <w:rPr>
      <w:b/>
      <w:caps/>
      <w:color w:val="FF0000"/>
      <w:sz w:val="32"/>
      <w:bdr w:val="single" w:sz="18" w:space="0" w:color="FF0000"/>
    </w:rPr>
  </w:style>
  <w:style w:type="paragraph" w:customStyle="1" w:styleId="SecretUE">
    <w:name w:val="Secret UE"/>
    <w:basedOn w:val="Normal"/>
    <w:pPr>
      <w:spacing w:after="0"/>
      <w:jc w:val="center"/>
    </w:pPr>
    <w:rPr>
      <w:b/>
      <w:caps/>
      <w:color w:val="FF0000"/>
      <w:sz w:val="32"/>
      <w:bdr w:val="single" w:sz="18" w:space="0" w:color="FF0000"/>
    </w:rPr>
  </w:style>
  <w:style w:type="character" w:customStyle="1" w:styleId="FooterChar">
    <w:name w:val="Footer Char"/>
    <w:link w:val="Footer"/>
    <w:uiPriority w:val="99"/>
    <w:rPr>
      <w:rFonts w:ascii="Arial" w:hAnsi="Arial"/>
      <w:sz w:val="16"/>
      <w:lang w:eastAsia="en-US"/>
    </w:rPr>
  </w:style>
  <w:style w:type="character" w:customStyle="1" w:styleId="DateChar">
    <w:name w:val="Date Char"/>
    <w:link w:val="Date"/>
    <w:uiPriority w:val="99"/>
    <w:rPr>
      <w:sz w:val="24"/>
      <w:lang w:eastAsia="en-US"/>
    </w:rPr>
  </w:style>
  <w:style w:type="character" w:customStyle="1" w:styleId="SignatureChar">
    <w:name w:val="Signature Char"/>
    <w:link w:val="Signature"/>
    <w:uiPriority w:val="99"/>
    <w:rPr>
      <w:sz w:val="24"/>
      <w:lang w:eastAsia="en-US"/>
    </w:rPr>
  </w:style>
  <w:style w:type="paragraph" w:customStyle="1" w:styleId="ZCom">
    <w:name w:val="Z_Com"/>
    <w:basedOn w:val="Normal"/>
    <w:next w:val="ZDGName"/>
    <w:uiPriority w:val="99"/>
    <w:pPr>
      <w:widowControl w:val="0"/>
      <w:autoSpaceDE w:val="0"/>
      <w:autoSpaceDN w:val="0"/>
      <w:spacing w:after="0"/>
      <w:ind w:right="85"/>
    </w:pPr>
    <w:rPr>
      <w:rFonts w:ascii="Arial" w:hAnsi="Arial" w:cs="Arial"/>
      <w:szCs w:val="24"/>
      <w:lang w:eastAsia="en-GB"/>
    </w:rPr>
  </w:style>
  <w:style w:type="paragraph" w:customStyle="1" w:styleId="ZDGName">
    <w:name w:val="Z_DGName"/>
    <w:basedOn w:val="Normal"/>
    <w:uiPriority w:val="99"/>
    <w:pPr>
      <w:widowControl w:val="0"/>
      <w:autoSpaceDE w:val="0"/>
      <w:autoSpaceDN w:val="0"/>
      <w:spacing w:after="0"/>
      <w:ind w:right="85"/>
      <w:jc w:val="left"/>
    </w:pPr>
    <w:rPr>
      <w:rFonts w:ascii="Arial" w:hAnsi="Arial" w:cs="Arial"/>
      <w:sz w:val="16"/>
      <w:szCs w:val="16"/>
      <w:lang w:eastAsia="en-GB"/>
    </w:rPr>
  </w:style>
  <w:style w:type="character" w:customStyle="1" w:styleId="HeaderChar">
    <w:name w:val="Header Char"/>
    <w:link w:val="Header"/>
    <w:uiPriority w:val="99"/>
    <w:rPr>
      <w:sz w:val="24"/>
      <w:lang w:eastAsia="en-US"/>
    </w:rPr>
  </w:style>
  <w:style w:type="character" w:styleId="Hyperlink">
    <w:name w:val="Hyperlink"/>
    <w:uiPriority w:val="99"/>
    <w:rPr>
      <w:color w:val="0000FF"/>
      <w:u w:val="single"/>
    </w:rPr>
  </w:style>
  <w:style w:type="character" w:styleId="FootnoteReference">
    <w:name w:val="footnote reference"/>
    <w:aliases w:val="Footnote number,Footnote symbol,note TESI,Ref,de nota al pie,(NECG) Footnote Reference,fr,Footnote Reference1,Footnote Reference11,o,Footnote Reference Superscript,Footnote reference number,Footnote Reference Number,FR,FR1"/>
    <w:uiPriority w:val="99"/>
    <w:qFormat/>
    <w:rPr>
      <w:vertAlign w:val="superscript"/>
    </w:rPr>
  </w:style>
  <w:style w:type="character" w:customStyle="1" w:styleId="Initial">
    <w:name w:val="Initial"/>
    <w:rPr>
      <w:rFonts w:ascii="Times New Roman" w:hAnsi="Times New Roman"/>
      <w:noProof w:val="0"/>
      <w:sz w:val="24"/>
      <w:lang w:val="sv-SE"/>
    </w:rPr>
  </w:style>
  <w:style w:type="paragraph" w:customStyle="1" w:styleId="Footnote">
    <w:name w:val="Footnote"/>
    <w:pPr>
      <w:tabs>
        <w:tab w:val="left" w:pos="-1440"/>
        <w:tab w:val="left" w:pos="-720"/>
        <w:tab w:val="left" w:pos="0"/>
      </w:tabs>
      <w:suppressAutoHyphens/>
      <w:ind w:left="720" w:hanging="720"/>
    </w:pPr>
    <w:rPr>
      <w:lang w:eastAsia="en-GB"/>
    </w:rPr>
  </w:style>
  <w:style w:type="character" w:styleId="CommentReference">
    <w:name w:val="annotation reference"/>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TextChar">
    <w:name w:val="Comment Text Char"/>
    <w:link w:val="CommentText"/>
    <w:rPr>
      <w:lang w:eastAsia="en-US"/>
    </w:rPr>
  </w:style>
  <w:style w:type="character" w:customStyle="1" w:styleId="CommentSubjectChar">
    <w:name w:val="Comment Subject Char"/>
    <w:link w:val="CommentSubject"/>
    <w:uiPriority w:val="99"/>
    <w:semiHidden/>
    <w:rPr>
      <w:b/>
      <w:bCs/>
      <w:lang w:eastAsia="en-US"/>
    </w:rPr>
  </w:style>
  <w:style w:type="paragraph" w:styleId="BalloonText">
    <w:name w:val="Balloon Text"/>
    <w:basedOn w:val="Normal"/>
    <w:link w:val="BalloonTextChar"/>
    <w:uiPriority w:val="99"/>
    <w:semiHidden/>
    <w:unhideWhenUsed/>
    <w:pPr>
      <w:spacing w:after="0"/>
    </w:pPr>
    <w:rPr>
      <w:rFonts w:ascii="Tahoma" w:hAnsi="Tahoma" w:cs="Tahoma"/>
      <w:sz w:val="16"/>
      <w:szCs w:val="16"/>
    </w:rPr>
  </w:style>
  <w:style w:type="character" w:customStyle="1" w:styleId="BalloonTextChar">
    <w:name w:val="Balloon Text Char"/>
    <w:link w:val="BalloonText"/>
    <w:uiPriority w:val="99"/>
    <w:semiHidden/>
    <w:rPr>
      <w:rFonts w:ascii="Tahoma" w:hAnsi="Tahoma" w:cs="Tahoma"/>
      <w:sz w:val="16"/>
      <w:szCs w:val="16"/>
      <w:lang w:eastAsia="en-US"/>
    </w:rPr>
  </w:style>
  <w:style w:type="character" w:customStyle="1" w:styleId="FootnoteTextChar1">
    <w:name w:val="Footnote Text Char1"/>
    <w:aliases w:val="Footnote Text Char Char,Footnote Text Char2 Char Char,Footnote Text Char Char Char1 Char,Footnote Text Char1 Char Char Char Char,Footnote Text Char2 Char Char Char Char Char,Footnote Text Char1 Char1 Char Char Char Char Char"/>
    <w:link w:val="FootnoteText"/>
    <w:qFormat/>
    <w:locked/>
    <w:rPr>
      <w:lang w:eastAsia="en-US"/>
    </w:rPr>
  </w:style>
  <w:style w:type="paragraph" w:styleId="NormalWeb">
    <w:name w:val="Normal (Web)"/>
    <w:basedOn w:val="Normal"/>
    <w:uiPriority w:val="99"/>
    <w:unhideWhenUsed/>
    <w:pPr>
      <w:spacing w:before="100" w:beforeAutospacing="1" w:after="100" w:afterAutospacing="1"/>
      <w:jc w:val="left"/>
    </w:pPr>
    <w:rPr>
      <w:szCs w:val="24"/>
      <w:lang w:eastAsia="fr-BE"/>
    </w:rPr>
  </w:style>
  <w:style w:type="paragraph" w:customStyle="1" w:styleId="norm">
    <w:name w:val="norm"/>
    <w:basedOn w:val="Normal"/>
    <w:pPr>
      <w:spacing w:before="100" w:beforeAutospacing="1" w:after="100" w:afterAutospacing="1"/>
      <w:jc w:val="left"/>
    </w:pPr>
    <w:rPr>
      <w:szCs w:val="24"/>
      <w:lang w:eastAsia="fr-BE"/>
    </w:rPr>
  </w:style>
  <w:style w:type="character" w:customStyle="1" w:styleId="superscript">
    <w:name w:val="superscript"/>
  </w:style>
  <w:style w:type="paragraph" w:styleId="ListParagraph">
    <w:name w:val="List Paragraph"/>
    <w:basedOn w:val="Normal"/>
    <w:uiPriority w:val="34"/>
    <w:qFormat/>
    <w:pPr>
      <w:ind w:left="720"/>
    </w:pPr>
  </w:style>
  <w:style w:type="paragraph" w:customStyle="1" w:styleId="Normal1">
    <w:name w:val="Normal1"/>
    <w:basedOn w:val="Normal"/>
    <w:pPr>
      <w:spacing w:before="100" w:beforeAutospacing="1" w:after="100" w:afterAutospacing="1"/>
      <w:jc w:val="left"/>
    </w:pPr>
    <w:rPr>
      <w:szCs w:val="24"/>
    </w:rPr>
  </w:style>
  <w:style w:type="character" w:customStyle="1" w:styleId="bold">
    <w:name w:val="bold"/>
  </w:style>
  <w:style w:type="paragraph" w:customStyle="1" w:styleId="Considrant">
    <w:name w:val="Considérant"/>
    <w:basedOn w:val="Normal"/>
    <w:pPr>
      <w:numPr>
        <w:numId w:val="26"/>
      </w:numPr>
      <w:spacing w:before="120" w:after="120"/>
    </w:pPr>
    <w:rPr>
      <w:rFonts w:eastAsia="Calibri"/>
      <w:szCs w:val="22"/>
    </w:rPr>
  </w:style>
  <w:style w:type="character" w:customStyle="1" w:styleId="citation">
    <w:name w:val="citation"/>
  </w:style>
  <w:style w:type="character" w:styleId="Emphasis">
    <w:name w:val="Emphasis"/>
    <w:uiPriority w:val="20"/>
    <w:qFormat/>
    <w:rPr>
      <w:i/>
      <w:iCs/>
    </w:rPr>
  </w:style>
  <w:style w:type="paragraph" w:customStyle="1" w:styleId="selectionshareable">
    <w:name w:val="selectionshareable"/>
    <w:basedOn w:val="Normal"/>
    <w:pPr>
      <w:spacing w:before="100" w:beforeAutospacing="1" w:after="100" w:afterAutospacing="1"/>
      <w:jc w:val="left"/>
    </w:pPr>
    <w:rPr>
      <w:szCs w:val="24"/>
    </w:rPr>
  </w:style>
  <w:style w:type="paragraph" w:customStyle="1" w:styleId="bssmall">
    <w:name w:val="bssmall"/>
    <w:basedOn w:val="Normal"/>
    <w:pPr>
      <w:spacing w:before="100" w:beforeAutospacing="1" w:after="100" w:afterAutospacing="1"/>
      <w:jc w:val="left"/>
    </w:pPr>
    <w:rPr>
      <w:szCs w:val="24"/>
    </w:rPr>
  </w:style>
  <w:style w:type="table" w:styleId="TableGrid">
    <w:name w:val="Table Grid"/>
    <w:basedOn w:val="TableNormal"/>
    <w:uiPriority w:val="39"/>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Pr>
      <w:sz w:val="24"/>
    </w:rPr>
  </w:style>
  <w:style w:type="character" w:customStyle="1" w:styleId="hgkelc">
    <w:name w:val="hgkelc"/>
  </w:style>
  <w:style w:type="paragraph" w:customStyle="1" w:styleId="AR2015Text">
    <w:name w:val="AR2015Text"/>
    <w:basedOn w:val="Normal"/>
    <w:link w:val="AR2015TextChar"/>
    <w:uiPriority w:val="99"/>
    <w:unhideWhenUsed/>
    <w:pPr>
      <w:widowControl w:val="0"/>
      <w:autoSpaceDE w:val="0"/>
      <w:autoSpaceDN w:val="0"/>
      <w:adjustRightInd w:val="0"/>
      <w:spacing w:after="227" w:line="288" w:lineRule="auto"/>
      <w:textAlignment w:val="center"/>
    </w:pPr>
    <w:rPr>
      <w:rFonts w:ascii="Arial" w:hAnsi="Arial" w:cs="Minion Pro"/>
      <w:color w:val="000000"/>
      <w:sz w:val="18"/>
      <w:szCs w:val="18"/>
    </w:rPr>
  </w:style>
  <w:style w:type="character" w:customStyle="1" w:styleId="AR2015TextChar">
    <w:name w:val="AR2015Text Char"/>
    <w:link w:val="AR2015Text"/>
    <w:uiPriority w:val="99"/>
    <w:rPr>
      <w:rFonts w:ascii="Arial" w:hAnsi="Arial" w:cs="Minion Pro"/>
      <w:color w:val="000000"/>
      <w:sz w:val="18"/>
      <w:szCs w:val="18"/>
      <w:lang w:eastAsia="en-US"/>
    </w:rPr>
  </w:style>
  <w:style w:type="character" w:customStyle="1" w:styleId="highlight">
    <w:name w:val="highlight"/>
  </w:style>
  <w:style w:type="character" w:customStyle="1" w:styleId="Marker">
    <w:name w:val="Marker"/>
    <w:rPr>
      <w:color w:val="0000FF"/>
      <w:shd w:val="clear" w:color="auto" w:fill="auto"/>
    </w:rPr>
  </w:style>
  <w:style w:type="paragraph" w:customStyle="1" w:styleId="Pagedecouverture">
    <w:name w:val="Page de couverture"/>
    <w:basedOn w:val="Normal"/>
    <w:next w:val="Normal"/>
    <w:pPr>
      <w:spacing w:after="0"/>
    </w:pPr>
    <w:rPr>
      <w:rFonts w:eastAsia="Calibri"/>
      <w:szCs w:val="22"/>
    </w:rPr>
  </w:style>
  <w:style w:type="paragraph" w:customStyle="1" w:styleId="FooterCoverPage">
    <w:name w:val="Footer Cover Page"/>
    <w:basedOn w:val="Normal"/>
    <w:link w:val="FooterCoverPageChar"/>
    <w:pPr>
      <w:tabs>
        <w:tab w:val="center" w:pos="4535"/>
        <w:tab w:val="right" w:pos="9071"/>
        <w:tab w:val="right" w:pos="9921"/>
      </w:tabs>
      <w:spacing w:before="360" w:after="0"/>
      <w:ind w:left="-850" w:right="-850"/>
      <w:jc w:val="left"/>
    </w:pPr>
  </w:style>
  <w:style w:type="character" w:customStyle="1" w:styleId="NoteHeadChar">
    <w:name w:val="NoteHead Char"/>
    <w:link w:val="NoteHead"/>
    <w:rPr>
      <w:b/>
      <w:smallCaps/>
      <w:sz w:val="24"/>
      <w:lang w:val="sv-SE"/>
    </w:rPr>
  </w:style>
  <w:style w:type="character" w:customStyle="1" w:styleId="FooterCoverPageChar">
    <w:name w:val="Footer Cover Page Char"/>
    <w:link w:val="FooterCoverPage"/>
    <w:rPr>
      <w:sz w:val="24"/>
    </w:rPr>
  </w:style>
  <w:style w:type="paragraph" w:customStyle="1" w:styleId="FooterSensitivity">
    <w:name w:val="Footer Sensitivity"/>
    <w:basedOn w:val="Normal"/>
    <w:link w:val="FooterSensitivityChar"/>
    <w:pPr>
      <w:pBdr>
        <w:top w:val="single" w:sz="4" w:space="1" w:color="auto"/>
        <w:left w:val="single" w:sz="4" w:space="4" w:color="auto"/>
        <w:bottom w:val="single" w:sz="4" w:space="1" w:color="auto"/>
        <w:right w:val="single" w:sz="4" w:space="4" w:color="auto"/>
      </w:pBdr>
      <w:spacing w:before="360" w:after="0"/>
      <w:ind w:left="113" w:right="113"/>
      <w:jc w:val="center"/>
    </w:pPr>
    <w:rPr>
      <w:b/>
      <w:sz w:val="32"/>
    </w:rPr>
  </w:style>
  <w:style w:type="character" w:customStyle="1" w:styleId="FooterSensitivityChar">
    <w:name w:val="Footer Sensitivity Char"/>
    <w:link w:val="FooterSensitivity"/>
    <w:rPr>
      <w:b/>
      <w:sz w:val="32"/>
    </w:rPr>
  </w:style>
  <w:style w:type="paragraph" w:customStyle="1" w:styleId="HeaderCoverPage">
    <w:name w:val="Header Cover Page"/>
    <w:basedOn w:val="Normal"/>
    <w:link w:val="HeaderCoverPageChar"/>
    <w:pPr>
      <w:tabs>
        <w:tab w:val="center" w:pos="4535"/>
        <w:tab w:val="right" w:pos="9071"/>
      </w:tabs>
      <w:spacing w:after="120"/>
    </w:pPr>
  </w:style>
  <w:style w:type="character" w:customStyle="1" w:styleId="HeaderCoverPageChar">
    <w:name w:val="Header Cover Page Char"/>
    <w:link w:val="HeaderCoverPage"/>
    <w:rPr>
      <w:sz w:val="24"/>
    </w:rPr>
  </w:style>
  <w:style w:type="paragraph" w:customStyle="1" w:styleId="HeaderSensitivity">
    <w:name w:val="Header Sensitivity"/>
    <w:basedOn w:val="Normal"/>
    <w:link w:val="HeaderSensitivityChar"/>
    <w:pPr>
      <w:pBdr>
        <w:top w:val="single" w:sz="4" w:space="1" w:color="auto"/>
        <w:left w:val="single" w:sz="4" w:space="4" w:color="auto"/>
        <w:bottom w:val="single" w:sz="4" w:space="1" w:color="auto"/>
        <w:right w:val="single" w:sz="4" w:space="4" w:color="auto"/>
      </w:pBdr>
      <w:spacing w:after="120"/>
      <w:ind w:left="113" w:right="113"/>
      <w:jc w:val="center"/>
    </w:pPr>
    <w:rPr>
      <w:b/>
      <w:sz w:val="32"/>
    </w:rPr>
  </w:style>
  <w:style w:type="character" w:customStyle="1" w:styleId="HeaderSensitivityChar">
    <w:name w:val="Header Sensitivity Char"/>
    <w:link w:val="HeaderSensitivity"/>
    <w:rPr>
      <w:b/>
      <w:sz w:val="32"/>
    </w:rPr>
  </w:style>
  <w:style w:type="paragraph" w:customStyle="1" w:styleId="HeaderSensitivityRight">
    <w:name w:val="Header Sensitivity Right"/>
    <w:basedOn w:val="Normal"/>
    <w:link w:val="HeaderSensitivityRightChar"/>
    <w:pPr>
      <w:spacing w:after="120"/>
      <w:jc w:val="right"/>
    </w:pPr>
    <w:rPr>
      <w:sz w:val="28"/>
    </w:rPr>
  </w:style>
  <w:style w:type="character" w:customStyle="1" w:styleId="HeaderSensitivityRightChar">
    <w:name w:val="Header Sensitivity Right Char"/>
    <w:link w:val="HeaderSensitivityRight"/>
    <w:rPr>
      <w:sz w:val="28"/>
    </w:rPr>
  </w:style>
  <w:style w:type="paragraph" w:customStyle="1" w:styleId="Briefinglist1">
    <w:name w:val="Briefing list 1"/>
    <w:basedOn w:val="Normal"/>
    <w:link w:val="Briefinglist1Char"/>
    <w:qFormat/>
    <w:pPr>
      <w:keepLines/>
      <w:spacing w:after="120"/>
    </w:pPr>
    <w:rPr>
      <w:rFonts w:ascii="Arial" w:hAnsi="Arial" w:cs="Arial"/>
      <w:sz w:val="22"/>
      <w:szCs w:val="24"/>
    </w:rPr>
  </w:style>
  <w:style w:type="character" w:customStyle="1" w:styleId="Briefinglist1Char">
    <w:name w:val="Briefing list 1 Char"/>
    <w:link w:val="Briefinglist1"/>
    <w:qFormat/>
    <w:locked/>
    <w:rPr>
      <w:rFonts w:ascii="Arial" w:hAnsi="Arial" w:cs="Arial"/>
      <w:sz w:val="22"/>
      <w:szCs w:val="24"/>
      <w:lang w:val="sv-S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937333">
      <w:bodyDiv w:val="1"/>
      <w:marLeft w:val="0"/>
      <w:marRight w:val="0"/>
      <w:marTop w:val="0"/>
      <w:marBottom w:val="0"/>
      <w:divBdr>
        <w:top w:val="none" w:sz="0" w:space="0" w:color="auto"/>
        <w:left w:val="none" w:sz="0" w:space="0" w:color="auto"/>
        <w:bottom w:val="none" w:sz="0" w:space="0" w:color="auto"/>
        <w:right w:val="none" w:sz="0" w:space="0" w:color="auto"/>
      </w:divBdr>
    </w:div>
    <w:div w:id="58983746">
      <w:bodyDiv w:val="1"/>
      <w:marLeft w:val="0"/>
      <w:marRight w:val="0"/>
      <w:marTop w:val="0"/>
      <w:marBottom w:val="0"/>
      <w:divBdr>
        <w:top w:val="none" w:sz="0" w:space="0" w:color="auto"/>
        <w:left w:val="none" w:sz="0" w:space="0" w:color="auto"/>
        <w:bottom w:val="none" w:sz="0" w:space="0" w:color="auto"/>
        <w:right w:val="none" w:sz="0" w:space="0" w:color="auto"/>
      </w:divBdr>
    </w:div>
    <w:div w:id="111553650">
      <w:bodyDiv w:val="1"/>
      <w:marLeft w:val="0"/>
      <w:marRight w:val="0"/>
      <w:marTop w:val="0"/>
      <w:marBottom w:val="0"/>
      <w:divBdr>
        <w:top w:val="none" w:sz="0" w:space="0" w:color="auto"/>
        <w:left w:val="none" w:sz="0" w:space="0" w:color="auto"/>
        <w:bottom w:val="none" w:sz="0" w:space="0" w:color="auto"/>
        <w:right w:val="none" w:sz="0" w:space="0" w:color="auto"/>
      </w:divBdr>
    </w:div>
    <w:div w:id="137498298">
      <w:bodyDiv w:val="1"/>
      <w:marLeft w:val="0"/>
      <w:marRight w:val="0"/>
      <w:marTop w:val="0"/>
      <w:marBottom w:val="0"/>
      <w:divBdr>
        <w:top w:val="none" w:sz="0" w:space="0" w:color="auto"/>
        <w:left w:val="none" w:sz="0" w:space="0" w:color="auto"/>
        <w:bottom w:val="none" w:sz="0" w:space="0" w:color="auto"/>
        <w:right w:val="none" w:sz="0" w:space="0" w:color="auto"/>
      </w:divBdr>
    </w:div>
    <w:div w:id="194315432">
      <w:bodyDiv w:val="1"/>
      <w:marLeft w:val="0"/>
      <w:marRight w:val="0"/>
      <w:marTop w:val="0"/>
      <w:marBottom w:val="0"/>
      <w:divBdr>
        <w:top w:val="none" w:sz="0" w:space="0" w:color="auto"/>
        <w:left w:val="none" w:sz="0" w:space="0" w:color="auto"/>
        <w:bottom w:val="none" w:sz="0" w:space="0" w:color="auto"/>
        <w:right w:val="none" w:sz="0" w:space="0" w:color="auto"/>
      </w:divBdr>
    </w:div>
    <w:div w:id="259021845">
      <w:bodyDiv w:val="1"/>
      <w:marLeft w:val="0"/>
      <w:marRight w:val="0"/>
      <w:marTop w:val="0"/>
      <w:marBottom w:val="0"/>
      <w:divBdr>
        <w:top w:val="none" w:sz="0" w:space="0" w:color="auto"/>
        <w:left w:val="none" w:sz="0" w:space="0" w:color="auto"/>
        <w:bottom w:val="none" w:sz="0" w:space="0" w:color="auto"/>
        <w:right w:val="none" w:sz="0" w:space="0" w:color="auto"/>
      </w:divBdr>
    </w:div>
    <w:div w:id="264653112">
      <w:bodyDiv w:val="1"/>
      <w:marLeft w:val="0"/>
      <w:marRight w:val="0"/>
      <w:marTop w:val="0"/>
      <w:marBottom w:val="0"/>
      <w:divBdr>
        <w:top w:val="none" w:sz="0" w:space="0" w:color="auto"/>
        <w:left w:val="none" w:sz="0" w:space="0" w:color="auto"/>
        <w:bottom w:val="none" w:sz="0" w:space="0" w:color="auto"/>
        <w:right w:val="none" w:sz="0" w:space="0" w:color="auto"/>
      </w:divBdr>
    </w:div>
    <w:div w:id="300766132">
      <w:bodyDiv w:val="1"/>
      <w:marLeft w:val="0"/>
      <w:marRight w:val="0"/>
      <w:marTop w:val="0"/>
      <w:marBottom w:val="0"/>
      <w:divBdr>
        <w:top w:val="none" w:sz="0" w:space="0" w:color="auto"/>
        <w:left w:val="none" w:sz="0" w:space="0" w:color="auto"/>
        <w:bottom w:val="none" w:sz="0" w:space="0" w:color="auto"/>
        <w:right w:val="none" w:sz="0" w:space="0" w:color="auto"/>
      </w:divBdr>
    </w:div>
    <w:div w:id="362247548">
      <w:bodyDiv w:val="1"/>
      <w:marLeft w:val="0"/>
      <w:marRight w:val="0"/>
      <w:marTop w:val="0"/>
      <w:marBottom w:val="0"/>
      <w:divBdr>
        <w:top w:val="none" w:sz="0" w:space="0" w:color="auto"/>
        <w:left w:val="none" w:sz="0" w:space="0" w:color="auto"/>
        <w:bottom w:val="none" w:sz="0" w:space="0" w:color="auto"/>
        <w:right w:val="none" w:sz="0" w:space="0" w:color="auto"/>
      </w:divBdr>
    </w:div>
    <w:div w:id="369108056">
      <w:bodyDiv w:val="1"/>
      <w:marLeft w:val="0"/>
      <w:marRight w:val="0"/>
      <w:marTop w:val="0"/>
      <w:marBottom w:val="0"/>
      <w:divBdr>
        <w:top w:val="none" w:sz="0" w:space="0" w:color="auto"/>
        <w:left w:val="none" w:sz="0" w:space="0" w:color="auto"/>
        <w:bottom w:val="none" w:sz="0" w:space="0" w:color="auto"/>
        <w:right w:val="none" w:sz="0" w:space="0" w:color="auto"/>
      </w:divBdr>
    </w:div>
    <w:div w:id="405299625">
      <w:bodyDiv w:val="1"/>
      <w:marLeft w:val="0"/>
      <w:marRight w:val="0"/>
      <w:marTop w:val="0"/>
      <w:marBottom w:val="0"/>
      <w:divBdr>
        <w:top w:val="none" w:sz="0" w:space="0" w:color="auto"/>
        <w:left w:val="none" w:sz="0" w:space="0" w:color="auto"/>
        <w:bottom w:val="none" w:sz="0" w:space="0" w:color="auto"/>
        <w:right w:val="none" w:sz="0" w:space="0" w:color="auto"/>
      </w:divBdr>
      <w:divsChild>
        <w:div w:id="1249860">
          <w:marLeft w:val="0"/>
          <w:marRight w:val="0"/>
          <w:marTop w:val="120"/>
          <w:marBottom w:val="0"/>
          <w:divBdr>
            <w:top w:val="none" w:sz="0" w:space="0" w:color="auto"/>
            <w:left w:val="none" w:sz="0" w:space="0" w:color="auto"/>
            <w:bottom w:val="none" w:sz="0" w:space="0" w:color="auto"/>
            <w:right w:val="none" w:sz="0" w:space="0" w:color="auto"/>
          </w:divBdr>
        </w:div>
        <w:div w:id="81612783">
          <w:marLeft w:val="0"/>
          <w:marRight w:val="0"/>
          <w:marTop w:val="120"/>
          <w:marBottom w:val="0"/>
          <w:divBdr>
            <w:top w:val="none" w:sz="0" w:space="0" w:color="auto"/>
            <w:left w:val="none" w:sz="0" w:space="0" w:color="auto"/>
            <w:bottom w:val="none" w:sz="0" w:space="0" w:color="auto"/>
            <w:right w:val="none" w:sz="0" w:space="0" w:color="auto"/>
          </w:divBdr>
        </w:div>
        <w:div w:id="355817280">
          <w:marLeft w:val="0"/>
          <w:marRight w:val="0"/>
          <w:marTop w:val="120"/>
          <w:marBottom w:val="0"/>
          <w:divBdr>
            <w:top w:val="none" w:sz="0" w:space="0" w:color="auto"/>
            <w:left w:val="none" w:sz="0" w:space="0" w:color="auto"/>
            <w:bottom w:val="none" w:sz="0" w:space="0" w:color="auto"/>
            <w:right w:val="none" w:sz="0" w:space="0" w:color="auto"/>
          </w:divBdr>
        </w:div>
        <w:div w:id="461729862">
          <w:marLeft w:val="0"/>
          <w:marRight w:val="0"/>
          <w:marTop w:val="0"/>
          <w:marBottom w:val="0"/>
          <w:divBdr>
            <w:top w:val="none" w:sz="0" w:space="0" w:color="auto"/>
            <w:left w:val="none" w:sz="0" w:space="0" w:color="auto"/>
            <w:bottom w:val="none" w:sz="0" w:space="0" w:color="auto"/>
            <w:right w:val="none" w:sz="0" w:space="0" w:color="auto"/>
          </w:divBdr>
        </w:div>
        <w:div w:id="982582276">
          <w:marLeft w:val="0"/>
          <w:marRight w:val="0"/>
          <w:marTop w:val="0"/>
          <w:marBottom w:val="0"/>
          <w:divBdr>
            <w:top w:val="none" w:sz="0" w:space="0" w:color="auto"/>
            <w:left w:val="none" w:sz="0" w:space="0" w:color="auto"/>
            <w:bottom w:val="none" w:sz="0" w:space="0" w:color="auto"/>
            <w:right w:val="none" w:sz="0" w:space="0" w:color="auto"/>
          </w:divBdr>
        </w:div>
        <w:div w:id="1422683174">
          <w:marLeft w:val="0"/>
          <w:marRight w:val="0"/>
          <w:marTop w:val="0"/>
          <w:marBottom w:val="0"/>
          <w:divBdr>
            <w:top w:val="none" w:sz="0" w:space="0" w:color="auto"/>
            <w:left w:val="none" w:sz="0" w:space="0" w:color="auto"/>
            <w:bottom w:val="none" w:sz="0" w:space="0" w:color="auto"/>
            <w:right w:val="none" w:sz="0" w:space="0" w:color="auto"/>
          </w:divBdr>
        </w:div>
        <w:div w:id="1458178181">
          <w:marLeft w:val="0"/>
          <w:marRight w:val="0"/>
          <w:marTop w:val="120"/>
          <w:marBottom w:val="0"/>
          <w:divBdr>
            <w:top w:val="none" w:sz="0" w:space="0" w:color="auto"/>
            <w:left w:val="none" w:sz="0" w:space="0" w:color="auto"/>
            <w:bottom w:val="none" w:sz="0" w:space="0" w:color="auto"/>
            <w:right w:val="none" w:sz="0" w:space="0" w:color="auto"/>
          </w:divBdr>
        </w:div>
        <w:div w:id="1488982948">
          <w:marLeft w:val="0"/>
          <w:marRight w:val="0"/>
          <w:marTop w:val="0"/>
          <w:marBottom w:val="0"/>
          <w:divBdr>
            <w:top w:val="none" w:sz="0" w:space="0" w:color="auto"/>
            <w:left w:val="none" w:sz="0" w:space="0" w:color="auto"/>
            <w:bottom w:val="none" w:sz="0" w:space="0" w:color="auto"/>
            <w:right w:val="none" w:sz="0" w:space="0" w:color="auto"/>
          </w:divBdr>
        </w:div>
        <w:div w:id="1676112221">
          <w:marLeft w:val="0"/>
          <w:marRight w:val="0"/>
          <w:marTop w:val="0"/>
          <w:marBottom w:val="0"/>
          <w:divBdr>
            <w:top w:val="none" w:sz="0" w:space="0" w:color="auto"/>
            <w:left w:val="none" w:sz="0" w:space="0" w:color="auto"/>
            <w:bottom w:val="none" w:sz="0" w:space="0" w:color="auto"/>
            <w:right w:val="none" w:sz="0" w:space="0" w:color="auto"/>
          </w:divBdr>
        </w:div>
        <w:div w:id="1725829220">
          <w:marLeft w:val="0"/>
          <w:marRight w:val="0"/>
          <w:marTop w:val="120"/>
          <w:marBottom w:val="0"/>
          <w:divBdr>
            <w:top w:val="none" w:sz="0" w:space="0" w:color="auto"/>
            <w:left w:val="none" w:sz="0" w:space="0" w:color="auto"/>
            <w:bottom w:val="none" w:sz="0" w:space="0" w:color="auto"/>
            <w:right w:val="none" w:sz="0" w:space="0" w:color="auto"/>
          </w:divBdr>
        </w:div>
      </w:divsChild>
    </w:div>
    <w:div w:id="435833158">
      <w:bodyDiv w:val="1"/>
      <w:marLeft w:val="0"/>
      <w:marRight w:val="0"/>
      <w:marTop w:val="0"/>
      <w:marBottom w:val="0"/>
      <w:divBdr>
        <w:top w:val="none" w:sz="0" w:space="0" w:color="auto"/>
        <w:left w:val="none" w:sz="0" w:space="0" w:color="auto"/>
        <w:bottom w:val="none" w:sz="0" w:space="0" w:color="auto"/>
        <w:right w:val="none" w:sz="0" w:space="0" w:color="auto"/>
      </w:divBdr>
    </w:div>
    <w:div w:id="460005081">
      <w:bodyDiv w:val="1"/>
      <w:marLeft w:val="0"/>
      <w:marRight w:val="0"/>
      <w:marTop w:val="0"/>
      <w:marBottom w:val="0"/>
      <w:divBdr>
        <w:top w:val="none" w:sz="0" w:space="0" w:color="auto"/>
        <w:left w:val="none" w:sz="0" w:space="0" w:color="auto"/>
        <w:bottom w:val="none" w:sz="0" w:space="0" w:color="auto"/>
        <w:right w:val="none" w:sz="0" w:space="0" w:color="auto"/>
      </w:divBdr>
    </w:div>
    <w:div w:id="562527656">
      <w:bodyDiv w:val="1"/>
      <w:marLeft w:val="0"/>
      <w:marRight w:val="0"/>
      <w:marTop w:val="0"/>
      <w:marBottom w:val="0"/>
      <w:divBdr>
        <w:top w:val="none" w:sz="0" w:space="0" w:color="auto"/>
        <w:left w:val="none" w:sz="0" w:space="0" w:color="auto"/>
        <w:bottom w:val="none" w:sz="0" w:space="0" w:color="auto"/>
        <w:right w:val="none" w:sz="0" w:space="0" w:color="auto"/>
      </w:divBdr>
    </w:div>
    <w:div w:id="640424314">
      <w:bodyDiv w:val="1"/>
      <w:marLeft w:val="0"/>
      <w:marRight w:val="0"/>
      <w:marTop w:val="0"/>
      <w:marBottom w:val="0"/>
      <w:divBdr>
        <w:top w:val="none" w:sz="0" w:space="0" w:color="auto"/>
        <w:left w:val="none" w:sz="0" w:space="0" w:color="auto"/>
        <w:bottom w:val="none" w:sz="0" w:space="0" w:color="auto"/>
        <w:right w:val="none" w:sz="0" w:space="0" w:color="auto"/>
      </w:divBdr>
    </w:div>
    <w:div w:id="652179573">
      <w:bodyDiv w:val="1"/>
      <w:marLeft w:val="0"/>
      <w:marRight w:val="0"/>
      <w:marTop w:val="0"/>
      <w:marBottom w:val="0"/>
      <w:divBdr>
        <w:top w:val="none" w:sz="0" w:space="0" w:color="auto"/>
        <w:left w:val="none" w:sz="0" w:space="0" w:color="auto"/>
        <w:bottom w:val="none" w:sz="0" w:space="0" w:color="auto"/>
        <w:right w:val="none" w:sz="0" w:space="0" w:color="auto"/>
      </w:divBdr>
    </w:div>
    <w:div w:id="743070846">
      <w:bodyDiv w:val="1"/>
      <w:marLeft w:val="0"/>
      <w:marRight w:val="0"/>
      <w:marTop w:val="0"/>
      <w:marBottom w:val="0"/>
      <w:divBdr>
        <w:top w:val="none" w:sz="0" w:space="0" w:color="auto"/>
        <w:left w:val="none" w:sz="0" w:space="0" w:color="auto"/>
        <w:bottom w:val="none" w:sz="0" w:space="0" w:color="auto"/>
        <w:right w:val="none" w:sz="0" w:space="0" w:color="auto"/>
      </w:divBdr>
    </w:div>
    <w:div w:id="745346158">
      <w:bodyDiv w:val="1"/>
      <w:marLeft w:val="0"/>
      <w:marRight w:val="0"/>
      <w:marTop w:val="0"/>
      <w:marBottom w:val="0"/>
      <w:divBdr>
        <w:top w:val="none" w:sz="0" w:space="0" w:color="auto"/>
        <w:left w:val="none" w:sz="0" w:space="0" w:color="auto"/>
        <w:bottom w:val="none" w:sz="0" w:space="0" w:color="auto"/>
        <w:right w:val="none" w:sz="0" w:space="0" w:color="auto"/>
      </w:divBdr>
    </w:div>
    <w:div w:id="772289901">
      <w:bodyDiv w:val="1"/>
      <w:marLeft w:val="0"/>
      <w:marRight w:val="0"/>
      <w:marTop w:val="0"/>
      <w:marBottom w:val="0"/>
      <w:divBdr>
        <w:top w:val="none" w:sz="0" w:space="0" w:color="auto"/>
        <w:left w:val="none" w:sz="0" w:space="0" w:color="auto"/>
        <w:bottom w:val="none" w:sz="0" w:space="0" w:color="auto"/>
        <w:right w:val="none" w:sz="0" w:space="0" w:color="auto"/>
      </w:divBdr>
    </w:div>
    <w:div w:id="855115796">
      <w:bodyDiv w:val="1"/>
      <w:marLeft w:val="0"/>
      <w:marRight w:val="0"/>
      <w:marTop w:val="0"/>
      <w:marBottom w:val="0"/>
      <w:divBdr>
        <w:top w:val="none" w:sz="0" w:space="0" w:color="auto"/>
        <w:left w:val="none" w:sz="0" w:space="0" w:color="auto"/>
        <w:bottom w:val="none" w:sz="0" w:space="0" w:color="auto"/>
        <w:right w:val="none" w:sz="0" w:space="0" w:color="auto"/>
      </w:divBdr>
    </w:div>
    <w:div w:id="901140629">
      <w:bodyDiv w:val="1"/>
      <w:marLeft w:val="0"/>
      <w:marRight w:val="0"/>
      <w:marTop w:val="0"/>
      <w:marBottom w:val="0"/>
      <w:divBdr>
        <w:top w:val="none" w:sz="0" w:space="0" w:color="auto"/>
        <w:left w:val="none" w:sz="0" w:space="0" w:color="auto"/>
        <w:bottom w:val="none" w:sz="0" w:space="0" w:color="auto"/>
        <w:right w:val="none" w:sz="0" w:space="0" w:color="auto"/>
      </w:divBdr>
    </w:div>
    <w:div w:id="1111969523">
      <w:bodyDiv w:val="1"/>
      <w:marLeft w:val="0"/>
      <w:marRight w:val="0"/>
      <w:marTop w:val="0"/>
      <w:marBottom w:val="0"/>
      <w:divBdr>
        <w:top w:val="none" w:sz="0" w:space="0" w:color="auto"/>
        <w:left w:val="none" w:sz="0" w:space="0" w:color="auto"/>
        <w:bottom w:val="none" w:sz="0" w:space="0" w:color="auto"/>
        <w:right w:val="none" w:sz="0" w:space="0" w:color="auto"/>
      </w:divBdr>
    </w:div>
    <w:div w:id="1288512681">
      <w:bodyDiv w:val="1"/>
      <w:marLeft w:val="0"/>
      <w:marRight w:val="0"/>
      <w:marTop w:val="0"/>
      <w:marBottom w:val="0"/>
      <w:divBdr>
        <w:top w:val="none" w:sz="0" w:space="0" w:color="auto"/>
        <w:left w:val="none" w:sz="0" w:space="0" w:color="auto"/>
        <w:bottom w:val="none" w:sz="0" w:space="0" w:color="auto"/>
        <w:right w:val="none" w:sz="0" w:space="0" w:color="auto"/>
      </w:divBdr>
    </w:div>
    <w:div w:id="1297948943">
      <w:bodyDiv w:val="1"/>
      <w:marLeft w:val="0"/>
      <w:marRight w:val="0"/>
      <w:marTop w:val="0"/>
      <w:marBottom w:val="0"/>
      <w:divBdr>
        <w:top w:val="none" w:sz="0" w:space="0" w:color="auto"/>
        <w:left w:val="none" w:sz="0" w:space="0" w:color="auto"/>
        <w:bottom w:val="none" w:sz="0" w:space="0" w:color="auto"/>
        <w:right w:val="none" w:sz="0" w:space="0" w:color="auto"/>
      </w:divBdr>
    </w:div>
    <w:div w:id="1345479640">
      <w:bodyDiv w:val="1"/>
      <w:marLeft w:val="0"/>
      <w:marRight w:val="0"/>
      <w:marTop w:val="0"/>
      <w:marBottom w:val="0"/>
      <w:divBdr>
        <w:top w:val="none" w:sz="0" w:space="0" w:color="auto"/>
        <w:left w:val="none" w:sz="0" w:space="0" w:color="auto"/>
        <w:bottom w:val="none" w:sz="0" w:space="0" w:color="auto"/>
        <w:right w:val="none" w:sz="0" w:space="0" w:color="auto"/>
      </w:divBdr>
      <w:divsChild>
        <w:div w:id="1194460816">
          <w:marLeft w:val="0"/>
          <w:marRight w:val="0"/>
          <w:marTop w:val="0"/>
          <w:marBottom w:val="0"/>
          <w:divBdr>
            <w:top w:val="none" w:sz="0" w:space="0" w:color="auto"/>
            <w:left w:val="none" w:sz="0" w:space="0" w:color="auto"/>
            <w:bottom w:val="none" w:sz="0" w:space="0" w:color="auto"/>
            <w:right w:val="none" w:sz="0" w:space="0" w:color="auto"/>
          </w:divBdr>
          <w:divsChild>
            <w:div w:id="727920949">
              <w:marLeft w:val="0"/>
              <w:marRight w:val="0"/>
              <w:marTop w:val="0"/>
              <w:marBottom w:val="0"/>
              <w:divBdr>
                <w:top w:val="none" w:sz="0" w:space="0" w:color="auto"/>
                <w:left w:val="none" w:sz="0" w:space="0" w:color="auto"/>
                <w:bottom w:val="none" w:sz="0" w:space="0" w:color="auto"/>
                <w:right w:val="none" w:sz="0" w:space="0" w:color="auto"/>
              </w:divBdr>
              <w:divsChild>
                <w:div w:id="1516577999">
                  <w:marLeft w:val="0"/>
                  <w:marRight w:val="0"/>
                  <w:marTop w:val="0"/>
                  <w:marBottom w:val="0"/>
                  <w:divBdr>
                    <w:top w:val="none" w:sz="0" w:space="0" w:color="auto"/>
                    <w:left w:val="none" w:sz="0" w:space="0" w:color="auto"/>
                    <w:bottom w:val="none" w:sz="0" w:space="0" w:color="auto"/>
                    <w:right w:val="none" w:sz="0" w:space="0" w:color="auto"/>
                  </w:divBdr>
                  <w:divsChild>
                    <w:div w:id="1370717225">
                      <w:marLeft w:val="0"/>
                      <w:marRight w:val="0"/>
                      <w:marTop w:val="0"/>
                      <w:marBottom w:val="0"/>
                      <w:divBdr>
                        <w:top w:val="none" w:sz="0" w:space="0" w:color="auto"/>
                        <w:left w:val="none" w:sz="0" w:space="0" w:color="auto"/>
                        <w:bottom w:val="none" w:sz="0" w:space="0" w:color="auto"/>
                        <w:right w:val="none" w:sz="0" w:space="0" w:color="auto"/>
                      </w:divBdr>
                      <w:divsChild>
                        <w:div w:id="8603231">
                          <w:marLeft w:val="0"/>
                          <w:marRight w:val="0"/>
                          <w:marTop w:val="0"/>
                          <w:marBottom w:val="0"/>
                          <w:divBdr>
                            <w:top w:val="none" w:sz="0" w:space="0" w:color="auto"/>
                            <w:left w:val="none" w:sz="0" w:space="0" w:color="auto"/>
                            <w:bottom w:val="none" w:sz="0" w:space="0" w:color="auto"/>
                            <w:right w:val="none" w:sz="0" w:space="0" w:color="auto"/>
                          </w:divBdr>
                          <w:divsChild>
                            <w:div w:id="345133071">
                              <w:marLeft w:val="0"/>
                              <w:marRight w:val="0"/>
                              <w:marTop w:val="0"/>
                              <w:marBottom w:val="0"/>
                              <w:divBdr>
                                <w:top w:val="none" w:sz="0" w:space="0" w:color="auto"/>
                                <w:left w:val="none" w:sz="0" w:space="0" w:color="auto"/>
                                <w:bottom w:val="none" w:sz="0" w:space="0" w:color="auto"/>
                                <w:right w:val="none" w:sz="0" w:space="0" w:color="auto"/>
                              </w:divBdr>
                              <w:divsChild>
                                <w:div w:id="2035840486">
                                  <w:marLeft w:val="0"/>
                                  <w:marRight w:val="0"/>
                                  <w:marTop w:val="0"/>
                                  <w:marBottom w:val="0"/>
                                  <w:divBdr>
                                    <w:top w:val="none" w:sz="0" w:space="0" w:color="auto"/>
                                    <w:left w:val="none" w:sz="0" w:space="0" w:color="auto"/>
                                    <w:bottom w:val="none" w:sz="0" w:space="0" w:color="auto"/>
                                    <w:right w:val="none" w:sz="0" w:space="0" w:color="auto"/>
                                  </w:divBdr>
                                  <w:divsChild>
                                    <w:div w:id="262305076">
                                      <w:marLeft w:val="0"/>
                                      <w:marRight w:val="0"/>
                                      <w:marTop w:val="0"/>
                                      <w:marBottom w:val="0"/>
                                      <w:divBdr>
                                        <w:top w:val="none" w:sz="0" w:space="0" w:color="auto"/>
                                        <w:left w:val="none" w:sz="0" w:space="0" w:color="auto"/>
                                        <w:bottom w:val="none" w:sz="0" w:space="0" w:color="auto"/>
                                        <w:right w:val="none" w:sz="0" w:space="0" w:color="auto"/>
                                      </w:divBdr>
                                      <w:divsChild>
                                        <w:div w:id="2000307902">
                                          <w:marLeft w:val="0"/>
                                          <w:marRight w:val="0"/>
                                          <w:marTop w:val="0"/>
                                          <w:marBottom w:val="0"/>
                                          <w:divBdr>
                                            <w:top w:val="single" w:sz="6" w:space="0" w:color="D9D9D9"/>
                                            <w:left w:val="single" w:sz="6" w:space="0" w:color="D9D9D9"/>
                                            <w:bottom w:val="single" w:sz="6" w:space="0" w:color="D9D9D9"/>
                                            <w:right w:val="single" w:sz="6" w:space="0" w:color="D9D9D9"/>
                                          </w:divBdr>
                                          <w:divsChild>
                                            <w:div w:id="545409686">
                                              <w:marLeft w:val="0"/>
                                              <w:marRight w:val="0"/>
                                              <w:marTop w:val="0"/>
                                              <w:marBottom w:val="0"/>
                                              <w:divBdr>
                                                <w:top w:val="none" w:sz="0" w:space="0" w:color="auto"/>
                                                <w:left w:val="none" w:sz="0" w:space="0" w:color="auto"/>
                                                <w:bottom w:val="single" w:sz="6" w:space="1" w:color="D9D9D9"/>
                                                <w:right w:val="none" w:sz="0" w:space="0" w:color="auto"/>
                                              </w:divBdr>
                                              <w:divsChild>
                                                <w:div w:id="1441949023">
                                                  <w:marLeft w:val="0"/>
                                                  <w:marRight w:val="0"/>
                                                  <w:marTop w:val="0"/>
                                                  <w:marBottom w:val="0"/>
                                                  <w:divBdr>
                                                    <w:top w:val="none" w:sz="0" w:space="0" w:color="auto"/>
                                                    <w:left w:val="none" w:sz="0" w:space="0" w:color="auto"/>
                                                    <w:bottom w:val="none" w:sz="0" w:space="0" w:color="auto"/>
                                                    <w:right w:val="none" w:sz="0" w:space="0" w:color="auto"/>
                                                  </w:divBdr>
                                                  <w:divsChild>
                                                    <w:div w:id="354307603">
                                                      <w:marLeft w:val="0"/>
                                                      <w:marRight w:val="0"/>
                                                      <w:marTop w:val="0"/>
                                                      <w:marBottom w:val="0"/>
                                                      <w:divBdr>
                                                        <w:top w:val="none" w:sz="0" w:space="0" w:color="auto"/>
                                                        <w:left w:val="none" w:sz="0" w:space="0" w:color="auto"/>
                                                        <w:bottom w:val="none" w:sz="0" w:space="0" w:color="auto"/>
                                                        <w:right w:val="none" w:sz="0" w:space="0" w:color="auto"/>
                                                      </w:divBdr>
                                                      <w:divsChild>
                                                        <w:div w:id="132332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1571266">
                                              <w:marLeft w:val="0"/>
                                              <w:marRight w:val="0"/>
                                              <w:marTop w:val="0"/>
                                              <w:marBottom w:val="0"/>
                                              <w:divBdr>
                                                <w:top w:val="none" w:sz="0" w:space="0" w:color="auto"/>
                                                <w:left w:val="none" w:sz="0" w:space="0" w:color="auto"/>
                                                <w:bottom w:val="none" w:sz="0" w:space="0" w:color="auto"/>
                                                <w:right w:val="none" w:sz="0" w:space="0" w:color="auto"/>
                                              </w:divBdr>
                                              <w:divsChild>
                                                <w:div w:id="1174566062">
                                                  <w:marLeft w:val="0"/>
                                                  <w:marRight w:val="0"/>
                                                  <w:marTop w:val="0"/>
                                                  <w:marBottom w:val="0"/>
                                                  <w:divBdr>
                                                    <w:top w:val="none" w:sz="0" w:space="0" w:color="auto"/>
                                                    <w:left w:val="none" w:sz="0" w:space="0" w:color="auto"/>
                                                    <w:bottom w:val="none" w:sz="0" w:space="0" w:color="auto"/>
                                                    <w:right w:val="none" w:sz="0" w:space="0" w:color="auto"/>
                                                  </w:divBdr>
                                                  <w:divsChild>
                                                    <w:div w:id="1746763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45748354">
      <w:bodyDiv w:val="1"/>
      <w:marLeft w:val="0"/>
      <w:marRight w:val="0"/>
      <w:marTop w:val="0"/>
      <w:marBottom w:val="0"/>
      <w:divBdr>
        <w:top w:val="none" w:sz="0" w:space="0" w:color="auto"/>
        <w:left w:val="none" w:sz="0" w:space="0" w:color="auto"/>
        <w:bottom w:val="none" w:sz="0" w:space="0" w:color="auto"/>
        <w:right w:val="none" w:sz="0" w:space="0" w:color="auto"/>
      </w:divBdr>
    </w:div>
    <w:div w:id="1438865104">
      <w:bodyDiv w:val="1"/>
      <w:marLeft w:val="0"/>
      <w:marRight w:val="0"/>
      <w:marTop w:val="0"/>
      <w:marBottom w:val="0"/>
      <w:divBdr>
        <w:top w:val="none" w:sz="0" w:space="0" w:color="auto"/>
        <w:left w:val="none" w:sz="0" w:space="0" w:color="auto"/>
        <w:bottom w:val="none" w:sz="0" w:space="0" w:color="auto"/>
        <w:right w:val="none" w:sz="0" w:space="0" w:color="auto"/>
      </w:divBdr>
    </w:div>
    <w:div w:id="1463113500">
      <w:bodyDiv w:val="1"/>
      <w:marLeft w:val="0"/>
      <w:marRight w:val="0"/>
      <w:marTop w:val="0"/>
      <w:marBottom w:val="0"/>
      <w:divBdr>
        <w:top w:val="none" w:sz="0" w:space="0" w:color="auto"/>
        <w:left w:val="none" w:sz="0" w:space="0" w:color="auto"/>
        <w:bottom w:val="none" w:sz="0" w:space="0" w:color="auto"/>
        <w:right w:val="none" w:sz="0" w:space="0" w:color="auto"/>
      </w:divBdr>
    </w:div>
    <w:div w:id="1568997387">
      <w:bodyDiv w:val="1"/>
      <w:marLeft w:val="0"/>
      <w:marRight w:val="0"/>
      <w:marTop w:val="0"/>
      <w:marBottom w:val="0"/>
      <w:divBdr>
        <w:top w:val="none" w:sz="0" w:space="0" w:color="auto"/>
        <w:left w:val="none" w:sz="0" w:space="0" w:color="auto"/>
        <w:bottom w:val="none" w:sz="0" w:space="0" w:color="auto"/>
        <w:right w:val="none" w:sz="0" w:space="0" w:color="auto"/>
      </w:divBdr>
    </w:div>
    <w:div w:id="1735614969">
      <w:bodyDiv w:val="1"/>
      <w:marLeft w:val="0"/>
      <w:marRight w:val="0"/>
      <w:marTop w:val="0"/>
      <w:marBottom w:val="0"/>
      <w:divBdr>
        <w:top w:val="none" w:sz="0" w:space="0" w:color="auto"/>
        <w:left w:val="none" w:sz="0" w:space="0" w:color="auto"/>
        <w:bottom w:val="none" w:sz="0" w:space="0" w:color="auto"/>
        <w:right w:val="none" w:sz="0" w:space="0" w:color="auto"/>
      </w:divBdr>
    </w:div>
    <w:div w:id="1880361596">
      <w:bodyDiv w:val="1"/>
      <w:marLeft w:val="0"/>
      <w:marRight w:val="0"/>
      <w:marTop w:val="0"/>
      <w:marBottom w:val="0"/>
      <w:divBdr>
        <w:top w:val="none" w:sz="0" w:space="0" w:color="auto"/>
        <w:left w:val="none" w:sz="0" w:space="0" w:color="auto"/>
        <w:bottom w:val="none" w:sz="0" w:space="0" w:color="auto"/>
        <w:right w:val="none" w:sz="0" w:space="0" w:color="auto"/>
      </w:divBdr>
    </w:div>
    <w:div w:id="1897162233">
      <w:bodyDiv w:val="1"/>
      <w:marLeft w:val="0"/>
      <w:marRight w:val="0"/>
      <w:marTop w:val="0"/>
      <w:marBottom w:val="0"/>
      <w:divBdr>
        <w:top w:val="none" w:sz="0" w:space="0" w:color="auto"/>
        <w:left w:val="none" w:sz="0" w:space="0" w:color="auto"/>
        <w:bottom w:val="none" w:sz="0" w:space="0" w:color="auto"/>
        <w:right w:val="none" w:sz="0" w:space="0" w:color="auto"/>
      </w:divBdr>
    </w:div>
    <w:div w:id="1998805222">
      <w:bodyDiv w:val="1"/>
      <w:marLeft w:val="0"/>
      <w:marRight w:val="0"/>
      <w:marTop w:val="0"/>
      <w:marBottom w:val="0"/>
      <w:divBdr>
        <w:top w:val="none" w:sz="0" w:space="0" w:color="auto"/>
        <w:left w:val="none" w:sz="0" w:space="0" w:color="auto"/>
        <w:bottom w:val="none" w:sz="0" w:space="0" w:color="auto"/>
        <w:right w:val="none" w:sz="0" w:space="0" w:color="auto"/>
      </w:divBdr>
    </w:div>
    <w:div w:id="2047751922">
      <w:bodyDiv w:val="1"/>
      <w:marLeft w:val="0"/>
      <w:marRight w:val="0"/>
      <w:marTop w:val="0"/>
      <w:marBottom w:val="0"/>
      <w:divBdr>
        <w:top w:val="none" w:sz="0" w:space="0" w:color="auto"/>
        <w:left w:val="none" w:sz="0" w:space="0" w:color="auto"/>
        <w:bottom w:val="none" w:sz="0" w:space="0" w:color="auto"/>
        <w:right w:val="none" w:sz="0" w:space="0" w:color="auto"/>
      </w:divBdr>
    </w:div>
    <w:div w:id="2107726871">
      <w:bodyDiv w:val="1"/>
      <w:marLeft w:val="0"/>
      <w:marRight w:val="0"/>
      <w:marTop w:val="0"/>
      <w:marBottom w:val="0"/>
      <w:divBdr>
        <w:top w:val="none" w:sz="0" w:space="0" w:color="auto"/>
        <w:left w:val="none" w:sz="0" w:space="0" w:color="auto"/>
        <w:bottom w:val="none" w:sz="0" w:space="0" w:color="auto"/>
        <w:right w:val="none" w:sz="0" w:space="0" w:color="auto"/>
      </w:divBdr>
    </w:div>
    <w:div w:id="21130869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settings" Target="settings.xml"/><Relationship Id="rId18" Type="http://schemas.openxmlformats.org/officeDocument/2006/relationships/header" Target="header1.xml"/><Relationship Id="rId26" Type="http://schemas.openxmlformats.org/officeDocument/2006/relationships/hyperlink" Target="https://eur-lex.europa.eu/legal-content/SV/TXT/?uri=CELEX:52018XC0807(01)&amp;qid=1625557217449" TargetMode="External"/><Relationship Id="rId3" Type="http://schemas.openxmlformats.org/officeDocument/2006/relationships/customXml" Target="../customXml/item3.xml"/><Relationship Id="rId21" Type="http://schemas.openxmlformats.org/officeDocument/2006/relationships/footer" Target="footer2.xml"/><Relationship Id="rId34" Type="http://schemas.openxmlformats.org/officeDocument/2006/relationships/header" Target="header6.xml"/><Relationship Id="rId7" Type="http://schemas.openxmlformats.org/officeDocument/2006/relationships/customXml" Target="../customXml/item7.xml"/><Relationship Id="rId12" Type="http://schemas.microsoft.com/office/2007/relationships/stylesWithEffects" Target="stylesWithEffects.xml"/><Relationship Id="rId17" Type="http://schemas.openxmlformats.org/officeDocument/2006/relationships/image" Target="media/image1.emf"/><Relationship Id="rId25" Type="http://schemas.openxmlformats.org/officeDocument/2006/relationships/hyperlink" Target="https://eur-lex.europa.eu/legal-content/en/ALL/?uri=CELEX:32018R1101" TargetMode="External"/><Relationship Id="rId33" Type="http://schemas.openxmlformats.org/officeDocument/2006/relationships/footer" Target="footer5.xml"/><Relationship Id="rId2" Type="http://schemas.openxmlformats.org/officeDocument/2006/relationships/customXml" Target="../customXml/item2.xml"/><Relationship Id="rId16" Type="http://schemas.openxmlformats.org/officeDocument/2006/relationships/endnotes" Target="endnotes.xml"/><Relationship Id="rId20" Type="http://schemas.openxmlformats.org/officeDocument/2006/relationships/footer" Target="footer1.xml"/><Relationship Id="rId29" Type="http://schemas.openxmlformats.org/officeDocument/2006/relationships/image" Target="media/image2.emf"/><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tyles" Target="styles.xml"/><Relationship Id="rId24" Type="http://schemas.openxmlformats.org/officeDocument/2006/relationships/hyperlink" Target="https://eur-lex.europa.eu/legal-content/SV/TXT/?uri=uriserv:OJ.LI.2018.199.01.0001.01.SWE&amp;toc=OJ:L:2018:199I:TOC" TargetMode="External"/><Relationship Id="rId32" Type="http://schemas.openxmlformats.org/officeDocument/2006/relationships/footer" Target="footer4.xml"/><Relationship Id="rId37"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footnotes" Target="footnotes.xml"/><Relationship Id="rId23" Type="http://schemas.openxmlformats.org/officeDocument/2006/relationships/footer" Target="footer3.xml"/><Relationship Id="rId28" Type="http://schemas.openxmlformats.org/officeDocument/2006/relationships/hyperlink" Target="https://eur-lex.europa.eu/legal-content/SV/TXT/?uri=uriserv:OJ.LI.2018.199.01.0001.01.SWE&amp;toc=OJ:L:2018:199I:TOC" TargetMode="External"/><Relationship Id="rId36" Type="http://schemas.openxmlformats.org/officeDocument/2006/relationships/fontTable" Target="fontTable.xml"/><Relationship Id="rId10" Type="http://schemas.openxmlformats.org/officeDocument/2006/relationships/numbering" Target="numbering.xml"/><Relationship Id="rId19" Type="http://schemas.openxmlformats.org/officeDocument/2006/relationships/header" Target="header2.xml"/><Relationship Id="rId31" Type="http://schemas.openxmlformats.org/officeDocument/2006/relationships/header" Target="header5.xml"/><Relationship Id="rId4" Type="http://schemas.openxmlformats.org/officeDocument/2006/relationships/customXml" Target="../customXml/item4.xml"/><Relationship Id="rId9" Type="http://schemas.openxmlformats.org/officeDocument/2006/relationships/customXml" Target="../customXml/item9.xml"/><Relationship Id="rId14" Type="http://schemas.openxmlformats.org/officeDocument/2006/relationships/webSettings" Target="webSettings.xml"/><Relationship Id="rId22" Type="http://schemas.openxmlformats.org/officeDocument/2006/relationships/header" Target="header3.xml"/><Relationship Id="rId27" Type="http://schemas.openxmlformats.org/officeDocument/2006/relationships/hyperlink" Target="https://eur-lex.europa.eu/legal-content/SV/TXT/?uri=CELEX:52018XC0807(01)&amp;qid=1625557217449" TargetMode="External"/><Relationship Id="rId30" Type="http://schemas.openxmlformats.org/officeDocument/2006/relationships/header" Target="header4.xml"/><Relationship Id="rId35" Type="http://schemas.openxmlformats.org/officeDocument/2006/relationships/footer" Target="footer6.xml"/></Relationships>
</file>

<file path=word/_rels/footnotes.xml.rels><?xml version="1.0" encoding="UTF-8" standalone="yes"?>
<Relationships xmlns="http://schemas.openxmlformats.org/package/2006/relationships"><Relationship Id="rId2" Type="http://schemas.openxmlformats.org/officeDocument/2006/relationships/hyperlink" Target="mailto:RELEX-SANCTIONS@ec.europa.eu" TargetMode="External"/><Relationship Id="rId1" Type="http://schemas.openxmlformats.org/officeDocument/2006/relationships/hyperlink" Target="https://eeas.europa.eu/headquarters/headquarters-homepage/61181/joint-statement-federica-mogherini-chrystia-freeland-and-cecilia-malmstr&#246;m-decision-united_k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Author Role="Creator">
  <Id>d362d19f-b4b1-4b40-a97d-938936b96150</Id>
  <Names>
    <Latin>
      <FirstName>Mihai</FirstName>
      <LastName>KELLER</LastName>
    </Latin>
    <Greek>
      <FirstName/>
      <LastName/>
    </Greek>
    <Cyrillic>
      <FirstName/>
      <LastName/>
    </Cyrillic>
    <DocumentScript>
      <FirstName>Mihai</FirstName>
      <LastName>KELLER</LastName>
      <FullName>Mihai KELLER</FullName>
    </DocumentScript>
  </Names>
  <Initials>MK</Initials>
  <Gender>m</Gender>
  <Email>Mihai.KELLER@ec.europa.eu</Email>
  <Service>FPI.5</Service>
  <Function ShowInSignature="true"/>
  <WebAddress/>
  <InheritedWebAddress>WebAddress</InheritedWebAddress>
  <OrgaEntity1>
    <Id>502afd7b-6c37-41b7-8340-bf206143bcf0</Id>
    <LogicalLevel>1</LogicalLevel>
    <Name>FPI</Name>
    <HeadLine1>SERVICE FOR FOREIGN POLICY INSTRUMENTS</HeadLine1>
    <HeadLine2/>
    <PrimaryAddressId>f03b5801-04c9-4931-aa17-c6d6c70bc579</PrimaryAddressId>
    <SecondaryAddressId/>
    <WebAddress>WebAddress</WebAddress>
    <InheritedWebAddress>WebAddress</InheritedWebAddress>
    <ShowInHeader>true</ShowInHeader>
  </OrgaEntity1>
  <OrgaEntity2/>
  <OrgaEntity3>
    <Id>288c8514-f091-42fd-8b2c-d845323a79d4</Id>
    <LogicalLevel>3</LogicalLevel>
    <Name>FPI.5</Name>
    <HeadLine1>EU Foreign Policy Regulatory Instruments &amp; Election Observation</HeadLine1>
    <HeadLine2/>
    <PrimaryAddressId>f03b5801-04c9-4931-aa17-c6d6c70bc579</PrimaryAddressId>
    <SecondaryAddressId/>
    <WebAddress/>
    <InheritedWebAddress>WebAddress</InheritedWebAddress>
    <ShowInHeader>true</ShowInHeader>
  </OrgaEntity3>
  <Addresses>
    <Address>
      <Id>f03b5801-04c9-4931-aa17-c6d6c70bc579</Id>
      <Name>Brussels</Name>
      <PhoneNumberPrefix>+32 229 </PhoneNumberPrefix>
      <Location>Brussels,</Location>
      <Footer>Commission européenne/Europese Commissie, 1049 Bruxelles/Brussel, BELGIQUE/BELGIË - Tel. +32 22991111</Footer>
    </Address>
    <Address>
      <Id>1264fb81-f6bb-475e-9f9d-a937d3be6ee2</Id>
      <Name>Luxembourg</Name>
      <PhoneNumberPrefix>+352 4301</PhoneNumberPrefix>
      <Location>Luxembourg,</Location>
      <Footer>Commission européenne, 2920 Luxembourg, LUXEMBOURG — Tel. +352 43011</Footer>
    </Address>
  </Addresses>
  <JobAssignmentId/>
  <MainWorkplace IsMain="true">
    <AddressId>f03b5801-04c9-4931-aa17-c6d6c70bc579</AddressId>
    <Fax/>
    <Phone>+32 229 51029</Phone>
    <Office>EEAS 07/095</Office>
  </MainWorkplace>
  <Workplaces>
    <Workplace IsMain="false">
      <AddressId>1264fb81-f6bb-475e-9f9d-a937d3be6ee2</AddressId>
      <Fax/>
      <Phone/>
      <Office/>
    </Workplace>
    <Workplace IsMain="true">
      <AddressId>f03b5801-04c9-4931-aa17-c6d6c70bc579</AddressId>
      <Fax/>
      <Phone>+32 229 51029</Phone>
      <Office>EEAS 07/095</Office>
    </Workplace>
  </Workplaces>
</Author>
</file>

<file path=customXml/item2.xml><?xml version="1.0" encoding="utf-8"?>
<LongProperties xmlns="http://schemas.microsoft.com/office/2006/metadata/long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EC Document" ma:contentTypeID="0x010100258AA79CEB83498886A3A0868112325000603F3C07922C404BAEACD15B7F3E551D" ma:contentTypeVersion="12" ma:contentTypeDescription="Create a new document in this library." ma:contentTypeScope="" ma:versionID="1b6f0aca97210834fae7fbada9852a03">
  <xsd:schema xmlns:xsd="http://www.w3.org/2001/XMLSchema" xmlns:xs="http://www.w3.org/2001/XMLSchema" xmlns:p="http://schemas.microsoft.com/office/2006/metadata/properties" xmlns:ns1="http://schemas.microsoft.com/sharepoint/v3" xmlns:ns3="b3e0191e-6021-442c-9366-4b16662e4674" xmlns:ns4="02ebb043-5898-4877-8c1f-28652c7a58c8" xmlns:ns5="3f4d1582-0480-4298-96cc-1e3faed25b81" targetNamespace="http://schemas.microsoft.com/office/2006/metadata/properties" ma:root="true" ma:fieldsID="8140f6e0b6fa73f6e285c7ce2ece6da6" ns1:_="" ns3:_="" ns4:_="" ns5:_="">
    <xsd:import namespace="http://schemas.microsoft.com/sharepoint/v3"/>
    <xsd:import namespace="b3e0191e-6021-442c-9366-4b16662e4674"/>
    <xsd:import namespace="02ebb043-5898-4877-8c1f-28652c7a58c8"/>
    <xsd:import namespace="3f4d1582-0480-4298-96cc-1e3faed25b81"/>
    <xsd:element name="properties">
      <xsd:complexType>
        <xsd:sequence>
          <xsd:element name="documentManagement">
            <xsd:complexType>
              <xsd:all>
                <xsd:element ref="ns3:EC_Collab_DocumentLanguage"/>
                <xsd:element ref="ns4:pc1cb72997644c168a67816bee9648ad" minOccurs="0"/>
                <xsd:element ref="ns4:TaxCatchAll" minOccurs="0"/>
                <xsd:element ref="ns4:i65add8783a54065a8ae717033658b9b" minOccurs="0"/>
                <xsd:element ref="ns5:g617557532064ae4b696c7db9c1e3ca4" minOccurs="0"/>
                <xsd:element ref="ns4:_dlc_DocId" minOccurs="0"/>
                <xsd:element ref="ns4:_dlc_DocIdUrl" minOccurs="0"/>
                <xsd:element ref="ns4:_dlc_DocIdPersistId" minOccurs="0"/>
                <xsd:element ref="ns1:TranslationStateListUrl" minOccurs="0"/>
                <xsd:element ref="ns5:Topic"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TranslationStateListUrl" ma:index="22" nillable="true" ma:displayName="List Link" ma:hidden="true" ma:internalName="TranslationStateListUrl" ma:readOnly="false">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3e0191e-6021-442c-9366-4b16662e4674" elementFormDefault="qualified">
    <xsd:import namespace="http://schemas.microsoft.com/office/2006/documentManagement/types"/>
    <xsd:import namespace="http://schemas.microsoft.com/office/infopath/2007/PartnerControls"/>
    <xsd:element name="EC_Collab_DocumentLanguage" ma:index="4" ma:displayName="Language" ma:default="EN" ma:internalName="EC_Collab_DocumentLanguage">
      <xsd:simpleType>
        <xsd:restriction base="dms:Choice">
          <xsd:enumeration value="BG"/>
          <xsd:enumeration value="ES"/>
          <xsd:enumeration value="CS"/>
          <xsd:enumeration value="DA"/>
          <xsd:enumeration value="DE"/>
          <xsd:enumeration value="ET"/>
          <xsd:enumeration value="EL"/>
          <xsd:enumeration value="EN"/>
          <xsd:enumeration value="FR"/>
          <xsd:enumeration value="GA"/>
          <xsd:enumeration value="IT"/>
          <xsd:enumeration value="LT"/>
          <xsd:enumeration value="LV"/>
          <xsd:enumeration value="HU"/>
          <xsd:enumeration value="MT"/>
          <xsd:enumeration value="NL"/>
          <xsd:enumeration value="PL"/>
          <xsd:enumeration value="PT"/>
          <xsd:enumeration value="RO"/>
          <xsd:enumeration value="SK"/>
          <xsd:enumeration value="SL"/>
          <xsd:enumeration value="FI"/>
          <xsd:enumeration value="SV"/>
          <xsd:enumeration value="HR"/>
          <xsd:enumeration value="MK"/>
          <xsd:enumeration value="TR"/>
          <xsd:enumeration value="EU"/>
          <xsd:enumeration value="CA"/>
          <xsd:enumeration value="GL"/>
          <xsd:enumeration value="AB"/>
          <xsd:enumeration value="AA"/>
          <xsd:enumeration value="AF"/>
          <xsd:enumeration value="AK"/>
          <xsd:enumeration value="SQ"/>
          <xsd:enumeration value="AM"/>
          <xsd:enumeration value="AR"/>
          <xsd:enumeration value="AN"/>
          <xsd:enumeration value="HY"/>
          <xsd:enumeration value="AS"/>
          <xsd:enumeration value="AV"/>
          <xsd:enumeration value="AE"/>
          <xsd:enumeration value="AY"/>
          <xsd:enumeration value="AZ"/>
          <xsd:enumeration value="BM"/>
          <xsd:enumeration value="BA"/>
          <xsd:enumeration value="BE"/>
          <xsd:enumeration value="BN"/>
          <xsd:enumeration value="BH"/>
          <xsd:enumeration value="BI"/>
          <xsd:enumeration value="NB"/>
          <xsd:enumeration value="BS"/>
          <xsd:enumeration value="BR"/>
          <xsd:enumeration value="MY"/>
          <xsd:enumeration value="KM"/>
          <xsd:enumeration value="CH"/>
          <xsd:enumeration value="CE"/>
          <xsd:enumeration value="NY"/>
          <xsd:enumeration value="ZH"/>
          <xsd:enumeration value="CU"/>
          <xsd:enumeration value="CV"/>
          <xsd:enumeration value="KW"/>
          <xsd:enumeration value="CO"/>
          <xsd:enumeration value="CR"/>
          <xsd:enumeration value="DV"/>
          <xsd:enumeration value="DZ"/>
          <xsd:enumeration value="EO"/>
          <xsd:enumeration value="EE"/>
          <xsd:enumeration value="FO"/>
          <xsd:enumeration value="FJ"/>
          <xsd:enumeration value="FF"/>
          <xsd:enumeration value="GD"/>
          <xsd:enumeration value="LG"/>
          <xsd:enumeration value="KA"/>
          <xsd:enumeration value="GN"/>
          <xsd:enumeration value="GU"/>
          <xsd:enumeration value="HT"/>
          <xsd:enumeration value="HA"/>
          <xsd:enumeration value="HE"/>
          <xsd:enumeration value="HZ"/>
          <xsd:enumeration value="HI"/>
          <xsd:enumeration value="HO"/>
          <xsd:enumeration value="IS"/>
          <xsd:enumeration value="IO"/>
          <xsd:enumeration value="IG"/>
          <xsd:enumeration value="ID"/>
          <xsd:enumeration value="IA"/>
          <xsd:enumeration value="IE"/>
          <xsd:enumeration value="IU"/>
          <xsd:enumeration value="IK"/>
          <xsd:enumeration value="JA"/>
          <xsd:enumeration value="JV"/>
          <xsd:enumeration value="KL"/>
          <xsd:enumeration value="KN"/>
          <xsd:enumeration value="KR"/>
          <xsd:enumeration value="KS"/>
          <xsd:enumeration value="KK"/>
          <xsd:enumeration value="KI"/>
          <xsd:enumeration value="RW"/>
          <xsd:enumeration value="KY"/>
          <xsd:enumeration value="KV"/>
          <xsd:enumeration value="KG"/>
          <xsd:enumeration value="KO"/>
          <xsd:enumeration value="KJ"/>
          <xsd:enumeration value="KU"/>
          <xsd:enumeration value="LO"/>
          <xsd:enumeration value="LA"/>
          <xsd:enumeration value="LI"/>
          <xsd:enumeration value="LN"/>
          <xsd:enumeration value="LU"/>
          <xsd:enumeration value="LB"/>
          <xsd:enumeration value="MG"/>
          <xsd:enumeration value="MS"/>
          <xsd:enumeration value="ML"/>
          <xsd:enumeration value="GV"/>
          <xsd:enumeration value="MI"/>
          <xsd:enumeration value="MR"/>
          <xsd:enumeration value="MH"/>
          <xsd:enumeration value="MN"/>
          <xsd:enumeration value="NA"/>
          <xsd:enumeration value="NV"/>
          <xsd:enumeration value="ND"/>
          <xsd:enumeration value="NR"/>
          <xsd:enumeration value="NG"/>
          <xsd:enumeration value="NE"/>
          <xsd:enumeration value="SE"/>
          <xsd:enumeration value="NO"/>
          <xsd:enumeration value="NN"/>
          <xsd:enumeration value="OC"/>
          <xsd:enumeration value="OJ"/>
          <xsd:enumeration value="OR"/>
          <xsd:enumeration value="OM"/>
          <xsd:enumeration value="OS"/>
          <xsd:enumeration value="PI"/>
          <xsd:enumeration value="PA"/>
          <xsd:enumeration value="FA"/>
          <xsd:enumeration value="PS"/>
          <xsd:enumeration value="QU"/>
          <xsd:enumeration value="RM"/>
          <xsd:enumeration value="RN"/>
          <xsd:enumeration value="RU"/>
          <xsd:enumeration value="SM"/>
          <xsd:enumeration value="SG"/>
          <xsd:enumeration value="SA"/>
          <xsd:enumeration value="SC"/>
          <xsd:enumeration value="SR"/>
          <xsd:enumeration value="SN"/>
          <xsd:enumeration value="II"/>
          <xsd:enumeration value="SD"/>
          <xsd:enumeration value="SI"/>
          <xsd:enumeration value="SO"/>
          <xsd:enumeration value="ST"/>
          <xsd:enumeration value="SU"/>
          <xsd:enumeration value="SW"/>
          <xsd:enumeration value="SS"/>
          <xsd:enumeration value="TL"/>
          <xsd:enumeration value="TY"/>
          <xsd:enumeration value="TG"/>
          <xsd:enumeration value="TA"/>
          <xsd:enumeration value="TT"/>
          <xsd:enumeration value="TE"/>
          <xsd:enumeration value="TH"/>
          <xsd:enumeration value="BO"/>
          <xsd:enumeration value="TI"/>
          <xsd:enumeration value="TO"/>
          <xsd:enumeration value="TS"/>
          <xsd:enumeration value="TN"/>
          <xsd:enumeration value="TK"/>
          <xsd:enumeration value="TW"/>
          <xsd:enumeration value="UG"/>
          <xsd:enumeration value="UK"/>
          <xsd:enumeration value="UR"/>
          <xsd:enumeration value="UZ"/>
          <xsd:enumeration value="VE"/>
          <xsd:enumeration value="VI"/>
          <xsd:enumeration value="VO"/>
          <xsd:enumeration value="WA"/>
          <xsd:enumeration value="CY"/>
          <xsd:enumeration value="FY"/>
          <xsd:enumeration value="WO"/>
          <xsd:enumeration value="XH"/>
          <xsd:enumeration value="YI"/>
          <xsd:enumeration value="YO"/>
          <xsd:enumeration value="ZA"/>
          <xsd:enumeration value="ZU"/>
        </xsd:restriction>
      </xsd:simpleType>
    </xsd:element>
  </xsd:schema>
  <xsd:schema xmlns:xsd="http://www.w3.org/2001/XMLSchema" xmlns:xs="http://www.w3.org/2001/XMLSchema" xmlns:dms="http://schemas.microsoft.com/office/2006/documentManagement/types" xmlns:pc="http://schemas.microsoft.com/office/infopath/2007/PartnerControls" targetNamespace="02ebb043-5898-4877-8c1f-28652c7a58c8" elementFormDefault="qualified">
    <xsd:import namespace="http://schemas.microsoft.com/office/2006/documentManagement/types"/>
    <xsd:import namespace="http://schemas.microsoft.com/office/infopath/2007/PartnerControls"/>
    <xsd:element name="pc1cb72997644c168a67816bee9648ad" ma:index="13" nillable="true" ma:taxonomy="true" ma:internalName="pc1cb72997644c168a67816bee9648ad" ma:taxonomyFieldName="Document_x0020_type" ma:displayName="Document type" ma:default="" ma:fieldId="{9c1cb729-9764-4c16-8a67-816bee9648ad}" ma:sspId="c1588629-5f01-4420-b1c1-1ab4af18d9bf" ma:termSetId="875f2d54-a299-447c-8802-ef4aa5a6850b" ma:anchorId="8ec034f4-7394-4efe-9efc-137f6f5c45bd" ma:open="false" ma:isKeyword="false">
      <xsd:complexType>
        <xsd:sequence>
          <xsd:element ref="pc:Terms" minOccurs="0" maxOccurs="1"/>
        </xsd:sequence>
      </xsd:complexType>
    </xsd:element>
    <xsd:element name="TaxCatchAll" ma:index="14" nillable="true" ma:displayName="Taxonomy Catch All Column" ma:hidden="true" ma:list="{6ba4fb2a-9ff3-4ca8-b82e-fd02b4b8326f}" ma:internalName="TaxCatchAll" ma:showField="CatchAllData" ma:web="02ebb043-5898-4877-8c1f-28652c7a58c8">
      <xsd:complexType>
        <xsd:complexContent>
          <xsd:extension base="dms:MultiChoiceLookup">
            <xsd:sequence>
              <xsd:element name="Value" type="dms:Lookup" maxOccurs="unbounded" minOccurs="0" nillable="true"/>
            </xsd:sequence>
          </xsd:extension>
        </xsd:complexContent>
      </xsd:complexType>
    </xsd:element>
    <xsd:element name="i65add8783a54065a8ae717033658b9b" ma:index="16" nillable="true" ma:taxonomy="true" ma:internalName="i65add8783a54065a8ae717033658b9b" ma:taxonomyFieldName="Doc_x0020_Status" ma:displayName="Doc Status" ma:default="" ma:fieldId="{265add87-83a5-4065-a8ae-717033658b9b}" ma:sspId="c1588629-5f01-4420-b1c1-1ab4af18d9bf" ma:termSetId="875f2d54-a299-447c-8802-ef4aa5a6850b" ma:anchorId="ec0a32be-6382-4c35-9ad9-e691aa103528" ma:open="false" ma:isKeyword="false">
      <xsd:complexType>
        <xsd:sequence>
          <xsd:element ref="pc:Terms" minOccurs="0" maxOccurs="1"/>
        </xsd:sequence>
      </xsd:complexType>
    </xsd:element>
    <xsd:element name="_dlc_DocId" ma:index="19" nillable="true" ma:displayName="Document ID Value" ma:description="The value of the document ID assigned to this item." ma:internalName="_dlc_DocId" ma:readOnly="true">
      <xsd:simpleType>
        <xsd:restriction base="dms:Text"/>
      </xsd:simpleType>
    </xsd:element>
    <xsd:element name="_dlc_DocIdUrl" ma:index="20"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1"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f4d1582-0480-4298-96cc-1e3faed25b81" elementFormDefault="qualified">
    <xsd:import namespace="http://schemas.microsoft.com/office/2006/documentManagement/types"/>
    <xsd:import namespace="http://schemas.microsoft.com/office/infopath/2007/PartnerControls"/>
    <xsd:element name="g617557532064ae4b696c7db9c1e3ca4" ma:index="18" nillable="true" ma:taxonomy="true" ma:internalName="g617557532064ae4b696c7db9c1e3ca4" ma:taxonomyFieldName="Confidentiality" ma:displayName="Confidentiality" ma:default="" ma:fieldId="{06175575-3206-4ae4-b696-c7db9c1e3ca4}" ma:sspId="c1588629-5f01-4420-b1c1-1ab4af18d9bf" ma:termSetId="875f2d54-a299-447c-8802-ef4aa5a6850b" ma:anchorId="62652adf-f500-423a-8994-bf286ce0c464" ma:open="false" ma:isKeyword="false">
      <xsd:complexType>
        <xsd:sequence>
          <xsd:element ref="pc:Terms" minOccurs="0" maxOccurs="1"/>
        </xsd:sequence>
      </xsd:complexType>
    </xsd:element>
    <xsd:element name="Topic" ma:index="23" nillable="true" ma:displayName="Topic" ma:format="Dropdown" ma:internalName="Topic">
      <xsd:simpleType>
        <xsd:restriction base="dms:Choice">
          <xsd:enumeration value="Open strategic autonomy"/>
          <xsd:enumeration value="Blocking Statute/Extra-territoriality"/>
          <xsd:enumeration value="Sanctions clauses in agreements with external partners"/>
          <xsd:enumeration value="Horizontal issues pertaining to sanctions"/>
          <xsd:enumeration value="Humanitarian impact of sanctions"/>
          <xsd:enumeration value="Implementation and enforcement of sanctions"/>
          <xsd:enumeration value="Sanctions regime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8" ma:displayName="Author"/>
        <xsd:element ref="dcterms:created" minOccurs="0" maxOccurs="1"/>
        <xsd:element ref="dc:identifier" minOccurs="0" maxOccurs="1"/>
        <xsd:element name="contentType" minOccurs="0" maxOccurs="1" type="xsd:string" ma:index="9" ma:displayName="Content Type"/>
        <xsd:element ref="dc:title" minOccurs="0" maxOccurs="1" ma:index="1" ma:displayName="Title"/>
        <xsd:element ref="dc:subject" minOccurs="0" maxOccurs="1" ma:index="2" ma:displayName="Subject"/>
        <xsd:element ref="dc:description" minOccurs="0" maxOccurs="1"/>
        <xsd:element name="keywords" minOccurs="0" maxOccurs="1" type="xsd:string" ma:index="3"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6.xml><?xml version="1.0" encoding="utf-8"?>
<p:properties xmlns:p="http://schemas.microsoft.com/office/2006/metadata/properties" xmlns:xsi="http://www.w3.org/2001/XMLSchema-instance" xmlns:pc="http://schemas.microsoft.com/office/infopath/2007/PartnerControls">
  <documentManagement>
    <Topic xmlns="3f4d1582-0480-4298-96cc-1e3faed25b81">Blocking Statute/Extra-territoriality</Topic>
    <TaxCatchAll xmlns="02ebb043-5898-4877-8c1f-28652c7a58c8">
      <Value>170</Value>
      <Value>120</Value>
    </TaxCatchAll>
    <g617557532064ae4b696c7db9c1e3ca4 xmlns="3f4d1582-0480-4298-96cc-1e3faed25b81">
      <Terms xmlns="http://schemas.microsoft.com/office/infopath/2007/PartnerControls">
        <TermInfo xmlns="http://schemas.microsoft.com/office/infopath/2007/PartnerControls">
          <TermName xmlns="http://schemas.microsoft.com/office/infopath/2007/PartnerControls"/>
          <TermId xmlns="http://schemas.microsoft.com/office/infopath/2007/PartnerControls"/>
        </TermInfo>
      </Terms>
    </g617557532064ae4b696c7db9c1e3ca4>
    <TranslationStateListUrl xmlns="http://schemas.microsoft.com/sharepoint/v3">
      <Url xsi:nil="true"/>
      <Description xsi:nil="true"/>
    </TranslationStateListUrl>
    <pc1cb72997644c168a67816bee9648ad xmlns="02ebb043-5898-4877-8c1f-28652c7a58c8">
      <Terms xmlns="http://schemas.microsoft.com/office/infopath/2007/PartnerControls">
        <TermInfo xmlns="http://schemas.microsoft.com/office/infopath/2007/PartnerControls">
          <TermName xmlns="http://schemas.microsoft.com/office/infopath/2007/PartnerControls">Report</TermName>
          <TermId xmlns="http://schemas.microsoft.com/office/infopath/2007/PartnerControls">e3e4f7ba-74a6-471b-9c75-5acf4f0dee57</TermId>
        </TermInfo>
      </Terms>
    </pc1cb72997644c168a67816bee9648ad>
    <EC_Collab_DocumentLanguage xmlns="b3e0191e-6021-442c-9366-4b16662e4674">EN</EC_Collab_DocumentLanguage>
    <i65add8783a54065a8ae717033658b9b xmlns="02ebb043-5898-4877-8c1f-28652c7a58c8">
      <Terms xmlns="http://schemas.microsoft.com/office/infopath/2007/PartnerControls">
        <TermInfo xmlns="http://schemas.microsoft.com/office/infopath/2007/PartnerControls">
          <TermName xmlns="http://schemas.microsoft.com/office/infopath/2007/PartnerControls">Draft</TermName>
          <TermId xmlns="http://schemas.microsoft.com/office/infopath/2007/PartnerControls">22cba6d0-857b-4a43-a289-bc3f9a12356a</TermId>
        </TermInfo>
      </Terms>
    </i65add8783a54065a8ae717033658b9b>
  </documentManagement>
</p:properties>
</file>

<file path=customXml/item7.xml><?xml version="1.0" encoding="utf-8"?>
<EurolookProperties>
  <ProductCustomizationId/>
  <Created>
    <Version>4.6</Version>
    <Date>2019-06-07T18:39:44</Date>
    <Language>EN</Language>
    <Note/>
  </Created>
  <Edited>
    <Version>10.0.42447.0</Version>
    <Date>2021-07-08T16:49:13</Date>
  </Edited>
  <DocumentModel>
    <Id>0b054141-88b1-4efb-8c91-2905cb0bed6c</Id>
    <Name>Note</Name>
  </DocumentModel>
  <DocumentDate/>
  <DocumentVersion/>
  <CompatibilityMode>Eurolook4X</CompatibilityMode>
</EurolookProperties>
</file>

<file path=customXml/item8.xml><?xml version="1.0" encoding="utf-8"?>
<Texts>
  <SecurityPharma>Pharma investigations</SecurityPharma>
  <MarkingUntilText>UNTIL</MarkingUntilText>
  <SecurityMediationServiceMatter>Mediation service</SecurityMediationServiceMatter>
  <SecurityEconomyAndFinance>Economy and Finance</SecurityEconomyAndFinance>
  <FooterFax>Fax</FooterFax>
  <COMPFootnoteText>{field:HYPERLINK "https://myintracomm.ec.europa.eu/corp/security/EN/newDS3/SensitiveInformation/Pages/SPECIAL-HANDLING-INFORMATION-DG-COMP.aspx?ln=en" |https://www.europa.eu/handling_instructions}</COMPFootnoteText>
  <NoteCopy>c.c.:</NoteCopy>
  <FooterOffice>Office:</FooterOffice>
  <SecurityOlafInvestigations>OLAF investigations</SecurityOlafInvestigations>
  <NoteReference>Ref.:</NoteReference>
  <SpecialHandlingClima>CLIMA</SpecialHandlingClima>
  <ETSHandlingFootnote>{field:HYPERLINK "https://myintracomm.ec.europa.eu/corp/security/EN/newDS3/SensitiveInformation/Pages/default.aspx" |https://www.europa.eu/handling_instructions}</ETSHandlingFootnote>
  <CLIMAfootnotetext>{field:HYPERLINK "https://myintracomm.ec.europa.eu/corp/security/EN/newDS3/SensitiveInformation/Pages/SPECIAL-HANDLING-INFORMATION-DG-CLIMA.aspx?ln=en" |https://www.europa.eu/handling_instructions}</CLIMAfootnotetext>
  <SensitiveHandling>Handling instructions for SENSITIVE information are given at </SensitiveHandling>
  <SensitiveFootnoteHyperlink>{field:HYPERLINK "https://europa.eu/!db43PX" |https://europa.eu/!db43PX}</SensitiveFootnoteHyperlink>
  <NoteFile>Note for the File</NoteFile>
  <SecurityOlafSpecialHandling>OLAF Investigations</SecurityOlafSpecialHandling>
  <NoteParticipants>Participants:</NoteParticipants>
  <ClimaSensitive>CLIMA</ClimaSensitive>
  <CourtProceduralDocuments>Court procedural documents</CourtProceduralDocuments>
  <NoteParticipant>Participant:</NoteParticipant>
  <EconomyFinanceHandling>{field:HYPERLINK "https://myintracomm.ec.europa.eu/corp/security/EN/newDS3/SensitiveInformation/Pages/SPECIAL-HANDLING-INFORMATION-DG-ECFIN.aspx?ln=en" |https://www.europa.eu/handling_instructions}</EconomyFinanceHandling>
  <OrgaRoot>EUROPEAN COMMISSION</OrgaRoot>
  <NoteCopies>c.c.:</NoteCopies>
  <NoteSubject>Subject:</NoteSubject>
  <Contact>Contact:</Contact>
  <SensitiveLabel>Sensitive</SensitiveLabel>
  <OLAFHandlingInstructions>{field:HYPERLINK "https://myintracomm.ec.europa.eu/corp/security/EN/newDS3/SensitiveInformation/Pages/SPECIAL-HANDLING-INFORMATION-OLAF-Investigations.aspx?ln=en" |https://www.europa.eu/handling_instructions}</OLAFHandlingInstructions>
  <SpecialHandlingLabel>Special Handling</SpecialHandlingLabel>
  <SecurityInvestigationsDisciplinary>Investigations and disciplinary matters</SecurityInvestigationsDisciplinary>
  <SecurityCompOperations>COMP Operations</SecurityCompOperations>
  <NoteEnclosure>Enclosure:</NoteEnclosure>
  <SecurityReleasable>RELEASABLE TO:</SecurityReleasable>
  <AddresseeTo>To:</AddresseeTo>
  <SecurityStaffMatter>Staff matter</SecurityStaffMatter>
  <SecurityOpinionLegalService>Opinion of the Legal Service</SecurityOpinionLegalService>
  <SpecialHandlingFootnote>Special handling instructions are given at </SpecialHandlingFootnote>
  <PharmaHandlingInstructions>{field:HYPERLINK "https://myintracomm.ec.europa.eu/corp/security/EN/newDS3/SensitiveInformation/Pages/SPECIAL-HANDLING-INFORMATION-Pharma-investigations.aspx?ln=en" |https://www.europa.eu/handling_instructions}</PharmaHandlingInstructions>
  <SecurityEtsSensitive>ETS</SecurityEtsSensitive>
  <NoteHead>Note for the attention of</NoteHead>
  <SecurityEtsCritical>ETS Critical</SecurityEtsCritical>
  <SecurityCompSpecial>COMP</SecurityCompSpecial>
  <SecurityPharmaSpecial>Pharma investigations</SecurityPharmaSpecial>
  <TOCHeading>Table of Contents</TOCHeading>
  <AddressFooterBrussels>Commission européenne/Europese Commissie, 1049 Bruxelles/Brussel, BELGIQUE/BELGIË - Tel. +32 22991111</AddressFooterBrussels>
  <ETSLimited>ETS Joint Procurement</ETSLimited>
  <SecurityIasOperations>IAS operations</SecurityIasOperations>
  <FooterPhone>Tel. direct line</FooterPhone>
  <SecuritySecurityMatter>Security matter</SecuritySecurityMatter>
  <NoteEnclosures>Enclosures:</NoteEnclosures>
  <SecurityMedicalSecret>Medical secret</SecurityMedicalSecret>
  <Contacts>Contacts:</Contacts>
  <SecurityEmbargo>Embargo until</SecurityEmbargo>
  <DateFormatShort>dd/MM/yyyy</DateFormatShort>
  <DateFormatLong>d MMMM yyyy</DateFormatLong>
</Texts>
</file>

<file path=customXml/item9.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D147004-9A43-4205-AB6F-A84AF74B269F}">
  <ds:schemaRefs/>
</ds:datastoreItem>
</file>

<file path=customXml/itemProps2.xml><?xml version="1.0" encoding="utf-8"?>
<ds:datastoreItem xmlns:ds="http://schemas.openxmlformats.org/officeDocument/2006/customXml" ds:itemID="{9646CDD1-EE33-4866-9233-303B43210419}">
  <ds:schemaRefs>
    <ds:schemaRef ds:uri="http://schemas.microsoft.com/office/2006/metadata/longProperties"/>
  </ds:schemaRefs>
</ds:datastoreItem>
</file>

<file path=customXml/itemProps3.xml><?xml version="1.0" encoding="utf-8"?>
<ds:datastoreItem xmlns:ds="http://schemas.openxmlformats.org/officeDocument/2006/customXml" ds:itemID="{53745C5D-DAFC-49A6-B93C-C77F3E3BDB37}">
  <ds:schemaRefs>
    <ds:schemaRef ds:uri="http://schemas.microsoft.com/sharepoint/v3/contenttype/forms"/>
  </ds:schemaRefs>
</ds:datastoreItem>
</file>

<file path=customXml/itemProps4.xml><?xml version="1.0" encoding="utf-8"?>
<ds:datastoreItem xmlns:ds="http://schemas.openxmlformats.org/officeDocument/2006/customXml" ds:itemID="{B60F3953-413F-4463-9357-EFC5BA50EA8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b3e0191e-6021-442c-9366-4b16662e4674"/>
    <ds:schemaRef ds:uri="02ebb043-5898-4877-8c1f-28652c7a58c8"/>
    <ds:schemaRef ds:uri="3f4d1582-0480-4298-96cc-1e3faed25b8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BDB9FFF0-F332-4C74-B400-4A6FE4CAC799}">
  <ds:schemaRefs>
    <ds:schemaRef ds:uri="http://schemas.microsoft.com/sharepoint/events"/>
  </ds:schemaRefs>
</ds:datastoreItem>
</file>

<file path=customXml/itemProps6.xml><?xml version="1.0" encoding="utf-8"?>
<ds:datastoreItem xmlns:ds="http://schemas.openxmlformats.org/officeDocument/2006/customXml" ds:itemID="{0D6111AF-9900-45FE-87D8-93F110DF4792}">
  <ds:schemaRefs>
    <ds:schemaRef ds:uri="3f4d1582-0480-4298-96cc-1e3faed25b81"/>
    <ds:schemaRef ds:uri="http://schemas.microsoft.com/office/2006/documentManagement/types"/>
    <ds:schemaRef ds:uri="http://schemas.microsoft.com/office/infopath/2007/PartnerControls"/>
    <ds:schemaRef ds:uri="02ebb043-5898-4877-8c1f-28652c7a58c8"/>
    <ds:schemaRef ds:uri="http://purl.org/dc/elements/1.1/"/>
    <ds:schemaRef ds:uri="http://schemas.microsoft.com/office/2006/metadata/properties"/>
    <ds:schemaRef ds:uri="b3e0191e-6021-442c-9366-4b16662e4674"/>
    <ds:schemaRef ds:uri="http://schemas.microsoft.com/sharepoint/v3"/>
    <ds:schemaRef ds:uri="http://purl.org/dc/terms/"/>
    <ds:schemaRef ds:uri="http://schemas.openxmlformats.org/package/2006/metadata/core-properties"/>
    <ds:schemaRef ds:uri="http://www.w3.org/XML/1998/namespace"/>
    <ds:schemaRef ds:uri="http://purl.org/dc/dcmitype/"/>
  </ds:schemaRefs>
</ds:datastoreItem>
</file>

<file path=customXml/itemProps7.xml><?xml version="1.0" encoding="utf-8"?>
<ds:datastoreItem xmlns:ds="http://schemas.openxmlformats.org/officeDocument/2006/customXml" ds:itemID="{46A09CD0-96F9-4595-93A0-30E471B3F595}">
  <ds:schemaRefs/>
</ds:datastoreItem>
</file>

<file path=customXml/itemProps8.xml><?xml version="1.0" encoding="utf-8"?>
<ds:datastoreItem xmlns:ds="http://schemas.openxmlformats.org/officeDocument/2006/customXml" ds:itemID="{63ED7550-48D4-40DC-91DC-E460DB812F05}">
  <ds:schemaRefs/>
</ds:datastoreItem>
</file>

<file path=customXml/itemProps9.xml><?xml version="1.0" encoding="utf-8"?>
<ds:datastoreItem xmlns:ds="http://schemas.openxmlformats.org/officeDocument/2006/customXml" ds:itemID="{99A73054-F706-427D-A5B6-8350FD6F85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9</Pages>
  <Words>4472</Words>
  <Characters>28043</Characters>
  <Application>Microsoft Office Word</Application>
  <DocSecurity>0</DocSecurity>
  <PresentationFormat>Microsoft Word 14.0</PresentationFormat>
  <Lines>475</Lines>
  <Paragraphs>145</Paragraphs>
  <ScaleCrop>false</ScaleCrop>
  <HeadingPairs>
    <vt:vector size="2" baseType="variant">
      <vt:variant>
        <vt:lpstr>Title</vt:lpstr>
      </vt:variant>
      <vt:variant>
        <vt:i4>1</vt:i4>
      </vt:variant>
    </vt:vector>
  </HeadingPairs>
  <TitlesOfParts>
    <vt:vector size="1" baseType="lpstr">
      <vt:lpstr>Blocking Statute - Report on notifications</vt:lpstr>
    </vt:vector>
  </TitlesOfParts>
  <Manager/>
  <Company/>
  <LinksUpToDate>false</LinksUpToDate>
  <CharactersWithSpaces>32370</CharactersWithSpaces>
  <SharedDoc>false</SharedDoc>
  <HLinks>
    <vt:vector size="36" baseType="variant">
      <vt:variant>
        <vt:i4>6029337</vt:i4>
      </vt:variant>
      <vt:variant>
        <vt:i4>9</vt:i4>
      </vt:variant>
      <vt:variant>
        <vt:i4>0</vt:i4>
      </vt:variant>
      <vt:variant>
        <vt:i4>5</vt:i4>
      </vt:variant>
      <vt:variant>
        <vt:lpwstr>https://eur-lex.europa.eu/legal-content/EN/TXT/?uri=uriserv:OJ.LI.2018.199.01.0001.01.ENG&amp;toc=OJ:L:2018:199I:TOC</vt:lpwstr>
      </vt:variant>
      <vt:variant>
        <vt:lpwstr/>
      </vt:variant>
      <vt:variant>
        <vt:i4>5898265</vt:i4>
      </vt:variant>
      <vt:variant>
        <vt:i4>6</vt:i4>
      </vt:variant>
      <vt:variant>
        <vt:i4>0</vt:i4>
      </vt:variant>
      <vt:variant>
        <vt:i4>5</vt:i4>
      </vt:variant>
      <vt:variant>
        <vt:lpwstr>https://eur-lex.europa.eu/legal-content/EN/TXT/?uri=uriserv:OJ.LI.2018.199.01.0007.01.ENG&amp;toc=OJ:L:2018:199I:TOC</vt:lpwstr>
      </vt:variant>
      <vt:variant>
        <vt:lpwstr/>
      </vt:variant>
      <vt:variant>
        <vt:i4>6029337</vt:i4>
      </vt:variant>
      <vt:variant>
        <vt:i4>3</vt:i4>
      </vt:variant>
      <vt:variant>
        <vt:i4>0</vt:i4>
      </vt:variant>
      <vt:variant>
        <vt:i4>5</vt:i4>
      </vt:variant>
      <vt:variant>
        <vt:lpwstr>https://eur-lex.europa.eu/legal-content/EN/TXT/?uri=uriserv:OJ.LI.2018.199.01.0001.01.ENG&amp;toc=OJ:L:2018:199I:TOC</vt:lpwstr>
      </vt:variant>
      <vt:variant>
        <vt:lpwstr/>
      </vt:variant>
      <vt:variant>
        <vt:i4>5898266</vt:i4>
      </vt:variant>
      <vt:variant>
        <vt:i4>0</vt:i4>
      </vt:variant>
      <vt:variant>
        <vt:i4>0</vt:i4>
      </vt:variant>
      <vt:variant>
        <vt:i4>5</vt:i4>
      </vt:variant>
      <vt:variant>
        <vt:lpwstr>https://eur-lex.europa.eu/legal-content/EN/TXT/?uri=uriserv:OJ.CI.2018.277.01.0004.01.ENG&amp;toc=OJ:C:2018:277I:TOC</vt:lpwstr>
      </vt:variant>
      <vt:variant>
        <vt:lpwstr/>
      </vt:variant>
      <vt:variant>
        <vt:i4>2359304</vt:i4>
      </vt:variant>
      <vt:variant>
        <vt:i4>3</vt:i4>
      </vt:variant>
      <vt:variant>
        <vt:i4>0</vt:i4>
      </vt:variant>
      <vt:variant>
        <vt:i4>5</vt:i4>
      </vt:variant>
      <vt:variant>
        <vt:lpwstr>mailto:RELEX-SANCTIONS@ec.europa.eu</vt:lpwstr>
      </vt:variant>
      <vt:variant>
        <vt:lpwstr/>
      </vt:variant>
      <vt:variant>
        <vt:i4>1507573</vt:i4>
      </vt:variant>
      <vt:variant>
        <vt:i4>0</vt:i4>
      </vt:variant>
      <vt:variant>
        <vt:i4>0</vt:i4>
      </vt:variant>
      <vt:variant>
        <vt:i4>5</vt:i4>
      </vt:variant>
      <vt:variant>
        <vt:lpwstr>https://eeas.europa.eu/headquarters/headquarters-homepage/61181/joint-statement-federica-mogherini-chrystia-freeland-and-cecilia-malmström-decision-united_ko</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Blocking Statute - Report on notifications</dc:title>
  <dc:subject>Blocking Statute Report to EP and Council on Notifications</dc:subject>
  <dc:creator/>
  <cp:keywords>Blocking Statute; Extra-territoriality</cp:keywords>
  <dc:description/>
  <cp:lastModifiedBy>DIGIT/C6</cp:lastModifiedBy>
  <cp:revision>30</cp:revision>
  <cp:lastPrinted>2013-11-11T09:21:00Z</cp:lastPrinted>
  <dcterms:created xsi:type="dcterms:W3CDTF">2021-07-06T13:12:00Z</dcterms:created>
  <dcterms:modified xsi:type="dcterms:W3CDTF">2021-08-27T08:18:00Z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using">
    <vt:lpwstr>LW 7.0.1, Build 20200226</vt:lpwstr>
  </property>
  <property fmtid="{D5CDD505-2E9C-101B-9397-08002B2CF9AE}" pid="3" name="Last edited using">
    <vt:lpwstr>LW 7.0.1, Build 20200226</vt:lpwstr>
  </property>
  <property fmtid="{D5CDD505-2E9C-101B-9397-08002B2CF9AE}" pid="4" name="Language">
    <vt:lpwstr>EN</vt:lpwstr>
  </property>
  <property fmtid="{D5CDD505-2E9C-101B-9397-08002B2CF9AE}" pid="5" name="Doc Status">
    <vt:lpwstr>120;#Draft|22cba6d0-857b-4a43-a289-bc3f9a12356a</vt:lpwstr>
  </property>
  <property fmtid="{D5CDD505-2E9C-101B-9397-08002B2CF9AE}" pid="6" name="Confidentiality">
    <vt:lpwstr/>
  </property>
  <property fmtid="{D5CDD505-2E9C-101B-9397-08002B2CF9AE}" pid="7" name="Document type">
    <vt:lpwstr>170;#Report|e3e4f7ba-74a6-471b-9c75-5acf4f0dee57</vt:lpwstr>
  </property>
  <property fmtid="{D5CDD505-2E9C-101B-9397-08002B2CF9AE}" pid="8" name="_dlc_DocId">
    <vt:lpwstr>KUAXY5MF5DVP-909424429-478</vt:lpwstr>
  </property>
  <property fmtid="{D5CDD505-2E9C-101B-9397-08002B2CF9AE}" pid="9" name="_dlc_DocIdItemGuid">
    <vt:lpwstr>95d2d6d9-ba79-421f-ab44-732e91b8f705</vt:lpwstr>
  </property>
  <property fmtid="{D5CDD505-2E9C-101B-9397-08002B2CF9AE}" pid="10" name="_dlc_DocIdUrl">
    <vt:lpwstr>https://myintracomm-collab.ec.europa.eu/dg/FISMA/E/E5/_layouts/15/DocIdRedir.aspx?ID=KUAXY5MF5DVP-909424429-478, KUAXY5MF5DVP-909424429-478</vt:lpwstr>
  </property>
  <property fmtid="{D5CDD505-2E9C-101B-9397-08002B2CF9AE}" pid="11" name="Level of sensitivity">
    <vt:lpwstr>Standard treatment</vt:lpwstr>
  </property>
  <property fmtid="{D5CDD505-2E9C-101B-9397-08002B2CF9AE}" pid="12" name="Part">
    <vt:lpwstr>1</vt:lpwstr>
  </property>
  <property fmtid="{D5CDD505-2E9C-101B-9397-08002B2CF9AE}" pid="13" name="Total parts">
    <vt:lpwstr>1</vt:lpwstr>
  </property>
  <property fmtid="{D5CDD505-2E9C-101B-9397-08002B2CF9AE}" pid="14" name="DocStatus">
    <vt:lpwstr>Green</vt:lpwstr>
  </property>
  <property fmtid="{D5CDD505-2E9C-101B-9397-08002B2CF9AE}" pid="15" name="CPTemplateID">
    <vt:lpwstr>CP-006</vt:lpwstr>
  </property>
  <property fmtid="{D5CDD505-2E9C-101B-9397-08002B2CF9AE}" pid="16" name="_LW_INVALIDATED__LW_INVALIDATED__LW_INVALIDATED__LW_INVALIDATED_TemplateVersion">
    <vt:lpwstr>4.6.2.4290</vt:lpwstr>
  </property>
  <property fmtid="{D5CDD505-2E9C-101B-9397-08002B2CF9AE}" pid="17" name="_LW_INVALIDATED__LW_INVALIDATED__LW_INVALIDATED__LW_INVALIDATED_EurolookVersion">
    <vt:lpwstr>4.6</vt:lpwstr>
  </property>
  <property fmtid="{D5CDD505-2E9C-101B-9397-08002B2CF9AE}" pid="18" name="_LW_INVALIDATED__LW_INVALIDATED__LW_INVALIDATED__LW_INVALIDATED_DocID_EU">
    <vt:lpwstr> </vt:lpwstr>
  </property>
  <property fmtid="{D5CDD505-2E9C-101B-9397-08002B2CF9AE}" pid="19" name="_LW_INVALIDATED__LW_INVALIDATED__LW_INVALIDATED__LW_INVALIDATED_ELDocType">
    <vt:lpwstr>not.dot</vt:lpwstr>
  </property>
  <property fmtid="{D5CDD505-2E9C-101B-9397-08002B2CF9AE}" pid="20" name="_LW_INVALIDATED__LW_INVALIDATED__LW_INVALIDATED__LW_INVALIDATED_Formatting">
    <vt:lpwstr>4.1</vt:lpwstr>
  </property>
  <property fmtid="{D5CDD505-2E9C-101B-9397-08002B2CF9AE}" pid="21" name="_LW_INVALIDATED__LW_INVALIDATED__LW_INVALIDATED__LW_INVALIDATED_EL_Author">
    <vt:lpwstr>Tung-Laï MARGUE</vt:lpwstr>
  </property>
  <property fmtid="{D5CDD505-2E9C-101B-9397-08002B2CF9AE}" pid="22" name="_LW_INVALIDATED__LW_INVALIDATED__LW_INVALIDATED__LW_INVALIDATED_Type">
    <vt:lpwstr>Eurolook Note &amp; Letter</vt:lpwstr>
  </property>
  <property fmtid="{D5CDD505-2E9C-101B-9397-08002B2CF9AE}" pid="23" name="_LW_INVALIDATED__LW_INVALIDATED__LW_INVALIDATED__LW_INVALIDATED_EL_Language">
    <vt:lpwstr>EN</vt:lpwstr>
  </property>
</Properties>
</file>