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DMBM_19827"/>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5" type="#_x0000_t75" alt="2EA1F348-351B-433E-A5DE-8E8FAA39FCE4" style="width:455.25pt;height:336.75pt">
            <v:imagedata r:id="rId10" o:title=""/>
          </v:shape>
        </w:pict>
      </w:r>
    </w:p>
    <w:bookmarkEnd w:id="2"/>
    <w:p>
      <w:pPr>
        <w:pStyle w:val="Pagedecouverture"/>
        <w:rPr>
          <w:noProof/>
        </w:rPr>
        <w:sectPr>
          <w:headerReference w:type="even" r:id="rId11"/>
          <w:headerReference w:type="default" r:id="rId12"/>
          <w:footerReference w:type="even" r:id="rId13"/>
          <w:footerReference w:type="default" r:id="rId14"/>
          <w:headerReference w:type="first" r:id="rId15"/>
          <w:footerReference w:type="first" r:id="rId16"/>
          <w:pgSz w:w="11906" w:h="16838"/>
          <w:pgMar w:top="1134" w:right="1417" w:bottom="1134" w:left="1417" w:header="709" w:footer="709" w:gutter="0"/>
          <w:pgNumType w:start="0"/>
          <w:cols w:space="720"/>
          <w:docGrid w:linePitch="360"/>
        </w:sectPr>
      </w:pPr>
    </w:p>
    <w:p>
      <w:pPr>
        <w:pStyle w:val="HEADERTABLE"/>
        <w:rPr>
          <w:noProof/>
        </w:rPr>
      </w:pPr>
      <w:bookmarkStart w:id="3" w:name="_DMBM_19832"/>
      <w:bookmarkStart w:id="4" w:name="_GoBack"/>
      <w:bookmarkEnd w:id="0"/>
      <w:bookmarkEnd w:id="1"/>
      <w:bookmarkEnd w:id="4"/>
      <w:r>
        <w:rPr>
          <w:noProof/>
        </w:rPr>
        <w:lastRenderedPageBreak/>
        <w:t>СЪДЪРЖАНИЕ</w:t>
      </w:r>
    </w:p>
    <w:p>
      <w:pPr>
        <w:pStyle w:val="HEADERTABLE"/>
        <w:rPr>
          <w:noProof/>
        </w:rPr>
      </w:pPr>
    </w:p>
    <w:p>
      <w:pPr>
        <w:pStyle w:val="HEADERTABLE"/>
        <w:rPr>
          <w:noProof/>
        </w:rPr>
      </w:pPr>
    </w:p>
    <w:p>
      <w:pPr>
        <w:pStyle w:val="TOC1"/>
        <w:rPr>
          <w:rFonts w:asciiTheme="minorHAnsi" w:eastAsiaTheme="minorEastAsia" w:hAnsiTheme="minorHAnsi" w:cstheme="minorBidi"/>
          <w:noProof/>
          <w:color w:val="auto"/>
          <w:szCs w:val="22"/>
        </w:rPr>
      </w:pPr>
      <w:r>
        <w:rPr>
          <w:noProof/>
          <w:color w:val="auto"/>
          <w:sz w:val="18"/>
          <w:szCs w:val="18"/>
        </w:rPr>
        <w:fldChar w:fldCharType="begin"/>
      </w:r>
      <w:r>
        <w:rPr>
          <w:noProof/>
        </w:rPr>
        <w:instrText xml:space="preserve"> TOC \h \z \t "FIRST_CHAPTER_PAGE;1;HEADER_TITLE_1;2" </w:instrText>
      </w:r>
      <w:r>
        <w:rPr>
          <w:noProof/>
          <w:color w:val="auto"/>
          <w:sz w:val="18"/>
          <w:szCs w:val="18"/>
        </w:rPr>
        <w:fldChar w:fldCharType="separate"/>
      </w:r>
      <w:hyperlink w:anchor="_Toc75518063" w:history="1">
        <w:r>
          <w:rPr>
            <w:noProof/>
          </w:rPr>
          <w:t>ПРЕДГОВОР</w:t>
        </w:r>
        <w:r>
          <w:rPr>
            <w:noProof/>
            <w:webHidden/>
          </w:rPr>
          <w:tab/>
        </w:r>
        <w:r>
          <w:rPr>
            <w:noProof/>
            <w:webHidden/>
          </w:rPr>
          <w:fldChar w:fldCharType="begin"/>
        </w:r>
        <w:r>
          <w:rPr>
            <w:noProof/>
            <w:webHidden/>
          </w:rPr>
          <w:instrText xml:space="preserve"> PAGEREF _Toc75518063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64" w:history="1">
        <w:r>
          <w:rPr>
            <w:noProof/>
          </w:rPr>
          <w:t>ФИНАНСОВИ АКЦЕНТИ ЗА ГОДИНАТА</w:t>
        </w:r>
        <w:r>
          <w:rPr>
            <w:noProof/>
            <w:webHidden/>
          </w:rPr>
          <w:tab/>
        </w:r>
        <w:r>
          <w:rPr>
            <w:noProof/>
            <w:webHidden/>
          </w:rPr>
          <w:fldChar w:fldCharType="begin"/>
        </w:r>
        <w:r>
          <w:rPr>
            <w:noProof/>
            <w:webHidden/>
          </w:rPr>
          <w:instrText xml:space="preserve"> PAGEREF _Toc75518064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65" w:history="1">
        <w:r>
          <w:rPr>
            <w:noProof/>
          </w:rPr>
          <w:t>БЕЛЕЖКА, СЪПЪТСТВАЩА КОНСОЛИДИРАНИТЕ ОТЧЕТИ</w:t>
        </w:r>
        <w:r>
          <w:rPr>
            <w:noProof/>
            <w:webHidden/>
          </w:rPr>
          <w:tab/>
        </w:r>
        <w:r>
          <w:rPr>
            <w:noProof/>
            <w:webHidden/>
          </w:rPr>
          <w:fldChar w:fldCharType="begin"/>
        </w:r>
        <w:r>
          <w:rPr>
            <w:noProof/>
            <w:webHidden/>
          </w:rPr>
          <w:instrText xml:space="preserve"> PAGEREF _Toc75518065 \h </w:instrText>
        </w:r>
        <w:r>
          <w:rPr>
            <w:noProof/>
            <w:webHidden/>
          </w:rPr>
        </w:r>
        <w:r>
          <w:rPr>
            <w:noProof/>
            <w:webHidden/>
          </w:rPr>
          <w:fldChar w:fldCharType="separate"/>
        </w:r>
        <w:r>
          <w:rPr>
            <w:noProof/>
            <w:webHidden/>
          </w:rPr>
          <w:t>39</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66" w:history="1">
        <w:r>
          <w:rPr>
            <w:noProof/>
          </w:rPr>
          <w:t>КОНСОЛИДИРАНИ ФИНАНСОВИ ОТЧЕТИ И ОБЯСНИТЕЛНИ БЕЛЕЖКИ</w:t>
        </w:r>
        <w:r>
          <w:rPr>
            <w:noProof/>
            <w:webHidden/>
          </w:rPr>
          <w:tab/>
        </w:r>
        <w:r>
          <w:rPr>
            <w:noProof/>
            <w:webHidden/>
          </w:rPr>
          <w:fldChar w:fldCharType="begin"/>
        </w:r>
        <w:r>
          <w:rPr>
            <w:noProof/>
            <w:webHidden/>
          </w:rPr>
          <w:instrText xml:space="preserve"> PAGEREF _Toc75518066 \h </w:instrText>
        </w:r>
        <w:r>
          <w:rPr>
            <w:noProof/>
            <w:webHidden/>
          </w:rPr>
        </w:r>
        <w:r>
          <w:rPr>
            <w:noProof/>
            <w:webHidden/>
          </w:rPr>
          <w:fldChar w:fldCharType="separate"/>
        </w:r>
        <w:r>
          <w:rPr>
            <w:noProof/>
            <w:webHidden/>
          </w:rPr>
          <w:t>40</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67" w:history="1">
        <w:r>
          <w:rPr>
            <w:noProof/>
          </w:rPr>
          <w:t xml:space="preserve">СЧЕТОВОДЕН БАЛАНС  </w:t>
        </w:r>
        <w:r>
          <w:rPr>
            <w:noProof/>
            <w:webHidden/>
          </w:rPr>
          <w:tab/>
        </w:r>
        <w:r>
          <w:rPr>
            <w:noProof/>
            <w:webHidden/>
          </w:rPr>
          <w:fldChar w:fldCharType="begin"/>
        </w:r>
        <w:r>
          <w:rPr>
            <w:noProof/>
            <w:webHidden/>
          </w:rPr>
          <w:instrText xml:space="preserve"> PAGEREF _Toc75518067 \h </w:instrText>
        </w:r>
        <w:r>
          <w:rPr>
            <w:noProof/>
            <w:webHidden/>
          </w:rPr>
        </w:r>
        <w:r>
          <w:rPr>
            <w:noProof/>
            <w:webHidden/>
          </w:rPr>
          <w:fldChar w:fldCharType="separate"/>
        </w:r>
        <w:r>
          <w:rPr>
            <w:noProof/>
            <w:webHidden/>
          </w:rPr>
          <w:t>42</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68" w:history="1">
        <w:r>
          <w:rPr>
            <w:noProof/>
          </w:rPr>
          <w:t>ОТЧЕТ ЗА ФИНАНСОВИЯ РЕЗУЛТАТ</w:t>
        </w:r>
        <w:r>
          <w:rPr>
            <w:noProof/>
            <w:webHidden/>
          </w:rPr>
          <w:tab/>
        </w:r>
        <w:r>
          <w:rPr>
            <w:noProof/>
            <w:webHidden/>
          </w:rPr>
          <w:fldChar w:fldCharType="begin"/>
        </w:r>
        <w:r>
          <w:rPr>
            <w:noProof/>
            <w:webHidden/>
          </w:rPr>
          <w:instrText xml:space="preserve"> PAGEREF _Toc75518068 \h </w:instrText>
        </w:r>
        <w:r>
          <w:rPr>
            <w:noProof/>
            <w:webHidden/>
          </w:rPr>
        </w:r>
        <w:r>
          <w:rPr>
            <w:noProof/>
            <w:webHidden/>
          </w:rPr>
          <w:fldChar w:fldCharType="separate"/>
        </w:r>
        <w:r>
          <w:rPr>
            <w:noProof/>
            <w:webHidden/>
          </w:rPr>
          <w:t>43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69" w:history="1">
        <w:r>
          <w:rPr>
            <w:noProof/>
          </w:rPr>
          <w:t>ОТЧЕТ ЗА ПАРИЧНИТЕ ПОТОЦИ</w:t>
        </w:r>
        <w:r>
          <w:rPr>
            <w:noProof/>
            <w:webHidden/>
          </w:rPr>
          <w:tab/>
        </w:r>
        <w:r>
          <w:rPr>
            <w:noProof/>
            <w:webHidden/>
          </w:rPr>
          <w:fldChar w:fldCharType="begin"/>
        </w:r>
        <w:r>
          <w:rPr>
            <w:noProof/>
            <w:webHidden/>
          </w:rPr>
          <w:instrText xml:space="preserve"> PAGEREF _Toc75518069 \h </w:instrText>
        </w:r>
        <w:r>
          <w:rPr>
            <w:noProof/>
            <w:webHidden/>
          </w:rPr>
        </w:r>
        <w:r>
          <w:rPr>
            <w:noProof/>
            <w:webHidden/>
          </w:rPr>
          <w:fldChar w:fldCharType="separate"/>
        </w:r>
        <w:r>
          <w:rPr>
            <w:noProof/>
            <w:webHidden/>
          </w:rPr>
          <w:t>44</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70" w:history="1">
        <w:r>
          <w:rPr>
            <w:noProof/>
          </w:rPr>
          <w:t>ОТЧЕТ ЗА ПРОМЕНИТЕ В НЕТНИТЕ АКТИВИ</w:t>
        </w:r>
        <w:r>
          <w:rPr>
            <w:noProof/>
            <w:webHidden/>
          </w:rPr>
          <w:tab/>
        </w:r>
        <w:r>
          <w:rPr>
            <w:noProof/>
            <w:webHidden/>
          </w:rPr>
          <w:fldChar w:fldCharType="begin"/>
        </w:r>
        <w:r>
          <w:rPr>
            <w:noProof/>
            <w:webHidden/>
          </w:rPr>
          <w:instrText xml:space="preserve"> PAGEREF _Toc75518070 \h </w:instrText>
        </w:r>
        <w:r>
          <w:rPr>
            <w:noProof/>
            <w:webHidden/>
          </w:rPr>
        </w:r>
        <w:r>
          <w:rPr>
            <w:noProof/>
            <w:webHidden/>
          </w:rPr>
          <w:fldChar w:fldCharType="separate"/>
        </w:r>
        <w:r>
          <w:rPr>
            <w:noProof/>
            <w:webHidden/>
          </w:rPr>
          <w:t>45</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71" w:history="1">
        <w:r>
          <w:rPr>
            <w:noProof/>
          </w:rPr>
          <w:t>БЕЛЕЖКИ КЪМ ФИНАНСОВИТЕ ОТЧЕТИ</w:t>
        </w:r>
        <w:r>
          <w:rPr>
            <w:noProof/>
            <w:webHidden/>
          </w:rPr>
          <w:tab/>
        </w:r>
        <w:r>
          <w:rPr>
            <w:noProof/>
            <w:webHidden/>
          </w:rPr>
          <w:fldChar w:fldCharType="begin"/>
        </w:r>
        <w:r>
          <w:rPr>
            <w:noProof/>
            <w:webHidden/>
          </w:rPr>
          <w:instrText xml:space="preserve"> PAGEREF _Toc75518071 \h </w:instrText>
        </w:r>
        <w:r>
          <w:rPr>
            <w:noProof/>
            <w:webHidden/>
          </w:rPr>
        </w:r>
        <w:r>
          <w:rPr>
            <w:noProof/>
            <w:webHidden/>
          </w:rPr>
          <w:fldChar w:fldCharType="separate"/>
        </w:r>
        <w:r>
          <w:rPr>
            <w:noProof/>
            <w:webHidden/>
          </w:rPr>
          <w:t>46</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72" w:history="1">
        <w:r>
          <w:rPr>
            <w:noProof/>
          </w:rPr>
          <w:t>ДОКЛАДИ ЗА ИЗПЪЛНЕНИЕТО НА БЮДЖЕТА И ОБЯСНИТЕЛНИ БЕЛЕЖКИ</w:t>
        </w:r>
        <w:r>
          <w:rPr>
            <w:noProof/>
            <w:webHidden/>
          </w:rPr>
          <w:tab/>
        </w:r>
        <w:r>
          <w:rPr>
            <w:noProof/>
            <w:webHidden/>
          </w:rPr>
          <w:fldChar w:fldCharType="begin"/>
        </w:r>
        <w:r>
          <w:rPr>
            <w:noProof/>
            <w:webHidden/>
          </w:rPr>
          <w:instrText xml:space="preserve"> PAGEREF _Toc75518072 \h </w:instrText>
        </w:r>
        <w:r>
          <w:rPr>
            <w:noProof/>
            <w:webHidden/>
          </w:rPr>
        </w:r>
        <w:r>
          <w:rPr>
            <w:noProof/>
            <w:webHidden/>
          </w:rPr>
          <w:fldChar w:fldCharType="separate"/>
        </w:r>
        <w:r>
          <w:rPr>
            <w:noProof/>
            <w:webHidden/>
          </w:rPr>
          <w:t>142</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73" w:history="1">
        <w:r>
          <w:rPr>
            <w:noProof/>
          </w:rPr>
          <w:t>РЕЧНИК НА ТЕРМИНИТЕ</w:t>
        </w:r>
        <w:r>
          <w:rPr>
            <w:noProof/>
            <w:webHidden/>
          </w:rPr>
          <w:tab/>
        </w:r>
        <w:r>
          <w:rPr>
            <w:noProof/>
            <w:webHidden/>
          </w:rPr>
          <w:fldChar w:fldCharType="begin"/>
        </w:r>
        <w:r>
          <w:rPr>
            <w:noProof/>
            <w:webHidden/>
          </w:rPr>
          <w:instrText xml:space="preserve"> PAGEREF _Toc75518073 \h </w:instrText>
        </w:r>
        <w:r>
          <w:rPr>
            <w:noProof/>
            <w:webHidden/>
          </w:rPr>
        </w:r>
        <w:r>
          <w:rPr>
            <w:noProof/>
            <w:webHidden/>
          </w:rPr>
          <w:fldChar w:fldCharType="separate"/>
        </w:r>
        <w:r>
          <w:rPr>
            <w:noProof/>
            <w:webHidden/>
          </w:rPr>
          <w:t>207</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74" w:history="1">
        <w:r>
          <w:rPr>
            <w:noProof/>
          </w:rPr>
          <w:t>СПИСЪК НА СЪКРАЩЕНИЯТА</w:t>
        </w:r>
        <w:r>
          <w:rPr>
            <w:noProof/>
            <w:webHidden/>
          </w:rPr>
          <w:tab/>
        </w:r>
        <w:r>
          <w:rPr>
            <w:noProof/>
            <w:webHidden/>
          </w:rPr>
          <w:fldChar w:fldCharType="begin"/>
        </w:r>
        <w:r>
          <w:rPr>
            <w:noProof/>
            <w:webHidden/>
          </w:rPr>
          <w:instrText xml:space="preserve"> PAGEREF _Toc75518074 \h </w:instrText>
        </w:r>
        <w:r>
          <w:rPr>
            <w:noProof/>
            <w:webHidden/>
          </w:rPr>
        </w:r>
        <w:r>
          <w:rPr>
            <w:noProof/>
            <w:webHidden/>
          </w:rPr>
          <w:fldChar w:fldCharType="separate"/>
        </w:r>
        <w:r>
          <w:rPr>
            <w:noProof/>
            <w:webHidden/>
          </w:rPr>
          <w:t>211</w:t>
        </w:r>
        <w:r>
          <w:rPr>
            <w:noProof/>
            <w:webHidden/>
          </w:rPr>
          <w:fldChar w:fldCharType="end"/>
        </w:r>
      </w:hyperlink>
    </w:p>
    <w:p>
      <w:pPr>
        <w:pStyle w:val="Textstand-alone"/>
        <w:sectPr>
          <w:headerReference w:type="even" r:id="rId17"/>
          <w:headerReference w:type="default" r:id="rId18"/>
          <w:footerReference w:type="even" r:id="rId19"/>
          <w:footerReference w:type="default" r:id="rId20"/>
          <w:headerReference w:type="first" r:id="rId21"/>
          <w:footerReference w:type="first" r:id="rId22"/>
          <w:pgSz w:w="11907" w:h="16840"/>
          <w:pgMar w:top="1440" w:right="1440" w:bottom="1440" w:left="1440" w:header="708" w:footer="708" w:gutter="0"/>
          <w:pgNumType w:start="1"/>
          <w:cols w:space="708"/>
          <w:docGrid w:linePitch="360"/>
        </w:sectPr>
      </w:pPr>
      <w:r>
        <w:rPr>
          <w:caps/>
          <w:color w:val="016894"/>
          <w:sz w:val="20"/>
          <w:szCs w:val="24"/>
        </w:rPr>
        <w:fldChar w:fldCharType="end"/>
      </w:r>
      <w:r>
        <w:rPr>
          <w:caps/>
          <w:color w:val="016894"/>
          <w:sz w:val="20"/>
          <w:szCs w:val="24"/>
        </w:rPr>
        <w:t xml:space="preserve"> </w:t>
      </w:r>
      <w:bookmarkEnd w:id="3"/>
    </w:p>
    <w:p>
      <w:pPr>
        <w:pStyle w:val="FIRSTCHAPTERPAGE"/>
        <w:rPr>
          <w:noProof/>
        </w:rPr>
      </w:pPr>
      <w:bookmarkStart w:id="5" w:name="_Toc75518063"/>
      <w:bookmarkStart w:id="6" w:name="_DMBM_19898"/>
      <w:r>
        <w:rPr>
          <w:noProof/>
        </w:rPr>
        <w:lastRenderedPageBreak/>
        <w:t>ПРЕДГОВОР</w:t>
      </w:r>
      <w:bookmarkEnd w:id="5"/>
    </w:p>
    <w:p>
      <w:pPr>
        <w:pStyle w:val="DGTextstand-alone"/>
        <w:spacing w:before="0"/>
      </w:pPr>
      <w:r>
        <w:pict>
          <v:shape id="Picture 1" o:spid="_x0000_s1206" type="#_x0000_t75" style="position:absolute;left:0;text-align:left;margin-left:0;margin-top:23.1pt;width:109.7pt;height:109.7pt;z-index:2516382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allowoverlap="f">
            <v:imagedata r:id="rId23" o:title=""/>
            <w10:wrap type="square" anchorx="margin"/>
          </v:shape>
        </w:pict>
      </w:r>
    </w:p>
    <w:p>
      <w:pPr>
        <w:pStyle w:val="DGTextstand-alone"/>
        <w:rPr>
          <w:spacing w:val="-4"/>
        </w:rPr>
      </w:pPr>
      <w:r>
        <w:rPr>
          <w:spacing w:val="-4"/>
        </w:rPr>
        <w:t xml:space="preserve">2020 година бе необичайна година във всяко отношение: Изправен пред икономическите и политическите предизвикателства, причинени от пандемията от коронавируса, Европейският съюз трябваше да реагира с безпрецедентни решения и скорост. Европейската комисия работи на всички фронтове, за да спаси човешки живот и поминъка на хората, да окаже подкрепа на националните здравни системи и предприятията и да стимулира възстановяването и устойчивостта. Мобилизирали сме всички средства, с които разполагаме, за да помогнем на държавите членки да координират националните си ответни мерки и да помогнем на най-засегнатите от кризите, като използвахме инструменти като Инвестиционната инициатива в отговор на коронавируса или </w:t>
      </w:r>
      <w:r>
        <w:rPr>
          <w:b/>
          <w:spacing w:val="-4"/>
        </w:rPr>
        <w:t>SURE (подкрепа с цел смекчаване на рисковете от безработица при извънредни обстоятелства)</w:t>
      </w:r>
      <w:r>
        <w:rPr>
          <w:spacing w:val="-4"/>
        </w:rPr>
        <w:t>. По линия на SURE през 2020 г. на засегнатите държави членки вече бяха отпуснати 39,5 милиарда евро от общо 100 милиарда евро, за да посрещнат внезапното увеличение на публичните разходи за запазване на заетостта. През 2021 г. бяха отпуснати значителни допълнителни средства.</w:t>
      </w:r>
    </w:p>
    <w:p>
      <w:pPr>
        <w:pStyle w:val="DGTextstand-alone"/>
        <w:rPr>
          <w:spacing w:val="-6"/>
        </w:rPr>
      </w:pPr>
      <w:r>
        <w:rPr>
          <w:spacing w:val="-6"/>
        </w:rPr>
        <w:t xml:space="preserve">Въпреки че се бореше с пандемията, Европейският съюз все пак </w:t>
      </w:r>
      <w:r>
        <w:rPr>
          <w:b/>
          <w:spacing w:val="-6"/>
        </w:rPr>
        <w:t>постигна своите цели на политиката</w:t>
      </w:r>
      <w:r>
        <w:rPr>
          <w:spacing w:val="-6"/>
        </w:rPr>
        <w:t xml:space="preserve">, като акцентът бе поставен върху младите хора, работните места и растежа, както и върху изменението на климата. За мерките за подпомагане на икономическия растеж и намаляване на икономическите различия между регионите бяха използвани почти половината от заделените средства. По линия на финансирането от ЕС бяха отпуснати 29,7 милиарда евро на по-слабо развитите региони и 16,4 милиарда евро за научните изследвания и иновациите в рамките на „Хоризонт 2020“. Освен това бюджетът на ЕС за 2020 г. подпомогна селското стопанство и селските райони по линия на Европейския фонд за гарантиране на земеделието и Европейския земеделски фонд за развитие на селските райони с поети задължения в размер на 59 милиарда евро. Бюджетът за 2020 г. бе последният бюджет от настоящата многогодишна финансова рамка, като изпълнението на бюджета възлезе на 181,7 милиарда евро поети задължения — добавяйки стойност за всички европейци. </w:t>
      </w:r>
    </w:p>
    <w:p>
      <w:pPr>
        <w:pStyle w:val="DGTextstand-alone"/>
        <w:spacing w:after="720"/>
        <w:rPr>
          <w:sz w:val="40"/>
          <w:szCs w:val="40"/>
        </w:rPr>
      </w:pPr>
    </w:p>
    <w:p>
      <w:pPr>
        <w:pStyle w:val="DGTextstand-alone"/>
      </w:pPr>
    </w:p>
    <w:p>
      <w:pPr>
        <w:pStyle w:val="DGTextstand-alone"/>
        <w:rPr>
          <w:spacing w:val="-6"/>
        </w:rPr>
      </w:pPr>
      <w:r>
        <w:rPr>
          <w:spacing w:val="-6"/>
        </w:rPr>
        <w:t xml:space="preserve">Накрая, 2020 година бе също годината, през която бе постигнато споразумението относно </w:t>
      </w:r>
      <w:r>
        <w:rPr>
          <w:b/>
          <w:spacing w:val="-6"/>
        </w:rPr>
        <w:t>дългосрочния бюджет на ЕС за периода 2021—2027 г.</w:t>
      </w:r>
      <w:r>
        <w:rPr>
          <w:spacing w:val="-6"/>
        </w:rPr>
        <w:t xml:space="preserve"> на стойност 1,074 трилиона евро (по цени от 2018 г.), допълнен със 750 милиарда евро посредством </w:t>
      </w:r>
      <w:r>
        <w:rPr>
          <w:b/>
          <w:spacing w:val="-6"/>
        </w:rPr>
        <w:t>NextGenerationEU</w:t>
      </w:r>
      <w:r>
        <w:rPr>
          <w:spacing w:val="-6"/>
        </w:rPr>
        <w:t xml:space="preserve"> — временен инструмент за стартиране на възстановяването и насочване на прехода към една по-устойчива и цифрова Европа.</w:t>
      </w:r>
    </w:p>
    <w:p>
      <w:pPr>
        <w:pStyle w:val="DGTextstand-alone"/>
      </w:pPr>
      <w:r>
        <w:t xml:space="preserve">Имам удоволствието да представя годишните отчети на Европейския съюз за 2020 г. Те съдържат пълен преглед на финансите на ЕС и на изпълнението на бюджета на ЕС за предходната година, включително информация за условните пасиви, финансовите задължения и други задължения на Съюза. Консолидираните годишни отчети на Европейския съюз са част от </w:t>
      </w:r>
      <w:r>
        <w:rPr>
          <w:b/>
        </w:rPr>
        <w:t>пакета на Комисията от интегрирани отчети за финансите и управленската отговорност</w:t>
      </w:r>
      <w:r>
        <w:t xml:space="preserve"> и представляват съществена част от силно развитата ни система за финансова отчетност.</w:t>
      </w:r>
    </w:p>
    <w:p>
      <w:pPr>
        <w:pStyle w:val="DGTextstand-alone"/>
      </w:pPr>
    </w:p>
    <w:p>
      <w:pPr>
        <w:pStyle w:val="DGTextstand-alone"/>
        <w:rPr>
          <w:b/>
        </w:rPr>
      </w:pPr>
      <w:r>
        <w:rPr>
          <w:b/>
        </w:rPr>
        <w:t>Йоханес Хан</w:t>
      </w:r>
    </w:p>
    <w:p>
      <w:pPr>
        <w:pStyle w:val="DGTextstand-alone"/>
        <w:jc w:val="left"/>
        <w:rPr>
          <w:b/>
        </w:rPr>
      </w:pPr>
      <w:r>
        <w:rPr>
          <w:b/>
        </w:rPr>
        <w:t>Член на Европейската комисия, отговарящ за бюджета и човешките ресурси</w:t>
      </w:r>
    </w:p>
    <w:bookmarkEnd w:id="6"/>
    <w:p>
      <w:pPr>
        <w:pStyle w:val="DGTextstand-alone"/>
        <w:sectPr>
          <w:headerReference w:type="even" r:id="rId24"/>
          <w:headerReference w:type="default" r:id="rId25"/>
          <w:footerReference w:type="even" r:id="rId26"/>
          <w:footerReference w:type="default" r:id="rId27"/>
          <w:headerReference w:type="first" r:id="rId28"/>
          <w:footerReference w:type="first" r:id="rId29"/>
          <w:pgSz w:w="11906" w:h="16838"/>
          <w:pgMar w:top="1134" w:right="1134" w:bottom="1134" w:left="1134" w:header="709" w:footer="709" w:gutter="0"/>
          <w:cols w:num="2" w:space="708"/>
          <w:docGrid w:linePitch="360"/>
        </w:sectPr>
      </w:pPr>
    </w:p>
    <w:p>
      <w:pPr>
        <w:pStyle w:val="Textstand-alone"/>
      </w:pPr>
      <w:bookmarkStart w:id="7" w:name="_DMBM_19783"/>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8" w:name="_Toc75518064"/>
      <w:r>
        <w:rPr>
          <w:noProof/>
        </w:rPr>
        <w:t>ФИНАНСОВИ АКЦЕНТИ ЗА ГОДИНАТА</w:t>
      </w:r>
      <w:bookmarkEnd w:id="8"/>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jc w:val="both"/>
        <w:rPr>
          <w:rFonts w:ascii="Verdana" w:hAnsi="Verdana"/>
          <w:i/>
          <w:noProof/>
          <w:color w:val="016794"/>
          <w:sz w:val="18"/>
        </w:rPr>
      </w:pPr>
    </w:p>
    <w:p>
      <w:pPr>
        <w:jc w:val="both"/>
        <w:rPr>
          <w:rFonts w:ascii="Verdana" w:hAnsi="Verdana"/>
          <w:i/>
          <w:noProof/>
          <w:color w:val="016794"/>
          <w:sz w:val="18"/>
        </w:rPr>
      </w:pPr>
      <w:r>
        <w:rPr>
          <w:rFonts w:ascii="Verdana" w:hAnsi="Verdana"/>
          <w:i/>
          <w:noProof/>
          <w:color w:val="016794"/>
          <w:sz w:val="18"/>
        </w:rPr>
        <w:t>Целта на частта „Анализ на финансовите отчети“, която бе изготвена въз основа на принципите, описани в Насока за препоръчани практики № 2 (RPG 2) „Обсъждане и анализ на финансовите отчети“ на Съвета по международни счетоводни стандарти за публичния сектор (СМССПС), е да се помогне на читателите да разберат как оперативните, финансовите и инвестиционните дейности на ЕС са отразени в различните елементи на консолидираните финансови отчети на ЕС. Информацията, представена в тази част, не е била одитирана.</w:t>
      </w:r>
    </w:p>
    <w:p>
      <w:pPr>
        <w:jc w:val="both"/>
        <w:rPr>
          <w:rFonts w:ascii="Verdana" w:hAnsi="Verdana"/>
          <w:i/>
          <w:noProof/>
          <w:color w:val="016794"/>
          <w:sz w:val="18"/>
        </w:rPr>
      </w:pPr>
    </w:p>
    <w:p>
      <w:pPr>
        <w:rPr>
          <w:rFonts w:ascii="Verdana" w:hAnsi="Verdana"/>
          <w:i/>
          <w:noProof/>
          <w:sz w:val="18"/>
          <w:szCs w:val="18"/>
        </w:rPr>
      </w:pPr>
      <w:r>
        <w:rPr>
          <w:rFonts w:ascii="Verdana" w:hAnsi="Verdana"/>
          <w:i/>
          <w:noProof/>
          <w:color w:val="016794"/>
          <w:sz w:val="18"/>
        </w:rPr>
        <w:t>Следва да се отбележи, че поради закръглянето на цифрите в милиони евро някои финансови данни в таблиците по-долу може да изглеждат грешни.</w:t>
      </w:r>
      <w:r>
        <w:rPr>
          <w:i/>
          <w:noProof/>
        </w:rPr>
        <w:br w:type="page"/>
      </w:r>
    </w:p>
    <w:p>
      <w:pPr>
        <w:pStyle w:val="HEADERTABLE"/>
        <w:rPr>
          <w:noProof/>
        </w:rPr>
      </w:pPr>
      <w:r>
        <w:rPr>
          <w:noProof/>
        </w:rPr>
        <w:t>СЪДЪРЖАНИЕ</w:t>
      </w:r>
    </w:p>
    <w:p>
      <w:pPr>
        <w:pStyle w:val="TOCHeading"/>
        <w:rPr>
          <w:noProof/>
        </w:rPr>
      </w:pPr>
    </w:p>
    <w:p>
      <w:pPr>
        <w:pStyle w:val="TOC1"/>
        <w:rPr>
          <w:rFonts w:asciiTheme="minorHAnsi" w:eastAsiaTheme="minorEastAsia" w:hAnsiTheme="minorHAnsi" w:cstheme="minorBidi"/>
          <w:noProof/>
          <w:color w:val="auto"/>
          <w:szCs w:val="22"/>
        </w:rPr>
      </w:pPr>
      <w:r>
        <w:rPr>
          <w:noProof/>
        </w:rPr>
        <w:fldChar w:fldCharType="begin"/>
      </w:r>
      <w:r>
        <w:rPr>
          <w:noProof/>
        </w:rPr>
        <w:instrText xml:space="preserve"> TOC \o "1-3" \h \z \t "HEADER 1_Part 4;1;HEADER 2_Part 4;2" </w:instrText>
      </w:r>
      <w:r>
        <w:rPr>
          <w:noProof/>
        </w:rPr>
        <w:fldChar w:fldCharType="separate"/>
      </w:r>
      <w:hyperlink w:anchor="_Toc75518078" w:history="1">
        <w:r>
          <w:rPr>
            <w:rStyle w:val="Hyperlink"/>
            <w:noProof/>
          </w:rPr>
          <w:t>1.КЛЮЧОВИ ЦИФРИ ЗА 2020 Г.</w:t>
        </w:r>
        <w:r>
          <w:rPr>
            <w:rFonts w:asciiTheme="minorHAnsi" w:eastAsiaTheme="minorEastAsia" w:hAnsiTheme="minorHAnsi" w:cstheme="minorBidi"/>
            <w:noProof/>
            <w:color w:val="auto"/>
            <w:szCs w:val="22"/>
          </w:rPr>
          <w:tab/>
        </w:r>
        <w:r>
          <w:rPr>
            <w:noProof/>
            <w:webHidden/>
          </w:rPr>
          <w:fldChar w:fldCharType="begin"/>
        </w:r>
        <w:r>
          <w:rPr>
            <w:noProof/>
            <w:webHidden/>
          </w:rPr>
          <w:instrText xml:space="preserve"> PAGEREF _Toc75518078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79" w:history="1">
        <w:r>
          <w:rPr>
            <w:rStyle w:val="Hyperlink"/>
            <w:noProof/>
          </w:rPr>
          <w:t>2.</w:t>
        </w:r>
        <w:r>
          <w:rPr>
            <w:noProof/>
          </w:rPr>
          <w:t xml:space="preserve"> </w:t>
        </w:r>
        <w:r>
          <w:rPr>
            <w:rStyle w:val="Hyperlink"/>
            <w:noProof/>
          </w:rPr>
          <w:t>МЕРКИ В ОТГОВОР НА КОРОНАВИРУСА</w:t>
        </w:r>
        <w:r>
          <w:rPr>
            <w:rFonts w:asciiTheme="minorHAnsi" w:eastAsiaTheme="minorEastAsia" w:hAnsiTheme="minorHAnsi" w:cstheme="minorBidi"/>
            <w:noProof/>
            <w:color w:val="auto"/>
            <w:szCs w:val="22"/>
          </w:rPr>
          <w:tab/>
        </w:r>
        <w:r>
          <w:rPr>
            <w:noProof/>
            <w:webHidden/>
          </w:rPr>
          <w:fldChar w:fldCharType="begin"/>
        </w:r>
        <w:r>
          <w:rPr>
            <w:noProof/>
            <w:webHidden/>
          </w:rPr>
          <w:instrText xml:space="preserve"> PAGEREF _Toc75518079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80" w:history="1">
        <w:r>
          <w:rPr>
            <w:rStyle w:val="Hyperlink"/>
            <w:noProof/>
          </w:rPr>
          <w:t>2.1.</w:t>
        </w:r>
        <w:r>
          <w:rPr>
            <w:rFonts w:asciiTheme="minorHAnsi" w:eastAsiaTheme="minorEastAsia" w:hAnsiTheme="minorHAnsi" w:cstheme="minorBidi"/>
            <w:noProof/>
            <w:color w:val="auto"/>
            <w:szCs w:val="22"/>
          </w:rPr>
          <w:tab/>
        </w:r>
        <w:r>
          <w:rPr>
            <w:noProof/>
          </w:rPr>
          <w:t>Акценти при мерките на ЕС в отговор на коронавируса</w:t>
        </w:r>
        <w:r>
          <w:rPr>
            <w:noProof/>
            <w:webHidden/>
          </w:rPr>
          <w:tab/>
        </w:r>
        <w:r>
          <w:rPr>
            <w:noProof/>
            <w:webHidden/>
          </w:rPr>
          <w:fldChar w:fldCharType="begin"/>
        </w:r>
        <w:r>
          <w:rPr>
            <w:noProof/>
            <w:webHidden/>
          </w:rPr>
          <w:instrText xml:space="preserve"> PAGEREF _Toc75518080 \h </w:instrText>
        </w:r>
        <w:r>
          <w:rPr>
            <w:noProof/>
            <w:webHidden/>
          </w:rPr>
        </w:r>
        <w:r>
          <w:rPr>
            <w:noProof/>
            <w:webHidden/>
          </w:rPr>
          <w:fldChar w:fldCharType="separate"/>
        </w:r>
        <w:r>
          <w:rPr>
            <w:noProof/>
            <w:webHidden/>
          </w:rPr>
          <w:t>7</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81" w:history="1">
        <w:r>
          <w:rPr>
            <w:rStyle w:val="Hyperlink"/>
            <w:noProof/>
          </w:rPr>
          <w:t>2.2.</w:t>
        </w:r>
        <w:r>
          <w:rPr>
            <w:rFonts w:asciiTheme="minorHAnsi" w:eastAsiaTheme="minorEastAsia" w:hAnsiTheme="minorHAnsi" w:cstheme="minorBidi"/>
            <w:noProof/>
            <w:color w:val="auto"/>
            <w:szCs w:val="22"/>
          </w:rPr>
          <w:tab/>
        </w:r>
        <w:r>
          <w:rPr>
            <w:noProof/>
          </w:rPr>
          <w:t>Инициативи за реагиране съгласно многогодишната финансова рамка (МФР) за периода 2014—2020 г. и програмата SURE</w:t>
        </w:r>
        <w:r>
          <w:rPr>
            <w:noProof/>
            <w:webHidden/>
          </w:rPr>
          <w:tab/>
        </w:r>
        <w:r>
          <w:rPr>
            <w:noProof/>
            <w:webHidden/>
          </w:rPr>
          <w:fldChar w:fldCharType="begin"/>
        </w:r>
        <w:r>
          <w:rPr>
            <w:noProof/>
            <w:webHidden/>
          </w:rPr>
          <w:instrText xml:space="preserve"> PAGEREF _Toc75518081 \h </w:instrText>
        </w:r>
        <w:r>
          <w:rPr>
            <w:noProof/>
            <w:webHidden/>
          </w:rPr>
        </w:r>
        <w:r>
          <w:rPr>
            <w:noProof/>
            <w:webHidden/>
          </w:rPr>
          <w:fldChar w:fldCharType="separate"/>
        </w:r>
        <w:r>
          <w:rPr>
            <w:noProof/>
            <w:webHidden/>
          </w:rPr>
          <w:t>8</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82" w:history="1">
        <w:r>
          <w:rPr>
            <w:rStyle w:val="Hyperlink"/>
            <w:noProof/>
          </w:rPr>
          <w:t>3.</w:t>
        </w:r>
        <w:r>
          <w:rPr>
            <w:noProof/>
          </w:rPr>
          <w:t xml:space="preserve"> </w:t>
        </w:r>
        <w:r>
          <w:rPr>
            <w:rStyle w:val="Hyperlink"/>
            <w:noProof/>
          </w:rPr>
          <w:t>ДЪЛГОСРОЧНИЯТ БЮДЖЕТ НА ЕС ЗА ПЕРИОДА 2021—2027 Г. И NEXTGENERATIONEU</w:t>
        </w:r>
        <w:r>
          <w:rPr>
            <w:rFonts w:asciiTheme="minorHAnsi" w:eastAsiaTheme="minorEastAsia" w:hAnsiTheme="minorHAnsi" w:cstheme="minorBidi"/>
            <w:noProof/>
            <w:color w:val="auto"/>
            <w:szCs w:val="22"/>
          </w:rPr>
          <w:tab/>
        </w:r>
        <w:r>
          <w:rPr>
            <w:noProof/>
            <w:webHidden/>
          </w:rPr>
          <w:fldChar w:fldCharType="begin"/>
        </w:r>
        <w:r>
          <w:rPr>
            <w:noProof/>
            <w:webHidden/>
          </w:rPr>
          <w:instrText xml:space="preserve"> PAGEREF _Toc75518082 \h </w:instrText>
        </w:r>
        <w:r>
          <w:rPr>
            <w:noProof/>
            <w:webHidden/>
          </w:rPr>
        </w:r>
        <w:r>
          <w:rPr>
            <w:noProof/>
            <w:webHidden/>
          </w:rPr>
          <w:fldChar w:fldCharType="separate"/>
        </w:r>
        <w:r>
          <w:rPr>
            <w:noProof/>
            <w:webHidden/>
          </w:rPr>
          <w:t>13</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83" w:history="1">
        <w:r>
          <w:rPr>
            <w:rStyle w:val="Hyperlink"/>
            <w:noProof/>
          </w:rPr>
          <w:t>4.</w:t>
        </w:r>
        <w:r>
          <w:rPr>
            <w:noProof/>
          </w:rPr>
          <w:t xml:space="preserve"> </w:t>
        </w:r>
        <w:r>
          <w:rPr>
            <w:rStyle w:val="Hyperlink"/>
            <w:noProof/>
          </w:rPr>
          <w:t>ОТТЕГЛЯНЕ НА ОБЕДИНЕНОТО КРАЛСТВО ОТ ЕВРОПЕЙСКИЯ СЪЮЗ</w:t>
        </w:r>
        <w:r>
          <w:rPr>
            <w:rFonts w:asciiTheme="minorHAnsi" w:eastAsiaTheme="minorEastAsia" w:hAnsiTheme="minorHAnsi" w:cstheme="minorBidi"/>
            <w:noProof/>
            <w:color w:val="auto"/>
            <w:szCs w:val="22"/>
          </w:rPr>
          <w:tab/>
        </w:r>
        <w:r>
          <w:rPr>
            <w:noProof/>
            <w:webHidden/>
          </w:rPr>
          <w:fldChar w:fldCharType="begin"/>
        </w:r>
        <w:r>
          <w:rPr>
            <w:noProof/>
            <w:webHidden/>
          </w:rPr>
          <w:instrText xml:space="preserve"> PAGEREF _Toc75518083 \h </w:instrText>
        </w:r>
        <w:r>
          <w:rPr>
            <w:noProof/>
            <w:webHidden/>
          </w:rPr>
        </w:r>
        <w:r>
          <w:rPr>
            <w:noProof/>
            <w:webHidden/>
          </w:rPr>
          <w:fldChar w:fldCharType="separate"/>
        </w:r>
        <w:r>
          <w:rPr>
            <w:noProof/>
            <w:webHidden/>
          </w:rPr>
          <w:t>16</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84" w:history="1">
        <w:r>
          <w:rPr>
            <w:rStyle w:val="Hyperlink"/>
            <w:noProof/>
          </w:rPr>
          <w:t>4.1.</w:t>
        </w:r>
        <w:r>
          <w:rPr>
            <w:rFonts w:asciiTheme="minorHAnsi" w:eastAsiaTheme="minorEastAsia" w:hAnsiTheme="minorHAnsi" w:cstheme="minorBidi"/>
            <w:noProof/>
            <w:color w:val="auto"/>
            <w:szCs w:val="22"/>
          </w:rPr>
          <w:tab/>
        </w:r>
        <w:r>
          <w:rPr>
            <w:noProof/>
          </w:rPr>
          <w:t>Контекст</w:t>
        </w:r>
        <w:r>
          <w:rPr>
            <w:noProof/>
            <w:webHidden/>
          </w:rPr>
          <w:tab/>
        </w:r>
        <w:r>
          <w:rPr>
            <w:noProof/>
            <w:webHidden/>
          </w:rPr>
          <w:fldChar w:fldCharType="begin"/>
        </w:r>
        <w:r>
          <w:rPr>
            <w:noProof/>
            <w:webHidden/>
          </w:rPr>
          <w:instrText xml:space="preserve"> PAGEREF _Toc75518084 \h </w:instrText>
        </w:r>
        <w:r>
          <w:rPr>
            <w:noProof/>
            <w:webHidden/>
          </w:rPr>
        </w:r>
        <w:r>
          <w:rPr>
            <w:noProof/>
            <w:webHidden/>
          </w:rPr>
          <w:fldChar w:fldCharType="separate"/>
        </w:r>
        <w:r>
          <w:rPr>
            <w:noProof/>
            <w:webHidden/>
          </w:rPr>
          <w:t>16</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85" w:history="1">
        <w:r>
          <w:rPr>
            <w:rStyle w:val="Hyperlink"/>
            <w:noProof/>
          </w:rPr>
          <w:t>4.2.</w:t>
        </w:r>
        <w:r>
          <w:rPr>
            <w:rFonts w:asciiTheme="minorHAnsi" w:eastAsiaTheme="minorEastAsia" w:hAnsiTheme="minorHAnsi" w:cstheme="minorBidi"/>
            <w:noProof/>
            <w:color w:val="auto"/>
            <w:szCs w:val="22"/>
          </w:rPr>
          <w:tab/>
        </w:r>
        <w:r>
          <w:rPr>
            <w:noProof/>
          </w:rPr>
          <w:t>Дял на Обединеното кралство</w:t>
        </w:r>
        <w:r>
          <w:rPr>
            <w:noProof/>
            <w:webHidden/>
          </w:rPr>
          <w:tab/>
        </w:r>
        <w:r>
          <w:rPr>
            <w:noProof/>
            <w:webHidden/>
          </w:rPr>
          <w:fldChar w:fldCharType="begin"/>
        </w:r>
        <w:r>
          <w:rPr>
            <w:noProof/>
            <w:webHidden/>
          </w:rPr>
          <w:instrText xml:space="preserve"> PAGEREF _Toc75518085 \h </w:instrText>
        </w:r>
        <w:r>
          <w:rPr>
            <w:noProof/>
            <w:webHidden/>
          </w:rPr>
        </w:r>
        <w:r>
          <w:rPr>
            <w:noProof/>
            <w:webHidden/>
          </w:rPr>
          <w:fldChar w:fldCharType="separate"/>
        </w:r>
        <w:r>
          <w:rPr>
            <w:noProof/>
            <w:webHidden/>
          </w:rPr>
          <w:t>17</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86" w:history="1">
        <w:r>
          <w:rPr>
            <w:rStyle w:val="Hyperlink"/>
            <w:noProof/>
          </w:rPr>
          <w:t>4.3.</w:t>
        </w:r>
        <w:r>
          <w:rPr>
            <w:rFonts w:asciiTheme="minorHAnsi" w:eastAsiaTheme="minorEastAsia" w:hAnsiTheme="minorHAnsi" w:cstheme="minorBidi"/>
            <w:noProof/>
            <w:color w:val="auto"/>
            <w:szCs w:val="22"/>
          </w:rPr>
          <w:tab/>
        </w:r>
        <w:r>
          <w:rPr>
            <w:noProof/>
          </w:rPr>
          <w:t>Годишни отчети на ЕС: суми, дължими от и на Обединеното кралство съгласно Споразумението за оттеглянето</w:t>
        </w:r>
        <w:r>
          <w:rPr>
            <w:noProof/>
            <w:webHidden/>
          </w:rPr>
          <w:tab/>
        </w:r>
        <w:r>
          <w:rPr>
            <w:noProof/>
            <w:webHidden/>
          </w:rPr>
          <w:fldChar w:fldCharType="begin"/>
        </w:r>
        <w:r>
          <w:rPr>
            <w:noProof/>
            <w:webHidden/>
          </w:rPr>
          <w:instrText xml:space="preserve"> PAGEREF _Toc75518086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87" w:history="1">
        <w:r>
          <w:rPr>
            <w:rStyle w:val="Hyperlink"/>
            <w:noProof/>
          </w:rPr>
          <w:t>5.</w:t>
        </w:r>
        <w:r>
          <w:rPr>
            <w:noProof/>
          </w:rPr>
          <w:t xml:space="preserve"> </w:t>
        </w:r>
        <w:r>
          <w:rPr>
            <w:rStyle w:val="Hyperlink"/>
            <w:noProof/>
          </w:rPr>
          <w:t>ОБОБЩЕНИЕ НА ИЗПЪЛНЕНИЕТО НА БЮДЖЕТА</w:t>
        </w:r>
        <w:r>
          <w:rPr>
            <w:rFonts w:asciiTheme="minorHAnsi" w:eastAsiaTheme="minorEastAsia" w:hAnsiTheme="minorHAnsi" w:cstheme="minorBidi"/>
            <w:noProof/>
            <w:color w:val="auto"/>
            <w:szCs w:val="22"/>
          </w:rPr>
          <w:tab/>
        </w:r>
        <w:r>
          <w:rPr>
            <w:noProof/>
            <w:webHidden/>
          </w:rPr>
          <w:fldChar w:fldCharType="begin"/>
        </w:r>
        <w:r>
          <w:rPr>
            <w:noProof/>
            <w:webHidden/>
          </w:rPr>
          <w:instrText xml:space="preserve"> PAGEREF _Toc75518087 \h </w:instrText>
        </w:r>
        <w:r>
          <w:rPr>
            <w:noProof/>
            <w:webHidden/>
          </w:rPr>
        </w:r>
        <w:r>
          <w:rPr>
            <w:noProof/>
            <w:webHidden/>
          </w:rPr>
          <w:fldChar w:fldCharType="separate"/>
        </w:r>
        <w:r>
          <w:rPr>
            <w:noProof/>
            <w:webHidden/>
          </w:rPr>
          <w:t>21</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88" w:history="1">
        <w:r>
          <w:rPr>
            <w:rStyle w:val="Hyperlink"/>
            <w:noProof/>
          </w:rPr>
          <w:t>6.</w:t>
        </w:r>
        <w:r>
          <w:rPr>
            <w:noProof/>
          </w:rPr>
          <w:t xml:space="preserve"> </w:t>
        </w:r>
        <w:r>
          <w:rPr>
            <w:rStyle w:val="Hyperlink"/>
            <w:noProof/>
          </w:rPr>
          <w:t>ФИНАНСОВИ ИНСТРУМЕНТИ И БЮДЖЕТНИ ГАРАНЦИИ</w:t>
        </w:r>
        <w:r>
          <w:rPr>
            <w:rFonts w:asciiTheme="minorHAnsi" w:eastAsiaTheme="minorEastAsia" w:hAnsiTheme="minorHAnsi" w:cstheme="minorBidi"/>
            <w:noProof/>
            <w:color w:val="auto"/>
            <w:szCs w:val="22"/>
          </w:rPr>
          <w:tab/>
        </w:r>
        <w:r>
          <w:rPr>
            <w:noProof/>
            <w:webHidden/>
          </w:rPr>
          <w:fldChar w:fldCharType="begin"/>
        </w:r>
        <w:r>
          <w:rPr>
            <w:noProof/>
            <w:webHidden/>
          </w:rPr>
          <w:instrText xml:space="preserve"> PAGEREF _Toc75518088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89" w:history="1">
        <w:r>
          <w:rPr>
            <w:rStyle w:val="Hyperlink"/>
            <w:rFonts w:eastAsia="Calibri"/>
            <w:noProof/>
          </w:rPr>
          <w:t>6.1.</w:t>
        </w:r>
        <w:r>
          <w:rPr>
            <w:rFonts w:asciiTheme="minorHAnsi" w:eastAsiaTheme="minorEastAsia" w:hAnsiTheme="minorHAnsi" w:cstheme="minorBidi"/>
            <w:noProof/>
            <w:color w:val="auto"/>
            <w:szCs w:val="22"/>
          </w:rPr>
          <w:tab/>
        </w:r>
        <w:r>
          <w:rPr>
            <w:noProof/>
          </w:rPr>
          <w:t>Финансови инструменти, финансирани от бюджета на ЕС</w:t>
        </w:r>
        <w:r>
          <w:rPr>
            <w:noProof/>
            <w:webHidden/>
          </w:rPr>
          <w:tab/>
        </w:r>
        <w:r>
          <w:rPr>
            <w:noProof/>
            <w:webHidden/>
          </w:rPr>
          <w:fldChar w:fldCharType="begin"/>
        </w:r>
        <w:r>
          <w:rPr>
            <w:noProof/>
            <w:webHidden/>
          </w:rPr>
          <w:instrText xml:space="preserve"> PAGEREF _Toc75518089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90" w:history="1">
        <w:r>
          <w:rPr>
            <w:rStyle w:val="Hyperlink"/>
            <w:rFonts w:eastAsia="Calibri"/>
            <w:noProof/>
          </w:rPr>
          <w:t>6.2.</w:t>
        </w:r>
        <w:r>
          <w:rPr>
            <w:rFonts w:asciiTheme="minorHAnsi" w:eastAsiaTheme="minorEastAsia" w:hAnsiTheme="minorHAnsi" w:cstheme="minorBidi"/>
            <w:noProof/>
            <w:color w:val="auto"/>
            <w:szCs w:val="22"/>
          </w:rPr>
          <w:tab/>
        </w:r>
        <w:r>
          <w:rPr>
            <w:noProof/>
          </w:rPr>
          <w:t>Финансови активи, държани в гаранционни фондове за бюджетни гаранции</w:t>
        </w:r>
        <w:r>
          <w:rPr>
            <w:noProof/>
            <w:webHidden/>
          </w:rPr>
          <w:tab/>
        </w:r>
        <w:r>
          <w:rPr>
            <w:noProof/>
            <w:webHidden/>
          </w:rPr>
          <w:fldChar w:fldCharType="begin"/>
        </w:r>
        <w:r>
          <w:rPr>
            <w:noProof/>
            <w:webHidden/>
          </w:rPr>
          <w:instrText xml:space="preserve"> PAGEREF _Toc75518090 \h </w:instrText>
        </w:r>
        <w:r>
          <w:rPr>
            <w:noProof/>
            <w:webHidden/>
          </w:rPr>
        </w:r>
        <w:r>
          <w:rPr>
            <w:noProof/>
            <w:webHidden/>
          </w:rPr>
          <w:fldChar w:fldCharType="separate"/>
        </w:r>
        <w:r>
          <w:rPr>
            <w:noProof/>
            <w:webHidden/>
          </w:rPr>
          <w:t>22</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91" w:history="1">
        <w:r>
          <w:rPr>
            <w:rStyle w:val="Hyperlink"/>
            <w:rFonts w:eastAsia="Calibri"/>
            <w:noProof/>
          </w:rPr>
          <w:t>6.3.</w:t>
        </w:r>
        <w:r>
          <w:rPr>
            <w:rFonts w:asciiTheme="minorHAnsi" w:eastAsiaTheme="minorEastAsia" w:hAnsiTheme="minorHAnsi" w:cstheme="minorBidi"/>
            <w:noProof/>
            <w:color w:val="auto"/>
            <w:szCs w:val="22"/>
          </w:rPr>
          <w:tab/>
        </w:r>
        <w:r>
          <w:rPr>
            <w:noProof/>
          </w:rPr>
          <w:t>Отпуснати заеми и свързаните с тях получени заеми за програми за финансова помощ</w:t>
        </w:r>
        <w:r>
          <w:rPr>
            <w:noProof/>
            <w:webHidden/>
          </w:rPr>
          <w:tab/>
        </w:r>
        <w:r>
          <w:rPr>
            <w:noProof/>
            <w:webHidden/>
          </w:rPr>
          <w:tab/>
        </w:r>
        <w:r>
          <w:rPr>
            <w:noProof/>
            <w:webHidden/>
          </w:rPr>
          <w:fldChar w:fldCharType="begin"/>
        </w:r>
        <w:r>
          <w:rPr>
            <w:noProof/>
            <w:webHidden/>
          </w:rPr>
          <w:instrText xml:space="preserve"> PAGEREF _Toc75518091 \h </w:instrText>
        </w:r>
        <w:r>
          <w:rPr>
            <w:noProof/>
            <w:webHidden/>
          </w:rPr>
        </w:r>
        <w:r>
          <w:rPr>
            <w:noProof/>
            <w:webHidden/>
          </w:rPr>
          <w:fldChar w:fldCharType="separate"/>
        </w:r>
        <w:r>
          <w:rPr>
            <w:noProof/>
            <w:webHidden/>
          </w:rPr>
          <w:t>23</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92" w:history="1">
        <w:r>
          <w:rPr>
            <w:rStyle w:val="Hyperlink"/>
            <w:rFonts w:eastAsia="Calibri"/>
            <w:noProof/>
          </w:rPr>
          <w:t>6.4.</w:t>
        </w:r>
        <w:r>
          <w:rPr>
            <w:rFonts w:asciiTheme="minorHAnsi" w:eastAsiaTheme="minorEastAsia" w:hAnsiTheme="minorHAnsi" w:cstheme="minorBidi"/>
            <w:noProof/>
            <w:color w:val="auto"/>
            <w:szCs w:val="22"/>
          </w:rPr>
          <w:tab/>
        </w:r>
        <w:r>
          <w:rPr>
            <w:noProof/>
          </w:rPr>
          <w:t>Бюджетни условни пасиви във връзка с програмите за финансова помощ</w:t>
        </w:r>
        <w:r>
          <w:rPr>
            <w:noProof/>
            <w:webHidden/>
          </w:rPr>
          <w:tab/>
        </w:r>
        <w:r>
          <w:rPr>
            <w:noProof/>
            <w:webHidden/>
          </w:rPr>
          <w:fldChar w:fldCharType="begin"/>
        </w:r>
        <w:r>
          <w:rPr>
            <w:noProof/>
            <w:webHidden/>
          </w:rPr>
          <w:instrText xml:space="preserve"> PAGEREF _Toc75518092 \h </w:instrText>
        </w:r>
        <w:r>
          <w:rPr>
            <w:noProof/>
            <w:webHidden/>
          </w:rPr>
        </w:r>
        <w:r>
          <w:rPr>
            <w:noProof/>
            <w:webHidden/>
          </w:rPr>
          <w:fldChar w:fldCharType="separate"/>
        </w:r>
        <w:r>
          <w:rPr>
            <w:noProof/>
            <w:webHidden/>
          </w:rPr>
          <w:t>26</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93" w:history="1">
        <w:r>
          <w:rPr>
            <w:rStyle w:val="Hyperlink"/>
            <w:noProof/>
          </w:rPr>
          <w:t>7.</w:t>
        </w:r>
        <w:r>
          <w:rPr>
            <w:noProof/>
          </w:rPr>
          <w:t xml:space="preserve"> </w:t>
        </w:r>
        <w:r>
          <w:rPr>
            <w:rStyle w:val="Hyperlink"/>
            <w:noProof/>
          </w:rPr>
          <w:t>АНАЛИЗ НА ФИНАНСОВИТЕ ОТЧЕТИ</w:t>
        </w:r>
        <w:r>
          <w:rPr>
            <w:rFonts w:asciiTheme="minorHAnsi" w:eastAsiaTheme="minorEastAsia" w:hAnsiTheme="minorHAnsi" w:cstheme="minorBidi"/>
            <w:noProof/>
            <w:color w:val="auto"/>
            <w:szCs w:val="22"/>
          </w:rPr>
          <w:tab/>
        </w:r>
        <w:r>
          <w:rPr>
            <w:noProof/>
            <w:webHidden/>
          </w:rPr>
          <w:fldChar w:fldCharType="begin"/>
        </w:r>
        <w:r>
          <w:rPr>
            <w:noProof/>
            <w:webHidden/>
          </w:rPr>
          <w:instrText xml:space="preserve"> PAGEREF _Toc75518093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94" w:history="1">
        <w:r>
          <w:rPr>
            <w:rStyle w:val="Hyperlink"/>
            <w:noProof/>
          </w:rPr>
          <w:t>7.1.</w:t>
        </w:r>
        <w:r>
          <w:rPr>
            <w:rFonts w:asciiTheme="minorHAnsi" w:eastAsiaTheme="minorEastAsia" w:hAnsiTheme="minorHAnsi" w:cstheme="minorBidi"/>
            <w:noProof/>
            <w:color w:val="auto"/>
            <w:szCs w:val="22"/>
          </w:rPr>
          <w:tab/>
        </w:r>
        <w:r>
          <w:rPr>
            <w:noProof/>
          </w:rPr>
          <w:t>ПРИХОДИ</w:t>
        </w:r>
        <w:r>
          <w:rPr>
            <w:noProof/>
            <w:webHidden/>
          </w:rPr>
          <w:tab/>
        </w:r>
        <w:r>
          <w:rPr>
            <w:noProof/>
            <w:webHidden/>
          </w:rPr>
          <w:fldChar w:fldCharType="begin"/>
        </w:r>
        <w:r>
          <w:rPr>
            <w:noProof/>
            <w:webHidden/>
          </w:rPr>
          <w:instrText xml:space="preserve"> PAGEREF _Toc75518094 \h </w:instrText>
        </w:r>
        <w:r>
          <w:rPr>
            <w:noProof/>
            <w:webHidden/>
          </w:rPr>
        </w:r>
        <w:r>
          <w:rPr>
            <w:noProof/>
            <w:webHidden/>
          </w:rPr>
          <w:fldChar w:fldCharType="separate"/>
        </w:r>
        <w:r>
          <w:rPr>
            <w:noProof/>
            <w:webHidden/>
          </w:rPr>
          <w:t>27</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95" w:history="1">
        <w:r>
          <w:rPr>
            <w:rStyle w:val="Hyperlink"/>
            <w:noProof/>
          </w:rPr>
          <w:t>7.2.</w:t>
        </w:r>
        <w:r>
          <w:rPr>
            <w:rFonts w:asciiTheme="minorHAnsi" w:eastAsiaTheme="minorEastAsia" w:hAnsiTheme="minorHAnsi" w:cstheme="minorBidi"/>
            <w:noProof/>
            <w:color w:val="auto"/>
            <w:szCs w:val="22"/>
          </w:rPr>
          <w:tab/>
        </w:r>
        <w:r>
          <w:rPr>
            <w:noProof/>
          </w:rPr>
          <w:t>РАЗХОДИ</w:t>
        </w:r>
        <w:r>
          <w:rPr>
            <w:noProof/>
            <w:webHidden/>
          </w:rPr>
          <w:tab/>
        </w:r>
        <w:r>
          <w:rPr>
            <w:noProof/>
            <w:webHidden/>
          </w:rPr>
          <w:fldChar w:fldCharType="begin"/>
        </w:r>
        <w:r>
          <w:rPr>
            <w:noProof/>
            <w:webHidden/>
          </w:rPr>
          <w:instrText xml:space="preserve"> PAGEREF _Toc75518095 \h </w:instrText>
        </w:r>
        <w:r>
          <w:rPr>
            <w:noProof/>
            <w:webHidden/>
          </w:rPr>
        </w:r>
        <w:r>
          <w:rPr>
            <w:noProof/>
            <w:webHidden/>
          </w:rPr>
          <w:fldChar w:fldCharType="separate"/>
        </w:r>
        <w:r>
          <w:rPr>
            <w:noProof/>
            <w:webHidden/>
          </w:rPr>
          <w:t>28</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96" w:history="1">
        <w:r>
          <w:rPr>
            <w:rStyle w:val="Hyperlink"/>
            <w:noProof/>
          </w:rPr>
          <w:t>7.3.</w:t>
        </w:r>
        <w:r>
          <w:rPr>
            <w:rFonts w:asciiTheme="minorHAnsi" w:eastAsiaTheme="minorEastAsia" w:hAnsiTheme="minorHAnsi" w:cstheme="minorBidi"/>
            <w:noProof/>
            <w:color w:val="auto"/>
            <w:szCs w:val="22"/>
          </w:rPr>
          <w:tab/>
        </w:r>
        <w:r>
          <w:rPr>
            <w:noProof/>
          </w:rPr>
          <w:t>АКТИВИ</w:t>
        </w:r>
        <w:r>
          <w:rPr>
            <w:noProof/>
            <w:webHidden/>
          </w:rPr>
          <w:tab/>
        </w:r>
        <w:r>
          <w:rPr>
            <w:noProof/>
            <w:webHidden/>
          </w:rPr>
          <w:fldChar w:fldCharType="begin"/>
        </w:r>
        <w:r>
          <w:rPr>
            <w:noProof/>
            <w:webHidden/>
          </w:rPr>
          <w:instrText xml:space="preserve"> PAGEREF _Toc75518096 \h </w:instrText>
        </w:r>
        <w:r>
          <w:rPr>
            <w:noProof/>
            <w:webHidden/>
          </w:rPr>
        </w:r>
        <w:r>
          <w:rPr>
            <w:noProof/>
            <w:webHidden/>
          </w:rPr>
          <w:fldChar w:fldCharType="separate"/>
        </w:r>
        <w:r>
          <w:rPr>
            <w:noProof/>
            <w:webHidden/>
          </w:rPr>
          <w:t>29</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97" w:history="1">
        <w:r>
          <w:rPr>
            <w:rStyle w:val="Hyperlink"/>
            <w:noProof/>
          </w:rPr>
          <w:t>7.4.</w:t>
        </w:r>
        <w:r>
          <w:rPr>
            <w:rFonts w:asciiTheme="minorHAnsi" w:eastAsiaTheme="minorEastAsia" w:hAnsiTheme="minorHAnsi" w:cstheme="minorBidi"/>
            <w:noProof/>
            <w:color w:val="auto"/>
            <w:szCs w:val="22"/>
          </w:rPr>
          <w:tab/>
        </w:r>
        <w:r>
          <w:rPr>
            <w:noProof/>
          </w:rPr>
          <w:t>ПАСИВИ</w:t>
        </w:r>
        <w:r>
          <w:rPr>
            <w:noProof/>
            <w:webHidden/>
          </w:rPr>
          <w:tab/>
        </w:r>
        <w:r>
          <w:rPr>
            <w:noProof/>
            <w:webHidden/>
          </w:rPr>
          <w:fldChar w:fldCharType="begin"/>
        </w:r>
        <w:r>
          <w:rPr>
            <w:noProof/>
            <w:webHidden/>
          </w:rPr>
          <w:instrText xml:space="preserve"> PAGEREF _Toc75518097 \h </w:instrText>
        </w:r>
        <w:r>
          <w:rPr>
            <w:noProof/>
            <w:webHidden/>
          </w:rPr>
        </w:r>
        <w:r>
          <w:rPr>
            <w:noProof/>
            <w:webHidden/>
          </w:rPr>
          <w:fldChar w:fldCharType="separate"/>
        </w:r>
        <w:r>
          <w:rPr>
            <w:noProof/>
            <w:webHidden/>
          </w:rPr>
          <w:t>32</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098" w:history="1">
        <w:r>
          <w:rPr>
            <w:rStyle w:val="Hyperlink"/>
            <w:noProof/>
          </w:rPr>
          <w:t>8.</w:t>
        </w:r>
        <w:r>
          <w:rPr>
            <w:noProof/>
          </w:rPr>
          <w:t xml:space="preserve"> </w:t>
        </w:r>
        <w:r>
          <w:rPr>
            <w:rStyle w:val="Hyperlink"/>
            <w:noProof/>
          </w:rPr>
          <w:t>ПОЛИТИЧЕСКА И ФИНАНСОВА РАМКА, УПРАВЛЕНИЕ И ОТЧЕТНОСТ НА ЕС</w:t>
        </w:r>
        <w:r>
          <w:rPr>
            <w:rFonts w:asciiTheme="minorHAnsi" w:eastAsiaTheme="minorEastAsia" w:hAnsiTheme="minorHAnsi" w:cstheme="minorBidi"/>
            <w:noProof/>
            <w:color w:val="auto"/>
            <w:szCs w:val="22"/>
          </w:rPr>
          <w:tab/>
        </w:r>
        <w:r>
          <w:rPr>
            <w:noProof/>
            <w:webHidden/>
          </w:rPr>
          <w:fldChar w:fldCharType="begin"/>
        </w:r>
        <w:r>
          <w:rPr>
            <w:noProof/>
            <w:webHidden/>
          </w:rPr>
          <w:instrText xml:space="preserve"> PAGEREF _Toc75518098 \h </w:instrText>
        </w:r>
        <w:r>
          <w:rPr>
            <w:noProof/>
            <w:webHidden/>
          </w:rPr>
        </w:r>
        <w:r>
          <w:rPr>
            <w:noProof/>
            <w:webHidden/>
          </w:rPr>
          <w:fldChar w:fldCharType="separate"/>
        </w:r>
        <w:r>
          <w:rPr>
            <w:noProof/>
            <w:webHidden/>
          </w:rPr>
          <w:t>34</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099" w:history="1">
        <w:r>
          <w:rPr>
            <w:rStyle w:val="Hyperlink"/>
            <w:noProof/>
          </w:rPr>
          <w:t>8.1.</w:t>
        </w:r>
        <w:r>
          <w:rPr>
            <w:rFonts w:asciiTheme="minorHAnsi" w:eastAsiaTheme="minorEastAsia" w:hAnsiTheme="minorHAnsi" w:cstheme="minorBidi"/>
            <w:noProof/>
            <w:color w:val="auto"/>
            <w:szCs w:val="22"/>
          </w:rPr>
          <w:tab/>
        </w:r>
        <w:r>
          <w:rPr>
            <w:noProof/>
          </w:rPr>
          <w:t>ПОЛИТИЧЕСКА И ФИНАНСОВА РАМКА</w:t>
        </w:r>
        <w:r>
          <w:rPr>
            <w:noProof/>
            <w:webHidden/>
          </w:rPr>
          <w:tab/>
        </w:r>
        <w:r>
          <w:rPr>
            <w:noProof/>
            <w:webHidden/>
          </w:rPr>
          <w:fldChar w:fldCharType="begin"/>
        </w:r>
        <w:r>
          <w:rPr>
            <w:noProof/>
            <w:webHidden/>
          </w:rPr>
          <w:instrText xml:space="preserve"> PAGEREF _Toc75518099 \h </w:instrText>
        </w:r>
        <w:r>
          <w:rPr>
            <w:noProof/>
            <w:webHidden/>
          </w:rPr>
        </w:r>
        <w:r>
          <w:rPr>
            <w:noProof/>
            <w:webHidden/>
          </w:rPr>
          <w:fldChar w:fldCharType="separate"/>
        </w:r>
        <w:r>
          <w:rPr>
            <w:noProof/>
            <w:webHidden/>
          </w:rPr>
          <w:t>34</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100" w:history="1">
        <w:r>
          <w:rPr>
            <w:rStyle w:val="Hyperlink"/>
            <w:noProof/>
          </w:rPr>
          <w:t>8.2.</w:t>
        </w:r>
        <w:r>
          <w:rPr>
            <w:rFonts w:asciiTheme="minorHAnsi" w:eastAsiaTheme="minorEastAsia" w:hAnsiTheme="minorHAnsi" w:cstheme="minorBidi"/>
            <w:noProof/>
            <w:color w:val="auto"/>
            <w:szCs w:val="22"/>
          </w:rPr>
          <w:tab/>
        </w:r>
        <w:r>
          <w:rPr>
            <w:noProof/>
          </w:rPr>
          <w:t>УПРАВЛЕНИЕ И ОТЧЕТНОСТ</w:t>
        </w:r>
        <w:r>
          <w:rPr>
            <w:noProof/>
            <w:webHidden/>
          </w:rPr>
          <w:tab/>
        </w:r>
        <w:r>
          <w:rPr>
            <w:noProof/>
            <w:webHidden/>
          </w:rPr>
          <w:fldChar w:fldCharType="begin"/>
        </w:r>
        <w:r>
          <w:rPr>
            <w:noProof/>
            <w:webHidden/>
          </w:rPr>
          <w:instrText xml:space="preserve"> PAGEREF _Toc75518100 \h </w:instrText>
        </w:r>
        <w:r>
          <w:rPr>
            <w:noProof/>
            <w:webHidden/>
          </w:rPr>
        </w:r>
        <w:r>
          <w:rPr>
            <w:noProof/>
            <w:webHidden/>
          </w:rPr>
          <w:fldChar w:fldCharType="separate"/>
        </w:r>
        <w:r>
          <w:rPr>
            <w:noProof/>
            <w:webHidden/>
          </w:rPr>
          <w:t>36</w:t>
        </w:r>
        <w:r>
          <w:rPr>
            <w:noProof/>
            <w:webHidden/>
          </w:rPr>
          <w:fldChar w:fldCharType="end"/>
        </w:r>
      </w:hyperlink>
    </w:p>
    <w:p>
      <w:pPr>
        <w:rPr>
          <w:noProof/>
        </w:rPr>
      </w:pPr>
      <w:r>
        <w:rPr>
          <w:noProof/>
        </w:rPr>
        <w:fldChar w:fldCharType="end"/>
      </w:r>
    </w:p>
    <w:p>
      <w:pPr>
        <w:pStyle w:val="DGTextstand-alone"/>
      </w:pPr>
    </w:p>
    <w:p>
      <w:pPr>
        <w:rPr>
          <w:rFonts w:ascii="Verdana" w:hAnsi="Verdana"/>
          <w:noProof/>
          <w:sz w:val="18"/>
          <w:szCs w:val="18"/>
        </w:rPr>
      </w:pPr>
      <w:r>
        <w:rPr>
          <w:noProof/>
        </w:rPr>
        <w:br w:type="page"/>
      </w:r>
    </w:p>
    <w:p>
      <w:pPr>
        <w:pStyle w:val="HEADER1Part4"/>
        <w:numPr>
          <w:ilvl w:val="0"/>
          <w:numId w:val="40"/>
        </w:numPr>
        <w:rPr>
          <w:noProof/>
        </w:rPr>
      </w:pPr>
      <w:bookmarkStart w:id="9" w:name="_Toc491880233"/>
      <w:bookmarkStart w:id="10" w:name="_Toc75518078"/>
      <w:r>
        <w:rPr>
          <w:noProof/>
        </w:rPr>
        <w:t>КЛЮЧОВИ ЦИФРИ</w:t>
      </w:r>
      <w:bookmarkEnd w:id="9"/>
      <w:r>
        <w:rPr>
          <w:noProof/>
        </w:rPr>
        <w:t xml:space="preserve"> ЗА 2020 Г.</w:t>
      </w:r>
      <w:bookmarkEnd w:id="10"/>
    </w:p>
    <w:tbl>
      <w:tblPr>
        <w:tblW w:w="9791" w:type="dxa"/>
        <w:tblInd w:w="-10" w:type="dxa"/>
        <w:tblLayout w:type="fixed"/>
        <w:tblCellMar>
          <w:left w:w="0" w:type="dxa"/>
          <w:right w:w="0" w:type="dxa"/>
        </w:tblCellMar>
        <w:tblLook w:val="04A0" w:firstRow="1" w:lastRow="0" w:firstColumn="1" w:lastColumn="0" w:noHBand="0" w:noVBand="1"/>
      </w:tblPr>
      <w:tblGrid>
        <w:gridCol w:w="7563"/>
        <w:gridCol w:w="2228"/>
      </w:tblGrid>
      <w:tr>
        <w:trPr>
          <w:trHeight w:val="340"/>
        </w:trPr>
        <w:tc>
          <w:tcPr>
            <w:tcW w:w="9791" w:type="dxa"/>
            <w:gridSpan w:val="2"/>
            <w:shd w:val="clear" w:color="auto" w:fill="016794"/>
            <w:vAlign w:val="center"/>
          </w:tcPr>
          <w:p>
            <w:pPr>
              <w:pStyle w:val="DGTextstand-alone"/>
              <w:spacing w:before="0" w:after="0"/>
              <w:rPr>
                <w:b/>
                <w:color w:val="016794"/>
              </w:rPr>
            </w:pPr>
            <w:r>
              <w:rPr>
                <w:b/>
                <w:color w:val="FFFFFF"/>
              </w:rPr>
              <w:t xml:space="preserve"> Бюджетът на ЕС през 2020 г. — изпълнение на бюджетните кредити за поети задължения</w:t>
            </w:r>
          </w:p>
        </w:tc>
      </w:tr>
      <w:tr>
        <w:trPr>
          <w:trHeight w:val="170"/>
        </w:trPr>
        <w:tc>
          <w:tcPr>
            <w:tcW w:w="7563" w:type="dxa"/>
            <w:shd w:val="clear" w:color="auto" w:fill="auto"/>
            <w:vAlign w:val="center"/>
          </w:tcPr>
          <w:p>
            <w:pPr>
              <w:jc w:val="right"/>
              <w:rPr>
                <w:rFonts w:ascii="Verdana" w:hAnsi="Verdana"/>
                <w:noProof/>
                <w:sz w:val="18"/>
                <w:szCs w:val="18"/>
              </w:rPr>
            </w:pPr>
          </w:p>
        </w:tc>
        <w:tc>
          <w:tcPr>
            <w:tcW w:w="2228" w:type="dxa"/>
            <w:shd w:val="clear" w:color="auto" w:fill="auto"/>
            <w:vAlign w:val="center"/>
          </w:tcPr>
          <w:p>
            <w:pPr>
              <w:jc w:val="right"/>
              <w:rPr>
                <w:rFonts w:ascii="Verdana" w:hAnsi="Verdana"/>
                <w:noProof/>
                <w:sz w:val="18"/>
                <w:szCs w:val="18"/>
              </w:rPr>
            </w:pPr>
          </w:p>
        </w:tc>
      </w:tr>
      <w:tr>
        <w:trPr>
          <w:trHeight w:val="170"/>
        </w:trPr>
        <w:tc>
          <w:tcPr>
            <w:tcW w:w="7563" w:type="dxa"/>
            <w:shd w:val="clear" w:color="auto" w:fill="auto"/>
            <w:vAlign w:val="center"/>
          </w:tcPr>
          <w:p>
            <w:pPr>
              <w:pStyle w:val="DGTextstand-alone"/>
              <w:spacing w:before="0" w:after="0"/>
              <w:rPr>
                <w:b/>
                <w:color w:val="016794"/>
              </w:rPr>
            </w:pPr>
            <w:r>
              <w:rPr>
                <w:lang w:val="en-US"/>
              </w:rPr>
              <w:pict>
                <v:group id="Group 52" o:spid="_x0000_s1199" style="position:absolute;left:0;text-align:left;margin-left:258pt;margin-top:16.9pt;width:217.6pt;height:73.95pt;z-index:251659264;mso-position-horizontal-relative:text;mso-position-vertical-relative:text" coordorigin="37180" coordsize="33207,9224" o:regroupid="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&#1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53" o:spid="_x0000_s1200" type="#_x0000_t34" style="position:absolute;left:59577;top:6633;width:3272;height:1909;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" adj="-31" strokecolor="#f15a22"/>
                  <v:shapetype id="_x0000_t202" coordsize="21600,21600" o:spt="202" path="m,l,21600r21600,l21600,xe">
                    <v:stroke joinstyle="miter"/>
                    <v:path gradientshapeok="t" o:connecttype="rect"/>
                  </v:shapetype>
                  <v:shape id="_x0000_s1201" type="#_x0000_t202" style="position:absolute;left:37180;top:5415;width:23120;height:380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" filled="f" stroked="f" strokeweight=".5pt">
                    <v:textbox style="mso-next-textbox:#_x0000_s1201">
                      <w:txbxContent>
                        <w:p>
                          <w:pPr>
                            <w:pStyle w:val="NormalWeb"/>
                            <w:spacing w:before="0" w:beforeAutospacing="0" w:after="0" w:afterAutospacing="0"/>
                            <w:ind w:left="-284"/>
                            <w:jc w:val="right"/>
                            <w:rPr>
                              <w:sz w:val="20"/>
                              <w:szCs w:val="18"/>
                            </w:rPr>
                          </w:pPr>
                          <w:r>
                            <w:rPr>
                              <w:rFonts w:ascii="EC Square Sans Pro" w:hAnsi="EC Square Sans Pro"/>
                              <w:color w:val="F15A22"/>
                              <w:sz w:val="20"/>
                              <w:szCs w:val="18"/>
                            </w:rPr>
                            <w:t xml:space="preserve">Глобална Европа </w:t>
                          </w:r>
                          <w:r>
                            <w:rPr>
                              <w:rFonts w:ascii="EC Square Sans Pro" w:hAnsi="EC Square Sans Pro"/>
                              <w:b/>
                              <w:bCs/>
                              <w:color w:val="F15A22"/>
                              <w:sz w:val="20"/>
                              <w:szCs w:val="18"/>
                            </w:rPr>
                            <w:t>12,0 млрд. евро</w:t>
                          </w:r>
                        </w:p>
                      </w:txbxContent>
                    </v:textbox>
                  </v:shape>
                  <v:shape id="Elbow Connector 55" o:spid="_x0000_s1202" type="#_x0000_t34" style="position:absolute;left:67115;top:2400;width:3273;height:612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" adj="-31" strokecolor="#a41e7c"/>
                  <v:shape id="_x0000_s1203" type="#_x0000_t202" style="position:absolute;left:49063;width:18639;height:3808;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" filled="f" stroked="f" strokeweight=".5pt">
                    <v:textbox style="mso-next-textbox:#_x0000_s1203">
                      <w:txbxContent>
                        <w:p>
                          <w:pPr>
                            <w:pStyle w:val="NormalWeb"/>
                            <w:spacing w:before="0" w:beforeAutospacing="0" w:after="0" w:afterAutospacing="0"/>
                            <w:ind w:left="-142"/>
                            <w:jc w:val="right"/>
                            <w:rPr>
                              <w:sz w:val="20"/>
                              <w:szCs w:val="20"/>
                            </w:rPr>
                          </w:pPr>
                          <w:r>
                            <w:rPr>
                              <w:rFonts w:ascii="EC Square Sans Pro" w:hAnsi="EC Square Sans Pro"/>
                              <w:color w:val="A41E7C"/>
                              <w:sz w:val="20"/>
                              <w:szCs w:val="20"/>
                            </w:rPr>
                            <w:t xml:space="preserve">Сигурност и гражданство и др. </w:t>
                          </w:r>
                          <w:r>
                            <w:rPr>
                              <w:rFonts w:ascii="EC Square Sans Pro" w:hAnsi="EC Square Sans Pro"/>
                              <w:b/>
                              <w:bCs/>
                              <w:color w:val="A41E7C"/>
                              <w:sz w:val="20"/>
                              <w:szCs w:val="20"/>
                            </w:rPr>
                            <w:t xml:space="preserve">8,8 млрд. евро </w:t>
                          </w:r>
                        </w:p>
                      </w:txbxContent>
                    </v:textbox>
                  </v:shape>
                  <v:shape id="Text Box 18" o:spid="_x0000_s1204" type="#_x0000_t202" style="position:absolute;left:44679;top:3324;width:20186;height:2091;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" filled="f" stroked="f" strokeweight=".5pt">
                    <v:textbox style="mso-next-textbox:#Text Box 18">
                      <w:txbxContent>
                        <w:p>
                          <w:pPr>
                            <w:pStyle w:val="NormalWeb"/>
                            <w:spacing w:before="0" w:beforeAutospacing="0" w:after="0" w:afterAutospacing="0"/>
                            <w:ind w:left="-567"/>
                            <w:jc w:val="right"/>
                            <w:rPr>
                              <w:sz w:val="20"/>
                              <w:szCs w:val="20"/>
                            </w:rPr>
                          </w:pPr>
                          <w:r>
                            <w:rPr>
                              <w:rFonts w:ascii="EC Square Sans Pro" w:hAnsi="EC Square Sans Pro"/>
                              <w:color w:val="939598"/>
                              <w:sz w:val="20"/>
                              <w:szCs w:val="20"/>
                            </w:rPr>
                            <w:t xml:space="preserve">Администрация </w:t>
                          </w:r>
                          <w:r>
                            <w:rPr>
                              <w:rFonts w:ascii="EC Square Sans Pro" w:hAnsi="EC Square Sans Pro"/>
                              <w:b/>
                              <w:bCs/>
                              <w:color w:val="939598"/>
                              <w:sz w:val="20"/>
                              <w:szCs w:val="20"/>
                            </w:rPr>
                            <w:t>10,5 млрд. евро</w:t>
                          </w:r>
                        </w:p>
                      </w:txbxContent>
                    </v:textbox>
                  </v:shape>
                  <v:shape id="Elbow Connector 58" o:spid="_x0000_s1205" type="#_x0000_t34" style="position:absolute;left:64294;top:4534;width:3273;height:3960;rotation:18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" adj="98" strokecolor="#939598"/>
                </v:group>
              </w:pict>
            </w:r>
            <w:r>
              <w:rPr>
                <w:b/>
                <w:color w:val="016794"/>
              </w:rPr>
              <w:t xml:space="preserve"> 181,7 млрд. евро, приведени в действие с цел изпълняване на целите на политиката на ЕС:</w:t>
            </w:r>
          </w:p>
        </w:tc>
        <w:tc>
          <w:tcPr>
            <w:tcW w:w="2228" w:type="dxa"/>
            <w:shd w:val="clear" w:color="auto" w:fill="auto"/>
            <w:vAlign w:val="center"/>
          </w:tcPr>
          <w:p>
            <w:pPr>
              <w:jc w:val="right"/>
              <w:rPr>
                <w:rFonts w:ascii="Verdana" w:hAnsi="Verdana"/>
                <w:noProof/>
                <w:sz w:val="18"/>
                <w:szCs w:val="18"/>
              </w:rPr>
            </w:pPr>
          </w:p>
        </w:tc>
      </w:tr>
      <w:tr>
        <w:trPr>
          <w:trHeight w:val="170"/>
        </w:trPr>
        <w:tc>
          <w:tcPr>
            <w:tcW w:w="9791" w:type="dxa"/>
            <w:gridSpan w:val="2"/>
            <w:shd w:val="clear" w:color="auto" w:fill="auto"/>
            <w:vAlign w:val="center"/>
          </w:tcPr>
          <w:p>
            <w:pPr>
              <w:rPr>
                <w:rFonts w:ascii="Verdana" w:hAnsi="Verdana"/>
                <w:b/>
                <w:noProof/>
                <w:sz w:val="18"/>
              </w:rPr>
            </w:pPr>
          </w:p>
          <w:p>
            <w:pPr>
              <w:rPr>
                <w:rFonts w:ascii="Verdana" w:hAnsi="Verdana"/>
                <w:b/>
                <w:noProof/>
                <w:sz w:val="18"/>
              </w:rPr>
            </w:pPr>
          </w:p>
        </w:tc>
      </w:tr>
      <w:tr>
        <w:trPr>
          <w:trHeight w:val="340"/>
        </w:trPr>
        <w:tc>
          <w:tcPr>
            <w:tcW w:w="9791" w:type="dxa"/>
            <w:gridSpan w:val="2"/>
            <w:shd w:val="clear" w:color="auto" w:fill="auto"/>
            <w:vAlign w:val="center"/>
          </w:tcPr>
          <w:p>
            <w:pPr>
              <w:jc w:val="center"/>
              <w:rPr>
                <w:rFonts w:ascii="Verdana" w:hAnsi="Verdana"/>
                <w:b/>
                <w:noProof/>
                <w:sz w:val="18"/>
              </w:rPr>
            </w:pPr>
            <w:r>
              <w:rPr>
                <w:noProof/>
                <w:lang w:val="en-US" w:eastAsia="en-US"/>
              </w:rPr>
              <w:pict>
                <v:shape id="Elbow Connector 51" o:spid="_x0000_s1198" type="#_x0000_t34" style="position:absolute;left:0;text-align:left;margin-left:1.05pt;margin-top:71.25pt;width:4.2pt;height:14.4pt;z-index:251665408;visibility:visible;mso-wrap-style:square;mso-position-horizontal-relative:text;mso-position-vertical-relative:text" o:connectortype="elbow"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" adj="-31" strokecolor="#57b054"/>
              </w:pict>
            </w:r>
            <w:r>
              <w:rPr>
                <w:noProof/>
                <w:lang w:val="en-US" w:eastAsia="en-US"/>
              </w:rPr>
              <w:pict>
                <v:shape id="_x0000_s1197" type="#_x0000_t202" style="position:absolute;left:0;text-align:left;margin-left:1.05pt;margin-top:69.7pt;width:97.7pt;height:45.95pt;z-index:251664384;visibility:visible;mso-position-horizontal-relative:text;mso-position-vertical-relative:text;v-text-anchor:top"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" filled="f" stroked="f" strokeweight=".5pt">
                  <v:textbox style="mso-next-textbox:#_x0000_s1197">
                    <w:txbxContent>
                      <w:p>
                        <w:pPr>
                          <w:pStyle w:val="NormalWeb"/>
                          <w:spacing w:before="0" w:beforeAutospacing="0" w:after="160" w:afterAutospacing="0" w:line="252" w:lineRule="auto"/>
                          <w:rPr>
                            <w:sz w:val="18"/>
                            <w:szCs w:val="18"/>
                          </w:rPr>
                        </w:pPr>
                        <w:r>
                          <w:rPr>
                            <w:rFonts w:ascii="EC Square Sans Pro" w:hAnsi="EC Square Sans Pro"/>
                            <w:color w:val="57B054"/>
                            <w:sz w:val="18"/>
                            <w:szCs w:val="18"/>
                          </w:rPr>
                          <w:t xml:space="preserve">Устойчив растеж: природни ресурси </w:t>
                        </w:r>
                        <w:r>
                          <w:rPr>
                            <w:rFonts w:ascii="EC Square Sans Pro" w:hAnsi="EC Square Sans Pro"/>
                            <w:b/>
                            <w:bCs/>
                            <w:color w:val="57B054"/>
                            <w:sz w:val="18"/>
                            <w:szCs w:val="18"/>
                          </w:rPr>
                          <w:t>60,8 млрд. евро</w:t>
                        </w:r>
                      </w:p>
                    </w:txbxContent>
                  </v:textbox>
                </v:shape>
              </w:pict>
            </w:r>
            <w:r>
              <w:rPr>
                <w:noProof/>
                <w:lang w:val="en-US" w:eastAsia="en-US"/>
              </w:rPr>
              <w:pict>
                <v:shape id="Elbow Connector 49" o:spid="_x0000_s1196" type="#_x0000_t34" style="position:absolute;left:0;text-align:left;margin-left:321.4pt;margin-top:71.35pt;width:5.4pt;height:14.4pt;z-index:251663360;visibility:visible;mso-wrap-style:square;mso-position-horizontal-relative:text;mso-position-vertical-relative:text" o:connectortype="elbow"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" adj="-31" strokecolor="#007dc5"/>
              </w:pict>
            </w:r>
            <w:r>
              <w:rPr>
                <w:noProof/>
                <w:lang w:val="en-US" w:eastAsia="en-US"/>
              </w:rPr>
              <w:pict>
                <v:shape id="_x0000_s1195" type="#_x0000_t202" style="position:absolute;left:0;text-align:left;margin-left:321.4pt;margin-top:71.35pt;width:104.45pt;height:45.85pt;z-index:251662336;visibility:visible;mso-position-horizontal-relative:text;mso-position-vertical-relative:text;v-text-anchor:top"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style="mso-next-textbox:#_x0000_s1195">
                    <w:txbxContent>
                      <w:p>
                        <w:pPr>
                          <w:pStyle w:val="NormalWeb"/>
                          <w:spacing w:before="0" w:beforeAutospacing="0" w:after="160" w:afterAutospacing="0" w:line="252" w:lineRule="auto"/>
                          <w:rPr>
                            <w:sz w:val="18"/>
                            <w:szCs w:val="18"/>
                          </w:rPr>
                        </w:pPr>
                        <w:r>
                          <w:rPr>
                            <w:rFonts w:ascii="EC Square Sans Pro" w:hAnsi="EC Square Sans Pro"/>
                            <w:color w:val="007DC5"/>
                            <w:spacing w:val="-8"/>
                            <w:sz w:val="18"/>
                            <w:szCs w:val="18"/>
                          </w:rPr>
                          <w:t xml:space="preserve">Конкурентоспособност за растеж и работни места </w:t>
                        </w:r>
                        <w:r>
                          <w:rPr>
                            <w:rFonts w:ascii="EC Square Sans Pro" w:hAnsi="EC Square Sans Pro"/>
                            <w:b/>
                            <w:bCs/>
                            <w:color w:val="007DC5"/>
                            <w:spacing w:val="-8"/>
                            <w:sz w:val="18"/>
                            <w:szCs w:val="18"/>
                          </w:rPr>
                          <w:t>29,3 млрд.</w:t>
                        </w:r>
                        <w:r>
                          <w:rPr>
                            <w:rFonts w:ascii="EC Square Sans Pro" w:hAnsi="EC Square Sans Pro"/>
                            <w:b/>
                            <w:bCs/>
                            <w:color w:val="007DC5"/>
                            <w:sz w:val="18"/>
                            <w:szCs w:val="18"/>
                          </w:rPr>
                          <w:t xml:space="preserve"> </w:t>
                        </w:r>
                        <w:r>
                          <w:rPr>
                            <w:rFonts w:ascii="EC Square Sans Pro" w:hAnsi="EC Square Sans Pro"/>
                            <w:b/>
                            <w:bCs/>
                            <w:color w:val="007DC5"/>
                            <w:spacing w:val="-8"/>
                            <w:sz w:val="18"/>
                            <w:szCs w:val="18"/>
                          </w:rPr>
                          <w:t>евро</w:t>
                        </w:r>
                      </w:p>
                    </w:txbxContent>
                  </v:textbox>
                </v:shape>
              </w:pict>
            </w:r>
            <w:r>
              <w:rPr>
                <w:noProof/>
                <w:lang w:val="en-US" w:eastAsia="en-US"/>
              </w:rPr>
              <w:pict>
                <v:shape id="Elbow Connector 47" o:spid="_x0000_s1194" type="#_x0000_t34" style="position:absolute;left:0;text-align:left;margin-left:160.5pt;margin-top:71.3pt;width:4.25pt;height:14.45pt;z-index:251661312;visibility:visible;mso-wrap-style:square;mso-position-horizontal-relative:text;mso-position-vertical-relative:text" o:connectortype="elbow"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" adj="-31" strokecolor="#007179"/>
              </w:pict>
            </w:r>
            <w:r>
              <w:rPr>
                <w:noProof/>
                <w:lang w:val="en-US" w:eastAsia="en-US"/>
              </w:rPr>
              <w:pict>
                <v:shape id="Text Box 64" o:spid="_x0000_s1193" type="#_x0000_t202" style="position:absolute;left:0;text-align:left;margin-left:164.75pt;margin-top:69.75pt;width:123pt;height:45.9pt;z-index:251660288;visibility:visible;mso-position-horizontal-relative:text;mso-position-vertical-relative:text;v-text-anchor:top" o:regroupid="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" filled="f" stroked="f" strokeweight=".5pt">
                  <v:textbox style="mso-next-textbox:#Text Box 64">
                    <w:txbxContent>
                      <w:p>
                        <w:pPr>
                          <w:pStyle w:val="NormalWeb"/>
                          <w:spacing w:before="0" w:beforeAutospacing="0" w:after="160" w:afterAutospacing="0" w:line="252" w:lineRule="auto"/>
                          <w:rPr>
                            <w:sz w:val="18"/>
                            <w:szCs w:val="18"/>
                          </w:rPr>
                        </w:pPr>
                        <w:r>
                          <w:rPr>
                            <w:rFonts w:ascii="EC Square Sans Pro" w:hAnsi="EC Square Sans Pro"/>
                            <w:color w:val="007179"/>
                            <w:sz w:val="18"/>
                            <w:szCs w:val="18"/>
                          </w:rPr>
                          <w:t xml:space="preserve">Икономическо, социално и териториално сближаване </w:t>
                        </w:r>
                        <w:r>
                          <w:rPr>
                            <w:rFonts w:ascii="EC Square Sans Pro" w:hAnsi="EC Square Sans Pro"/>
                            <w:b/>
                            <w:bCs/>
                            <w:color w:val="007179"/>
                            <w:sz w:val="18"/>
                            <w:szCs w:val="18"/>
                          </w:rPr>
                          <w:t>60,2 млрд. евро</w:t>
                        </w:r>
                      </w:p>
                    </w:txbxContent>
                  </v:textbox>
                </v:shape>
              </w:pict>
            </w:r>
            <w:r>
              <w:rPr>
                <w:noProof/>
              </w:rPr>
              <w:pict>
                <v:shape id="_x0000_i1026" type="#_x0000_t75" style="width:488.25pt;height:108.75pt;visibility:visible" o:gfxdata="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">
                  <v:imagedata r:id="rId30" o:title=""/>
                  <o:lock v:ext="edit" aspectratio="f"/>
                </v:shape>
              </w:pict>
            </w:r>
          </w:p>
        </w:tc>
      </w:tr>
      <w:tr>
        <w:trPr>
          <w:trHeight w:val="170"/>
        </w:trPr>
        <w:tc>
          <w:tcPr>
            <w:tcW w:w="7563" w:type="dxa"/>
            <w:shd w:val="clear" w:color="auto" w:fill="auto"/>
            <w:vAlign w:val="center"/>
          </w:tcPr>
          <w:p>
            <w:pPr>
              <w:jc w:val="right"/>
              <w:rPr>
                <w:rFonts w:ascii="Verdana" w:hAnsi="Verdana"/>
                <w:noProof/>
                <w:sz w:val="18"/>
                <w:szCs w:val="18"/>
              </w:rPr>
            </w:pPr>
          </w:p>
        </w:tc>
        <w:tc>
          <w:tcPr>
            <w:tcW w:w="2228" w:type="dxa"/>
            <w:shd w:val="clear" w:color="auto" w:fill="auto"/>
            <w:vAlign w:val="center"/>
          </w:tcPr>
          <w:p>
            <w:pPr>
              <w:jc w:val="right"/>
              <w:rPr>
                <w:rFonts w:ascii="Verdana" w:hAnsi="Verdana"/>
                <w:noProof/>
                <w:sz w:val="18"/>
                <w:szCs w:val="18"/>
              </w:rPr>
            </w:pPr>
          </w:p>
        </w:tc>
      </w:tr>
      <w:tr>
        <w:trPr>
          <w:trHeight w:val="340"/>
        </w:trPr>
        <w:tc>
          <w:tcPr>
            <w:tcW w:w="9791" w:type="dxa"/>
            <w:gridSpan w:val="2"/>
            <w:shd w:val="clear" w:color="auto" w:fill="DBE5F1"/>
            <w:vAlign w:val="center"/>
          </w:tcPr>
          <w:p>
            <w:pPr>
              <w:pStyle w:val="DGTextstand-alone"/>
              <w:spacing w:before="0" w:after="0"/>
              <w:jc w:val="right"/>
              <w:rPr>
                <w:color w:val="016794"/>
              </w:rPr>
            </w:pPr>
            <w: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DOC_ASH00001" o:spid="_x0000_s1250" type="#_x0000_t13" style="width:11.6pt;height:7.1pt;visibility:visible;mso-wrap-style:square;mso-left-percent:-10001;mso-top-percent:-10001;mso-position-horizontal:absolute;mso-position-horizontal-relative:char;mso-position-vertical:absolute;mso-position-vertical-relative:line;mso-left-percent:-10001;mso-top-percent:-10001;v-text-anchor:middle" adj="15015" fillcolor="#4f81bd" stroked="f" strokeweight="2pt">
                  <v:path arrowok="t"/>
                  <o:lock v:ext="edit" aspectratio="t"/>
                  <v:textbox style="mso-next-textbox:#DOC_ASH00001">
                    <w:txbxContent>
                      <w:p>
                        <w:pPr>
                          <w:jc w:val="center"/>
                        </w:pPr>
                      </w:p>
                    </w:txbxContent>
                  </v:textbox>
                  <w10:anchorlock/>
                </v:shape>
              </w:pict>
            </w:r>
            <w:r>
              <w:rPr>
                <w:color w:val="016794"/>
              </w:rPr>
              <w:t xml:space="preserve"> вж. докладите за изпълнението на бюджета и обяснителните бележки, таблица</w:t>
            </w:r>
            <w:r>
              <w:rPr>
                <w:b/>
                <w:color w:val="016794"/>
              </w:rPr>
              <w:t> 4.2</w:t>
            </w:r>
          </w:p>
        </w:tc>
      </w:tr>
      <w:tr>
        <w:trPr>
          <w:trHeight w:val="340"/>
        </w:trPr>
        <w:tc>
          <w:tcPr>
            <w:tcW w:w="7563" w:type="dxa"/>
            <w:shd w:val="clear" w:color="auto" w:fill="auto"/>
            <w:vAlign w:val="center"/>
          </w:tcPr>
          <w:p>
            <w:pPr>
              <w:jc w:val="right"/>
              <w:rPr>
                <w:rFonts w:ascii="Verdana" w:hAnsi="Verdana"/>
                <w:b/>
                <w:noProof/>
                <w:color w:val="016794"/>
                <w:sz w:val="18"/>
                <w:szCs w:val="18"/>
                <w:lang w:eastAsia="de-DE"/>
              </w:rPr>
            </w:pPr>
          </w:p>
        </w:tc>
        <w:tc>
          <w:tcPr>
            <w:tcW w:w="2228" w:type="dxa"/>
            <w:shd w:val="clear" w:color="auto" w:fill="auto"/>
            <w:vAlign w:val="center"/>
          </w:tcPr>
          <w:p>
            <w:pPr>
              <w:jc w:val="right"/>
              <w:rPr>
                <w:rFonts w:ascii="Verdana" w:hAnsi="Verdana"/>
                <w:noProof/>
                <w:color w:val="016794"/>
                <w:sz w:val="18"/>
                <w:szCs w:val="18"/>
              </w:rPr>
            </w:pPr>
          </w:p>
        </w:tc>
      </w:tr>
      <w:tr>
        <w:trPr>
          <w:trHeight w:val="340"/>
        </w:trPr>
        <w:tc>
          <w:tcPr>
            <w:tcW w:w="7563" w:type="dxa"/>
            <w:shd w:val="clear" w:color="auto" w:fill="auto"/>
            <w:vAlign w:val="center"/>
          </w:tcPr>
          <w:p>
            <w:pPr>
              <w:jc w:val="right"/>
              <w:rPr>
                <w:rFonts w:ascii="Verdana" w:hAnsi="Verdana"/>
                <w:b/>
                <w:noProof/>
                <w:color w:val="016794"/>
                <w:sz w:val="18"/>
                <w:szCs w:val="18"/>
                <w:lang w:eastAsia="de-DE"/>
              </w:rPr>
            </w:pPr>
          </w:p>
        </w:tc>
        <w:tc>
          <w:tcPr>
            <w:tcW w:w="2228" w:type="dxa"/>
            <w:shd w:val="clear" w:color="auto" w:fill="auto"/>
            <w:vAlign w:val="center"/>
          </w:tcPr>
          <w:p>
            <w:pPr>
              <w:jc w:val="right"/>
              <w:rPr>
                <w:rFonts w:ascii="Verdana" w:hAnsi="Verdana"/>
                <w:noProof/>
                <w:color w:val="016794"/>
                <w:sz w:val="18"/>
                <w:szCs w:val="18"/>
              </w:rPr>
            </w:pPr>
          </w:p>
        </w:tc>
      </w:tr>
    </w:tbl>
    <w:p>
      <w:pPr>
        <w:rPr>
          <w:noProof/>
        </w:rPr>
      </w:pPr>
    </w:p>
    <w:tbl>
      <w:tblPr>
        <w:tblW w:w="9776" w:type="dxa"/>
        <w:tblInd w:w="113" w:type="dxa"/>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Layout w:type="fixed"/>
        <w:tblCellMar>
          <w:top w:w="28" w:type="dxa"/>
          <w:bottom w:w="28" w:type="dxa"/>
        </w:tblCellMar>
        <w:tblLook w:val="04A0" w:firstRow="1" w:lastRow="0" w:firstColumn="1" w:lastColumn="0" w:noHBand="0" w:noVBand="1"/>
      </w:tblPr>
      <w:tblGrid>
        <w:gridCol w:w="2972"/>
        <w:gridCol w:w="1701"/>
        <w:gridCol w:w="425"/>
        <w:gridCol w:w="2410"/>
        <w:gridCol w:w="2268"/>
      </w:tblGrid>
      <w:tr>
        <w:trPr>
          <w:trHeight w:val="347"/>
        </w:trPr>
        <w:tc>
          <w:tcPr>
            <w:tcW w:w="4673" w:type="dxa"/>
            <w:gridSpan w:val="2"/>
            <w:tcBorders>
              <w:top w:val="nil"/>
              <w:left w:val="nil"/>
              <w:bottom w:val="nil"/>
              <w:right w:val="nil"/>
            </w:tcBorders>
            <w:shd w:val="clear" w:color="auto" w:fill="1F497D"/>
          </w:tcPr>
          <w:p>
            <w:pPr>
              <w:jc w:val="center"/>
              <w:rPr>
                <w:rFonts w:ascii="Verdana" w:hAnsi="Verdana"/>
                <w:b/>
                <w:noProof/>
                <w:color w:val="FFFFFF"/>
                <w:sz w:val="22"/>
                <w:szCs w:val="18"/>
              </w:rPr>
            </w:pPr>
            <w:r>
              <w:rPr>
                <w:rFonts w:ascii="Verdana" w:hAnsi="Verdana"/>
                <w:b/>
                <w:noProof/>
                <w:color w:val="FFFFFF"/>
                <w:sz w:val="22"/>
                <w:szCs w:val="18"/>
              </w:rPr>
              <w:t>Мерки на ЕС в отговор на коронавируса</w:t>
            </w:r>
          </w:p>
        </w:tc>
        <w:tc>
          <w:tcPr>
            <w:tcW w:w="425" w:type="dxa"/>
            <w:tcBorders>
              <w:top w:val="nil"/>
              <w:left w:val="nil"/>
              <w:bottom w:val="nil"/>
              <w:right w:val="nil"/>
            </w:tcBorders>
            <w:shd w:val="clear" w:color="auto" w:fill="FFFFFF"/>
          </w:tcPr>
          <w:p>
            <w:pPr>
              <w:jc w:val="center"/>
              <w:rPr>
                <w:rFonts w:ascii="Verdana" w:hAnsi="Verdana"/>
                <w:noProof/>
                <w:color w:val="FFFFFF"/>
                <w:sz w:val="2"/>
                <w:szCs w:val="18"/>
                <w:lang w:eastAsia="de-DE"/>
              </w:rPr>
            </w:pPr>
          </w:p>
        </w:tc>
        <w:tc>
          <w:tcPr>
            <w:tcW w:w="4678" w:type="dxa"/>
            <w:gridSpan w:val="2"/>
            <w:tcBorders>
              <w:top w:val="nil"/>
              <w:left w:val="nil"/>
              <w:bottom w:val="nil"/>
              <w:right w:val="nil"/>
            </w:tcBorders>
            <w:shd w:val="clear" w:color="auto" w:fill="1F497D"/>
          </w:tcPr>
          <w:p>
            <w:pPr>
              <w:jc w:val="center"/>
              <w:rPr>
                <w:rFonts w:ascii="Verdana" w:hAnsi="Verdana"/>
                <w:b/>
                <w:noProof/>
                <w:color w:val="FFFFFF"/>
                <w:sz w:val="22"/>
                <w:szCs w:val="18"/>
              </w:rPr>
            </w:pPr>
            <w:r>
              <w:rPr>
                <w:rFonts w:ascii="Verdana" w:hAnsi="Verdana"/>
                <w:b/>
                <w:noProof/>
                <w:color w:val="FFFFFF"/>
                <w:sz w:val="22"/>
                <w:szCs w:val="18"/>
              </w:rPr>
              <w:t>SURE — Суми, отпуснати през 2020 г.</w:t>
            </w:r>
          </w:p>
        </w:tc>
      </w:tr>
      <w:tr>
        <w:trPr>
          <w:trHeight w:val="1928"/>
        </w:trPr>
        <w:tc>
          <w:tcPr>
            <w:tcW w:w="4673" w:type="dxa"/>
            <w:gridSpan w:val="2"/>
            <w:tcBorders>
              <w:top w:val="nil"/>
              <w:left w:val="nil"/>
              <w:bottom w:val="nil"/>
              <w:right w:val="nil"/>
            </w:tcBorders>
            <w:shd w:val="clear" w:color="auto" w:fill="auto"/>
            <w:vAlign w:val="center"/>
          </w:tcPr>
          <w:p>
            <w:pPr>
              <w:rPr>
                <w:rFonts w:ascii="Verdana" w:hAnsi="Verdana"/>
                <w:b/>
                <w:noProof/>
                <w:color w:val="016794"/>
                <w:sz w:val="6"/>
                <w:szCs w:val="18"/>
              </w:rPr>
            </w:pPr>
            <w:r>
              <w:rPr>
                <w:noProof/>
              </w:rPr>
              <w:pict>
                <v:shape id="Picture 1820919415" o:spid="_x0000_s1189" type="#_x0000_t75" style="position:absolute;margin-left:-4.35pt;margin-top:1.95pt;width:252.4pt;height:126.2pt;z-index:251642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page;mso-height-relative:page" o:allowoverlap="f">
                  <v:imagedata r:id="rId31" o:title=""/>
                  <w10:wrap type="topAndBottom"/>
                </v:shape>
              </w:pict>
            </w:r>
          </w:p>
        </w:tc>
        <w:tc>
          <w:tcPr>
            <w:tcW w:w="425" w:type="dxa"/>
            <w:vMerge w:val="restart"/>
            <w:tcBorders>
              <w:top w:val="nil"/>
              <w:left w:val="nil"/>
              <w:bottom w:val="nil"/>
              <w:right w:val="nil"/>
            </w:tcBorders>
            <w:shd w:val="clear" w:color="auto" w:fill="auto"/>
          </w:tcPr>
          <w:p>
            <w:pPr>
              <w:jc w:val="right"/>
              <w:rPr>
                <w:noProof/>
                <w:sz w:val="6"/>
              </w:rPr>
            </w:pPr>
          </w:p>
        </w:tc>
        <w:tc>
          <w:tcPr>
            <w:tcW w:w="4678" w:type="dxa"/>
            <w:gridSpan w:val="2"/>
            <w:tcBorders>
              <w:top w:val="nil"/>
              <w:left w:val="nil"/>
              <w:bottom w:val="nil"/>
              <w:right w:val="nil"/>
            </w:tcBorders>
            <w:shd w:val="clear" w:color="auto" w:fill="auto"/>
            <w:vAlign w:val="center"/>
          </w:tcPr>
          <w:p>
            <w:pPr>
              <w:jc w:val="center"/>
              <w:rPr>
                <w:rFonts w:ascii="Verdana" w:hAnsi="Verdana"/>
                <w:b/>
                <w:noProof/>
                <w:color w:val="016794"/>
                <w:sz w:val="6"/>
                <w:szCs w:val="18"/>
              </w:rPr>
            </w:pPr>
            <w:r>
              <w:rPr>
                <w:noProof/>
              </w:rPr>
              <w:pict>
                <v:shape id="Picture 8" o:spid="_x0000_s1188" type="#_x0000_t75" style="position:absolute;left:0;text-align:left;margin-left:-7.35pt;margin-top:1.95pt;width:252.4pt;height:126.2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v:imagedata r:id="rId32" o:title=""/>
                  <w10:wrap type="topAndBottom"/>
                </v:shape>
              </w:pict>
            </w:r>
          </w:p>
        </w:tc>
      </w:tr>
      <w:tr>
        <w:trPr>
          <w:trHeight w:val="454"/>
        </w:trPr>
        <w:tc>
          <w:tcPr>
            <w:tcW w:w="2972" w:type="dxa"/>
            <w:tcBorders>
              <w:top w:val="nil"/>
              <w:left w:val="nil"/>
              <w:bottom w:val="nil"/>
              <w:right w:val="nil"/>
            </w:tcBorders>
            <w:shd w:val="clear" w:color="auto" w:fill="1F497D"/>
            <w:vAlign w:val="center"/>
          </w:tcPr>
          <w:p>
            <w:pPr>
              <w:rPr>
                <w:rFonts w:ascii="Verdana" w:hAnsi="Verdana"/>
                <w:b/>
                <w:noProof/>
                <w:color w:val="FFFFFF"/>
                <w:sz w:val="18"/>
                <w:szCs w:val="18"/>
              </w:rPr>
            </w:pPr>
            <w:r>
              <w:rPr>
                <w:rFonts w:ascii="Verdana" w:hAnsi="Verdana"/>
                <w:b/>
                <w:noProof/>
                <w:color w:val="FFFFFF"/>
                <w:sz w:val="18"/>
                <w:szCs w:val="18"/>
              </w:rPr>
              <w:t>Инструмент</w:t>
            </w:r>
          </w:p>
        </w:tc>
        <w:tc>
          <w:tcPr>
            <w:tcW w:w="1701" w:type="dxa"/>
            <w:tcBorders>
              <w:top w:val="nil"/>
              <w:left w:val="nil"/>
              <w:bottom w:val="nil"/>
              <w:right w:val="nil"/>
            </w:tcBorders>
            <w:shd w:val="clear" w:color="auto" w:fill="1F497D"/>
            <w:vAlign w:val="center"/>
          </w:tcPr>
          <w:p>
            <w:pPr>
              <w:jc w:val="right"/>
              <w:rPr>
                <w:rFonts w:ascii="Verdana" w:hAnsi="Verdana"/>
                <w:b/>
                <w:noProof/>
                <w:color w:val="FFFFFF"/>
                <w:sz w:val="18"/>
                <w:szCs w:val="18"/>
              </w:rPr>
            </w:pPr>
            <w:r>
              <w:rPr>
                <w:rFonts w:ascii="Verdana" w:hAnsi="Verdana"/>
                <w:b/>
                <w:noProof/>
                <w:color w:val="FFFFFF"/>
                <w:sz w:val="18"/>
                <w:szCs w:val="18"/>
              </w:rPr>
              <w:t>договорени</w:t>
            </w:r>
          </w:p>
          <w:p>
            <w:pPr>
              <w:jc w:val="right"/>
              <w:rPr>
                <w:rFonts w:ascii="Verdana" w:hAnsi="Verdana"/>
                <w:i/>
                <w:noProof/>
                <w:color w:val="FFFFFF"/>
                <w:sz w:val="18"/>
                <w:szCs w:val="18"/>
              </w:rPr>
            </w:pPr>
            <w:r>
              <w:rPr>
                <w:rFonts w:ascii="Verdana" w:hAnsi="Verdana"/>
                <w:i/>
                <w:noProof/>
                <w:color w:val="FFFFFF"/>
                <w:sz w:val="18"/>
                <w:szCs w:val="18"/>
              </w:rPr>
              <w:t>млрд. евро</w:t>
            </w:r>
          </w:p>
        </w:tc>
        <w:tc>
          <w:tcPr>
            <w:tcW w:w="425" w:type="dxa"/>
            <w:vMerge/>
            <w:tcBorders>
              <w:top w:val="nil"/>
              <w:left w:val="nil"/>
              <w:bottom w:val="nil"/>
              <w:right w:val="nil"/>
            </w:tcBorders>
            <w:shd w:val="clear" w:color="auto" w:fill="auto"/>
          </w:tcPr>
          <w:p>
            <w:pPr>
              <w:jc w:val="right"/>
              <w:rPr>
                <w:rFonts w:ascii="Verdana" w:hAnsi="Verdana"/>
                <w:b/>
                <w:noProof/>
                <w:color w:val="016794"/>
                <w:sz w:val="2"/>
                <w:szCs w:val="18"/>
                <w:lang w:eastAsia="de-DE"/>
              </w:rPr>
            </w:pPr>
          </w:p>
        </w:tc>
        <w:tc>
          <w:tcPr>
            <w:tcW w:w="2410" w:type="dxa"/>
            <w:tcBorders>
              <w:top w:val="nil"/>
              <w:left w:val="nil"/>
              <w:bottom w:val="nil"/>
              <w:right w:val="nil"/>
            </w:tcBorders>
            <w:shd w:val="clear" w:color="auto" w:fill="1F497D"/>
            <w:vAlign w:val="center"/>
          </w:tcPr>
          <w:p>
            <w:pPr>
              <w:rPr>
                <w:rFonts w:ascii="Verdana" w:hAnsi="Verdana"/>
                <w:b/>
                <w:noProof/>
                <w:color w:val="FFFFFF"/>
                <w:sz w:val="18"/>
                <w:szCs w:val="18"/>
              </w:rPr>
            </w:pPr>
            <w:r>
              <w:rPr>
                <w:rFonts w:ascii="Verdana" w:hAnsi="Verdana"/>
                <w:b/>
                <w:noProof/>
                <w:color w:val="FFFFFF"/>
                <w:sz w:val="18"/>
                <w:szCs w:val="18"/>
              </w:rPr>
              <w:t>Държава членка</w:t>
            </w:r>
          </w:p>
        </w:tc>
        <w:tc>
          <w:tcPr>
            <w:tcW w:w="2268" w:type="dxa"/>
            <w:tcBorders>
              <w:top w:val="nil"/>
              <w:left w:val="nil"/>
              <w:bottom w:val="nil"/>
              <w:right w:val="nil"/>
            </w:tcBorders>
            <w:shd w:val="clear" w:color="auto" w:fill="1F497D"/>
            <w:vAlign w:val="center"/>
          </w:tcPr>
          <w:p>
            <w:pPr>
              <w:jc w:val="right"/>
              <w:rPr>
                <w:rFonts w:ascii="Verdana" w:hAnsi="Verdana"/>
                <w:b/>
                <w:noProof/>
                <w:color w:val="FFFFFF"/>
                <w:sz w:val="18"/>
                <w:szCs w:val="18"/>
              </w:rPr>
            </w:pPr>
            <w:r>
              <w:rPr>
                <w:rFonts w:ascii="Verdana" w:hAnsi="Verdana"/>
                <w:b/>
                <w:noProof/>
                <w:color w:val="FFFFFF"/>
                <w:sz w:val="18"/>
                <w:szCs w:val="18"/>
              </w:rPr>
              <w:t>отпуснати</w:t>
            </w:r>
          </w:p>
          <w:p>
            <w:pPr>
              <w:jc w:val="right"/>
              <w:rPr>
                <w:rFonts w:ascii="Verdana" w:hAnsi="Verdana"/>
                <w:i/>
                <w:noProof/>
                <w:color w:val="FFFFFF"/>
                <w:sz w:val="18"/>
                <w:szCs w:val="18"/>
              </w:rPr>
            </w:pPr>
            <w:r>
              <w:rPr>
                <w:rFonts w:ascii="Verdana" w:hAnsi="Verdana"/>
                <w:i/>
                <w:noProof/>
                <w:color w:val="FFFFFF"/>
                <w:sz w:val="18"/>
                <w:szCs w:val="18"/>
              </w:rPr>
              <w:t>млрд. евро</w:t>
            </w:r>
          </w:p>
        </w:tc>
      </w:tr>
      <w:tr>
        <w:trPr>
          <w:trHeight w:val="253"/>
        </w:trPr>
        <w:tc>
          <w:tcPr>
            <w:tcW w:w="2972" w:type="dxa"/>
            <w:tcBorders>
              <w:top w:val="nil"/>
              <w:left w:val="nil"/>
              <w:bottom w:val="nil"/>
              <w:right w:val="nil"/>
            </w:tcBorders>
            <w:shd w:val="clear" w:color="auto" w:fill="auto"/>
            <w:vAlign w:val="center"/>
          </w:tcPr>
          <w:p>
            <w:pPr>
              <w:rPr>
                <w:rFonts w:ascii="Verdana" w:hAnsi="Verdana"/>
                <w:b/>
                <w:noProof/>
                <w:color w:val="016794"/>
                <w:sz w:val="18"/>
                <w:szCs w:val="18"/>
              </w:rPr>
            </w:pPr>
            <w:r>
              <w:rPr>
                <w:rFonts w:ascii="Verdana" w:hAnsi="Verdana"/>
                <w:noProof/>
                <w:color w:val="016794"/>
                <w:sz w:val="18"/>
                <w:szCs w:val="18"/>
              </w:rPr>
              <w:t>NextGenerationEU</w:t>
            </w:r>
          </w:p>
        </w:tc>
        <w:tc>
          <w:tcPr>
            <w:tcW w:w="1701" w:type="dxa"/>
            <w:tcBorders>
              <w:top w:val="nil"/>
              <w:left w:val="nil"/>
              <w:bottom w:val="nil"/>
              <w:right w:val="nil"/>
            </w:tcBorders>
            <w:shd w:val="clear" w:color="auto" w:fill="auto"/>
            <w:vAlign w:val="center"/>
          </w:tcPr>
          <w:p>
            <w:pPr>
              <w:pStyle w:val="DGTextstand-alone"/>
              <w:spacing w:before="0" w:after="0"/>
              <w:jc w:val="right"/>
              <w:rPr>
                <w:color w:val="016794"/>
              </w:rPr>
            </w:pPr>
            <w:r>
              <w:rPr>
                <w:color w:val="016794"/>
              </w:rPr>
              <w:t>750</w:t>
            </w:r>
          </w:p>
        </w:tc>
        <w:tc>
          <w:tcPr>
            <w:tcW w:w="425" w:type="dxa"/>
            <w:vMerge/>
            <w:tcBorders>
              <w:top w:val="nil"/>
              <w:left w:val="nil"/>
              <w:bottom w:val="nil"/>
              <w:right w:val="nil"/>
            </w:tcBorders>
            <w:shd w:val="clear" w:color="auto" w:fill="auto"/>
            <w:vAlign w:val="center"/>
          </w:tcPr>
          <w:p>
            <w:pPr>
              <w:jc w:val="right"/>
              <w:rPr>
                <w:rFonts w:ascii="Verdana" w:hAnsi="Verdana"/>
                <w:b/>
                <w:noProof/>
                <w:color w:val="016794"/>
                <w:sz w:val="18"/>
                <w:szCs w:val="18"/>
                <w:lang w:eastAsia="de-DE"/>
              </w:rPr>
            </w:pPr>
          </w:p>
        </w:tc>
        <w:tc>
          <w:tcPr>
            <w:tcW w:w="2410" w:type="dxa"/>
            <w:tcBorders>
              <w:top w:val="nil"/>
              <w:left w:val="nil"/>
              <w:right w:val="nil"/>
            </w:tcBorders>
            <w:shd w:val="clear" w:color="auto" w:fill="auto"/>
            <w:vAlign w:val="center"/>
          </w:tcPr>
          <w:p>
            <w:pPr>
              <w:pStyle w:val="DGTextstand-alone"/>
              <w:spacing w:before="0" w:after="0"/>
              <w:jc w:val="left"/>
              <w:rPr>
                <w:color w:val="016794"/>
              </w:rPr>
            </w:pPr>
            <w:r>
              <w:rPr>
                <w:color w:val="016794"/>
              </w:rPr>
              <w:t>Италия</w:t>
            </w:r>
          </w:p>
        </w:tc>
        <w:tc>
          <w:tcPr>
            <w:tcW w:w="2268" w:type="dxa"/>
            <w:tcBorders>
              <w:top w:val="nil"/>
              <w:left w:val="nil"/>
              <w:right w:val="nil"/>
            </w:tcBorders>
            <w:shd w:val="clear" w:color="auto" w:fill="auto"/>
            <w:vAlign w:val="center"/>
          </w:tcPr>
          <w:p>
            <w:pPr>
              <w:pStyle w:val="DGTextstand-alone"/>
              <w:spacing w:before="0" w:after="0"/>
              <w:jc w:val="right"/>
              <w:rPr>
                <w:color w:val="016794"/>
              </w:rPr>
            </w:pPr>
            <w:r>
              <w:rPr>
                <w:color w:val="016794"/>
              </w:rPr>
              <w:t>27,4</w:t>
            </w:r>
          </w:p>
        </w:tc>
      </w:tr>
      <w:tr>
        <w:trPr>
          <w:trHeight w:val="253"/>
        </w:trPr>
        <w:tc>
          <w:tcPr>
            <w:tcW w:w="2972" w:type="dxa"/>
            <w:tcBorders>
              <w:top w:val="nil"/>
              <w:left w:val="nil"/>
              <w:right w:val="nil"/>
            </w:tcBorders>
            <w:shd w:val="clear" w:color="auto" w:fill="auto"/>
            <w:vAlign w:val="center"/>
          </w:tcPr>
          <w:p>
            <w:pPr>
              <w:pStyle w:val="DGTextstand-alone"/>
              <w:spacing w:before="0" w:after="0"/>
              <w:jc w:val="left"/>
              <w:rPr>
                <w:color w:val="016794"/>
              </w:rPr>
            </w:pPr>
            <w:r>
              <w:rPr>
                <w:color w:val="016794"/>
              </w:rPr>
              <w:t>SURE*</w:t>
            </w:r>
          </w:p>
        </w:tc>
        <w:tc>
          <w:tcPr>
            <w:tcW w:w="1701" w:type="dxa"/>
            <w:tcBorders>
              <w:top w:val="nil"/>
              <w:left w:val="nil"/>
              <w:right w:val="nil"/>
            </w:tcBorders>
            <w:shd w:val="clear" w:color="auto" w:fill="auto"/>
            <w:vAlign w:val="center"/>
          </w:tcPr>
          <w:p>
            <w:pPr>
              <w:pStyle w:val="DGTextstand-alone"/>
              <w:spacing w:before="0" w:after="0"/>
              <w:jc w:val="right"/>
              <w:rPr>
                <w:color w:val="016794"/>
              </w:rPr>
            </w:pPr>
            <w:r>
              <w:rPr>
                <w:color w:val="016794"/>
              </w:rPr>
              <w:t>100</w:t>
            </w:r>
          </w:p>
        </w:tc>
        <w:tc>
          <w:tcPr>
            <w:tcW w:w="425" w:type="dxa"/>
            <w:tcBorders>
              <w:top w:val="nil"/>
              <w:left w:val="nil"/>
              <w:bottom w:val="nil"/>
              <w:right w:val="nil"/>
            </w:tcBorders>
            <w:shd w:val="clear" w:color="auto" w:fill="auto"/>
            <w:vAlign w:val="center"/>
          </w:tcPr>
          <w:p>
            <w:pPr>
              <w:pStyle w:val="DGTextstand-alone"/>
              <w:spacing w:before="0" w:after="0"/>
              <w:jc w:val="right"/>
              <w:rPr>
                <w:color w:val="016794"/>
              </w:rPr>
            </w:pPr>
          </w:p>
        </w:tc>
        <w:tc>
          <w:tcPr>
            <w:tcW w:w="2410" w:type="dxa"/>
            <w:tcBorders>
              <w:left w:val="nil"/>
              <w:right w:val="nil"/>
            </w:tcBorders>
            <w:shd w:val="clear" w:color="auto" w:fill="auto"/>
            <w:vAlign w:val="center"/>
          </w:tcPr>
          <w:p>
            <w:pPr>
              <w:pStyle w:val="DGTextstand-alone"/>
              <w:spacing w:before="0" w:after="0"/>
              <w:jc w:val="left"/>
              <w:rPr>
                <w:color w:val="016794"/>
              </w:rPr>
            </w:pPr>
            <w:r>
              <w:rPr>
                <w:color w:val="016794"/>
              </w:rPr>
              <w:t>Испания</w:t>
            </w:r>
          </w:p>
        </w:tc>
        <w:tc>
          <w:tcPr>
            <w:tcW w:w="2268" w:type="dxa"/>
            <w:tcBorders>
              <w:left w:val="nil"/>
              <w:right w:val="nil"/>
            </w:tcBorders>
            <w:shd w:val="clear" w:color="auto" w:fill="auto"/>
            <w:vAlign w:val="center"/>
          </w:tcPr>
          <w:p>
            <w:pPr>
              <w:pStyle w:val="DGTextstand-alone"/>
              <w:spacing w:before="0" w:after="0"/>
              <w:jc w:val="right"/>
              <w:rPr>
                <w:color w:val="016794"/>
              </w:rPr>
            </w:pPr>
            <w:r>
              <w:rPr>
                <w:color w:val="016794"/>
              </w:rPr>
              <w:t>21,3</w:t>
            </w:r>
          </w:p>
        </w:tc>
      </w:tr>
      <w:tr>
        <w:trPr>
          <w:trHeight w:val="253"/>
        </w:trPr>
        <w:tc>
          <w:tcPr>
            <w:tcW w:w="2972" w:type="dxa"/>
            <w:tcBorders>
              <w:left w:val="nil"/>
              <w:right w:val="nil"/>
            </w:tcBorders>
            <w:shd w:val="clear" w:color="auto" w:fill="auto"/>
            <w:vAlign w:val="center"/>
          </w:tcPr>
          <w:p>
            <w:pPr>
              <w:pStyle w:val="DGTextstand-alone"/>
              <w:spacing w:before="0" w:after="0"/>
              <w:jc w:val="left"/>
              <w:rPr>
                <w:color w:val="016794"/>
              </w:rPr>
            </w:pPr>
            <w:r>
              <w:rPr>
                <w:color w:val="016794"/>
              </w:rPr>
              <w:t>Макрофинансова помощ</w:t>
            </w:r>
          </w:p>
        </w:tc>
        <w:tc>
          <w:tcPr>
            <w:tcW w:w="1701" w:type="dxa"/>
            <w:tcBorders>
              <w:left w:val="nil"/>
              <w:right w:val="nil"/>
            </w:tcBorders>
            <w:shd w:val="clear" w:color="auto" w:fill="auto"/>
            <w:vAlign w:val="center"/>
          </w:tcPr>
          <w:p>
            <w:pPr>
              <w:pStyle w:val="DGTextstand-alone"/>
              <w:spacing w:before="0" w:after="0"/>
              <w:jc w:val="right"/>
              <w:rPr>
                <w:color w:val="016794"/>
              </w:rPr>
            </w:pPr>
            <w:r>
              <w:rPr>
                <w:color w:val="016794"/>
              </w:rPr>
              <w:t>3,0</w:t>
            </w:r>
          </w:p>
        </w:tc>
        <w:tc>
          <w:tcPr>
            <w:tcW w:w="425" w:type="dxa"/>
            <w:tcBorders>
              <w:top w:val="nil"/>
              <w:left w:val="nil"/>
              <w:bottom w:val="nil"/>
              <w:right w:val="nil"/>
            </w:tcBorders>
            <w:shd w:val="clear" w:color="auto" w:fill="auto"/>
            <w:vAlign w:val="center"/>
          </w:tcPr>
          <w:p>
            <w:pPr>
              <w:pStyle w:val="DGTextstand-alone"/>
              <w:spacing w:before="0" w:after="0"/>
              <w:jc w:val="right"/>
              <w:rPr>
                <w:color w:val="016794"/>
              </w:rPr>
            </w:pPr>
          </w:p>
        </w:tc>
        <w:tc>
          <w:tcPr>
            <w:tcW w:w="2410" w:type="dxa"/>
            <w:tcBorders>
              <w:left w:val="nil"/>
              <w:right w:val="nil"/>
            </w:tcBorders>
            <w:shd w:val="clear" w:color="auto" w:fill="auto"/>
            <w:vAlign w:val="center"/>
          </w:tcPr>
          <w:p>
            <w:pPr>
              <w:pStyle w:val="DGTextstand-alone"/>
              <w:spacing w:before="0" w:after="0"/>
              <w:jc w:val="left"/>
              <w:rPr>
                <w:color w:val="016794"/>
              </w:rPr>
            </w:pPr>
            <w:r>
              <w:rPr>
                <w:color w:val="016794"/>
              </w:rPr>
              <w:t>Полша</w:t>
            </w:r>
          </w:p>
        </w:tc>
        <w:tc>
          <w:tcPr>
            <w:tcW w:w="2268" w:type="dxa"/>
            <w:tcBorders>
              <w:left w:val="nil"/>
              <w:right w:val="nil"/>
            </w:tcBorders>
            <w:shd w:val="clear" w:color="auto" w:fill="auto"/>
            <w:vAlign w:val="center"/>
          </w:tcPr>
          <w:p>
            <w:pPr>
              <w:pStyle w:val="DGTextstand-alone"/>
              <w:spacing w:before="0" w:after="0"/>
              <w:jc w:val="right"/>
              <w:rPr>
                <w:color w:val="016794"/>
              </w:rPr>
            </w:pPr>
            <w:r>
              <w:rPr>
                <w:color w:val="016794"/>
              </w:rPr>
              <w:t>11,2</w:t>
            </w:r>
          </w:p>
        </w:tc>
      </w:tr>
      <w:tr>
        <w:trPr>
          <w:trHeight w:val="253"/>
        </w:trPr>
        <w:tc>
          <w:tcPr>
            <w:tcW w:w="2972" w:type="dxa"/>
            <w:tcBorders>
              <w:left w:val="nil"/>
              <w:right w:val="nil"/>
            </w:tcBorders>
            <w:shd w:val="clear" w:color="auto" w:fill="auto"/>
            <w:vAlign w:val="center"/>
          </w:tcPr>
          <w:p>
            <w:pPr>
              <w:pStyle w:val="DGTextstand-alone"/>
              <w:spacing w:before="0" w:after="0"/>
              <w:jc w:val="left"/>
              <w:rPr>
                <w:color w:val="016794"/>
              </w:rPr>
            </w:pPr>
            <w:r>
              <w:rPr>
                <w:color w:val="016794"/>
              </w:rPr>
              <w:t>ИСП</w:t>
            </w:r>
          </w:p>
        </w:tc>
        <w:tc>
          <w:tcPr>
            <w:tcW w:w="1701" w:type="dxa"/>
            <w:tcBorders>
              <w:left w:val="nil"/>
              <w:right w:val="nil"/>
            </w:tcBorders>
            <w:shd w:val="clear" w:color="auto" w:fill="auto"/>
            <w:vAlign w:val="center"/>
          </w:tcPr>
          <w:p>
            <w:pPr>
              <w:pStyle w:val="DGTextstand-alone"/>
              <w:spacing w:before="0" w:after="0"/>
              <w:jc w:val="right"/>
              <w:rPr>
                <w:color w:val="016794"/>
              </w:rPr>
            </w:pPr>
            <w:r>
              <w:rPr>
                <w:color w:val="016794"/>
              </w:rPr>
              <w:t>2,7</w:t>
            </w:r>
          </w:p>
        </w:tc>
        <w:tc>
          <w:tcPr>
            <w:tcW w:w="425" w:type="dxa"/>
            <w:tcBorders>
              <w:top w:val="nil"/>
              <w:left w:val="nil"/>
              <w:bottom w:val="nil"/>
              <w:right w:val="nil"/>
            </w:tcBorders>
            <w:shd w:val="clear" w:color="auto" w:fill="auto"/>
            <w:vAlign w:val="center"/>
          </w:tcPr>
          <w:p>
            <w:pPr>
              <w:pStyle w:val="DGTextstand-alone"/>
              <w:spacing w:before="0" w:after="0"/>
              <w:jc w:val="right"/>
              <w:rPr>
                <w:color w:val="016794"/>
              </w:rPr>
            </w:pPr>
          </w:p>
        </w:tc>
        <w:tc>
          <w:tcPr>
            <w:tcW w:w="2410" w:type="dxa"/>
            <w:tcBorders>
              <w:left w:val="nil"/>
              <w:right w:val="nil"/>
            </w:tcBorders>
            <w:shd w:val="clear" w:color="auto" w:fill="auto"/>
            <w:vAlign w:val="center"/>
          </w:tcPr>
          <w:p>
            <w:pPr>
              <w:pStyle w:val="DGTextstand-alone"/>
              <w:spacing w:before="0" w:after="0"/>
              <w:jc w:val="left"/>
              <w:rPr>
                <w:color w:val="016794"/>
              </w:rPr>
            </w:pPr>
            <w:r>
              <w:rPr>
                <w:color w:val="016794"/>
              </w:rPr>
              <w:t>Белгия</w:t>
            </w:r>
          </w:p>
        </w:tc>
        <w:tc>
          <w:tcPr>
            <w:tcW w:w="2268" w:type="dxa"/>
            <w:tcBorders>
              <w:left w:val="nil"/>
              <w:right w:val="nil"/>
            </w:tcBorders>
            <w:shd w:val="clear" w:color="auto" w:fill="auto"/>
            <w:vAlign w:val="center"/>
          </w:tcPr>
          <w:p>
            <w:pPr>
              <w:pStyle w:val="DGTextstand-alone"/>
              <w:spacing w:before="0" w:after="0"/>
              <w:jc w:val="right"/>
              <w:rPr>
                <w:color w:val="016794"/>
              </w:rPr>
            </w:pPr>
            <w:r>
              <w:rPr>
                <w:color w:val="016794"/>
              </w:rPr>
              <w:t>7,8</w:t>
            </w:r>
          </w:p>
        </w:tc>
      </w:tr>
      <w:tr>
        <w:trPr>
          <w:trHeight w:val="253"/>
        </w:trPr>
        <w:tc>
          <w:tcPr>
            <w:tcW w:w="2972" w:type="dxa"/>
            <w:tcBorders>
              <w:left w:val="nil"/>
              <w:bottom w:val="single" w:sz="12" w:space="0" w:color="016794"/>
              <w:right w:val="nil"/>
            </w:tcBorders>
            <w:shd w:val="clear" w:color="auto" w:fill="auto"/>
            <w:vAlign w:val="center"/>
          </w:tcPr>
          <w:p>
            <w:pPr>
              <w:pStyle w:val="DGTextstand-alone"/>
              <w:spacing w:before="0" w:after="0"/>
              <w:jc w:val="left"/>
              <w:rPr>
                <w:color w:val="016794"/>
              </w:rPr>
            </w:pPr>
            <w:r>
              <w:rPr>
                <w:color w:val="016794"/>
              </w:rPr>
              <w:t>МГЗ</w:t>
            </w:r>
          </w:p>
        </w:tc>
        <w:tc>
          <w:tcPr>
            <w:tcW w:w="1701" w:type="dxa"/>
            <w:tcBorders>
              <w:left w:val="nil"/>
              <w:bottom w:val="single" w:sz="12" w:space="0" w:color="016794"/>
              <w:right w:val="nil"/>
            </w:tcBorders>
            <w:shd w:val="clear" w:color="auto" w:fill="auto"/>
            <w:vAlign w:val="center"/>
          </w:tcPr>
          <w:p>
            <w:pPr>
              <w:pStyle w:val="DGTextstand-alone"/>
              <w:spacing w:before="0" w:after="0"/>
              <w:jc w:val="right"/>
              <w:rPr>
                <w:color w:val="016794"/>
              </w:rPr>
            </w:pPr>
            <w:r>
              <w:rPr>
                <w:color w:val="016794"/>
              </w:rPr>
              <w:t>0,3</w:t>
            </w:r>
          </w:p>
        </w:tc>
        <w:tc>
          <w:tcPr>
            <w:tcW w:w="425" w:type="dxa"/>
            <w:tcBorders>
              <w:top w:val="nil"/>
              <w:left w:val="nil"/>
              <w:bottom w:val="nil"/>
              <w:right w:val="nil"/>
            </w:tcBorders>
            <w:shd w:val="clear" w:color="auto" w:fill="auto"/>
            <w:vAlign w:val="center"/>
          </w:tcPr>
          <w:p>
            <w:pPr>
              <w:pStyle w:val="DGTextstand-alone"/>
              <w:spacing w:before="0" w:after="0"/>
              <w:jc w:val="right"/>
              <w:rPr>
                <w:color w:val="016794"/>
              </w:rPr>
            </w:pPr>
          </w:p>
        </w:tc>
        <w:tc>
          <w:tcPr>
            <w:tcW w:w="2410" w:type="dxa"/>
            <w:tcBorders>
              <w:left w:val="nil"/>
              <w:right w:val="nil"/>
            </w:tcBorders>
            <w:shd w:val="clear" w:color="auto" w:fill="auto"/>
            <w:vAlign w:val="center"/>
          </w:tcPr>
          <w:p>
            <w:pPr>
              <w:pStyle w:val="DGTextstand-alone"/>
              <w:spacing w:before="0" w:after="0"/>
              <w:jc w:val="left"/>
              <w:rPr>
                <w:color w:val="016794"/>
              </w:rPr>
            </w:pPr>
            <w:r>
              <w:rPr>
                <w:color w:val="016794"/>
              </w:rPr>
              <w:t>Португалия</w:t>
            </w:r>
          </w:p>
        </w:tc>
        <w:tc>
          <w:tcPr>
            <w:tcW w:w="2268" w:type="dxa"/>
            <w:tcBorders>
              <w:left w:val="nil"/>
              <w:right w:val="nil"/>
            </w:tcBorders>
            <w:shd w:val="clear" w:color="auto" w:fill="auto"/>
            <w:vAlign w:val="center"/>
          </w:tcPr>
          <w:p>
            <w:pPr>
              <w:pStyle w:val="DGTextstand-alone"/>
              <w:spacing w:before="0" w:after="0"/>
              <w:jc w:val="right"/>
              <w:rPr>
                <w:color w:val="016794"/>
              </w:rPr>
            </w:pPr>
            <w:r>
              <w:rPr>
                <w:color w:val="016794"/>
              </w:rPr>
              <w:t>5,9</w:t>
            </w:r>
          </w:p>
        </w:tc>
      </w:tr>
      <w:tr>
        <w:trPr>
          <w:trHeight w:val="253"/>
        </w:trPr>
        <w:tc>
          <w:tcPr>
            <w:tcW w:w="2972" w:type="dxa"/>
            <w:tcBorders>
              <w:top w:val="single" w:sz="12" w:space="0" w:color="016794"/>
              <w:left w:val="nil"/>
              <w:bottom w:val="nil"/>
              <w:right w:val="nil"/>
            </w:tcBorders>
            <w:shd w:val="clear" w:color="auto" w:fill="auto"/>
            <w:vAlign w:val="center"/>
          </w:tcPr>
          <w:p>
            <w:pPr>
              <w:pStyle w:val="DGTextstand-alone"/>
              <w:spacing w:before="0" w:after="0"/>
              <w:jc w:val="left"/>
              <w:rPr>
                <w:b/>
                <w:color w:val="016794"/>
              </w:rPr>
            </w:pPr>
            <w:r>
              <w:rPr>
                <w:b/>
                <w:color w:val="016794"/>
              </w:rPr>
              <w:t>Общо</w:t>
            </w:r>
          </w:p>
        </w:tc>
        <w:tc>
          <w:tcPr>
            <w:tcW w:w="1701" w:type="dxa"/>
            <w:tcBorders>
              <w:top w:val="single" w:sz="12" w:space="0" w:color="016794"/>
              <w:left w:val="nil"/>
              <w:bottom w:val="nil"/>
              <w:right w:val="nil"/>
            </w:tcBorders>
            <w:shd w:val="clear" w:color="auto" w:fill="auto"/>
            <w:vAlign w:val="center"/>
          </w:tcPr>
          <w:p>
            <w:pPr>
              <w:pStyle w:val="DGTextstand-alone"/>
              <w:spacing w:before="0" w:after="0"/>
              <w:jc w:val="right"/>
              <w:rPr>
                <w:b/>
                <w:color w:val="016794"/>
              </w:rPr>
            </w:pPr>
            <w:r>
              <w:rPr>
                <w:b/>
                <w:color w:val="016794"/>
              </w:rPr>
              <w:t>856,0</w:t>
            </w:r>
          </w:p>
        </w:tc>
        <w:tc>
          <w:tcPr>
            <w:tcW w:w="425" w:type="dxa"/>
            <w:tcBorders>
              <w:top w:val="nil"/>
              <w:left w:val="nil"/>
              <w:bottom w:val="nil"/>
              <w:right w:val="nil"/>
            </w:tcBorders>
            <w:shd w:val="clear" w:color="auto" w:fill="auto"/>
            <w:vAlign w:val="center"/>
          </w:tcPr>
          <w:p>
            <w:pPr>
              <w:pStyle w:val="DGTextstand-alone"/>
              <w:spacing w:before="0" w:after="0"/>
              <w:jc w:val="right"/>
              <w:rPr>
                <w:color w:val="016794"/>
              </w:rPr>
            </w:pPr>
          </w:p>
        </w:tc>
        <w:tc>
          <w:tcPr>
            <w:tcW w:w="2410" w:type="dxa"/>
            <w:tcBorders>
              <w:left w:val="nil"/>
              <w:right w:val="nil"/>
            </w:tcBorders>
            <w:shd w:val="clear" w:color="auto" w:fill="auto"/>
            <w:vAlign w:val="center"/>
          </w:tcPr>
          <w:p>
            <w:pPr>
              <w:pStyle w:val="DGTextstand-alone"/>
              <w:spacing w:before="0" w:after="0"/>
              <w:jc w:val="left"/>
              <w:rPr>
                <w:color w:val="016794"/>
              </w:rPr>
            </w:pPr>
            <w:r>
              <w:rPr>
                <w:color w:val="016794"/>
              </w:rPr>
              <w:t>Румъния</w:t>
            </w:r>
          </w:p>
        </w:tc>
        <w:tc>
          <w:tcPr>
            <w:tcW w:w="2268" w:type="dxa"/>
            <w:tcBorders>
              <w:left w:val="nil"/>
              <w:right w:val="nil"/>
            </w:tcBorders>
            <w:shd w:val="clear" w:color="auto" w:fill="auto"/>
            <w:vAlign w:val="center"/>
          </w:tcPr>
          <w:p>
            <w:pPr>
              <w:pStyle w:val="DGTextstand-alone"/>
              <w:spacing w:before="0" w:after="0"/>
              <w:jc w:val="right"/>
              <w:rPr>
                <w:color w:val="016794"/>
              </w:rPr>
            </w:pPr>
            <w:r>
              <w:rPr>
                <w:color w:val="016794"/>
              </w:rPr>
              <w:t>4,1</w:t>
            </w:r>
          </w:p>
        </w:tc>
      </w:tr>
      <w:tr>
        <w:trPr>
          <w:trHeight w:val="253"/>
        </w:trPr>
        <w:tc>
          <w:tcPr>
            <w:tcW w:w="2972" w:type="dxa"/>
            <w:tcBorders>
              <w:top w:val="nil"/>
              <w:left w:val="nil"/>
              <w:bottom w:val="nil"/>
              <w:right w:val="nil"/>
            </w:tcBorders>
            <w:shd w:val="clear" w:color="auto" w:fill="auto"/>
            <w:vAlign w:val="center"/>
          </w:tcPr>
          <w:p>
            <w:pPr>
              <w:pStyle w:val="DGTextstand-alone"/>
              <w:spacing w:before="0" w:after="0"/>
              <w:jc w:val="left"/>
              <w:rPr>
                <w:color w:val="1F497D"/>
              </w:rPr>
            </w:pPr>
          </w:p>
        </w:tc>
        <w:tc>
          <w:tcPr>
            <w:tcW w:w="1701" w:type="dxa"/>
            <w:tcBorders>
              <w:top w:val="nil"/>
              <w:left w:val="nil"/>
              <w:bottom w:val="nil"/>
              <w:right w:val="nil"/>
            </w:tcBorders>
            <w:shd w:val="clear" w:color="auto" w:fill="auto"/>
            <w:vAlign w:val="center"/>
          </w:tcPr>
          <w:p>
            <w:pPr>
              <w:pStyle w:val="DGTextstand-alone"/>
              <w:spacing w:before="0" w:after="0"/>
              <w:jc w:val="right"/>
              <w:rPr>
                <w:color w:val="016794"/>
              </w:rPr>
            </w:pPr>
          </w:p>
        </w:tc>
        <w:tc>
          <w:tcPr>
            <w:tcW w:w="425" w:type="dxa"/>
            <w:tcBorders>
              <w:top w:val="nil"/>
              <w:left w:val="nil"/>
              <w:bottom w:val="nil"/>
              <w:right w:val="nil"/>
            </w:tcBorders>
            <w:shd w:val="clear" w:color="auto" w:fill="auto"/>
            <w:vAlign w:val="center"/>
          </w:tcPr>
          <w:p>
            <w:pPr>
              <w:pStyle w:val="DGTextstand-alone"/>
              <w:spacing w:before="0" w:after="0"/>
              <w:jc w:val="right"/>
              <w:rPr>
                <w:color w:val="016794"/>
              </w:rPr>
            </w:pPr>
          </w:p>
        </w:tc>
        <w:tc>
          <w:tcPr>
            <w:tcW w:w="2410" w:type="dxa"/>
            <w:tcBorders>
              <w:left w:val="nil"/>
              <w:right w:val="nil"/>
            </w:tcBorders>
            <w:shd w:val="clear" w:color="auto" w:fill="auto"/>
            <w:vAlign w:val="center"/>
          </w:tcPr>
          <w:p>
            <w:pPr>
              <w:pStyle w:val="DGTextstand-alone"/>
              <w:spacing w:before="0" w:after="0"/>
              <w:jc w:val="left"/>
              <w:rPr>
                <w:color w:val="016794"/>
              </w:rPr>
            </w:pPr>
            <w:r>
              <w:rPr>
                <w:color w:val="016794"/>
              </w:rPr>
              <w:t>Гърция</w:t>
            </w:r>
          </w:p>
        </w:tc>
        <w:tc>
          <w:tcPr>
            <w:tcW w:w="2268" w:type="dxa"/>
            <w:tcBorders>
              <w:left w:val="nil"/>
              <w:right w:val="nil"/>
            </w:tcBorders>
            <w:shd w:val="clear" w:color="auto" w:fill="auto"/>
            <w:vAlign w:val="center"/>
          </w:tcPr>
          <w:p>
            <w:pPr>
              <w:pStyle w:val="DGTextstand-alone"/>
              <w:spacing w:before="0" w:after="0"/>
              <w:jc w:val="right"/>
              <w:rPr>
                <w:color w:val="016794"/>
              </w:rPr>
            </w:pPr>
            <w:r>
              <w:rPr>
                <w:color w:val="016794"/>
              </w:rPr>
              <w:t>2,7</w:t>
            </w:r>
          </w:p>
        </w:tc>
      </w:tr>
      <w:tr>
        <w:trPr>
          <w:trHeight w:val="253"/>
        </w:trPr>
        <w:tc>
          <w:tcPr>
            <w:tcW w:w="2972" w:type="dxa"/>
            <w:tcBorders>
              <w:top w:val="nil"/>
              <w:left w:val="nil"/>
              <w:bottom w:val="nil"/>
              <w:right w:val="nil"/>
            </w:tcBorders>
            <w:shd w:val="clear" w:color="auto" w:fill="auto"/>
            <w:vAlign w:val="center"/>
          </w:tcPr>
          <w:p>
            <w:pPr>
              <w:pStyle w:val="DGTextstand-alone"/>
              <w:spacing w:before="0" w:after="0"/>
              <w:jc w:val="left"/>
              <w:rPr>
                <w:color w:val="1F497D"/>
              </w:rPr>
            </w:pPr>
          </w:p>
        </w:tc>
        <w:tc>
          <w:tcPr>
            <w:tcW w:w="1701" w:type="dxa"/>
            <w:tcBorders>
              <w:top w:val="nil"/>
              <w:left w:val="nil"/>
              <w:bottom w:val="nil"/>
              <w:right w:val="nil"/>
            </w:tcBorders>
            <w:shd w:val="clear" w:color="auto" w:fill="auto"/>
            <w:vAlign w:val="center"/>
          </w:tcPr>
          <w:p>
            <w:pPr>
              <w:pStyle w:val="DGTextstand-alone"/>
              <w:spacing w:before="0" w:after="0"/>
              <w:jc w:val="right"/>
              <w:rPr>
                <w:color w:val="016794"/>
              </w:rPr>
            </w:pPr>
          </w:p>
        </w:tc>
        <w:tc>
          <w:tcPr>
            <w:tcW w:w="425" w:type="dxa"/>
            <w:tcBorders>
              <w:top w:val="nil"/>
              <w:left w:val="nil"/>
              <w:bottom w:val="nil"/>
              <w:right w:val="nil"/>
            </w:tcBorders>
            <w:shd w:val="clear" w:color="auto" w:fill="auto"/>
            <w:vAlign w:val="center"/>
          </w:tcPr>
          <w:p>
            <w:pPr>
              <w:pStyle w:val="DGTextstand-alone"/>
              <w:spacing w:before="0" w:after="0"/>
              <w:jc w:val="right"/>
              <w:rPr>
                <w:color w:val="016794"/>
              </w:rPr>
            </w:pPr>
          </w:p>
        </w:tc>
        <w:tc>
          <w:tcPr>
            <w:tcW w:w="2410" w:type="dxa"/>
            <w:tcBorders>
              <w:left w:val="nil"/>
              <w:bottom w:val="single" w:sz="12" w:space="0" w:color="016794"/>
              <w:right w:val="nil"/>
            </w:tcBorders>
            <w:shd w:val="clear" w:color="auto" w:fill="auto"/>
            <w:vAlign w:val="center"/>
          </w:tcPr>
          <w:p>
            <w:pPr>
              <w:pStyle w:val="DGTextstand-alone"/>
              <w:spacing w:before="0" w:after="0"/>
              <w:jc w:val="left"/>
              <w:rPr>
                <w:color w:val="016794"/>
              </w:rPr>
            </w:pPr>
            <w:r>
              <w:rPr>
                <w:color w:val="016794"/>
              </w:rPr>
              <w:t>Други</w:t>
            </w:r>
          </w:p>
        </w:tc>
        <w:tc>
          <w:tcPr>
            <w:tcW w:w="2268" w:type="dxa"/>
            <w:tcBorders>
              <w:left w:val="nil"/>
              <w:bottom w:val="single" w:sz="12" w:space="0" w:color="016794"/>
              <w:right w:val="nil"/>
            </w:tcBorders>
            <w:shd w:val="clear" w:color="auto" w:fill="auto"/>
            <w:vAlign w:val="center"/>
          </w:tcPr>
          <w:p>
            <w:pPr>
              <w:pStyle w:val="DGTextstand-alone"/>
              <w:spacing w:before="0" w:after="0"/>
              <w:jc w:val="right"/>
              <w:rPr>
                <w:color w:val="016794"/>
              </w:rPr>
            </w:pPr>
            <w:r>
              <w:rPr>
                <w:color w:val="016794"/>
              </w:rPr>
              <w:t>9,9</w:t>
            </w:r>
          </w:p>
        </w:tc>
      </w:tr>
      <w:tr>
        <w:trPr>
          <w:trHeight w:val="253"/>
        </w:trPr>
        <w:tc>
          <w:tcPr>
            <w:tcW w:w="4673" w:type="dxa"/>
            <w:gridSpan w:val="2"/>
            <w:tcBorders>
              <w:top w:val="nil"/>
              <w:left w:val="nil"/>
              <w:bottom w:val="nil"/>
              <w:right w:val="nil"/>
            </w:tcBorders>
            <w:shd w:val="clear" w:color="auto" w:fill="auto"/>
            <w:vAlign w:val="center"/>
          </w:tcPr>
          <w:p>
            <w:pPr>
              <w:pStyle w:val="DGTextstand-alone"/>
              <w:spacing w:before="0" w:after="0"/>
              <w:jc w:val="left"/>
              <w:rPr>
                <w:color w:val="016794"/>
              </w:rPr>
            </w:pPr>
            <w:r>
              <w:rPr>
                <w:color w:val="016794"/>
              </w:rPr>
              <w:t>* от които 39,5 млрд. евро, отпуснати през 2020 г.</w:t>
            </w:r>
          </w:p>
        </w:tc>
        <w:tc>
          <w:tcPr>
            <w:tcW w:w="425" w:type="dxa"/>
            <w:tcBorders>
              <w:top w:val="nil"/>
              <w:left w:val="nil"/>
              <w:bottom w:val="single" w:sz="24" w:space="0" w:color="FFFFFF"/>
              <w:right w:val="nil"/>
            </w:tcBorders>
            <w:shd w:val="clear" w:color="auto" w:fill="auto"/>
            <w:vAlign w:val="center"/>
          </w:tcPr>
          <w:p>
            <w:pPr>
              <w:pStyle w:val="DGTextstand-alone"/>
              <w:spacing w:before="0" w:after="0"/>
              <w:jc w:val="right"/>
              <w:rPr>
                <w:color w:val="016794"/>
              </w:rPr>
            </w:pPr>
          </w:p>
        </w:tc>
        <w:tc>
          <w:tcPr>
            <w:tcW w:w="2410" w:type="dxa"/>
            <w:tcBorders>
              <w:top w:val="single" w:sz="12" w:space="0" w:color="016794"/>
              <w:left w:val="nil"/>
              <w:bottom w:val="nil"/>
              <w:right w:val="nil"/>
            </w:tcBorders>
            <w:shd w:val="clear" w:color="auto" w:fill="auto"/>
            <w:vAlign w:val="center"/>
          </w:tcPr>
          <w:p>
            <w:pPr>
              <w:pStyle w:val="DGTextstand-alone"/>
              <w:spacing w:before="0" w:after="0"/>
              <w:jc w:val="left"/>
              <w:rPr>
                <w:b/>
                <w:color w:val="016794"/>
              </w:rPr>
            </w:pPr>
            <w:r>
              <w:rPr>
                <w:b/>
                <w:color w:val="016794"/>
              </w:rPr>
              <w:t>Общо предоставени през 2020 г.</w:t>
            </w:r>
          </w:p>
        </w:tc>
        <w:tc>
          <w:tcPr>
            <w:tcW w:w="2268" w:type="dxa"/>
            <w:tcBorders>
              <w:top w:val="single" w:sz="12" w:space="0" w:color="016794"/>
              <w:left w:val="nil"/>
              <w:bottom w:val="nil"/>
              <w:right w:val="nil"/>
            </w:tcBorders>
            <w:shd w:val="clear" w:color="auto" w:fill="auto"/>
            <w:vAlign w:val="center"/>
          </w:tcPr>
          <w:p>
            <w:pPr>
              <w:pStyle w:val="DGTextstand-alone"/>
              <w:spacing w:before="0" w:after="0"/>
              <w:jc w:val="right"/>
              <w:rPr>
                <w:b/>
                <w:color w:val="016794"/>
              </w:rPr>
            </w:pPr>
            <w:r>
              <w:rPr>
                <w:b/>
                <w:color w:val="016794"/>
              </w:rPr>
              <w:t>90,3</w:t>
            </w:r>
          </w:p>
        </w:tc>
      </w:tr>
      <w:tr>
        <w:trPr>
          <w:trHeight w:val="253"/>
        </w:trPr>
        <w:tc>
          <w:tcPr>
            <w:tcW w:w="4673" w:type="dxa"/>
            <w:gridSpan w:val="2"/>
            <w:tcBorders>
              <w:top w:val="nil"/>
              <w:left w:val="nil"/>
              <w:bottom w:val="single" w:sz="24" w:space="0" w:color="FFFFFF"/>
              <w:right w:val="nil"/>
            </w:tcBorders>
            <w:shd w:val="clear" w:color="auto" w:fill="DBE5F1" w:themeFill="accent1" w:themeFillTint="33"/>
            <w:vAlign w:val="center"/>
          </w:tcPr>
          <w:p>
            <w:pPr>
              <w:pStyle w:val="DGTextstand-alone"/>
              <w:spacing w:before="0" w:after="0"/>
              <w:jc w:val="right"/>
              <w:rPr>
                <w:color w:val="016794"/>
              </w:rPr>
            </w:pPr>
            <w:r>
              <w:pict>
                <v:shape id="DOC_ASH00002" o:spid="_x0000_s1249" type="#_x0000_t13" style="width:11.6pt;height:7.1pt;visibility:visible;mso-wrap-style:square;mso-left-percent:-10001;mso-top-percent:-10001;mso-position-horizontal:absolute;mso-position-horizontal-relative:char;mso-position-vertical:absolute;mso-position-vertical-relative:line;mso-left-percent:-10001;mso-top-percent:-10001;v-text-anchor:middle" adj="15015" fillcolor="#4f81bd" stroked="f" strokeweight="2pt">
                  <v:path arrowok="t"/>
                  <o:lock v:ext="edit" aspectratio="t"/>
                  <v:textbox style="mso-next-textbox:#DOC_ASH00002">
                    <w:txbxContent>
                      <w:p>
                        <w:pPr>
                          <w:jc w:val="center"/>
                        </w:pPr>
                      </w:p>
                    </w:txbxContent>
                  </v:textbox>
                  <w10:anchorlock/>
                </v:shape>
              </w:pict>
            </w:r>
            <w:r>
              <w:rPr>
                <w:color w:val="016794"/>
              </w:rPr>
              <w:t xml:space="preserve"> вж. точки </w:t>
            </w:r>
            <w:r>
              <w:rPr>
                <w:b/>
                <w:color w:val="016794"/>
              </w:rPr>
              <w:t>2.2</w:t>
            </w:r>
            <w:r>
              <w:rPr>
                <w:color w:val="016794"/>
              </w:rPr>
              <w:t xml:space="preserve"> и </w:t>
            </w:r>
            <w:r>
              <w:rPr>
                <w:b/>
                <w:color w:val="016794"/>
              </w:rPr>
              <w:t>3</w:t>
            </w:r>
          </w:p>
        </w:tc>
        <w:tc>
          <w:tcPr>
            <w:tcW w:w="425" w:type="dxa"/>
            <w:tcBorders>
              <w:top w:val="single" w:sz="24" w:space="0" w:color="FFFFFF"/>
              <w:left w:val="nil"/>
              <w:bottom w:val="single" w:sz="24" w:space="0" w:color="FFFFFF"/>
              <w:right w:val="nil"/>
            </w:tcBorders>
            <w:shd w:val="clear" w:color="auto" w:fill="auto"/>
            <w:vAlign w:val="center"/>
          </w:tcPr>
          <w:p>
            <w:pPr>
              <w:pStyle w:val="DGTextstand-alone"/>
              <w:spacing w:before="0" w:after="0"/>
              <w:jc w:val="right"/>
              <w:rPr>
                <w:color w:val="016794"/>
              </w:rPr>
            </w:pPr>
          </w:p>
        </w:tc>
        <w:tc>
          <w:tcPr>
            <w:tcW w:w="4678" w:type="dxa"/>
            <w:gridSpan w:val="2"/>
            <w:tcBorders>
              <w:top w:val="nil"/>
              <w:left w:val="nil"/>
              <w:bottom w:val="single" w:sz="24" w:space="0" w:color="FFFFFF"/>
              <w:right w:val="nil"/>
            </w:tcBorders>
            <w:shd w:val="clear" w:color="auto" w:fill="DBE5F1" w:themeFill="accent1" w:themeFillTint="33"/>
            <w:vAlign w:val="center"/>
          </w:tcPr>
          <w:p>
            <w:pPr>
              <w:jc w:val="right"/>
              <w:rPr>
                <w:rFonts w:ascii="Verdana" w:eastAsia="Calibri" w:hAnsi="Verdana"/>
                <w:noProof/>
                <w:color w:val="016794"/>
                <w:sz w:val="18"/>
                <w:szCs w:val="18"/>
                <w:bdr w:val="nil"/>
              </w:rPr>
            </w:pPr>
            <w:r>
              <w:rPr>
                <w:noProof/>
              </w:rPr>
            </w:r>
            <w:r>
              <w:rPr>
                <w:noProof/>
              </w:rPr>
              <w:pict>
                <v:shape id="DOC_ASH00003" o:spid="_x0000_s1248" type="#_x0000_t13" style="width:11.6pt;height:7.1pt;visibility:visible;mso-wrap-style:square;mso-left-percent:-10001;mso-top-percent:-10001;mso-position-horizontal:absolute;mso-position-horizontal-relative:char;mso-position-vertical:absolute;mso-position-vertical-relative:line;mso-left-percent:-10001;mso-top-percent:-10001;v-text-anchor:middle" adj="15015" fillcolor="#4f81bd" stroked="f" strokeweight="2pt">
                  <v:path arrowok="t"/>
                  <o:lock v:ext="edit" aspectratio="t"/>
                  <v:textbox style="mso-next-textbox:#DOC_ASH00003">
                    <w:txbxContent>
                      <w:p>
                        <w:pPr>
                          <w:jc w:val="center"/>
                        </w:pPr>
                      </w:p>
                    </w:txbxContent>
                  </v:textbox>
                  <w10:anchorlock/>
                </v:shape>
              </w:pict>
            </w:r>
            <w:r>
              <w:rPr>
                <w:rFonts w:ascii="Verdana" w:hAnsi="Verdana"/>
                <w:noProof/>
                <w:color w:val="016794"/>
                <w:sz w:val="18"/>
                <w:szCs w:val="18"/>
                <w:bdr w:val="nil"/>
              </w:rPr>
              <w:t xml:space="preserve"> вж. точка </w:t>
            </w:r>
            <w:r>
              <w:rPr>
                <w:rFonts w:ascii="Verdana" w:hAnsi="Verdana"/>
                <w:b/>
                <w:noProof/>
                <w:color w:val="016794"/>
                <w:sz w:val="18"/>
                <w:szCs w:val="18"/>
                <w:bdr w:val="nil"/>
              </w:rPr>
              <w:t>2.2.6</w:t>
            </w:r>
          </w:p>
        </w:tc>
      </w:tr>
    </w:tbl>
    <w:p>
      <w:pPr>
        <w:rPr>
          <w:noProof/>
        </w:rPr>
      </w:pPr>
    </w:p>
    <w:p>
      <w:pPr>
        <w:rPr>
          <w:noProof/>
        </w:rPr>
      </w:pPr>
    </w:p>
    <w:p>
      <w:pPr>
        <w:rPr>
          <w:noProof/>
        </w:rPr>
      </w:pPr>
    </w:p>
    <w:p>
      <w:pPr>
        <w:rPr>
          <w:noProof/>
        </w:rPr>
      </w:pPr>
    </w:p>
    <w:p>
      <w:pPr>
        <w:rPr>
          <w:noProof/>
        </w:rPr>
      </w:pPr>
      <w:r>
        <w:rPr>
          <w:noProof/>
        </w:rPr>
        <w:br w:type="page"/>
      </w:r>
    </w:p>
    <w:tbl>
      <w:tblPr>
        <w:tblW w:w="0" w:type="auto"/>
        <w:tblInd w:w="-10" w:type="dxa"/>
        <w:tblBorders>
          <w:left w:val="single" w:sz="4" w:space="0" w:color="FFFFFF"/>
        </w:tblBorders>
        <w:tblCellMar>
          <w:left w:w="57" w:type="dxa"/>
          <w:right w:w="57" w:type="dxa"/>
        </w:tblCellMar>
        <w:tblLook w:val="04A0" w:firstRow="1" w:lastRow="0" w:firstColumn="1" w:lastColumn="0" w:noHBand="0" w:noVBand="1"/>
      </w:tblPr>
      <w:tblGrid>
        <w:gridCol w:w="5669"/>
        <w:gridCol w:w="1985"/>
        <w:gridCol w:w="1983"/>
      </w:tblGrid>
      <w:tr>
        <w:trPr>
          <w:trHeight w:val="510"/>
        </w:trPr>
        <w:tc>
          <w:tcPr>
            <w:tcW w:w="9637" w:type="dxa"/>
            <w:gridSpan w:val="3"/>
            <w:tcBorders>
              <w:top w:val="nil"/>
              <w:bottom w:val="nil"/>
            </w:tcBorders>
            <w:shd w:val="clear" w:color="auto" w:fill="auto"/>
            <w:vAlign w:val="center"/>
          </w:tcPr>
          <w:p>
            <w:pPr>
              <w:pBdr>
                <w:top w:val="nil"/>
                <w:left w:val="nil"/>
                <w:bottom w:val="nil"/>
                <w:right w:val="nil"/>
                <w:between w:val="nil"/>
                <w:bar w:val="nil"/>
              </w:pBdr>
              <w:jc w:val="both"/>
              <w:rPr>
                <w:rFonts w:ascii="Verdana" w:eastAsia="Calibri" w:hAnsi="Verdana"/>
                <w:b/>
                <w:noProof/>
                <w:color w:val="016794"/>
                <w:sz w:val="28"/>
                <w:szCs w:val="28"/>
                <w:bdr w:val="nil"/>
              </w:rPr>
            </w:pPr>
            <w:r>
              <w:rPr>
                <w:rFonts w:ascii="Verdana" w:hAnsi="Verdana"/>
                <w:b/>
                <w:noProof/>
                <w:color w:val="016794"/>
                <w:sz w:val="28"/>
                <w:szCs w:val="28"/>
                <w:bdr w:val="nil"/>
              </w:rPr>
              <w:t>Консолидирани финансови отчети</w:t>
            </w:r>
          </w:p>
        </w:tc>
      </w:tr>
      <w:tr>
        <w:trPr>
          <w:trHeight w:val="336"/>
        </w:trPr>
        <w:tc>
          <w:tcPr>
            <w:tcW w:w="5669" w:type="dxa"/>
            <w:tcBorders>
              <w:top w:val="nil"/>
            </w:tcBorders>
            <w:shd w:val="clear" w:color="auto" w:fill="auto"/>
            <w:vAlign w:val="center"/>
          </w:tcPr>
          <w:p>
            <w:pPr>
              <w:rPr>
                <w:rFonts w:ascii="Verdana" w:hAnsi="Verdana"/>
                <w:noProof/>
                <w:color w:val="016794"/>
                <w:sz w:val="18"/>
                <w:szCs w:val="18"/>
                <w:lang w:eastAsia="de-DE"/>
              </w:rPr>
            </w:pPr>
          </w:p>
        </w:tc>
        <w:tc>
          <w:tcPr>
            <w:tcW w:w="1985" w:type="dxa"/>
            <w:tcBorders>
              <w:top w:val="nil"/>
            </w:tcBorders>
            <w:shd w:val="clear" w:color="auto" w:fill="auto"/>
            <w:vAlign w:val="center"/>
          </w:tcPr>
          <w:p>
            <w:pPr>
              <w:jc w:val="right"/>
              <w:rPr>
                <w:rFonts w:ascii="Verdana" w:hAnsi="Verdana"/>
                <w:b/>
                <w:noProof/>
                <w:sz w:val="18"/>
              </w:rPr>
            </w:pPr>
          </w:p>
        </w:tc>
        <w:tc>
          <w:tcPr>
            <w:tcW w:w="1983" w:type="dxa"/>
            <w:tcBorders>
              <w:top w:val="nil"/>
            </w:tcBorders>
            <w:shd w:val="clear" w:color="auto" w:fill="auto"/>
            <w:vAlign w:val="center"/>
          </w:tcPr>
          <w:p>
            <w:pPr>
              <w:jc w:val="right"/>
              <w:rPr>
                <w:rFonts w:ascii="Verdana" w:hAnsi="Verdana"/>
                <w:b/>
                <w:noProof/>
                <w:sz w:val="18"/>
              </w:rPr>
            </w:pPr>
          </w:p>
        </w:tc>
      </w:tr>
      <w:tr>
        <w:trPr>
          <w:trHeight w:val="336"/>
        </w:trPr>
        <w:tc>
          <w:tcPr>
            <w:tcW w:w="9637" w:type="dxa"/>
            <w:gridSpan w:val="3"/>
            <w:shd w:val="clear" w:color="auto" w:fill="auto"/>
            <w:vAlign w:val="center"/>
          </w:tcPr>
          <w:p>
            <w:pPr>
              <w:pBdr>
                <w:top w:val="nil"/>
                <w:left w:val="nil"/>
                <w:bottom w:val="nil"/>
                <w:right w:val="nil"/>
                <w:between w:val="nil"/>
                <w:bar w:val="nil"/>
              </w:pBdr>
              <w:jc w:val="both"/>
              <w:rPr>
                <w:rFonts w:ascii="Verdana" w:eastAsia="Calibri" w:hAnsi="Verdana"/>
                <w:noProof/>
                <w:sz w:val="18"/>
                <w:szCs w:val="18"/>
                <w:bdr w:val="nil"/>
              </w:rPr>
            </w:pPr>
            <w:r>
              <w:rPr>
                <w:rFonts w:ascii="Verdana" w:hAnsi="Verdana"/>
                <w:noProof/>
                <w:sz w:val="18"/>
                <w:szCs w:val="18"/>
                <w:bdr w:val="nil"/>
              </w:rPr>
              <w:t>Консолидираните финансови отчети на ЕС обхващат над 50 субекта (включително Европейския парламент, Съвета, Комисията и агенциите на ЕС). Европейската комисия е най-значителният субект — на нея се падат 98 % от общите активи в консолидираните финансови отчети.</w:t>
            </w:r>
          </w:p>
          <w:p>
            <w:pPr>
              <w:pBdr>
                <w:top w:val="nil"/>
                <w:left w:val="nil"/>
                <w:bottom w:val="nil"/>
                <w:right w:val="nil"/>
                <w:between w:val="nil"/>
                <w:bar w:val="nil"/>
              </w:pBdr>
              <w:jc w:val="both"/>
              <w:rPr>
                <w:rFonts w:ascii="Verdana" w:eastAsia="Calibri" w:hAnsi="Verdana"/>
                <w:noProof/>
                <w:sz w:val="18"/>
                <w:szCs w:val="18"/>
                <w:bdr w:val="nil"/>
                <w:lang w:eastAsia="en-US"/>
              </w:rPr>
            </w:pPr>
          </w:p>
          <w:p>
            <w:pPr>
              <w:pBdr>
                <w:top w:val="nil"/>
                <w:left w:val="nil"/>
                <w:bottom w:val="nil"/>
                <w:right w:val="nil"/>
                <w:between w:val="nil"/>
                <w:bar w:val="nil"/>
              </w:pBdr>
              <w:jc w:val="both"/>
              <w:rPr>
                <w:rFonts w:ascii="Verdana" w:eastAsia="Calibri" w:hAnsi="Verdana"/>
                <w:noProof/>
                <w:sz w:val="18"/>
                <w:szCs w:val="18"/>
                <w:bdr w:val="nil"/>
              </w:rPr>
            </w:pPr>
            <w:r>
              <w:rPr>
                <w:rFonts w:ascii="Verdana" w:hAnsi="Verdana"/>
                <w:b/>
                <w:noProof/>
                <w:sz w:val="18"/>
                <w:szCs w:val="18"/>
                <w:bdr w:val="nil"/>
              </w:rPr>
              <w:t>Отчетите на ЕС</w:t>
            </w:r>
            <w:r>
              <w:rPr>
                <w:rFonts w:ascii="Verdana" w:hAnsi="Verdana"/>
                <w:noProof/>
                <w:sz w:val="18"/>
                <w:szCs w:val="18"/>
                <w:bdr w:val="nil"/>
              </w:rPr>
              <w:t xml:space="preserve"> са изготвени в съответствие с най-високите налични стандарти, а именно международните счетоводни стандарти за публичния сектор (МССПС). Придържането към тези стандарти гарантира, че отчетите предоставят релевантна, надеждна, сравнима и разбираема финансова информация за гражданите. Те предоставят информация за финансовото състояние (счетоводния баланс) на ЕС, както и подробни обяснения за неговите активи, пасиви, финансови ангажименти и задължения. Те показват също как е бил изпълняван бюджетът на ЕС през годината.</w:t>
            </w:r>
          </w:p>
          <w:p>
            <w:pPr>
              <w:jc w:val="both"/>
              <w:rPr>
                <w:rFonts w:ascii="Verdana" w:hAnsi="Verdana"/>
                <w:b/>
                <w:noProof/>
                <w:sz w:val="18"/>
              </w:rPr>
            </w:pPr>
          </w:p>
        </w:tc>
      </w:tr>
      <w:tr>
        <w:trPr>
          <w:trHeight w:val="336"/>
        </w:trPr>
        <w:tc>
          <w:tcPr>
            <w:tcW w:w="5669" w:type="dxa"/>
            <w:shd w:val="clear" w:color="auto" w:fill="auto"/>
            <w:vAlign w:val="center"/>
          </w:tcPr>
          <w:p>
            <w:pPr>
              <w:rPr>
                <w:rFonts w:ascii="Verdana" w:hAnsi="Verdana"/>
                <w:noProof/>
                <w:color w:val="016794"/>
                <w:sz w:val="18"/>
                <w:szCs w:val="18"/>
                <w:lang w:eastAsia="de-DE"/>
              </w:rPr>
            </w:pPr>
          </w:p>
        </w:tc>
        <w:tc>
          <w:tcPr>
            <w:tcW w:w="1985" w:type="dxa"/>
            <w:shd w:val="clear" w:color="auto" w:fill="auto"/>
            <w:vAlign w:val="center"/>
          </w:tcPr>
          <w:p>
            <w:pPr>
              <w:jc w:val="right"/>
              <w:rPr>
                <w:rFonts w:ascii="Verdana" w:hAnsi="Verdana"/>
                <w:b/>
                <w:noProof/>
                <w:sz w:val="18"/>
              </w:rPr>
            </w:pPr>
          </w:p>
        </w:tc>
        <w:tc>
          <w:tcPr>
            <w:tcW w:w="1983" w:type="dxa"/>
            <w:tcBorders>
              <w:bottom w:val="nil"/>
            </w:tcBorders>
            <w:shd w:val="clear" w:color="auto" w:fill="auto"/>
            <w:vAlign w:val="center"/>
          </w:tcPr>
          <w:p>
            <w:pPr>
              <w:pBdr>
                <w:top w:val="nil"/>
                <w:left w:val="nil"/>
                <w:bottom w:val="nil"/>
                <w:right w:val="nil"/>
                <w:between w:val="nil"/>
                <w:bar w:val="nil"/>
              </w:pBdr>
              <w:jc w:val="right"/>
              <w:rPr>
                <w:rFonts w:ascii="Verdana" w:eastAsia="Calibri" w:hAnsi="Verdana"/>
                <w:i/>
                <w:noProof/>
                <w:sz w:val="18"/>
                <w:szCs w:val="18"/>
                <w:bdr w:val="nil"/>
              </w:rPr>
            </w:pPr>
            <w:r>
              <w:rPr>
                <w:rFonts w:ascii="Verdana" w:hAnsi="Verdana"/>
                <w:i/>
                <w:noProof/>
                <w:sz w:val="16"/>
                <w:szCs w:val="18"/>
                <w:bdr w:val="nil"/>
              </w:rPr>
              <w:t>милиарди евро</w:t>
            </w:r>
          </w:p>
        </w:tc>
      </w:tr>
      <w:tr>
        <w:trPr>
          <w:trHeight w:val="336"/>
        </w:trPr>
        <w:tc>
          <w:tcPr>
            <w:tcW w:w="5669" w:type="dxa"/>
            <w:tcBorders>
              <w:bottom w:val="nil"/>
            </w:tcBorders>
            <w:shd w:val="clear" w:color="auto" w:fill="auto"/>
            <w:vAlign w:val="center"/>
          </w:tcPr>
          <w:p>
            <w:pPr>
              <w:rPr>
                <w:rFonts w:ascii="Verdana" w:hAnsi="Verdana"/>
                <w:noProof/>
                <w:color w:val="016794"/>
                <w:sz w:val="18"/>
                <w:szCs w:val="18"/>
                <w:lang w:eastAsia="de-DE"/>
              </w:rPr>
            </w:pPr>
          </w:p>
        </w:tc>
        <w:tc>
          <w:tcPr>
            <w:tcW w:w="1985" w:type="dxa"/>
            <w:tcBorders>
              <w:bottom w:val="nil"/>
              <w:right w:val="single" w:sz="4" w:space="0" w:color="FFFFFF"/>
            </w:tcBorders>
            <w:shd w:val="clear" w:color="auto" w:fill="036794"/>
            <w:vAlign w:val="center"/>
          </w:tcPr>
          <w:p>
            <w:pPr>
              <w:pBdr>
                <w:top w:val="nil"/>
                <w:left w:val="nil"/>
                <w:bottom w:val="nil"/>
                <w:right w:val="nil"/>
                <w:between w:val="nil"/>
                <w:bar w:val="nil"/>
              </w:pBdr>
              <w:jc w:val="right"/>
              <w:rPr>
                <w:rFonts w:ascii="Verdana" w:eastAsia="Calibri" w:hAnsi="Verdana"/>
                <w:b/>
                <w:noProof/>
                <w:color w:val="FFFFFF"/>
                <w:sz w:val="18"/>
                <w:szCs w:val="18"/>
                <w:bdr w:val="nil"/>
              </w:rPr>
            </w:pPr>
            <w:r>
              <w:rPr>
                <w:rFonts w:ascii="Verdana" w:hAnsi="Verdana"/>
                <w:b/>
                <w:noProof/>
                <w:color w:val="FFFFFF"/>
                <w:sz w:val="18"/>
                <w:szCs w:val="18"/>
                <w:bdr w:val="nil"/>
              </w:rPr>
              <w:t>2020 г.</w:t>
            </w:r>
          </w:p>
        </w:tc>
        <w:tc>
          <w:tcPr>
            <w:tcW w:w="1983" w:type="dxa"/>
            <w:tcBorders>
              <w:left w:val="single" w:sz="4" w:space="0" w:color="FFFFFF"/>
              <w:bottom w:val="nil"/>
            </w:tcBorders>
            <w:shd w:val="clear" w:color="auto" w:fill="036794"/>
            <w:vAlign w:val="center"/>
          </w:tcPr>
          <w:p>
            <w:pPr>
              <w:pBdr>
                <w:top w:val="nil"/>
                <w:left w:val="nil"/>
                <w:bottom w:val="nil"/>
                <w:right w:val="nil"/>
                <w:between w:val="nil"/>
                <w:bar w:val="nil"/>
              </w:pBdr>
              <w:jc w:val="right"/>
              <w:rPr>
                <w:rFonts w:ascii="Verdana" w:eastAsia="Calibri" w:hAnsi="Verdana"/>
                <w:b/>
                <w:noProof/>
                <w:color w:val="FFFFFF"/>
                <w:sz w:val="18"/>
                <w:szCs w:val="18"/>
                <w:bdr w:val="nil"/>
              </w:rPr>
            </w:pPr>
            <w:r>
              <w:rPr>
                <w:rFonts w:ascii="Verdana" w:hAnsi="Verdana"/>
                <w:b/>
                <w:noProof/>
                <w:color w:val="FFFFFF"/>
                <w:sz w:val="18"/>
                <w:szCs w:val="18"/>
                <w:bdr w:val="nil"/>
              </w:rPr>
              <w:t>2019 г.</w:t>
            </w:r>
          </w:p>
        </w:tc>
      </w:tr>
      <w:tr>
        <w:trPr>
          <w:trHeight w:val="336"/>
        </w:trPr>
        <w:tc>
          <w:tcPr>
            <w:tcW w:w="5669" w:type="dxa"/>
            <w:tcBorders>
              <w:bottom w:val="single" w:sz="4" w:space="0" w:color="D9D9D9"/>
            </w:tcBorders>
            <w:shd w:val="clear" w:color="auto" w:fill="auto"/>
            <w:vAlign w:val="center"/>
          </w:tcPr>
          <w:p>
            <w:pPr>
              <w:pBdr>
                <w:top w:val="nil"/>
                <w:left w:val="nil"/>
                <w:bottom w:val="nil"/>
                <w:right w:val="nil"/>
                <w:between w:val="nil"/>
                <w:bar w:val="nil"/>
              </w:pBdr>
              <w:rPr>
                <w:rFonts w:ascii="Verdana" w:eastAsia="Calibri" w:hAnsi="Verdana"/>
                <w:b/>
                <w:noProof/>
                <w:color w:val="016794"/>
                <w:sz w:val="18"/>
                <w:szCs w:val="18"/>
                <w:bdr w:val="nil"/>
              </w:rPr>
            </w:pPr>
            <w:r>
              <w:rPr>
                <w:rFonts w:ascii="Verdana" w:hAnsi="Verdana"/>
                <w:b/>
                <w:noProof/>
                <w:color w:val="59BDB8"/>
                <w:sz w:val="18"/>
                <w:szCs w:val="18"/>
                <w:bdr w:val="nil"/>
              </w:rPr>
              <w:t>АКТИВИ</w:t>
            </w:r>
          </w:p>
        </w:tc>
        <w:tc>
          <w:tcPr>
            <w:tcW w:w="1985" w:type="dxa"/>
            <w:tcBorders>
              <w:bottom w:val="single" w:sz="4" w:space="0" w:color="D9D9D9"/>
            </w:tcBorders>
            <w:shd w:val="clear" w:color="auto" w:fill="auto"/>
            <w:vAlign w:val="center"/>
          </w:tcPr>
          <w:p>
            <w:pPr>
              <w:jc w:val="right"/>
              <w:rPr>
                <w:rFonts w:ascii="Verdana" w:hAnsi="Verdana"/>
                <w:noProof/>
                <w:color w:val="016794"/>
                <w:sz w:val="18"/>
                <w:szCs w:val="18"/>
              </w:rPr>
            </w:pPr>
          </w:p>
        </w:tc>
        <w:tc>
          <w:tcPr>
            <w:tcW w:w="1983" w:type="dxa"/>
            <w:tcBorders>
              <w:bottom w:val="single" w:sz="4" w:space="0" w:color="D9D9D9"/>
            </w:tcBorders>
            <w:shd w:val="clear" w:color="auto" w:fill="auto"/>
            <w:vAlign w:val="center"/>
          </w:tcPr>
          <w:p>
            <w:pPr>
              <w:jc w:val="right"/>
              <w:rPr>
                <w:rFonts w:ascii="Verdana" w:hAnsi="Verdana"/>
                <w:noProof/>
                <w:color w:val="016794"/>
                <w:sz w:val="18"/>
                <w:szCs w:val="18"/>
              </w:rPr>
            </w:pPr>
          </w:p>
        </w:tc>
      </w:tr>
      <w:tr>
        <w:trPr>
          <w:trHeight w:val="336"/>
        </w:trPr>
        <w:tc>
          <w:tcPr>
            <w:tcW w:w="5669" w:type="dxa"/>
            <w:tcBorders>
              <w:top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Финансови активи</w:t>
            </w:r>
          </w:p>
        </w:tc>
        <w:tc>
          <w:tcPr>
            <w:tcW w:w="1985" w:type="dxa"/>
            <w:tcBorders>
              <w:top w:val="single" w:sz="4" w:space="0" w:color="D9D9D9"/>
              <w:left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113,1</w:t>
            </w:r>
          </w:p>
        </w:tc>
        <w:tc>
          <w:tcPr>
            <w:tcW w:w="1983" w:type="dxa"/>
            <w:tcBorders>
              <w:top w:val="single" w:sz="4" w:space="0" w:color="D9D9D9"/>
              <w:left w:val="single" w:sz="4" w:space="0" w:color="D9D9D9"/>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71,2</w:t>
            </w:r>
          </w:p>
        </w:tc>
      </w:tr>
      <w:tr>
        <w:trPr>
          <w:trHeight w:val="336"/>
        </w:trPr>
        <w:tc>
          <w:tcPr>
            <w:tcW w:w="5669" w:type="dxa"/>
            <w:tcBorders>
              <w:top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Предварително финансиране</w:t>
            </w:r>
          </w:p>
        </w:tc>
        <w:tc>
          <w:tcPr>
            <w:tcW w:w="1985" w:type="dxa"/>
            <w:tcBorders>
              <w:top w:val="single" w:sz="4" w:space="0" w:color="D9D9D9"/>
              <w:left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62,7</w:t>
            </w:r>
          </w:p>
        </w:tc>
        <w:tc>
          <w:tcPr>
            <w:tcW w:w="1983" w:type="dxa"/>
            <w:tcBorders>
              <w:top w:val="single" w:sz="4" w:space="0" w:color="D9D9D9"/>
              <w:left w:val="single" w:sz="4" w:space="0" w:color="D9D9D9"/>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51,4</w:t>
            </w:r>
          </w:p>
        </w:tc>
      </w:tr>
      <w:tr>
        <w:trPr>
          <w:trHeight w:val="336"/>
        </w:trPr>
        <w:tc>
          <w:tcPr>
            <w:tcW w:w="5669" w:type="dxa"/>
            <w:tcBorders>
              <w:top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Вземания</w:t>
            </w:r>
          </w:p>
        </w:tc>
        <w:tc>
          <w:tcPr>
            <w:tcW w:w="1985" w:type="dxa"/>
            <w:tcBorders>
              <w:top w:val="single" w:sz="4" w:space="0" w:color="D9D9D9"/>
              <w:left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74,5</w:t>
            </w:r>
          </w:p>
        </w:tc>
        <w:tc>
          <w:tcPr>
            <w:tcW w:w="1983" w:type="dxa"/>
            <w:tcBorders>
              <w:top w:val="single" w:sz="4" w:space="0" w:color="D9D9D9"/>
              <w:left w:val="single" w:sz="4" w:space="0" w:color="D9D9D9"/>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24,0</w:t>
            </w:r>
          </w:p>
        </w:tc>
      </w:tr>
      <w:tr>
        <w:trPr>
          <w:trHeight w:val="336"/>
        </w:trPr>
        <w:tc>
          <w:tcPr>
            <w:tcW w:w="5669" w:type="dxa"/>
            <w:tcBorders>
              <w:top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Пари и парични еквиваленти</w:t>
            </w:r>
          </w:p>
        </w:tc>
        <w:tc>
          <w:tcPr>
            <w:tcW w:w="1985" w:type="dxa"/>
            <w:tcBorders>
              <w:top w:val="single" w:sz="4" w:space="0" w:color="D9D9D9"/>
              <w:left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16,7</w:t>
            </w:r>
          </w:p>
        </w:tc>
        <w:tc>
          <w:tcPr>
            <w:tcW w:w="1983" w:type="dxa"/>
            <w:tcBorders>
              <w:top w:val="single" w:sz="4" w:space="0" w:color="D9D9D9"/>
              <w:left w:val="single" w:sz="4" w:space="0" w:color="D9D9D9"/>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19,7</w:t>
            </w:r>
          </w:p>
        </w:tc>
      </w:tr>
      <w:tr>
        <w:trPr>
          <w:trHeight w:val="336"/>
        </w:trPr>
        <w:tc>
          <w:tcPr>
            <w:tcW w:w="5669" w:type="dxa"/>
            <w:tcBorders>
              <w:top w:val="single" w:sz="4" w:space="0" w:color="D9D9D9"/>
              <w:bottom w:val="nil"/>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Имоти, машини и съоръжения и други активи</w:t>
            </w:r>
          </w:p>
        </w:tc>
        <w:tc>
          <w:tcPr>
            <w:tcW w:w="1985" w:type="dxa"/>
            <w:tcBorders>
              <w:top w:val="single" w:sz="4" w:space="0" w:color="D9D9D9"/>
              <w:left w:val="single" w:sz="4" w:space="0" w:color="D9D9D9"/>
              <w:bottom w:val="nil"/>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13,0</w:t>
            </w:r>
          </w:p>
        </w:tc>
        <w:tc>
          <w:tcPr>
            <w:tcW w:w="1983" w:type="dxa"/>
            <w:tcBorders>
              <w:top w:val="single" w:sz="4" w:space="0" w:color="D9D9D9"/>
              <w:left w:val="single" w:sz="4" w:space="0" w:color="D9D9D9"/>
              <w:bottom w:val="nil"/>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12,6</w:t>
            </w:r>
          </w:p>
        </w:tc>
      </w:tr>
      <w:tr>
        <w:trPr>
          <w:trHeight w:val="336"/>
        </w:trPr>
        <w:tc>
          <w:tcPr>
            <w:tcW w:w="5669" w:type="dxa"/>
            <w:tcBorders>
              <w:left w:val="nil"/>
            </w:tcBorders>
            <w:shd w:val="clear" w:color="auto" w:fill="D9D9D9"/>
            <w:vAlign w:val="center"/>
          </w:tcPr>
          <w:p>
            <w:pPr>
              <w:pBdr>
                <w:top w:val="nil"/>
                <w:left w:val="nil"/>
                <w:bottom w:val="nil"/>
                <w:right w:val="nil"/>
                <w:between w:val="nil"/>
                <w:bar w:val="nil"/>
              </w:pBdr>
              <w:jc w:val="both"/>
              <w:rPr>
                <w:rFonts w:ascii="Verdana" w:eastAsia="Calibri" w:hAnsi="Verdana"/>
                <w:b/>
                <w:noProof/>
                <w:color w:val="016794"/>
                <w:sz w:val="18"/>
                <w:szCs w:val="18"/>
                <w:bdr w:val="nil"/>
              </w:rPr>
            </w:pPr>
            <w:r>
              <w:rPr>
                <w:rFonts w:ascii="Verdana" w:hAnsi="Verdana"/>
                <w:b/>
                <w:noProof/>
                <w:color w:val="016794"/>
                <w:sz w:val="18"/>
                <w:szCs w:val="18"/>
                <w:bdr w:val="nil"/>
              </w:rPr>
              <w:t>Общо</w:t>
            </w:r>
          </w:p>
        </w:tc>
        <w:tc>
          <w:tcPr>
            <w:tcW w:w="1985" w:type="dxa"/>
            <w:shd w:val="clear" w:color="auto" w:fill="D9D9D9"/>
            <w:vAlign w:val="center"/>
          </w:tcPr>
          <w:p>
            <w:pPr>
              <w:pBdr>
                <w:top w:val="nil"/>
                <w:left w:val="nil"/>
                <w:bottom w:val="nil"/>
                <w:right w:val="nil"/>
                <w:between w:val="nil"/>
                <w:bar w:val="nil"/>
              </w:pBdr>
              <w:jc w:val="right"/>
              <w:rPr>
                <w:rFonts w:ascii="Verdana" w:eastAsia="Calibri" w:hAnsi="Verdana"/>
                <w:b/>
                <w:noProof/>
                <w:color w:val="016794"/>
                <w:sz w:val="18"/>
                <w:szCs w:val="18"/>
                <w:bdr w:val="nil"/>
              </w:rPr>
            </w:pPr>
            <w:r>
              <w:rPr>
                <w:rFonts w:ascii="Verdana" w:hAnsi="Verdana"/>
                <w:b/>
                <w:noProof/>
                <w:color w:val="016794"/>
                <w:sz w:val="18"/>
                <w:szCs w:val="18"/>
                <w:bdr w:val="nil"/>
              </w:rPr>
              <w:t>280,0</w:t>
            </w:r>
          </w:p>
        </w:tc>
        <w:tc>
          <w:tcPr>
            <w:tcW w:w="1983" w:type="dxa"/>
            <w:shd w:val="clear" w:color="auto" w:fill="D9D9D9"/>
            <w:vAlign w:val="center"/>
          </w:tcPr>
          <w:p>
            <w:pPr>
              <w:pBdr>
                <w:top w:val="nil"/>
                <w:left w:val="nil"/>
                <w:bottom w:val="nil"/>
                <w:right w:val="nil"/>
                <w:between w:val="nil"/>
                <w:bar w:val="nil"/>
              </w:pBdr>
              <w:jc w:val="right"/>
              <w:rPr>
                <w:rFonts w:ascii="Verdana" w:eastAsia="Calibri" w:hAnsi="Verdana"/>
                <w:b/>
                <w:noProof/>
                <w:color w:val="016794"/>
                <w:sz w:val="18"/>
                <w:szCs w:val="18"/>
                <w:bdr w:val="nil"/>
              </w:rPr>
            </w:pPr>
            <w:r>
              <w:rPr>
                <w:rFonts w:ascii="Verdana" w:hAnsi="Verdana"/>
                <w:b/>
                <w:noProof/>
                <w:color w:val="016794"/>
                <w:sz w:val="18"/>
                <w:szCs w:val="18"/>
                <w:bdr w:val="nil"/>
              </w:rPr>
              <w:t>178,9</w:t>
            </w:r>
          </w:p>
        </w:tc>
      </w:tr>
      <w:tr>
        <w:trPr>
          <w:trHeight w:val="336"/>
        </w:trPr>
        <w:tc>
          <w:tcPr>
            <w:tcW w:w="5669" w:type="dxa"/>
            <w:tcBorders>
              <w:bottom w:val="nil"/>
            </w:tcBorders>
            <w:shd w:val="clear" w:color="auto" w:fill="auto"/>
            <w:vAlign w:val="center"/>
          </w:tcPr>
          <w:p>
            <w:pPr>
              <w:rPr>
                <w:rFonts w:ascii="Verdana" w:hAnsi="Verdana"/>
                <w:noProof/>
                <w:color w:val="016794"/>
                <w:sz w:val="18"/>
                <w:szCs w:val="18"/>
                <w:lang w:eastAsia="de-DE"/>
              </w:rPr>
            </w:pPr>
          </w:p>
        </w:tc>
        <w:tc>
          <w:tcPr>
            <w:tcW w:w="1985" w:type="dxa"/>
            <w:tcBorders>
              <w:bottom w:val="nil"/>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lang w:eastAsia="en-US"/>
              </w:rPr>
            </w:pPr>
          </w:p>
        </w:tc>
        <w:tc>
          <w:tcPr>
            <w:tcW w:w="1983" w:type="dxa"/>
            <w:tcBorders>
              <w:bottom w:val="nil"/>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lang w:eastAsia="en-US"/>
              </w:rPr>
            </w:pPr>
          </w:p>
        </w:tc>
      </w:tr>
      <w:tr>
        <w:trPr>
          <w:trHeight w:val="336"/>
        </w:trPr>
        <w:tc>
          <w:tcPr>
            <w:tcW w:w="5669" w:type="dxa"/>
            <w:tcBorders>
              <w:bottom w:val="single" w:sz="4" w:space="0" w:color="D9D9D9"/>
            </w:tcBorders>
            <w:shd w:val="clear" w:color="auto" w:fill="auto"/>
            <w:vAlign w:val="center"/>
          </w:tcPr>
          <w:p>
            <w:pPr>
              <w:pBdr>
                <w:top w:val="nil"/>
                <w:left w:val="nil"/>
                <w:bottom w:val="nil"/>
                <w:right w:val="nil"/>
                <w:between w:val="nil"/>
                <w:bar w:val="nil"/>
              </w:pBdr>
              <w:rPr>
                <w:rFonts w:ascii="Verdana" w:eastAsia="Calibri" w:hAnsi="Verdana"/>
                <w:b/>
                <w:noProof/>
                <w:color w:val="016794"/>
                <w:sz w:val="18"/>
                <w:szCs w:val="18"/>
                <w:bdr w:val="nil"/>
              </w:rPr>
            </w:pPr>
            <w:r>
              <w:rPr>
                <w:rFonts w:ascii="Verdana" w:hAnsi="Verdana"/>
                <w:b/>
                <w:noProof/>
                <w:color w:val="59BDB8"/>
                <w:sz w:val="18"/>
                <w:szCs w:val="18"/>
                <w:bdr w:val="nil"/>
              </w:rPr>
              <w:t>ПАСИВИ</w:t>
            </w:r>
          </w:p>
        </w:tc>
        <w:tc>
          <w:tcPr>
            <w:tcW w:w="1985" w:type="dxa"/>
            <w:tcBorders>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lang w:eastAsia="en-US"/>
              </w:rPr>
            </w:pPr>
          </w:p>
        </w:tc>
        <w:tc>
          <w:tcPr>
            <w:tcW w:w="1983" w:type="dxa"/>
            <w:tcBorders>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lang w:eastAsia="en-US"/>
              </w:rPr>
            </w:pPr>
          </w:p>
        </w:tc>
      </w:tr>
      <w:tr>
        <w:trPr>
          <w:trHeight w:val="336"/>
        </w:trPr>
        <w:tc>
          <w:tcPr>
            <w:tcW w:w="5669" w:type="dxa"/>
            <w:tcBorders>
              <w:top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Доходи след напускане</w:t>
            </w:r>
          </w:p>
        </w:tc>
        <w:tc>
          <w:tcPr>
            <w:tcW w:w="1985" w:type="dxa"/>
            <w:tcBorders>
              <w:top w:val="single" w:sz="4" w:space="0" w:color="D9D9D9"/>
              <w:left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116,0</w:t>
            </w:r>
          </w:p>
        </w:tc>
        <w:tc>
          <w:tcPr>
            <w:tcW w:w="1983" w:type="dxa"/>
            <w:tcBorders>
              <w:top w:val="single" w:sz="4" w:space="0" w:color="D9D9D9"/>
              <w:left w:val="single" w:sz="4" w:space="0" w:color="D9D9D9"/>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97,7</w:t>
            </w:r>
          </w:p>
        </w:tc>
      </w:tr>
      <w:tr>
        <w:trPr>
          <w:trHeight w:val="336"/>
        </w:trPr>
        <w:tc>
          <w:tcPr>
            <w:tcW w:w="5669" w:type="dxa"/>
            <w:tcBorders>
              <w:top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Финансови пасиви</w:t>
            </w:r>
          </w:p>
        </w:tc>
        <w:tc>
          <w:tcPr>
            <w:tcW w:w="1985" w:type="dxa"/>
            <w:tcBorders>
              <w:top w:val="single" w:sz="4" w:space="0" w:color="D9D9D9"/>
              <w:left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95,0</w:t>
            </w:r>
          </w:p>
        </w:tc>
        <w:tc>
          <w:tcPr>
            <w:tcW w:w="1983" w:type="dxa"/>
            <w:tcBorders>
              <w:top w:val="single" w:sz="4" w:space="0" w:color="D9D9D9"/>
              <w:left w:val="single" w:sz="4" w:space="0" w:color="D9D9D9"/>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54,5</w:t>
            </w:r>
          </w:p>
        </w:tc>
      </w:tr>
      <w:tr>
        <w:trPr>
          <w:trHeight w:val="336"/>
        </w:trPr>
        <w:tc>
          <w:tcPr>
            <w:tcW w:w="5669" w:type="dxa"/>
            <w:tcBorders>
              <w:top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Задължения</w:t>
            </w:r>
          </w:p>
        </w:tc>
        <w:tc>
          <w:tcPr>
            <w:tcW w:w="1985" w:type="dxa"/>
            <w:tcBorders>
              <w:top w:val="single" w:sz="4" w:space="0" w:color="D9D9D9"/>
              <w:left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32,4</w:t>
            </w:r>
          </w:p>
        </w:tc>
        <w:tc>
          <w:tcPr>
            <w:tcW w:w="1983" w:type="dxa"/>
            <w:tcBorders>
              <w:top w:val="single" w:sz="4" w:space="0" w:color="D9D9D9"/>
              <w:left w:val="single" w:sz="4" w:space="0" w:color="D9D9D9"/>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27,2</w:t>
            </w:r>
          </w:p>
        </w:tc>
      </w:tr>
      <w:tr>
        <w:trPr>
          <w:trHeight w:val="336"/>
        </w:trPr>
        <w:tc>
          <w:tcPr>
            <w:tcW w:w="5669" w:type="dxa"/>
            <w:tcBorders>
              <w:top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Начисления</w:t>
            </w:r>
          </w:p>
        </w:tc>
        <w:tc>
          <w:tcPr>
            <w:tcW w:w="1985" w:type="dxa"/>
            <w:tcBorders>
              <w:top w:val="single" w:sz="4" w:space="0" w:color="D9D9D9"/>
              <w:left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64,6</w:t>
            </w:r>
          </w:p>
        </w:tc>
        <w:tc>
          <w:tcPr>
            <w:tcW w:w="1983" w:type="dxa"/>
            <w:tcBorders>
              <w:top w:val="single" w:sz="4" w:space="0" w:color="D9D9D9"/>
              <w:left w:val="single" w:sz="4" w:space="0" w:color="D9D9D9"/>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67,2</w:t>
            </w:r>
          </w:p>
        </w:tc>
      </w:tr>
      <w:tr>
        <w:trPr>
          <w:trHeight w:val="336"/>
        </w:trPr>
        <w:tc>
          <w:tcPr>
            <w:tcW w:w="5669" w:type="dxa"/>
            <w:tcBorders>
              <w:top w:val="single" w:sz="4" w:space="0" w:color="D9D9D9"/>
              <w:bottom w:val="nil"/>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Други пасиви</w:t>
            </w:r>
          </w:p>
        </w:tc>
        <w:tc>
          <w:tcPr>
            <w:tcW w:w="1985" w:type="dxa"/>
            <w:tcBorders>
              <w:top w:val="single" w:sz="4" w:space="0" w:color="D9D9D9"/>
              <w:left w:val="single" w:sz="4" w:space="0" w:color="D9D9D9"/>
              <w:bottom w:val="nil"/>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5,4</w:t>
            </w:r>
          </w:p>
        </w:tc>
        <w:tc>
          <w:tcPr>
            <w:tcW w:w="1983" w:type="dxa"/>
            <w:tcBorders>
              <w:top w:val="single" w:sz="4" w:space="0" w:color="D9D9D9"/>
              <w:left w:val="single" w:sz="4" w:space="0" w:color="D9D9D9"/>
              <w:bottom w:val="nil"/>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4,8</w:t>
            </w:r>
          </w:p>
        </w:tc>
      </w:tr>
      <w:tr>
        <w:trPr>
          <w:trHeight w:val="336"/>
        </w:trPr>
        <w:tc>
          <w:tcPr>
            <w:tcW w:w="5669" w:type="dxa"/>
            <w:shd w:val="clear" w:color="auto" w:fill="D9D9D9"/>
            <w:vAlign w:val="center"/>
          </w:tcPr>
          <w:p>
            <w:pPr>
              <w:pBdr>
                <w:top w:val="nil"/>
                <w:left w:val="nil"/>
                <w:bottom w:val="nil"/>
                <w:right w:val="nil"/>
                <w:between w:val="nil"/>
                <w:bar w:val="nil"/>
              </w:pBdr>
              <w:jc w:val="both"/>
              <w:rPr>
                <w:rFonts w:ascii="Verdana" w:eastAsia="Calibri" w:hAnsi="Verdana"/>
                <w:b/>
                <w:noProof/>
                <w:color w:val="016794"/>
                <w:sz w:val="18"/>
                <w:szCs w:val="18"/>
                <w:bdr w:val="nil"/>
              </w:rPr>
            </w:pPr>
            <w:r>
              <w:rPr>
                <w:rFonts w:ascii="Verdana" w:hAnsi="Verdana"/>
                <w:b/>
                <w:noProof/>
                <w:color w:val="016794"/>
                <w:sz w:val="18"/>
                <w:szCs w:val="18"/>
                <w:bdr w:val="nil"/>
              </w:rPr>
              <w:t>Общо</w:t>
            </w:r>
          </w:p>
        </w:tc>
        <w:tc>
          <w:tcPr>
            <w:tcW w:w="1985" w:type="dxa"/>
            <w:shd w:val="clear" w:color="auto" w:fill="D9D9D9"/>
            <w:vAlign w:val="center"/>
          </w:tcPr>
          <w:p>
            <w:pPr>
              <w:pBdr>
                <w:top w:val="nil"/>
                <w:left w:val="nil"/>
                <w:bottom w:val="nil"/>
                <w:right w:val="nil"/>
                <w:between w:val="nil"/>
                <w:bar w:val="nil"/>
              </w:pBdr>
              <w:jc w:val="right"/>
              <w:rPr>
                <w:rFonts w:ascii="Verdana" w:eastAsia="Calibri" w:hAnsi="Verdana"/>
                <w:b/>
                <w:noProof/>
                <w:color w:val="016794"/>
                <w:sz w:val="18"/>
                <w:szCs w:val="18"/>
                <w:bdr w:val="nil"/>
              </w:rPr>
            </w:pPr>
            <w:r>
              <w:rPr>
                <w:rFonts w:ascii="Verdana" w:hAnsi="Verdana"/>
                <w:b/>
                <w:noProof/>
                <w:color w:val="016794"/>
                <w:sz w:val="18"/>
                <w:szCs w:val="18"/>
                <w:bdr w:val="nil"/>
              </w:rPr>
              <w:t>313,5</w:t>
            </w:r>
          </w:p>
        </w:tc>
        <w:tc>
          <w:tcPr>
            <w:tcW w:w="1983" w:type="dxa"/>
            <w:shd w:val="clear" w:color="auto" w:fill="D9D9D9"/>
            <w:vAlign w:val="center"/>
          </w:tcPr>
          <w:p>
            <w:pPr>
              <w:pBdr>
                <w:top w:val="nil"/>
                <w:left w:val="nil"/>
                <w:bottom w:val="nil"/>
                <w:right w:val="nil"/>
                <w:between w:val="nil"/>
                <w:bar w:val="nil"/>
              </w:pBdr>
              <w:jc w:val="right"/>
              <w:rPr>
                <w:rFonts w:ascii="Verdana" w:eastAsia="Calibri" w:hAnsi="Verdana"/>
                <w:b/>
                <w:noProof/>
                <w:color w:val="016794"/>
                <w:sz w:val="18"/>
                <w:szCs w:val="18"/>
                <w:bdr w:val="nil"/>
              </w:rPr>
            </w:pPr>
            <w:r>
              <w:rPr>
                <w:rFonts w:ascii="Verdana" w:hAnsi="Verdana"/>
                <w:b/>
                <w:noProof/>
                <w:color w:val="016794"/>
                <w:sz w:val="18"/>
                <w:szCs w:val="18"/>
                <w:bdr w:val="nil"/>
              </w:rPr>
              <w:t>251,5</w:t>
            </w:r>
          </w:p>
        </w:tc>
      </w:tr>
      <w:tr>
        <w:trPr>
          <w:trHeight w:val="336"/>
        </w:trPr>
        <w:tc>
          <w:tcPr>
            <w:tcW w:w="5669" w:type="dxa"/>
            <w:tcBorders>
              <w:bottom w:val="nil"/>
            </w:tcBorders>
            <w:shd w:val="clear" w:color="auto" w:fill="auto"/>
            <w:vAlign w:val="center"/>
          </w:tcPr>
          <w:p>
            <w:pPr>
              <w:rPr>
                <w:rFonts w:ascii="Verdana" w:hAnsi="Verdana"/>
                <w:noProof/>
                <w:color w:val="016794"/>
                <w:sz w:val="18"/>
                <w:szCs w:val="18"/>
                <w:lang w:eastAsia="de-DE"/>
              </w:rPr>
            </w:pPr>
          </w:p>
        </w:tc>
        <w:tc>
          <w:tcPr>
            <w:tcW w:w="1985" w:type="dxa"/>
            <w:tcBorders>
              <w:bottom w:val="nil"/>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lang w:eastAsia="en-US"/>
              </w:rPr>
            </w:pPr>
          </w:p>
        </w:tc>
        <w:tc>
          <w:tcPr>
            <w:tcW w:w="1983" w:type="dxa"/>
            <w:tcBorders>
              <w:bottom w:val="nil"/>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lang w:eastAsia="en-US"/>
              </w:rPr>
            </w:pPr>
          </w:p>
        </w:tc>
      </w:tr>
      <w:tr>
        <w:trPr>
          <w:trHeight w:val="336"/>
        </w:trPr>
        <w:tc>
          <w:tcPr>
            <w:tcW w:w="5669" w:type="dxa"/>
            <w:tcBorders>
              <w:bottom w:val="single" w:sz="4" w:space="0" w:color="D9D9D9"/>
            </w:tcBorders>
            <w:shd w:val="clear" w:color="auto" w:fill="auto"/>
            <w:vAlign w:val="center"/>
          </w:tcPr>
          <w:p>
            <w:pPr>
              <w:pBdr>
                <w:top w:val="nil"/>
                <w:left w:val="nil"/>
                <w:bottom w:val="nil"/>
                <w:right w:val="nil"/>
                <w:between w:val="nil"/>
                <w:bar w:val="nil"/>
              </w:pBdr>
              <w:rPr>
                <w:rFonts w:ascii="Verdana" w:eastAsia="Calibri" w:hAnsi="Verdana"/>
                <w:b/>
                <w:noProof/>
                <w:color w:val="016794"/>
                <w:sz w:val="18"/>
                <w:szCs w:val="18"/>
                <w:bdr w:val="nil"/>
              </w:rPr>
            </w:pPr>
            <w:r>
              <w:rPr>
                <w:rFonts w:ascii="Verdana" w:hAnsi="Verdana"/>
                <w:b/>
                <w:noProof/>
                <w:color w:val="59BDB8"/>
                <w:sz w:val="18"/>
                <w:szCs w:val="18"/>
                <w:bdr w:val="nil"/>
              </w:rPr>
              <w:t>НЕТНИ АКТИВИ</w:t>
            </w:r>
          </w:p>
        </w:tc>
        <w:tc>
          <w:tcPr>
            <w:tcW w:w="1985" w:type="dxa"/>
            <w:tcBorders>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lang w:eastAsia="en-US"/>
              </w:rPr>
            </w:pPr>
          </w:p>
        </w:tc>
        <w:tc>
          <w:tcPr>
            <w:tcW w:w="1983" w:type="dxa"/>
            <w:tcBorders>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lang w:eastAsia="en-US"/>
              </w:rPr>
            </w:pPr>
          </w:p>
        </w:tc>
      </w:tr>
      <w:tr>
        <w:trPr>
          <w:trHeight w:val="336"/>
        </w:trPr>
        <w:tc>
          <w:tcPr>
            <w:tcW w:w="5669" w:type="dxa"/>
            <w:tcBorders>
              <w:top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Резерви</w:t>
            </w:r>
          </w:p>
        </w:tc>
        <w:tc>
          <w:tcPr>
            <w:tcW w:w="1985" w:type="dxa"/>
            <w:tcBorders>
              <w:top w:val="single" w:sz="4" w:space="0" w:color="D9D9D9"/>
              <w:left w:val="single" w:sz="4" w:space="0" w:color="D9D9D9"/>
              <w:bottom w:val="single" w:sz="4" w:space="0" w:color="D9D9D9"/>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5,1</w:t>
            </w:r>
          </w:p>
        </w:tc>
        <w:tc>
          <w:tcPr>
            <w:tcW w:w="1983" w:type="dxa"/>
            <w:tcBorders>
              <w:top w:val="single" w:sz="4" w:space="0" w:color="D9D9D9"/>
              <w:left w:val="single" w:sz="4" w:space="0" w:color="D9D9D9"/>
              <w:bottom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5,0</w:t>
            </w:r>
          </w:p>
        </w:tc>
      </w:tr>
      <w:tr>
        <w:trPr>
          <w:trHeight w:val="336"/>
        </w:trPr>
        <w:tc>
          <w:tcPr>
            <w:tcW w:w="5669" w:type="dxa"/>
            <w:tcBorders>
              <w:top w:val="single" w:sz="4" w:space="0" w:color="D9D9D9"/>
              <w:bottom w:val="nil"/>
              <w:right w:val="single" w:sz="4" w:space="0" w:color="D9D9D9"/>
            </w:tcBorders>
            <w:shd w:val="clear" w:color="auto" w:fill="auto"/>
            <w:vAlign w:val="center"/>
          </w:tcPr>
          <w:p>
            <w:pPr>
              <w:pBdr>
                <w:top w:val="nil"/>
                <w:left w:val="nil"/>
                <w:bottom w:val="nil"/>
                <w:right w:val="nil"/>
                <w:between w:val="nil"/>
                <w:bar w:val="nil"/>
              </w:pBdr>
              <w:jc w:val="both"/>
              <w:rPr>
                <w:rFonts w:ascii="Verdana" w:eastAsia="Calibri" w:hAnsi="Verdana"/>
                <w:noProof/>
                <w:color w:val="016794"/>
                <w:sz w:val="18"/>
                <w:szCs w:val="18"/>
                <w:bdr w:val="nil"/>
              </w:rPr>
            </w:pPr>
            <w:r>
              <w:rPr>
                <w:rFonts w:ascii="Verdana" w:hAnsi="Verdana"/>
                <w:noProof/>
                <w:color w:val="016794"/>
                <w:sz w:val="18"/>
                <w:szCs w:val="18"/>
                <w:bdr w:val="nil"/>
              </w:rPr>
              <w:t>Суми, които трябва да бъдат поискани от държавите членки</w:t>
            </w:r>
          </w:p>
        </w:tc>
        <w:tc>
          <w:tcPr>
            <w:tcW w:w="1985" w:type="dxa"/>
            <w:tcBorders>
              <w:top w:val="single" w:sz="4" w:space="0" w:color="D9D9D9"/>
              <w:left w:val="single" w:sz="4" w:space="0" w:color="D9D9D9"/>
              <w:bottom w:val="nil"/>
              <w:right w:val="single" w:sz="4" w:space="0" w:color="D9D9D9"/>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(38,5)</w:t>
            </w:r>
          </w:p>
        </w:tc>
        <w:tc>
          <w:tcPr>
            <w:tcW w:w="1983" w:type="dxa"/>
            <w:tcBorders>
              <w:top w:val="single" w:sz="4" w:space="0" w:color="D9D9D9"/>
              <w:left w:val="single" w:sz="4" w:space="0" w:color="D9D9D9"/>
              <w:bottom w:val="nil"/>
            </w:tcBorders>
            <w:shd w:val="clear" w:color="auto" w:fill="auto"/>
            <w:vAlign w:val="center"/>
          </w:tcPr>
          <w:p>
            <w:pPr>
              <w:pBdr>
                <w:top w:val="nil"/>
                <w:left w:val="nil"/>
                <w:bottom w:val="nil"/>
                <w:right w:val="nil"/>
                <w:between w:val="nil"/>
                <w:bar w:val="nil"/>
              </w:pBdr>
              <w:jc w:val="right"/>
              <w:rPr>
                <w:rFonts w:ascii="Verdana" w:eastAsia="Calibri" w:hAnsi="Verdana"/>
                <w:noProof/>
                <w:color w:val="016794"/>
                <w:sz w:val="18"/>
                <w:szCs w:val="18"/>
                <w:bdr w:val="nil"/>
              </w:rPr>
            </w:pPr>
            <w:r>
              <w:rPr>
                <w:rFonts w:ascii="Verdana" w:hAnsi="Verdana"/>
                <w:noProof/>
                <w:color w:val="016794"/>
                <w:sz w:val="18"/>
                <w:szCs w:val="18"/>
                <w:bdr w:val="nil"/>
              </w:rPr>
              <w:t>(77,6)</w:t>
            </w:r>
          </w:p>
        </w:tc>
      </w:tr>
      <w:tr>
        <w:trPr>
          <w:trHeight w:val="336"/>
        </w:trPr>
        <w:tc>
          <w:tcPr>
            <w:tcW w:w="5669" w:type="dxa"/>
            <w:shd w:val="clear" w:color="auto" w:fill="D9D9D9"/>
            <w:vAlign w:val="center"/>
          </w:tcPr>
          <w:p>
            <w:pPr>
              <w:pBdr>
                <w:top w:val="nil"/>
                <w:left w:val="nil"/>
                <w:bottom w:val="nil"/>
                <w:right w:val="nil"/>
                <w:between w:val="nil"/>
                <w:bar w:val="nil"/>
              </w:pBdr>
              <w:jc w:val="both"/>
              <w:rPr>
                <w:rFonts w:ascii="Verdana" w:eastAsia="Calibri" w:hAnsi="Verdana"/>
                <w:b/>
                <w:noProof/>
                <w:color w:val="016794"/>
                <w:sz w:val="18"/>
                <w:szCs w:val="18"/>
                <w:bdr w:val="nil"/>
              </w:rPr>
            </w:pPr>
            <w:r>
              <w:rPr>
                <w:rFonts w:ascii="Verdana" w:hAnsi="Verdana"/>
                <w:b/>
                <w:noProof/>
                <w:color w:val="016794"/>
                <w:sz w:val="18"/>
                <w:szCs w:val="18"/>
                <w:bdr w:val="nil"/>
              </w:rPr>
              <w:t>Общо</w:t>
            </w:r>
          </w:p>
        </w:tc>
        <w:tc>
          <w:tcPr>
            <w:tcW w:w="1985" w:type="dxa"/>
            <w:shd w:val="clear" w:color="auto" w:fill="D9D9D9"/>
            <w:vAlign w:val="center"/>
          </w:tcPr>
          <w:p>
            <w:pPr>
              <w:pBdr>
                <w:top w:val="nil"/>
                <w:left w:val="nil"/>
                <w:bottom w:val="nil"/>
                <w:right w:val="nil"/>
                <w:between w:val="nil"/>
                <w:bar w:val="nil"/>
              </w:pBdr>
              <w:jc w:val="right"/>
              <w:rPr>
                <w:rFonts w:ascii="Verdana" w:eastAsia="Calibri" w:hAnsi="Verdana"/>
                <w:b/>
                <w:noProof/>
                <w:color w:val="016794"/>
                <w:sz w:val="18"/>
                <w:szCs w:val="18"/>
                <w:bdr w:val="nil"/>
              </w:rPr>
            </w:pPr>
            <w:r>
              <w:rPr>
                <w:rFonts w:ascii="Verdana" w:hAnsi="Verdana"/>
                <w:b/>
                <w:noProof/>
                <w:color w:val="016794"/>
                <w:sz w:val="18"/>
                <w:szCs w:val="18"/>
                <w:bdr w:val="nil"/>
              </w:rPr>
              <w:t>(33,4)</w:t>
            </w:r>
          </w:p>
        </w:tc>
        <w:tc>
          <w:tcPr>
            <w:tcW w:w="1983" w:type="dxa"/>
            <w:shd w:val="clear" w:color="auto" w:fill="D9D9D9"/>
            <w:vAlign w:val="center"/>
          </w:tcPr>
          <w:p>
            <w:pPr>
              <w:pBdr>
                <w:top w:val="nil"/>
                <w:left w:val="nil"/>
                <w:bottom w:val="nil"/>
                <w:right w:val="nil"/>
                <w:between w:val="nil"/>
                <w:bar w:val="nil"/>
              </w:pBdr>
              <w:jc w:val="right"/>
              <w:rPr>
                <w:rFonts w:ascii="Verdana" w:eastAsia="Calibri" w:hAnsi="Verdana"/>
                <w:b/>
                <w:noProof/>
                <w:color w:val="016794"/>
                <w:sz w:val="18"/>
                <w:szCs w:val="18"/>
                <w:bdr w:val="nil"/>
              </w:rPr>
            </w:pPr>
            <w:r>
              <w:rPr>
                <w:rFonts w:ascii="Verdana" w:hAnsi="Verdana"/>
                <w:b/>
                <w:noProof/>
                <w:color w:val="016794"/>
                <w:sz w:val="18"/>
                <w:szCs w:val="18"/>
                <w:bdr w:val="nil"/>
              </w:rPr>
              <w:t>(72,5)</w:t>
            </w:r>
          </w:p>
        </w:tc>
      </w:tr>
      <w:tr>
        <w:trPr>
          <w:trHeight w:val="336"/>
        </w:trPr>
        <w:tc>
          <w:tcPr>
            <w:tcW w:w="5669" w:type="dxa"/>
            <w:shd w:val="clear" w:color="auto" w:fill="auto"/>
            <w:vAlign w:val="center"/>
          </w:tcPr>
          <w:p>
            <w:pPr>
              <w:rPr>
                <w:rFonts w:ascii="Verdana" w:hAnsi="Verdana"/>
                <w:i/>
                <w:noProof/>
                <w:sz w:val="18"/>
              </w:rPr>
            </w:pPr>
          </w:p>
        </w:tc>
        <w:tc>
          <w:tcPr>
            <w:tcW w:w="1985" w:type="dxa"/>
            <w:shd w:val="clear" w:color="auto" w:fill="auto"/>
            <w:vAlign w:val="center"/>
          </w:tcPr>
          <w:p>
            <w:pPr>
              <w:jc w:val="right"/>
              <w:rPr>
                <w:rFonts w:ascii="Verdana" w:hAnsi="Verdana"/>
                <w:b/>
                <w:noProof/>
                <w:sz w:val="18"/>
              </w:rPr>
            </w:pPr>
          </w:p>
        </w:tc>
        <w:tc>
          <w:tcPr>
            <w:tcW w:w="1983" w:type="dxa"/>
            <w:shd w:val="clear" w:color="auto" w:fill="auto"/>
            <w:vAlign w:val="center"/>
          </w:tcPr>
          <w:p>
            <w:pPr>
              <w:jc w:val="right"/>
              <w:rPr>
                <w:rFonts w:ascii="Verdana" w:hAnsi="Verdana"/>
                <w:b/>
                <w:noProof/>
                <w:sz w:val="18"/>
              </w:rPr>
            </w:pPr>
          </w:p>
        </w:tc>
      </w:tr>
      <w:tr>
        <w:trPr>
          <w:trHeight w:val="340"/>
        </w:trPr>
        <w:tc>
          <w:tcPr>
            <w:tcW w:w="9637" w:type="dxa"/>
            <w:gridSpan w:val="3"/>
            <w:shd w:val="clear" w:color="auto" w:fill="DBE5F1"/>
            <w:vAlign w:val="center"/>
          </w:tcPr>
          <w:p>
            <w:pPr>
              <w:jc w:val="right"/>
              <w:rPr>
                <w:rFonts w:ascii="Verdana" w:eastAsia="Calibri" w:hAnsi="Verdana"/>
                <w:noProof/>
                <w:color w:val="016794"/>
                <w:sz w:val="18"/>
                <w:szCs w:val="18"/>
                <w:bdr w:val="nil"/>
              </w:rPr>
            </w:pPr>
            <w:r>
              <w:rPr>
                <w:noProof/>
              </w:rPr>
            </w:r>
            <w:r>
              <w:rPr>
                <w:noProof/>
              </w:rPr>
              <w:pict>
                <v:shape id="Right Arrow 13" o:spid="_x0000_s1247" type="#_x0000_t13" style="width:11.6pt;height:7.1pt;visibility:visible;mso-wrap-style:square;mso-left-percent:-10001;mso-top-percent:-10001;mso-position-horizontal:absolute;mso-position-horizontal-relative:char;mso-position-vertical:absolute;mso-position-vertical-relative:line;mso-left-percent:-10001;mso-top-percent:-10001;v-text-anchor:middle" adj="15015" fillcolor="#4f81bd" stroked="f" strokeweight="2pt">
                  <v:path arrowok="t"/>
                  <o:lock v:ext="edit" aspectratio="t"/>
                  <w10:wrap type="none"/>
                  <w10:anchorlock/>
                </v:shape>
              </w:pict>
            </w:r>
            <w:r>
              <w:rPr>
                <w:rFonts w:ascii="Verdana" w:hAnsi="Verdana"/>
                <w:noProof/>
                <w:color w:val="016794"/>
                <w:sz w:val="18"/>
                <w:szCs w:val="18"/>
                <w:bdr w:val="nil"/>
              </w:rPr>
              <w:t xml:space="preserve"> вж. частта „Анализ на финансовите отчети“, точка </w:t>
            </w:r>
            <w:r>
              <w:rPr>
                <w:rFonts w:ascii="Verdana" w:hAnsi="Verdana"/>
                <w:b/>
                <w:noProof/>
                <w:color w:val="016794"/>
                <w:sz w:val="18"/>
                <w:szCs w:val="18"/>
                <w:bdr w:val="nil"/>
              </w:rPr>
              <w:t>7</w:t>
            </w:r>
          </w:p>
        </w:tc>
      </w:tr>
    </w:tbl>
    <w:p>
      <w:pPr>
        <w:pStyle w:val="Textstand-alone"/>
      </w:pPr>
    </w:p>
    <w:p>
      <w:pPr>
        <w:tabs>
          <w:tab w:val="left" w:pos="3514"/>
        </w:tabs>
        <w:rPr>
          <w:noProof/>
        </w:rPr>
      </w:pPr>
      <w:bookmarkStart w:id="11" w:name="_Toc65749850"/>
      <w:bookmarkStart w:id="12" w:name="_Toc65761048"/>
      <w:bookmarkStart w:id="13" w:name="_Toc66112674"/>
      <w:bookmarkStart w:id="14" w:name="_Toc66181028"/>
      <w:bookmarkStart w:id="15" w:name="_Toc66738406"/>
      <w:r>
        <w:rPr>
          <w:noProof/>
        </w:rPr>
        <w:tab/>
      </w:r>
    </w:p>
    <w:p>
      <w:pPr>
        <w:pStyle w:val="HEADER1Part4"/>
        <w:numPr>
          <w:ilvl w:val="0"/>
          <w:numId w:val="40"/>
        </w:numPr>
        <w:spacing w:before="360"/>
        <w:rPr>
          <w:noProof/>
        </w:rPr>
      </w:pPr>
      <w:r>
        <w:rPr>
          <w:noProof/>
        </w:rPr>
        <w:br w:type="page"/>
      </w:r>
      <w:bookmarkStart w:id="16" w:name="_Toc75518079"/>
      <w:r>
        <w:rPr>
          <w:noProof/>
        </w:rPr>
        <w:t>МЕРКИ В ОТГОВОР НА КОРОНАВИРУСА</w:t>
      </w:r>
      <w:bookmarkEnd w:id="11"/>
      <w:bookmarkEnd w:id="12"/>
      <w:bookmarkEnd w:id="13"/>
      <w:bookmarkEnd w:id="14"/>
      <w:bookmarkEnd w:id="15"/>
      <w:bookmarkEnd w:id="16"/>
    </w:p>
    <w:p>
      <w:pPr>
        <w:pStyle w:val="HEADER2Part4"/>
        <w:numPr>
          <w:ilvl w:val="1"/>
          <w:numId w:val="40"/>
        </w:numPr>
      </w:pPr>
      <w:bookmarkStart w:id="17" w:name="_Toc75518080"/>
      <w:r>
        <w:t>Акценти при мерките на ЕС в отговор на коронавируса</w:t>
      </w:r>
      <w:bookmarkEnd w:id="17"/>
    </w:p>
    <w:p>
      <w:pPr>
        <w:pStyle w:val="DGTextstand-alone"/>
      </w:pPr>
      <w:r>
        <w:t>От началото на пандемията от COVID-19 Европейската комисия предприема решителни действия за укрепване на секторите на общественото здравеопазване и смекчаване на социално-икономическите последици в Европейския съюз. Въз основа на многогодишната финансова рамка (МФР) за периода 2014—2020 г. Европейската комисия мобилизира всички средства, с които разполага, за да помогне на държавите членки да координират националните си ответни мерки и предоставяше обективна информация за разпространението на вируса и за ефективните усилия, полагани за ограничаването му.</w:t>
      </w:r>
    </w:p>
    <w:p>
      <w:pPr>
        <w:pStyle w:val="DGTextstand-alone"/>
        <w:rPr>
          <w:color w:val="016794"/>
        </w:rPr>
      </w:pPr>
      <w:r>
        <w:pict>
          <v:line id="Straight Connector 18" o:spid="_x0000_s1184" style="position:absolute;left:0;text-align:left;flip:x;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pt,18.1pt" to="8.85pt,414.95pt" strokecolor="#016794" strokeweight="2.25pt"/>
        </w:pict>
      </w:r>
      <w:r>
        <w:rPr>
          <w:color w:val="016794"/>
        </w:rPr>
        <w:t>Хронология на предприетите действия</w:t>
      </w:r>
      <w:r>
        <w:rPr>
          <w:rStyle w:val="FootnoteReference"/>
          <w:color w:val="016794"/>
        </w:rPr>
        <w:footnoteReference w:id="1"/>
      </w:r>
    </w:p>
    <w:tbl>
      <w:tblPr>
        <w:tblW w:w="9678" w:type="dxa"/>
        <w:tblInd w:w="108" w:type="dxa"/>
        <w:tblCellMar>
          <w:left w:w="0" w:type="dxa"/>
          <w:right w:w="0" w:type="dxa"/>
        </w:tblCellMar>
        <w:tblLook w:val="04A0" w:firstRow="1" w:lastRow="0" w:firstColumn="1" w:lastColumn="0" w:noHBand="0" w:noVBand="1"/>
      </w:tblPr>
      <w:tblGrid>
        <w:gridCol w:w="357"/>
        <w:gridCol w:w="20"/>
        <w:gridCol w:w="20"/>
        <w:gridCol w:w="9281"/>
      </w:tblGrid>
      <w:tr>
        <w:trPr>
          <w:trHeight w:val="20"/>
        </w:trP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20" o:spid="_x0000_s1246"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ind w:left="284"/>
              <w:rPr>
                <w:rFonts w:ascii="Verdana" w:hAnsi="Verdana" w:cs="Verdana"/>
                <w:noProof/>
                <w:color w:val="000000"/>
                <w:sz w:val="20"/>
                <w:szCs w:val="20"/>
              </w:rPr>
            </w:pPr>
          </w:p>
        </w:tc>
        <w:tc>
          <w:tcPr>
            <w:tcW w:w="20" w:type="dxa"/>
            <w:shd w:val="clear" w:color="auto" w:fill="auto"/>
          </w:tcPr>
          <w:p>
            <w:pPr>
              <w:tabs>
                <w:tab w:val="left" w:pos="907"/>
              </w:tabs>
              <w:spacing w:after="240"/>
              <w:ind w:left="284"/>
              <w:rPr>
                <w:rFonts w:ascii="Verdana" w:hAnsi="Verdana" w:cs="Verdana"/>
                <w:noProof/>
                <w:color w:val="000000"/>
                <w:sz w:val="20"/>
                <w:szCs w:val="20"/>
                <w:highlight w:val="green"/>
              </w:rPr>
            </w:pPr>
          </w:p>
        </w:tc>
        <w:tc>
          <w:tcPr>
            <w:tcW w:w="9281" w:type="dxa"/>
            <w:shd w:val="clear" w:color="auto" w:fill="auto"/>
          </w:tcPr>
          <w:p>
            <w:pPr>
              <w:rPr>
                <w:rFonts w:ascii="Verdana" w:eastAsia="Calibri" w:hAnsi="Verdana"/>
                <w:noProof/>
                <w:color w:val="016794"/>
                <w:sz w:val="18"/>
                <w:szCs w:val="18"/>
                <w:bdr w:val="nil"/>
              </w:rPr>
            </w:pPr>
            <w:r>
              <w:rPr>
                <w:rFonts w:ascii="Verdana" w:hAnsi="Verdana"/>
                <w:b/>
                <w:noProof/>
                <w:color w:val="016794"/>
                <w:sz w:val="18"/>
                <w:szCs w:val="18"/>
                <w:bdr w:val="nil"/>
              </w:rPr>
              <w:t>2 април</w:t>
            </w:r>
          </w:p>
          <w:p>
            <w:pPr>
              <w:rPr>
                <w:rFonts w:ascii="Verdana" w:eastAsia="Calibri" w:hAnsi="Verdana"/>
                <w:noProof/>
                <w:sz w:val="18"/>
                <w:szCs w:val="18"/>
                <w:bdr w:val="nil"/>
              </w:rPr>
            </w:pPr>
            <w:r>
              <w:rPr>
                <w:rFonts w:ascii="Verdana" w:hAnsi="Verdana"/>
                <w:noProof/>
                <w:sz w:val="18"/>
                <w:szCs w:val="18"/>
                <w:bdr w:val="nil"/>
              </w:rPr>
              <w:t>Мерки отговор на коронавируса: Европейската комисия мобилизира всяко евро в защита на човешки живот и поминъка</w:t>
            </w:r>
          </w:p>
        </w:tc>
      </w:tr>
      <w:tr>
        <w:trPr>
          <w:trHeight w:val="20"/>
        </w:trP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1058613777" o:spid="_x0000_s1245"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highlight w:val="green"/>
              </w:rPr>
            </w:pPr>
          </w:p>
        </w:tc>
        <w:tc>
          <w:tcPr>
            <w:tcW w:w="9281" w:type="dxa"/>
            <w:shd w:val="clear" w:color="auto" w:fill="auto"/>
          </w:tcPr>
          <w:p>
            <w:pPr>
              <w:rPr>
                <w:rFonts w:ascii="Verdana" w:eastAsia="Calibri" w:hAnsi="Verdana"/>
                <w:noProof/>
                <w:color w:val="1F497D"/>
                <w:sz w:val="18"/>
                <w:szCs w:val="18"/>
                <w:bdr w:val="nil"/>
              </w:rPr>
            </w:pPr>
            <w:r>
              <w:rPr>
                <w:rFonts w:ascii="Verdana" w:hAnsi="Verdana"/>
                <w:b/>
                <w:noProof/>
                <w:color w:val="016794"/>
                <w:sz w:val="18"/>
                <w:szCs w:val="18"/>
                <w:bdr w:val="nil"/>
              </w:rPr>
              <w:t>14 април</w:t>
            </w:r>
          </w:p>
          <w:p>
            <w:pPr>
              <w:rPr>
                <w:rFonts w:ascii="Verdana" w:eastAsia="Calibri" w:hAnsi="Verdana"/>
                <w:noProof/>
                <w:sz w:val="18"/>
                <w:szCs w:val="18"/>
                <w:bdr w:val="nil"/>
              </w:rPr>
            </w:pPr>
            <w:r>
              <w:rPr>
                <w:rFonts w:ascii="Verdana" w:hAnsi="Verdana"/>
                <w:noProof/>
                <w:sz w:val="18"/>
                <w:szCs w:val="18"/>
                <w:bdr w:val="nil"/>
              </w:rPr>
              <w:t>2,7 милиарда евро, отпуснати от бюджета на ЕС за подкрепа на сектора на здравеопазването</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1058613779" o:spid="_x0000_s1244"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noProof/>
                <w:color w:val="1F497D"/>
                <w:sz w:val="18"/>
                <w:szCs w:val="18"/>
                <w:bdr w:val="nil"/>
              </w:rPr>
            </w:pPr>
            <w:r>
              <w:rPr>
                <w:rFonts w:ascii="Verdana" w:hAnsi="Verdana"/>
                <w:b/>
                <w:noProof/>
                <w:color w:val="016794"/>
                <w:sz w:val="18"/>
                <w:szCs w:val="18"/>
                <w:bdr w:val="nil"/>
              </w:rPr>
              <w:t>16 април</w:t>
            </w:r>
          </w:p>
          <w:p>
            <w:pPr>
              <w:rPr>
                <w:rFonts w:ascii="Verdana" w:eastAsia="Calibri" w:hAnsi="Verdana"/>
                <w:noProof/>
                <w:sz w:val="18"/>
                <w:szCs w:val="18"/>
                <w:bdr w:val="nil"/>
              </w:rPr>
            </w:pPr>
            <w:r>
              <w:rPr>
                <w:rFonts w:ascii="Verdana" w:hAnsi="Verdana"/>
                <w:noProof/>
                <w:sz w:val="18"/>
                <w:szCs w:val="18"/>
                <w:bdr w:val="nil"/>
              </w:rPr>
              <w:t>Председателят Фон дер Лайен: „Европейският бюджет ще бъде основният двигател на възстановяването на Европа“</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1058613782" o:spid="_x0000_s1243"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016794"/>
                <w:sz w:val="18"/>
                <w:szCs w:val="18"/>
                <w:bdr w:val="nil"/>
              </w:rPr>
            </w:pPr>
            <w:r>
              <w:rPr>
                <w:rFonts w:ascii="Verdana" w:hAnsi="Verdana"/>
                <w:b/>
                <w:noProof/>
                <w:color w:val="016794"/>
                <w:sz w:val="18"/>
                <w:szCs w:val="18"/>
                <w:bdr w:val="nil"/>
              </w:rPr>
              <w:t>22 април</w:t>
            </w:r>
          </w:p>
          <w:p>
            <w:pPr>
              <w:rPr>
                <w:rFonts w:ascii="Verdana" w:eastAsia="Calibri" w:hAnsi="Verdana"/>
                <w:noProof/>
                <w:sz w:val="18"/>
                <w:szCs w:val="18"/>
                <w:bdr w:val="nil"/>
              </w:rPr>
            </w:pPr>
            <w:r>
              <w:rPr>
                <w:rFonts w:ascii="Verdana" w:hAnsi="Verdana"/>
                <w:noProof/>
                <w:sz w:val="18"/>
                <w:szCs w:val="18"/>
                <w:bdr w:val="nil"/>
              </w:rPr>
              <w:t>Пакет от финансова помощ на стойност 3 милиарда евро за десет държави, участващи в процеса на присъединяване, и съседни на ЕС</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1058613788" o:spid="_x0000_s1242"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016794"/>
                <w:sz w:val="18"/>
                <w:szCs w:val="18"/>
                <w:bdr w:val="nil"/>
              </w:rPr>
            </w:pPr>
            <w:r>
              <w:rPr>
                <w:rFonts w:ascii="Verdana" w:hAnsi="Verdana"/>
                <w:b/>
                <w:noProof/>
                <w:color w:val="016794"/>
                <w:sz w:val="18"/>
                <w:szCs w:val="18"/>
                <w:bdr w:val="nil"/>
              </w:rPr>
              <w:t>27 май</w:t>
            </w:r>
          </w:p>
          <w:p>
            <w:pPr>
              <w:rPr>
                <w:rFonts w:ascii="Verdana" w:eastAsia="Calibri" w:hAnsi="Verdana"/>
                <w:noProof/>
                <w:sz w:val="18"/>
                <w:szCs w:val="18"/>
                <w:bdr w:val="nil"/>
              </w:rPr>
            </w:pPr>
            <w:r>
              <w:rPr>
                <w:rFonts w:ascii="Verdana" w:hAnsi="Verdana"/>
                <w:noProof/>
                <w:sz w:val="18"/>
                <w:szCs w:val="18"/>
                <w:bdr w:val="nil"/>
              </w:rPr>
              <w:t>Часът на Европа: обявен е план за възстановяването на Европа на стойност цели 2,4 трилиона евро с цел възстановяване и подготвяне за следващото поколение</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1058613791" o:spid="_x0000_s1241"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016794"/>
                <w:sz w:val="18"/>
                <w:szCs w:val="18"/>
                <w:bdr w:val="nil"/>
              </w:rPr>
            </w:pPr>
            <w:r>
              <w:rPr>
                <w:rFonts w:ascii="Verdana" w:hAnsi="Verdana"/>
                <w:b/>
                <w:noProof/>
                <w:color w:val="016794"/>
                <w:sz w:val="18"/>
                <w:szCs w:val="18"/>
                <w:bdr w:val="nil"/>
              </w:rPr>
              <w:t>4 юни</w:t>
            </w:r>
          </w:p>
          <w:p>
            <w:pPr>
              <w:rPr>
                <w:rFonts w:ascii="Verdana" w:eastAsia="Calibri" w:hAnsi="Verdana"/>
                <w:noProof/>
                <w:sz w:val="18"/>
                <w:szCs w:val="18"/>
                <w:bdr w:val="nil"/>
              </w:rPr>
            </w:pPr>
            <w:r>
              <w:rPr>
                <w:rFonts w:ascii="Verdana" w:hAnsi="Verdana"/>
                <w:noProof/>
                <w:sz w:val="18"/>
                <w:szCs w:val="18"/>
                <w:bdr w:val="nil"/>
              </w:rPr>
              <w:t>Европейската комисия поема ангажимент да предостави 300 милиона евро на Алианса за ваксини</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2042085152" o:spid="_x0000_s1240"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016794"/>
                <w:sz w:val="18"/>
                <w:szCs w:val="18"/>
                <w:bdr w:val="nil"/>
              </w:rPr>
            </w:pPr>
            <w:r>
              <w:rPr>
                <w:rFonts w:ascii="Verdana" w:hAnsi="Verdana"/>
                <w:b/>
                <w:noProof/>
                <w:color w:val="016794"/>
                <w:sz w:val="18"/>
                <w:szCs w:val="18"/>
                <w:bdr w:val="nil"/>
              </w:rPr>
              <w:t>21 юли</w:t>
            </w:r>
          </w:p>
          <w:p>
            <w:pPr>
              <w:rPr>
                <w:rFonts w:ascii="Verdana" w:eastAsia="Calibri" w:hAnsi="Verdana"/>
                <w:noProof/>
                <w:sz w:val="18"/>
                <w:szCs w:val="18"/>
                <w:bdr w:val="nil"/>
              </w:rPr>
            </w:pPr>
            <w:r>
              <w:rPr>
                <w:rFonts w:ascii="Verdana" w:hAnsi="Verdana"/>
                <w:noProof/>
                <w:sz w:val="18"/>
                <w:szCs w:val="18"/>
                <w:bdr w:val="nil"/>
              </w:rPr>
              <w:t>Европейските лидери постигат споразумение относно плана за възстановяването и европейския дългосрочен бюджет за периода 2021—2027 г.</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2042085160" o:spid="_x0000_s1239"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016794"/>
                <w:sz w:val="18"/>
                <w:szCs w:val="18"/>
                <w:bdr w:val="nil"/>
              </w:rPr>
            </w:pPr>
            <w:r>
              <w:rPr>
                <w:rFonts w:ascii="Verdana" w:hAnsi="Verdana"/>
                <w:b/>
                <w:noProof/>
                <w:color w:val="016794"/>
                <w:sz w:val="18"/>
                <w:szCs w:val="18"/>
                <w:bdr w:val="nil"/>
              </w:rPr>
              <w:t>25 август</w:t>
            </w:r>
          </w:p>
          <w:p>
            <w:pPr>
              <w:rPr>
                <w:rFonts w:ascii="Verdana" w:eastAsia="Calibri" w:hAnsi="Verdana"/>
                <w:noProof/>
                <w:sz w:val="18"/>
                <w:szCs w:val="18"/>
                <w:bdr w:val="nil"/>
              </w:rPr>
            </w:pPr>
            <w:r>
              <w:rPr>
                <w:rFonts w:ascii="Verdana" w:hAnsi="Verdana"/>
                <w:noProof/>
                <w:sz w:val="18"/>
                <w:szCs w:val="18"/>
                <w:bdr w:val="nil"/>
              </w:rPr>
              <w:t>Европейската комисия предлага да се предоставят 87,3 милиарда евро финансова подкрепа за 16 държави членки по линия на инструмента SURE</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2042085168" o:spid="_x0000_s1238"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1F497D"/>
                <w:sz w:val="18"/>
                <w:szCs w:val="18"/>
                <w:bdr w:val="nil"/>
              </w:rPr>
            </w:pPr>
            <w:r>
              <w:rPr>
                <w:rFonts w:ascii="Verdana" w:hAnsi="Verdana"/>
                <w:b/>
                <w:noProof/>
                <w:color w:val="016794"/>
                <w:sz w:val="18"/>
                <w:szCs w:val="18"/>
                <w:bdr w:val="nil"/>
              </w:rPr>
              <w:t>17 септември</w:t>
            </w:r>
          </w:p>
          <w:p>
            <w:pPr>
              <w:rPr>
                <w:rFonts w:ascii="Verdana" w:eastAsia="Calibri" w:hAnsi="Verdana"/>
                <w:noProof/>
                <w:sz w:val="18"/>
                <w:szCs w:val="18"/>
                <w:bdr w:val="nil"/>
              </w:rPr>
            </w:pPr>
            <w:r>
              <w:rPr>
                <w:rFonts w:ascii="Verdana" w:hAnsi="Verdana"/>
                <w:noProof/>
                <w:sz w:val="18"/>
                <w:szCs w:val="18"/>
                <w:bdr w:val="nil"/>
              </w:rPr>
              <w:t>Европейската комисия представя следващите стъпки за Механизъм за възстановяване и устойчивост на стойност 672,5 милиарда евро</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2042085180" o:spid="_x0000_s1237"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1F497D"/>
                <w:sz w:val="18"/>
                <w:szCs w:val="18"/>
                <w:bdr w:val="nil"/>
              </w:rPr>
            </w:pPr>
            <w:r>
              <w:rPr>
                <w:rFonts w:ascii="Verdana" w:hAnsi="Verdana"/>
                <w:b/>
                <w:noProof/>
                <w:color w:val="016794"/>
                <w:sz w:val="18"/>
                <w:szCs w:val="18"/>
                <w:bdr w:val="nil"/>
              </w:rPr>
              <w:t>22 септември</w:t>
            </w:r>
          </w:p>
          <w:p>
            <w:pPr>
              <w:rPr>
                <w:rFonts w:ascii="Verdana" w:eastAsia="Calibri" w:hAnsi="Verdana"/>
                <w:noProof/>
                <w:sz w:val="18"/>
                <w:szCs w:val="18"/>
                <w:bdr w:val="nil"/>
              </w:rPr>
            </w:pPr>
            <w:r>
              <w:rPr>
                <w:rFonts w:ascii="Verdana" w:hAnsi="Verdana"/>
                <w:noProof/>
                <w:sz w:val="18"/>
                <w:szCs w:val="18"/>
                <w:bdr w:val="nil"/>
              </w:rPr>
              <w:t>Европейската комисия приветства завършването на системата за гаранции за инструмента SURE на стойност 100 милиарда евро</w:t>
            </w:r>
          </w:p>
        </w:tc>
      </w:tr>
      <w:tr>
        <w:trPr>
          <w:trHeight w:val="231"/>
        </w:trP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2042085183" o:spid="_x0000_s1236"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1F497D"/>
                <w:sz w:val="18"/>
                <w:szCs w:val="18"/>
                <w:bdr w:val="nil"/>
              </w:rPr>
            </w:pPr>
            <w:r>
              <w:rPr>
                <w:rFonts w:ascii="Verdana" w:hAnsi="Verdana"/>
                <w:b/>
                <w:noProof/>
                <w:color w:val="016794"/>
                <w:sz w:val="18"/>
                <w:szCs w:val="18"/>
                <w:bdr w:val="nil"/>
              </w:rPr>
              <w:t>7 октомври</w:t>
            </w:r>
          </w:p>
          <w:p>
            <w:pPr>
              <w:rPr>
                <w:rFonts w:ascii="Verdana" w:eastAsia="Calibri" w:hAnsi="Verdana"/>
                <w:noProof/>
                <w:sz w:val="18"/>
                <w:szCs w:val="18"/>
                <w:bdr w:val="nil"/>
              </w:rPr>
            </w:pPr>
            <w:r>
              <w:rPr>
                <w:rFonts w:ascii="Verdana" w:hAnsi="Verdana"/>
                <w:noProof/>
                <w:sz w:val="18"/>
                <w:szCs w:val="18"/>
                <w:bdr w:val="nil"/>
              </w:rPr>
              <w:t>Европейската комисия ще емитира облигации на ЕС по инструмента SURE в размер до 100 милиарда евро под формата на социални облигации</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1804673618" o:spid="_x0000_s1235"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1F497D"/>
                <w:sz w:val="18"/>
                <w:szCs w:val="18"/>
                <w:bdr w:val="nil"/>
              </w:rPr>
            </w:pPr>
            <w:r>
              <w:rPr>
                <w:rFonts w:ascii="Verdana" w:hAnsi="Verdana"/>
                <w:b/>
                <w:noProof/>
                <w:color w:val="016794"/>
                <w:sz w:val="18"/>
                <w:szCs w:val="18"/>
                <w:bdr w:val="nil"/>
              </w:rPr>
              <w:t>27 октомври</w:t>
            </w:r>
          </w:p>
          <w:p>
            <w:pPr>
              <w:rPr>
                <w:rFonts w:ascii="Verdana" w:eastAsia="Calibri" w:hAnsi="Verdana"/>
                <w:noProof/>
                <w:sz w:val="18"/>
                <w:szCs w:val="18"/>
                <w:bdr w:val="nil"/>
              </w:rPr>
            </w:pPr>
            <w:r>
              <w:rPr>
                <w:rFonts w:ascii="Verdana" w:hAnsi="Verdana"/>
                <w:noProof/>
                <w:sz w:val="18"/>
                <w:szCs w:val="18"/>
                <w:bdr w:val="nil"/>
              </w:rPr>
              <w:t>Европейската комисия отпуска първите траншове от 17 милиарда евро по инструмента SURE на Италия, Испания и Полша</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1804673622" o:spid="_x0000_s1234"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016794"/>
                <w:sz w:val="18"/>
                <w:szCs w:val="18"/>
                <w:bdr w:val="nil"/>
              </w:rPr>
            </w:pPr>
            <w:r>
              <w:rPr>
                <w:rFonts w:ascii="Verdana" w:hAnsi="Verdana"/>
                <w:b/>
                <w:noProof/>
                <w:color w:val="016794"/>
                <w:sz w:val="18"/>
                <w:szCs w:val="18"/>
                <w:bdr w:val="nil"/>
              </w:rPr>
              <w:t>10 ноември</w:t>
            </w:r>
          </w:p>
          <w:p>
            <w:pPr>
              <w:rPr>
                <w:rFonts w:ascii="Verdana" w:eastAsia="Calibri" w:hAnsi="Verdana"/>
                <w:noProof/>
                <w:sz w:val="18"/>
                <w:szCs w:val="18"/>
                <w:bdr w:val="nil"/>
              </w:rPr>
            </w:pPr>
            <w:r>
              <w:rPr>
                <w:rFonts w:ascii="Verdana" w:hAnsi="Verdana"/>
                <w:noProof/>
                <w:sz w:val="18"/>
                <w:szCs w:val="18"/>
                <w:bdr w:val="nil"/>
              </w:rPr>
              <w:t>Европейската комисия приветства споразумението относно дългосрочния бюджет на ЕС на стойност 1,8 трилиона евро и NextGenerationEU, които ще допринесат за изграждането на една по-екологична, по-цифровизирана и по-устойчива Европа</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4" o:spid="_x0000_s1233"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p>
            <w:pPr>
              <w:pBdr>
                <w:top w:val="nil"/>
                <w:left w:val="nil"/>
                <w:bottom w:val="nil"/>
                <w:right w:val="nil"/>
                <w:between w:val="nil"/>
                <w:bar w:val="nil"/>
              </w:pBdr>
              <w:rPr>
                <w:rFonts w:ascii="Verdana" w:eastAsia="Calibri" w:hAnsi="Verdana"/>
                <w:noProof/>
                <w:sz w:val="18"/>
                <w:szCs w:val="18"/>
                <w:bdr w:val="nil"/>
                <w:lang w:eastAsia="en-US"/>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016794"/>
                <w:sz w:val="18"/>
                <w:szCs w:val="18"/>
                <w:bdr w:val="nil"/>
              </w:rPr>
            </w:pPr>
            <w:r>
              <w:rPr>
                <w:rFonts w:ascii="Verdana" w:hAnsi="Verdana"/>
                <w:b/>
                <w:noProof/>
                <w:color w:val="016794"/>
                <w:sz w:val="18"/>
                <w:szCs w:val="18"/>
                <w:bdr w:val="nil"/>
              </w:rPr>
              <w:t>17 ноември</w:t>
            </w:r>
          </w:p>
          <w:p>
            <w:pPr>
              <w:rPr>
                <w:rFonts w:ascii="Verdana" w:eastAsia="Calibri" w:hAnsi="Verdana"/>
                <w:noProof/>
                <w:sz w:val="18"/>
                <w:szCs w:val="18"/>
                <w:bdr w:val="nil"/>
              </w:rPr>
            </w:pPr>
            <w:r>
              <w:rPr>
                <w:rFonts w:ascii="Verdana" w:hAnsi="Verdana"/>
                <w:noProof/>
                <w:sz w:val="18"/>
                <w:szCs w:val="18"/>
                <w:bdr w:val="nil"/>
              </w:rPr>
              <w:t>Европейската комисия отпуска 14 милиарда евро на девет държави членки по линия на инструмента SURE</w:t>
            </w:r>
            <w:r>
              <w:rPr>
                <w:rFonts w:ascii="Verdana" w:hAnsi="Verdana"/>
                <w:b/>
                <w:noProof/>
                <w:sz w:val="18"/>
                <w:szCs w:val="18"/>
                <w:bdr w:val="nil"/>
              </w:rPr>
              <w:t xml:space="preserve"> </w:t>
            </w:r>
          </w:p>
        </w:tc>
      </w:tr>
      <w:t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1804673625" o:spid="_x0000_s1232"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016794"/>
                <w:sz w:val="18"/>
                <w:szCs w:val="18"/>
                <w:bdr w:val="nil"/>
              </w:rPr>
            </w:pPr>
            <w:r>
              <w:rPr>
                <w:rFonts w:ascii="Verdana" w:hAnsi="Verdana"/>
                <w:b/>
                <w:noProof/>
                <w:color w:val="016794"/>
                <w:sz w:val="18"/>
                <w:szCs w:val="18"/>
                <w:bdr w:val="nil"/>
              </w:rPr>
              <w:t>1 декември</w:t>
            </w:r>
          </w:p>
          <w:p>
            <w:pPr>
              <w:rPr>
                <w:rFonts w:ascii="Verdana" w:eastAsia="Calibri" w:hAnsi="Verdana"/>
                <w:b/>
                <w:noProof/>
                <w:sz w:val="18"/>
                <w:szCs w:val="18"/>
                <w:bdr w:val="nil"/>
              </w:rPr>
            </w:pPr>
            <w:r>
              <w:rPr>
                <w:rFonts w:ascii="Verdana" w:hAnsi="Verdana"/>
                <w:noProof/>
                <w:sz w:val="18"/>
                <w:szCs w:val="18"/>
                <w:bdr w:val="nil"/>
              </w:rPr>
              <w:t>Европейската комисия отпуска 8,5 милиарда евро по линия на инструмента SURE на пет държави членки, за да им помогне да запазят работните места</w:t>
            </w:r>
          </w:p>
        </w:tc>
      </w:tr>
      <w:tr>
        <w:trPr>
          <w:trHeight w:val="394"/>
        </w:trPr>
        <w:tc>
          <w:tcPr>
            <w:tcW w:w="357" w:type="dxa"/>
            <w:shd w:val="clear" w:color="auto" w:fill="auto"/>
          </w:tcPr>
          <w:p>
            <w:pPr>
              <w:pBdr>
                <w:top w:val="nil"/>
                <w:left w:val="nil"/>
                <w:bottom w:val="nil"/>
                <w:right w:val="nil"/>
                <w:between w:val="nil"/>
                <w:bar w:val="nil"/>
              </w:pBdr>
              <w:rPr>
                <w:rFonts w:ascii="Verdana" w:eastAsia="Calibri" w:hAnsi="Verdana"/>
                <w:noProof/>
                <w:sz w:val="18"/>
                <w:szCs w:val="18"/>
                <w:bdr w:val="nil"/>
              </w:rPr>
            </w:pPr>
            <w:r>
              <w:rPr>
                <w:noProof/>
              </w:rPr>
            </w:r>
            <w:r>
              <w:rPr>
                <w:noProof/>
              </w:rPr>
              <w:pict>
                <v:oval id="Oval 1804673630" o:spid="_x0000_s1231" style="width:7.35pt;height:7.35pt;visibility:visible;mso-wrap-style:square;mso-left-percent:-10001;mso-top-percent:-10001;mso-position-horizontal:absolute;mso-position-horizontal-relative:char;mso-position-vertical:absolute;mso-position-vertical-relative:line;mso-left-percent:-10001;mso-top-percent:-10001;v-text-anchor:top" fillcolor="window" strokecolor="#016794" strokeweight="2pt">
                  <v:textbox inset="0,0,0,0"/>
                  <w10:wrap type="none"/>
                  <w10:anchorlock/>
                </v:oval>
              </w:pict>
            </w:r>
          </w:p>
        </w:tc>
        <w:tc>
          <w:tcPr>
            <w:tcW w:w="20" w:type="dxa"/>
            <w:shd w:val="clear" w:color="auto" w:fill="auto"/>
          </w:tcPr>
          <w:p>
            <w:pPr>
              <w:tabs>
                <w:tab w:val="left" w:pos="907"/>
              </w:tabs>
              <w:spacing w:after="240"/>
              <w:rPr>
                <w:rFonts w:ascii="Verdana" w:hAnsi="Verdana" w:cs="Verdana"/>
                <w:noProof/>
                <w:color w:val="000000"/>
                <w:sz w:val="20"/>
                <w:szCs w:val="20"/>
              </w:rPr>
            </w:pPr>
          </w:p>
        </w:tc>
        <w:tc>
          <w:tcPr>
            <w:tcW w:w="20" w:type="dxa"/>
            <w:shd w:val="clear" w:color="auto" w:fill="auto"/>
          </w:tcPr>
          <w:p>
            <w:pPr>
              <w:tabs>
                <w:tab w:val="left" w:pos="907"/>
              </w:tabs>
              <w:spacing w:after="240"/>
              <w:rPr>
                <w:rFonts w:ascii="Verdana" w:hAnsi="Verdana" w:cs="Verdana"/>
                <w:noProof/>
                <w:color w:val="000000"/>
                <w:sz w:val="20"/>
                <w:szCs w:val="20"/>
              </w:rPr>
            </w:pPr>
          </w:p>
        </w:tc>
        <w:tc>
          <w:tcPr>
            <w:tcW w:w="9281" w:type="dxa"/>
            <w:shd w:val="clear" w:color="auto" w:fill="auto"/>
          </w:tcPr>
          <w:p>
            <w:pPr>
              <w:rPr>
                <w:rFonts w:ascii="Verdana" w:eastAsia="Calibri" w:hAnsi="Verdana"/>
                <w:b/>
                <w:noProof/>
                <w:color w:val="016794"/>
                <w:sz w:val="18"/>
                <w:szCs w:val="18"/>
                <w:bdr w:val="nil"/>
              </w:rPr>
            </w:pPr>
            <w:r>
              <w:rPr>
                <w:rFonts w:ascii="Verdana" w:hAnsi="Verdana"/>
                <w:b/>
                <w:noProof/>
                <w:color w:val="016794"/>
                <w:sz w:val="18"/>
                <w:szCs w:val="18"/>
                <w:bdr w:val="nil"/>
              </w:rPr>
              <w:t>17 декември</w:t>
            </w:r>
          </w:p>
          <w:p>
            <w:pPr>
              <w:rPr>
                <w:rFonts w:ascii="Verdana" w:eastAsia="Calibri" w:hAnsi="Verdana"/>
                <w:noProof/>
                <w:sz w:val="18"/>
                <w:szCs w:val="18"/>
                <w:bdr w:val="nil"/>
              </w:rPr>
            </w:pPr>
            <w:r>
              <w:rPr>
                <w:rFonts w:ascii="Verdana" w:hAnsi="Verdana"/>
                <w:noProof/>
                <w:sz w:val="18"/>
                <w:szCs w:val="18"/>
                <w:bdr w:val="nil"/>
              </w:rPr>
              <w:t>Европейската комисия приветства приемането на дългосрочния бюджет на ЕС за периода 2021—2027 г.</w:t>
            </w:r>
          </w:p>
        </w:tc>
      </w:tr>
    </w:tbl>
    <w:p>
      <w:pPr>
        <w:pStyle w:val="HEADER2Part4"/>
        <w:numPr>
          <w:ilvl w:val="1"/>
          <w:numId w:val="40"/>
        </w:numPr>
      </w:pPr>
      <w:bookmarkStart w:id="18" w:name="_Toc75518081"/>
      <w:r>
        <w:t>Инициативи за реагиране съгласно многогодишната финансова рамка (МФР) за периода 2014—2020 г. и програмата SURE</w:t>
      </w:r>
      <w:bookmarkEnd w:id="18"/>
    </w:p>
    <w:p>
      <w:pPr>
        <w:pStyle w:val="DGTextstand-alone"/>
        <w:spacing w:before="120"/>
      </w:pPr>
      <w:bookmarkStart w:id="19" w:name="_Toc491880236"/>
      <w:r>
        <w:t xml:space="preserve">Интервенциите на Европейския съюз съгласно МФР за периода 2014—2020 г. с цел борба с пандемията от COVID-19 варираха от незабавни действия, като финансиране на спешни медицински материали и увеличаване на медицинските запаси, до въвеждане на по-голяма гъвкавост по отношение на използването на финансовата подкрепа от европейските структурни и инвестиционни фондове и до предоставяне на заеми при благоприятни условия както на държавите членки, така и на партньорите, обхванати от политиките за разширяване и съседство. Общата пряка подкрепа от бюджета на ЕС бе на стойност около 70 милиарда евро през 2020 г. Тя обхваща поетите задължения, които можеха да бъдат пренасочени към действия, свързани с COVID-19, от които 66 милиарда евро дойдоха от преразпределяне на средствата и промяна на приоритетите в рамките на съществуващите програми, а 4 милиарда евро — от увеличение на бюджетните средства. Основните инициативи са обяснени по-подробно по-долу. </w:t>
      </w:r>
    </w:p>
    <w:p>
      <w:pPr>
        <w:pStyle w:val="HEADER3Part4"/>
        <w:numPr>
          <w:ilvl w:val="2"/>
          <w:numId w:val="40"/>
        </w:numPr>
        <w:spacing w:before="240"/>
        <w:rPr>
          <w:noProof/>
        </w:rPr>
      </w:pPr>
      <w:r>
        <w:rPr>
          <w:noProof/>
        </w:rPr>
        <w:t>Задействане на Инструмента за спешна подкрепа (ИСП)</w:t>
      </w:r>
    </w:p>
    <w:p>
      <w:pPr>
        <w:pStyle w:val="DGTextstand-alone"/>
        <w:spacing w:before="120"/>
      </w:pPr>
      <w:r>
        <w:t>Поради сериозността на кризата вследствие на пандемията от COVID-19, както и величината и естеството на нуждите, за които е необходима подкрепа от бюджета на ЕС, ЕС задейства отново ИСП за период от 2 години, за да бъдат финансирани разходите, необходими за справяне с пандемията от COVID-19, за периода от 1 февруари 2020 г. до 31 януари 2022 г. (вж. Регламент (ЕС) 2016/369 на Съвета от 15 март 2016 г.</w:t>
      </w:r>
      <w:r>
        <w:rPr>
          <w:rStyle w:val="FootnoteReference"/>
        </w:rPr>
        <w:footnoteReference w:id="2"/>
      </w:r>
      <w:r>
        <w:t>). За да бъде постигнат напредък по реализирането на тази цел, бюджетът за 2020 г. беше изменен</w:t>
      </w:r>
      <w:r>
        <w:rPr>
          <w:rStyle w:val="FootnoteReference"/>
        </w:rPr>
        <w:footnoteReference w:id="3"/>
      </w:r>
      <w:r>
        <w:t xml:space="preserve">. Освен това благодарение на DEC 13/2020, приет на 24 юли 2020 г., 2,7 милиарда евро бюджетни кредити за поети задължения и 2,6 милиарда евро бюджетни кредити за плащания бяха отпуснати за ИСП за 2020 г. Това повторно задействане дава възможност на Съюза да предприеме мерки за предотвратяване и намаляване на тежките последици в една или повече държави членки и да отговори по координиран начин на нуждите, свързани с пандемията от COVID-19, в допълнение към помощта, предоставяна по линия на други инструменти на ЕС. Инструментът се управлява централно от Комисията и е съсредоточен върху прякото възлагане на поръчки и предоставянето на безвъзмездни средства, като се допълва в определени случаи от действия, изпълнявани чрез партньори, като например международни организации. </w:t>
      </w:r>
    </w:p>
    <w:p>
      <w:pPr>
        <w:pStyle w:val="DGTextstand-alone"/>
        <w:spacing w:before="120"/>
      </w:pPr>
      <w:r>
        <w:t>През 2020 г. Комисията подписа предварителни споразумения за закупуване с редица фармацевтични предприятия. Предварителните споразумения за закупуване спомагат за намаляване на риска, свързан с инвестициите, направени от производителите, в разработването на потенциални ваксини, или имат за цел да гарантират доставки, като по този начин увеличават максимално шансовете за бързо разработване, произвеждане и внедряване на безопасни и ефективни ваксини и за гарантиране, че гражданите на ЕС ще имат достъп до тях. Комисията проведе преговори с фармацевтични предприятия от името на държавите — членки на ЕС, което доведе до първоначалното подписване на шест споразумения, като провежда и други проучвателни разговори с допълнителни производители на ваксини, които започнаха през 2020 г. и продължават през 2021 г. Първата ваксина, за която на 21 декември 2020 г. бе издадено разрешение за търговия при определени условия, бе произведена от BioNTech/Pfizer. Нейното разпространение започна след няколко дни, навреме за откриването на Дните на ваксинацията в ЕС на 27, 28 и 29 декември 2020 г. Разрешението бе дадено след положителна научна препоръка, основана на задълбочена оценка на безопасността, ефективността и качеството на ваксината от Европейска агенция по лекарствата, и бе подкрепено от държавите членки.</w:t>
      </w:r>
    </w:p>
    <w:p>
      <w:pPr>
        <w:pStyle w:val="DGTextstand-alone"/>
        <w:spacing w:before="120" w:after="120"/>
      </w:pPr>
      <w:r>
        <w:t>Към 31 декември 2020 г. Комисията е сключила договори за 1 965 милиона дози (от които 1 305 милиона фиксирани и 660 милиона по избор).</w:t>
      </w:r>
    </w:p>
    <w:p>
      <w:pPr>
        <w:pStyle w:val="DGTextstand-alone"/>
        <w:spacing w:before="0" w:after="0"/>
        <w:jc w:val="center"/>
      </w:pPr>
      <w:r>
        <w:rPr>
          <w:lang w:val="en-US"/>
        </w:rPr>
        <w:pict>
          <v:shape id="_x0000_i1047" type="#_x0000_t75" style="width:438.75pt;height:222.75pt;visibility:visible;mso-wrap-style:square">
            <v:imagedata r:id="rId33" o:title=""/>
          </v:shape>
        </w:pict>
      </w:r>
    </w:p>
    <w:p>
      <w:pPr>
        <w:pStyle w:val="DGTextstand-alone"/>
        <w:spacing w:before="120"/>
      </w:pPr>
      <w:r>
        <w:t>През 2021 г. Комисията е сключила договори за още 2 400 милиона дози (фиксирани или по избор). Тези дози ще бъдат обаче изцяло платени от съответните държави членки без последици за бюджета на ЕС.</w:t>
      </w:r>
    </w:p>
    <w:p>
      <w:pPr>
        <w:pStyle w:val="HEADER3Part4"/>
        <w:numPr>
          <w:ilvl w:val="2"/>
          <w:numId w:val="40"/>
        </w:numPr>
        <w:rPr>
          <w:noProof/>
        </w:rPr>
      </w:pPr>
      <w:r>
        <w:rPr>
          <w:noProof/>
        </w:rPr>
        <w:t>Подкрепа за научните изследвания</w:t>
      </w:r>
    </w:p>
    <w:p>
      <w:pPr>
        <w:pStyle w:val="DGTextstand-alone"/>
        <w:rPr>
          <w:rStyle w:val="DGTextstand-aloneChar"/>
        </w:rPr>
      </w:pPr>
      <w:r>
        <w:rPr>
          <w:rStyle w:val="DGTextstand-aloneChar"/>
        </w:rPr>
        <w:t xml:space="preserve">На 4 май 2020 г. ЕС и неговите партньори бяха домакини на международна конференция за поемане на ангажименти за дарения, на която бяха набрани 9,8 милиарда евро под формата на ангажименти от донори от цял свят, за да се стартира глобалното сътрудничество в областта на научните изследвания във връзка с коронавируса. Това включва ангажимент от страна на Комисията да предостави 1,4 милиарда евро, 1 милиард евро от които идват от „Хоризонт 2020“. </w:t>
      </w:r>
    </w:p>
    <w:p>
      <w:pPr>
        <w:pStyle w:val="DGTextstand-alone"/>
        <w:rPr>
          <w:rStyle w:val="DGTextstand-aloneChar"/>
        </w:rPr>
      </w:pPr>
      <w:r>
        <w:rPr>
          <w:rStyle w:val="DGTextstand-aloneChar"/>
        </w:rPr>
        <w:t>ЕС играе централна роля в подкрепата и координирането на научните изследвания в областта на заразните болести, като от 2007 г. до 2019 г. са инвестирани 4,1 милиарда евро чрез Седмата рамкова програма и „Хоризонт 2020“, като през 2020 г. са поети нови ангажименти в допълнение към ангажимента за 1 милиард евро за научните изследвания във връзка с коронавируса. Онлайн могат да бъдат намерени актуални данни за цялото обещано финансиране и за вече мобилизираното по линия на „Хоризонт 2020“ финансиране, имащо за цел да се допринесе към маратона за поемане на ангажименти за дарения „Глобални действия срещу коронавируса“.</w:t>
      </w:r>
      <w:r>
        <w:rPr>
          <w:rStyle w:val="FootnoteReference"/>
        </w:rPr>
        <w:footnoteReference w:id="4"/>
      </w:r>
    </w:p>
    <w:p>
      <w:pPr>
        <w:pStyle w:val="DGTextstand-alone"/>
        <w:rPr>
          <w:rStyle w:val="DGTextstand-aloneChar"/>
        </w:rPr>
      </w:pPr>
      <w:r>
        <w:rPr>
          <w:rStyle w:val="DGTextstand-aloneChar"/>
        </w:rPr>
        <w:t>Освен това на 3 март 2020 г. Инициативата за иновативни лекарства (ИИЛ), подкрепена чрез Рамковата програма за научни изследвания и иновации „Хоризонт 2020“ на Европейската комисия, отправи специална ускорена покана за представяне на предложения за „Разработване на терапевтични и диагностични средства за борба с инфекциите от коронавирус“ с принос от ЕС в размер на 45 милиона евро, който впоследствие беше увеличен на 72 милиона евро.</w:t>
      </w:r>
    </w:p>
    <w:p>
      <w:pPr>
        <w:pStyle w:val="DGTextstand-alone"/>
      </w:pPr>
      <w:r>
        <w:rPr>
          <w:rStyle w:val="DGTextstand-aloneChar"/>
        </w:rPr>
        <w:t>Накрая, на 8 юни 2020 г. Комисията предостави чрез пилотния инструмент „Ускорител“ на Европейския съвет по иновациите (ЕСИ) близо 166 милиона евро на 36 предприятия, готови да се включат в борбата с пандемията от коронавируса.</w:t>
      </w:r>
    </w:p>
    <w:p>
      <w:pPr>
        <w:pStyle w:val="HEADER3Part4"/>
        <w:numPr>
          <w:ilvl w:val="2"/>
          <w:numId w:val="40"/>
        </w:numPr>
        <w:rPr>
          <w:noProof/>
        </w:rPr>
      </w:pPr>
      <w:r>
        <w:rPr>
          <w:noProof/>
        </w:rPr>
        <w:t>Допълнително подсилване на Механизма за гражданска защита на Съюза (МГЗС/rescEU)</w:t>
      </w:r>
    </w:p>
    <w:p>
      <w:pPr>
        <w:pBdr>
          <w:top w:val="nil"/>
          <w:left w:val="nil"/>
          <w:bottom w:val="nil"/>
          <w:right w:val="nil"/>
          <w:between w:val="nil"/>
          <w:bar w:val="nil"/>
        </w:pBdr>
        <w:spacing w:before="120" w:after="240"/>
        <w:jc w:val="both"/>
        <w:rPr>
          <w:rStyle w:val="DGTextstand-aloneChar"/>
        </w:rPr>
      </w:pPr>
      <w:r>
        <w:rPr>
          <w:rStyle w:val="DGTextstand-aloneChar"/>
        </w:rPr>
        <w:t>Като допълваща ИСП мярка бе подсилен МГЗС/rescEU, за да се даде възможност за натрупване на повече запаси и координиране на разпределението на основни ресурси в цяла Европа (вж. Решение за изпълнение (ЕС) 2019/570 на Комисията, изменено с Решение за изпълнение (ЕС) 2020/414 на Комисията от 19 март 2020 г. и с Решение за изпълнение (ЕС) 2020/452 на Комисията от 26 март 2020 г.). За тази цел бюджетът за 2020 г. бе изменен, като в него бяха включени допълнителни бюджетни кредити за поети задължения в размер на 0,4 милиарда евро и бюджетни кредити за плащания в размер на 0,2 милиарда евро.</w:t>
      </w:r>
    </w:p>
    <w:p>
      <w:pPr>
        <w:pBdr>
          <w:top w:val="nil"/>
          <w:left w:val="nil"/>
          <w:bottom w:val="nil"/>
          <w:right w:val="nil"/>
          <w:between w:val="nil"/>
          <w:bar w:val="nil"/>
        </w:pBdr>
        <w:spacing w:before="120" w:after="240"/>
        <w:jc w:val="both"/>
        <w:rPr>
          <w:rStyle w:val="DGTextstand-aloneChar"/>
        </w:rPr>
      </w:pPr>
      <w:r>
        <w:rPr>
          <w:rStyle w:val="DGTextstand-aloneChar"/>
        </w:rPr>
        <w:t>С увеличаването на средствата за МГЗС/rescEU се помага на държавите членки да закупят част от необходимото оборудване (включително средства за лечение, медицинско оборудване, лични предпазни средства, лабораторни консумативи), като по този начин се увеличава количеството и се допълва и разширява обхватът на приоритетните изделия, закупувани съгласно споразумението за съвместно възлагане на обществени поръчки — координиран подход, който осигурява силна позиция на държавите членки при преговорите с предприятията относно наличността и цената на медицинските продукти.</w:t>
      </w:r>
    </w:p>
    <w:p>
      <w:pPr>
        <w:pBdr>
          <w:top w:val="nil"/>
          <w:left w:val="nil"/>
          <w:bottom w:val="nil"/>
          <w:right w:val="nil"/>
          <w:between w:val="nil"/>
          <w:bar w:val="nil"/>
        </w:pBdr>
        <w:spacing w:before="120" w:after="240"/>
        <w:jc w:val="both"/>
        <w:rPr>
          <w:rFonts w:ascii="Verdana" w:eastAsia="Calibri" w:hAnsi="Verdana"/>
          <w:noProof/>
          <w:sz w:val="18"/>
          <w:szCs w:val="18"/>
          <w:bdr w:val="nil"/>
        </w:rPr>
      </w:pPr>
      <w:r>
        <w:rPr>
          <w:rStyle w:val="DGTextstand-aloneChar"/>
        </w:rPr>
        <w:t>С преките безвъзмездни средства по линия на rescEU се предоставя 100 % финансиране от бюджета на ЕС, включващо пълно финансиране за изграждането на този капацитет и за разполагането на оборудването. Закупеното оборудване ще бъде складирано в една или няколко държави членки, докато вземането на решения ще се извършва на равнище ЕС, като по този начин ще се осигуряват спешни доставки извън националните резерви. То ще е на разположение на всички държави членки и ще се използва в случай на недостатъчни национални наличности.</w:t>
      </w:r>
    </w:p>
    <w:p>
      <w:pPr>
        <w:pStyle w:val="HEADER3Part4"/>
        <w:numPr>
          <w:ilvl w:val="2"/>
          <w:numId w:val="40"/>
        </w:numPr>
        <w:rPr>
          <w:noProof/>
        </w:rPr>
      </w:pPr>
      <w:r>
        <w:rPr>
          <w:noProof/>
        </w:rPr>
        <w:t>Инвестиционна инициатива в отговор на коронавируса (CRII и CRII+):</w:t>
      </w:r>
    </w:p>
    <w:p>
      <w:pPr>
        <w:spacing w:after="150"/>
        <w:jc w:val="both"/>
        <w:rPr>
          <w:rStyle w:val="DGTextstand-aloneChar"/>
        </w:rPr>
      </w:pPr>
      <w:r>
        <w:rPr>
          <w:rStyle w:val="DGTextstand-aloneChar"/>
        </w:rPr>
        <w:t>Една от първите мерки, предприети от ЕС, за да помогне финансово на държавите членки да предприемат действия в отговор на кризата, бе CRII, която бе въведена с Регламент 2020/460 на Европейския парламент и на Съвета от 30 март 2020 г. Чрез мобилизирането на неизразходваните средства, вече отпуснати на държавите — членки на ЕС, инициативата осигури незабавен стимул за ликвидността на бюджетите на държавите членки и регионите и им помогна да използват финансирането по линия на политиката на сближаване за финансиране на разходите за здравеопазване и режимите на работа при непълно работно време, както и да предложат подкрепа за осигуряване на оборотен капитал за малките и средните предприятия. Обхватът на фонд „Солидарност“ на Европейския съюз също беше разширен, за да обхване сериозни извънредни ситуации в областта на общественото здраве, като по този начин се даде възможност на държавите членки да получават подкрепа по линия на този фонд, за да им се помогне да се борят с пандемията от COVID-19.</w:t>
      </w:r>
    </w:p>
    <w:p>
      <w:pPr>
        <w:spacing w:after="150"/>
        <w:jc w:val="both"/>
        <w:rPr>
          <w:rStyle w:val="DGTextstand-aloneChar"/>
        </w:rPr>
      </w:pPr>
      <w:r>
        <w:rPr>
          <w:rStyle w:val="DGTextstand-aloneChar"/>
        </w:rPr>
        <w:t>От месец април CRII+, въведена с Регламент 2020/558 на Европейския парламент и на Съвета от 23 април 2020 г., опрости бързото използване на съществуващите европейски структурни и инвестиционни фондове за мерки, свързани с кризата, и даде възможност приносът на ЕС за програмите по политиката на сближаване да бъде увеличен до 100 % за заявленията за плащане, подадени между 1 юли 2020 г. и 30 юни 2021 г.</w:t>
      </w:r>
    </w:p>
    <w:p>
      <w:pPr>
        <w:spacing w:after="150"/>
        <w:jc w:val="both"/>
        <w:rPr>
          <w:rFonts w:ascii="Verdana" w:eastAsia="Calibri" w:hAnsi="Verdana"/>
          <w:noProof/>
          <w:sz w:val="18"/>
          <w:szCs w:val="18"/>
          <w:bdr w:val="nil"/>
        </w:rPr>
      </w:pPr>
      <w:r>
        <w:rPr>
          <w:rStyle w:val="DGTextstand-aloneChar"/>
        </w:rPr>
        <w:t>През декември Комисията обяви резултатите от двете инициативи за 2020 г. От началото на кризата ЕС мобилизира значително финансиране за борба с последиците от пандемията. Малките и средните предприятия се ползваха от по-голямата част от наличното финансиране — над 10 милиарда евро, което помогна на предприятията да оцелеят. 3 милиарда евро бяха насочени към гражданите, включително предоставянето на социални услуги за уязвимите групи и схемите за временна заетост на работниците. Накрая, бяха предоставени 7 милиарда евро в подкрепа на сектора на здравеопазването в допълнение към сумата от 10,2 милиарда евро от бюджета на ЕС, която вече беше отпусната за тази област за периода 2014—2020 г. (следва да се отбележи, че съществува известно припокриване между групите бенефициери).</w:t>
      </w:r>
    </w:p>
    <w:p>
      <w:pPr>
        <w:pStyle w:val="HEADER3Part4"/>
        <w:numPr>
          <w:ilvl w:val="2"/>
          <w:numId w:val="40"/>
        </w:numPr>
        <w:rPr>
          <w:noProof/>
        </w:rPr>
      </w:pPr>
      <w:r>
        <w:rPr>
          <w:noProof/>
        </w:rPr>
        <w:t>Помощ за партньорите, участващи в процеса на разширяване, партньорите от съседството и други държави</w:t>
      </w:r>
    </w:p>
    <w:p>
      <w:pPr>
        <w:pBdr>
          <w:top w:val="nil"/>
          <w:left w:val="nil"/>
          <w:bottom w:val="nil"/>
          <w:right w:val="nil"/>
          <w:between w:val="nil"/>
          <w:bar w:val="nil"/>
        </w:pBdr>
        <w:spacing w:before="120" w:after="240"/>
        <w:jc w:val="both"/>
        <w:rPr>
          <w:rStyle w:val="DGTextstand-aloneChar"/>
        </w:rPr>
      </w:pPr>
      <w:r>
        <w:rPr>
          <w:rStyle w:val="DGTextstand-aloneChar"/>
        </w:rPr>
        <w:t>Досега ЕС е мобилизирал над 38,5 милиарда евро за борба с коронавируса в световен мащаб. Подходът на „Екип Европа“ съчетава ресурси от ЕС, от неговите държави членки и от финансови институции, включително Европейската инвестиционна банка и Европейската банка за възстановяване и развитие, за да окаже подкрепа на партньорските държави. Половината от сумата от 38,5 милиарда евро, на която възлизат глобалните действия в отговор на пандемията от коронавируса, са отпуснати.</w:t>
      </w:r>
    </w:p>
    <w:p>
      <w:pPr>
        <w:pBdr>
          <w:top w:val="nil"/>
          <w:left w:val="nil"/>
          <w:bottom w:val="nil"/>
          <w:right w:val="nil"/>
          <w:between w:val="nil"/>
          <w:bar w:val="nil"/>
        </w:pBdr>
        <w:spacing w:before="120" w:after="240"/>
        <w:jc w:val="both"/>
        <w:rPr>
          <w:rStyle w:val="DGTextstand-aloneChar"/>
        </w:rPr>
      </w:pPr>
      <w:r>
        <w:rPr>
          <w:rStyle w:val="DGTextstand-aloneChar"/>
        </w:rPr>
        <w:t>Освен това Комисията е сключила десет споразумения за финансови гаранции на стойност 990 милиона евро с партньорски финансови институции, които допълват Европейския фонд за устойчиво развитие — финансиращия клон на Плана за външни инвестиции. Споразуменията следва да генерират инвестиции в размер до 10 милиарда евро, за да се стимулира икономическото възстановяване и да се подобри устойчивостта на съседните на ЕС държави и на африканските държави.</w:t>
      </w:r>
    </w:p>
    <w:p>
      <w:pPr>
        <w:pBdr>
          <w:top w:val="nil"/>
          <w:left w:val="nil"/>
          <w:bottom w:val="nil"/>
          <w:right w:val="nil"/>
          <w:between w:val="nil"/>
          <w:bar w:val="nil"/>
        </w:pBdr>
        <w:spacing w:before="120" w:after="240"/>
        <w:jc w:val="both"/>
        <w:rPr>
          <w:rStyle w:val="DGTextstand-aloneChar"/>
        </w:rPr>
      </w:pPr>
      <w:r>
        <w:rPr>
          <w:rStyle w:val="DGTextstand-aloneChar"/>
        </w:rPr>
        <w:t>Допълнителни 500 милиона евро бяха отпуснати за подкрепа на глобалната инициатива за ваксини COVAX, чиято цел е да се осигурят един милиард дози ваксини срещу коронавируса за държавите с ниски и средни доходи в Африка, Азия, Карибите и Тихоокеанския басейн, както и в южното и източното съседство на Европа. 100 милиона евро бяха отпуснати от Комисията, а 400 милиона евро — от Европейската инвестиционна банка, гарантирани от Европейския фонд за устойчиво развитие, за участието на държави с ниски и средни доходи в предварителния пазарен ангажимент за ваксини срещу COVID-19 (COVAX AMC). На 19 февруари 2021 г. Европейският съюз обяви допълнителни 500 милиона евро за механизма COVAX, а Европейската комисия обяви хуманитарна помощ в размер на 100 милиона евро в подкрепа на провеждането на кампании за ваксинация в Африка.</w:t>
      </w:r>
    </w:p>
    <w:p>
      <w:pPr>
        <w:rPr>
          <w:rStyle w:val="DGTextstand-aloneChar"/>
        </w:rPr>
      </w:pPr>
    </w:p>
    <w:p>
      <w:pPr>
        <w:pBdr>
          <w:top w:val="nil"/>
          <w:left w:val="nil"/>
          <w:bottom w:val="nil"/>
          <w:right w:val="nil"/>
          <w:between w:val="nil"/>
          <w:bar w:val="nil"/>
        </w:pBdr>
        <w:spacing w:before="120" w:after="240"/>
        <w:jc w:val="both"/>
        <w:rPr>
          <w:rFonts w:ascii="Verdana" w:eastAsia="Calibri" w:hAnsi="Verdana"/>
          <w:noProof/>
          <w:sz w:val="18"/>
          <w:szCs w:val="18"/>
          <w:bdr w:val="nil"/>
        </w:rPr>
      </w:pPr>
      <w:r>
        <w:rPr>
          <w:rStyle w:val="DGTextstand-aloneChar"/>
        </w:rPr>
        <w:t>На 25 май 2020 г. Европейският парламент и Съветът приеха Решение (ЕС) 2020/701 за предоставяне на макрофинансова помощ на десет партньори, обхванати от политиките за разширяване и съседство, за да се даде възможност за краткосрочно пространство в рамките на политиката с цел прилагане на мерки за противодействие на икономическите последици от пандемията от COVID-19 с максимален размер от общо 3 милиарда евро под формата на заеми. През 2020 г. бяха отпуснати общо 1,0 милиард евро като първи транш на седем държави (Украйна, Йордания, Северна Македония, Грузия, Косово, Молдова и Черна гора). До юни 2021 г. общо 0,6 милиарда евро бяха отпуснати на пет държави като първи транш (Албания, Тунис) или втори транш (Северна Македония, Косово, Черна гора). Освен това беше подписан Меморандум за разбирателство с Босна и Херцеговина.</w:t>
      </w:r>
    </w:p>
    <w:p>
      <w:pPr>
        <w:pStyle w:val="HEADER3Part4"/>
        <w:numPr>
          <w:ilvl w:val="2"/>
          <w:numId w:val="40"/>
        </w:numPr>
        <w:rPr>
          <w:noProof/>
        </w:rPr>
      </w:pPr>
      <w:r>
        <w:rPr>
          <w:noProof/>
        </w:rPr>
        <w:t>Временна подкрепа с цел смекчаване на рисковете от безработица при извънредни обстоятелства (SURE) вследствие на пандемията от COVID-19</w:t>
      </w:r>
    </w:p>
    <w:p>
      <w:pPr>
        <w:pBdr>
          <w:top w:val="nil"/>
          <w:left w:val="nil"/>
          <w:bottom w:val="nil"/>
          <w:right w:val="nil"/>
          <w:between w:val="nil"/>
          <w:bar w:val="nil"/>
        </w:pBdr>
        <w:spacing w:before="120" w:after="240"/>
        <w:jc w:val="both"/>
        <w:rPr>
          <w:rStyle w:val="DGTextstand-aloneChar"/>
        </w:rPr>
      </w:pPr>
      <w:r>
        <w:rPr>
          <w:rStyle w:val="DGTextstand-aloneChar"/>
        </w:rPr>
        <w:t>Като част от своя пакет от мерки за спешна подкрепа за преодоляване на икономическите последици от пандемията от COVID-19 на 19 май 2020 г. ЕС прие Регламент (ЕС) 2020/672 на Съвета за създаване на инструмента SURE с цел да се помогне на работниците да запазят работата си по време на кризата. SURE е временна схема, по която на държавите членки може да се предостави финансова помощ (заеми при благоприятни условия) в размер до 100 милиарда евро. Инструментът дава възможност на държавите членки да искат финансова помощ от ЕС за подпомагане на финансирането на внезапното и драстично увеличаване на националните публични разходи, считано от 1 февруари 2020 г., във връзка с националните режими на работа при непълно работно време и подобни мерки, включително за самостоятелно заети лица, или във връзка с някои мерки в областта на здравето, и по-специално на работното място, в отговор на кризата. За да може ЕС да предоставя финансова помощ в рамките на SURE, Комисията е упълномощена да заеме от името на ЕС средства на капиталовите пазари или от финансови институции в размер до максимум 100 милиарда евро. Отпусканите по SURE заеми се обезпечават от бюджета на ЕС и от гаранции, предоставени от държавите членки в зависимост от техния дял от БНД на ЕС. Общият размер на гаранциите възлиза на 25 милиарда евро. Срокът на действие на инструмента е ограничен до 31 декември 2022 г.</w:t>
      </w:r>
    </w:p>
    <w:p>
      <w:pPr>
        <w:pBdr>
          <w:top w:val="nil"/>
          <w:left w:val="nil"/>
          <w:bottom w:val="nil"/>
          <w:right w:val="nil"/>
          <w:between w:val="nil"/>
          <w:bar w:val="nil"/>
        </w:pBdr>
        <w:spacing w:before="120" w:after="240"/>
        <w:jc w:val="both"/>
        <w:rPr>
          <w:rStyle w:val="DGTextstand-aloneChar"/>
        </w:rPr>
      </w:pPr>
      <w:r>
        <w:rPr>
          <w:rStyle w:val="DGTextstand-aloneChar"/>
        </w:rPr>
        <w:t>Към 31 декември 2020 г. Комисията е предложила финансова подкрепа в размер на общо 90,3 милиарда евро на 18 държави членки, като цялата тази подкрепа вече е одобрена от Съвета. По-голямата част от тази сума — 87,3 милиарда евро — предназначена за 16 държави членки, вече беше предложена до август 2020 г., а останалите 3 милиарда евро, предназначени за Унгария и Ирландия, бяха предложени съответно през октомври и ноември 2020 г.:</w:t>
      </w:r>
    </w:p>
    <w:p>
      <w:pPr>
        <w:pBdr>
          <w:top w:val="nil"/>
          <w:left w:val="nil"/>
          <w:bottom w:val="nil"/>
          <w:right w:val="nil"/>
          <w:between w:val="nil"/>
          <w:bar w:val="nil"/>
        </w:pBdr>
        <w:spacing w:before="120" w:after="240"/>
        <w:jc w:val="center"/>
        <w:rPr>
          <w:rStyle w:val="DGTextstand-aloneChar"/>
        </w:rPr>
      </w:pPr>
      <w:r>
        <w:rPr>
          <w:noProof/>
          <w:lang w:val="en-US" w:eastAsia="en-US"/>
        </w:rPr>
        <w:pict>
          <v:shape id="_x0000_i1048" type="#_x0000_t75" style="width:481.5pt;height:315pt;visibility:visible;mso-wrap-style:square">
            <v:imagedata r:id="rId34" o:title=""/>
          </v:shape>
        </w:pict>
      </w:r>
    </w:p>
    <w:p>
      <w:pPr>
        <w:pBdr>
          <w:top w:val="nil"/>
          <w:left w:val="nil"/>
          <w:bottom w:val="nil"/>
          <w:right w:val="nil"/>
          <w:between w:val="nil"/>
          <w:bar w:val="nil"/>
        </w:pBdr>
        <w:spacing w:before="120" w:after="240"/>
        <w:jc w:val="both"/>
        <w:rPr>
          <w:rStyle w:val="DGTextstand-aloneChar"/>
        </w:rPr>
      </w:pPr>
      <w:r>
        <w:rPr>
          <w:rStyle w:val="DGTextstand-aloneChar"/>
        </w:rPr>
        <w:t>След първите три емисии на облигации по SURE през октомври и ноември 2020 г., Комисията отпусна общо 39,5 милиарда евро на 15 държави — членки на ЕС (Белгия, Хърватия, Кипър, Гърция, Унгария, Италия, Латвия, Литва, Малта, Полша, Португалия, Румъния, Словакия, Словения и Испания — вж. точка 6.3).</w:t>
      </w:r>
    </w:p>
    <w:p>
      <w:pPr>
        <w:pBdr>
          <w:top w:val="nil"/>
          <w:left w:val="nil"/>
          <w:bottom w:val="nil"/>
          <w:right w:val="nil"/>
          <w:between w:val="nil"/>
          <w:bar w:val="nil"/>
        </w:pBdr>
        <w:spacing w:before="120" w:after="240"/>
        <w:jc w:val="both"/>
        <w:rPr>
          <w:rStyle w:val="DGTextstand-aloneChar"/>
        </w:rPr>
      </w:pPr>
      <w:r>
        <w:rPr>
          <w:rStyle w:val="DGTextstand-aloneChar"/>
        </w:rPr>
        <w:t>Изпълнението на SURE продължи и през 2021 г. През февруари и март 2021 г. Комисията предложи 230 милиона евро на Естония и още 3,7 милиарда евро на Белгия, Кипър, Гърция, Латвия, Литва и Малта, с което общият обем на финансирането по линия на SURE нарасна на 94,3 милиарда евро. Тези допълнителни суми бяха одобрени от Съвета през март и април 2021 г. След четири допълнителни емисии на облигации през януари, март и май 2021 г. Комисията отпусна още 50,1 милиарда евро, с което общото равнище на отпуснатите средства достигна 89,6 милиарда евро.</w:t>
      </w:r>
    </w:p>
    <w:p>
      <w:pPr>
        <w:pBdr>
          <w:top w:val="nil"/>
          <w:left w:val="nil"/>
          <w:bottom w:val="nil"/>
          <w:right w:val="nil"/>
          <w:between w:val="nil"/>
          <w:bar w:val="nil"/>
        </w:pBdr>
        <w:spacing w:before="120" w:after="240"/>
        <w:jc w:val="both"/>
        <w:rPr>
          <w:rStyle w:val="DGTextstand-aloneChar"/>
        </w:rPr>
      </w:pPr>
      <w:r>
        <w:rPr>
          <w:rStyle w:val="DGTextstand-aloneChar"/>
        </w:rPr>
        <w:t>Всички облигации, емитирани по линия на SURE, до голяма степен бяха записани много над предложения обем, повечето от тях с двуцифрени числа, и привлякоха разнообразна база от европейски и международни инвеститори. Това доведе до много благоприятни ценови условия. Облигациите, емитирани от ЕС в рамките на инструмента SURE, се ползват със знак за социална облигация. Това дава увереност на инвеститорите, че мобилизираните средства ще служат за постигането на една наистина социална цел. Набраните средства се прехвърлят на държавите членки бенефициери под формата на заеми, за да им се помогне да покрият разходите, пряко свързани с финансирането на национални режими на работа при непълно работно време и подобни мерки в отговор на пандемията.</w:t>
      </w:r>
    </w:p>
    <w:p>
      <w:pPr>
        <w:pStyle w:val="HEADER1Part4"/>
        <w:numPr>
          <w:ilvl w:val="0"/>
          <w:numId w:val="40"/>
        </w:numPr>
        <w:rPr>
          <w:noProof/>
          <w:spacing w:val="-6"/>
        </w:rPr>
      </w:pPr>
      <w:r>
        <w:rPr>
          <w:noProof/>
        </w:rPr>
        <w:br w:type="page"/>
      </w:r>
      <w:bookmarkStart w:id="20" w:name="_Toc75518082"/>
      <w:bookmarkEnd w:id="19"/>
      <w:r>
        <w:rPr>
          <w:noProof/>
          <w:spacing w:val="-6"/>
        </w:rPr>
        <w:t>ДЪЛГОСРОЧНИЯТ БЮДЖЕТ НА ЕС ЗА ПЕРИОДА 2021—2027 Г. И NEXTGENERATIONEU</w:t>
      </w:r>
      <w:bookmarkEnd w:id="20"/>
    </w:p>
    <w:p>
      <w:pPr>
        <w:pStyle w:val="DGTextstand-alone"/>
      </w:pPr>
      <w:r>
        <w:t>През 2020 г. ЕС предприе безпрецедентни мерки в отговор на кризата с коронавируса, която засегна Европа и света. В основата им стои пакет от мерки за стимулиране на стойност 2,018 трилиона евро по текущи цени (1,8 трилиона евро по цени от 2018 г.). Той се състои от дългосрочния бюджет на ЕС за периода 2021—2027 г. в размер на 1,211 трилиона евро (1,074 трилиона евро по цени от 2018 г.), допълнен с 807 милиарда евро (750 милиарда евро по цени от 2018 г.) чрез NextGenerationEU — временен инструмент за стимулиране на възстановяването</w:t>
      </w:r>
      <w:r>
        <w:rPr>
          <w:rStyle w:val="FootnoteReference"/>
        </w:rPr>
        <w:footnoteReference w:id="5"/>
      </w:r>
      <w:r>
        <w:t>. Взети заедно, средствата ще допринесат за поправянето на икономическите и социалните щети, причинени от пандемията от коронавируса, и ще направляват прехода към една модерна и по-устойчива Европа.</w:t>
      </w:r>
    </w:p>
    <w:p>
      <w:pPr>
        <w:pStyle w:val="DGTextstand-alone"/>
      </w:pPr>
      <w:r>
        <w:pict>
          <v:group id="Group 2070794009" o:spid="_x0000_s1117" style="position:absolute;left:0;text-align:left;margin-left:-3.2pt;margin-top:14.35pt;width:206.75pt;height:224.25pt;z-index:251639296;mso-width-relative:margin" coordorigin="-826" coordsize="23156,284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">
            <v:group id="Group 2070793999" o:spid="_x0000_s1118" style="position:absolute;top:2063;width:16708;height:25889" coordorigin="978,3051" coordsize="26185,41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">
              <v:rect id="Rectangle 2070794000" o:spid="_x0000_s1119" style="position:absolute;left:978;top:41682;width:5528;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" fillcolor="#eeeceb" stroked="f" strokeweight="2pt"/>
              <v:rect id="Rectangle 2070794001" o:spid="_x0000_s1120" style="position:absolute;left:978;top:35412;width:6566;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" fillcolor="#eeeceb" stroked="f" strokeweight="2pt"/>
              <v:rect id="Rectangle 2070794002" o:spid="_x0000_s1121" style="position:absolute;left:978;top:28738;width:5528;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" fillcolor="#eeeceb" stroked="f" strokeweight="2pt"/>
              <v:rect id="Rectangle 2070794003" o:spid="_x0000_s1122" style="position:absolute;left:978;top:22467;width:5528;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" fillcolor="#eeeceb" stroked="f" strokeweight="2pt"/>
              <v:rect id="Rectangle 2070794004" o:spid="_x0000_s1123" style="position:absolute;left:978;top:15995;width:23495;height:24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" fillcolor="#eeeceb" stroked="f" strokeweight="2pt"/>
              <v:rect id="Rectangle 2070794005" o:spid="_x0000_s1124" style="position:absolute;left:1074;top:9523;width:26090;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" fillcolor="#eeeceb" stroked="f" strokeweight="2pt"/>
              <v:rect id="Rectangle 2070794006" o:spid="_x0000_s1125" style="position:absolute;left:978;top:3051;width:24845;height:2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" fillcolor="#eeeceb" stroked="f" strokeweight="2pt"/>
            </v:group>
            <v:shape id="TextBox 8" o:spid="_x0000_s1126" type="#_x0000_t202" style="position:absolute;left:-826;width:23156;height:28479;visibility:visibl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" filled="f" stroked="f">
              <v:textbox style="mso-next-textbox:#TextBox 8">
                <w:txbxContent>
                  <w:p>
                    <w:pPr>
                      <w:pStyle w:val="NormalWeb"/>
                      <w:spacing w:before="0" w:beforeAutospacing="0" w:after="120" w:afterAutospacing="0"/>
                      <w:rPr>
                        <w:rFonts w:ascii="EC Square Sans Pro" w:hAnsi="EC Square Sans Pro"/>
                        <w:sz w:val="16"/>
                      </w:rPr>
                    </w:pPr>
                    <w:r>
                      <w:rPr>
                        <w:rFonts w:ascii="EC Square Sans Pro" w:hAnsi="EC Square Sans Pro"/>
                        <w:color w:val="FAA827"/>
                        <w:spacing w:val="-6"/>
                        <w:sz w:val="22"/>
                        <w:szCs w:val="36"/>
                      </w:rPr>
                      <w:t>Единен пазар, иновации и цифрова сфера</w:t>
                    </w:r>
                    <w:r>
                      <w:rPr>
                        <w:rFonts w:ascii="EC Square Sans Pro" w:hAnsi="EC Square Sans Pro"/>
                        <w:color w:val="034EA2"/>
                        <w:sz w:val="22"/>
                        <w:szCs w:val="36"/>
                      </w:rPr>
                      <w:br/>
                      <w:t xml:space="preserve">149,5 (+ 11,5 от NextGenerationEU) </w:t>
                    </w:r>
                  </w:p>
                  <w:p>
                    <w:pPr>
                      <w:pStyle w:val="NormalWeb"/>
                      <w:spacing w:before="0" w:beforeAutospacing="0" w:after="120" w:afterAutospacing="0"/>
                      <w:rPr>
                        <w:rFonts w:ascii="EC Square Sans Pro" w:hAnsi="EC Square Sans Pro"/>
                        <w:sz w:val="16"/>
                      </w:rPr>
                    </w:pPr>
                    <w:r>
                      <w:rPr>
                        <w:rFonts w:ascii="EC Square Sans Pro" w:hAnsi="EC Square Sans Pro"/>
                        <w:color w:val="1BB470"/>
                        <w:sz w:val="22"/>
                        <w:szCs w:val="36"/>
                      </w:rPr>
                      <w:t>Сближаване, устойчивост и ценности</w:t>
                    </w:r>
                    <w:r>
                      <w:rPr>
                        <w:rFonts w:ascii="EC Square Sans Pro" w:hAnsi="EC Square Sans Pro"/>
                        <w:color w:val="1BB470"/>
                        <w:sz w:val="22"/>
                        <w:szCs w:val="36"/>
                      </w:rPr>
                      <w:br/>
                    </w:r>
                    <w:r>
                      <w:rPr>
                        <w:rFonts w:ascii="EC Square Sans Pro" w:hAnsi="EC Square Sans Pro"/>
                        <w:color w:val="034EA2"/>
                        <w:sz w:val="22"/>
                        <w:szCs w:val="36"/>
                      </w:rPr>
                      <w:t xml:space="preserve">426,7 (+ 776,5 от NextGenerationEU) </w:t>
                    </w:r>
                  </w:p>
                  <w:p>
                    <w:pPr>
                      <w:pStyle w:val="NormalWeb"/>
                      <w:spacing w:before="0" w:beforeAutospacing="0" w:after="120" w:afterAutospacing="0"/>
                      <w:rPr>
                        <w:rFonts w:ascii="EC Square Sans Pro" w:hAnsi="EC Square Sans Pro"/>
                        <w:sz w:val="16"/>
                      </w:rPr>
                    </w:pPr>
                    <w:r>
                      <w:rPr>
                        <w:rFonts w:ascii="EC Square Sans Pro" w:hAnsi="EC Square Sans Pro"/>
                        <w:color w:val="B2B643"/>
                        <w:sz w:val="22"/>
                        <w:szCs w:val="36"/>
                      </w:rPr>
                      <w:t>Природни ресурси и околна среда</w:t>
                    </w:r>
                    <w:r>
                      <w:rPr>
                        <w:rFonts w:ascii="EC Square Sans Pro" w:hAnsi="EC Square Sans Pro"/>
                        <w:color w:val="034EA2"/>
                        <w:sz w:val="22"/>
                        <w:szCs w:val="36"/>
                      </w:rPr>
                      <w:br/>
                      <w:t xml:space="preserve">401 (+ 18,9 от NextGenerationEU) </w:t>
                    </w:r>
                  </w:p>
                  <w:p>
                    <w:pPr>
                      <w:pStyle w:val="NormalWeb"/>
                      <w:spacing w:before="0" w:beforeAutospacing="0" w:after="120" w:afterAutospacing="0"/>
                      <w:rPr>
                        <w:rFonts w:ascii="EC Square Sans Pro" w:hAnsi="EC Square Sans Pro"/>
                        <w:sz w:val="16"/>
                      </w:rPr>
                    </w:pPr>
                    <w:r>
                      <w:rPr>
                        <w:rFonts w:ascii="EC Square Sans Pro" w:hAnsi="EC Square Sans Pro"/>
                        <w:color w:val="724199"/>
                        <w:sz w:val="22"/>
                        <w:szCs w:val="36"/>
                      </w:rPr>
                      <w:t>Миграция и управление на границите</w:t>
                    </w:r>
                    <w:r>
                      <w:rPr>
                        <w:rFonts w:ascii="EC Square Sans Pro" w:hAnsi="EC Square Sans Pro"/>
                        <w:color w:val="724199"/>
                        <w:sz w:val="22"/>
                        <w:szCs w:val="36"/>
                      </w:rPr>
                      <w:br/>
                    </w:r>
                    <w:r>
                      <w:rPr>
                        <w:rFonts w:ascii="EC Square Sans Pro" w:hAnsi="EC Square Sans Pro"/>
                        <w:color w:val="034EA2"/>
                        <w:sz w:val="22"/>
                        <w:szCs w:val="36"/>
                      </w:rPr>
                      <w:t xml:space="preserve">25,7 </w:t>
                    </w:r>
                  </w:p>
                  <w:p>
                    <w:pPr>
                      <w:pStyle w:val="NormalWeb"/>
                      <w:spacing w:before="0" w:beforeAutospacing="0" w:after="120" w:afterAutospacing="0"/>
                      <w:rPr>
                        <w:rFonts w:ascii="EC Square Sans Pro" w:hAnsi="EC Square Sans Pro"/>
                        <w:sz w:val="16"/>
                      </w:rPr>
                    </w:pPr>
                    <w:r>
                      <w:rPr>
                        <w:rFonts w:ascii="EC Square Sans Pro" w:hAnsi="EC Square Sans Pro"/>
                        <w:color w:val="007DBD"/>
                        <w:sz w:val="22"/>
                        <w:szCs w:val="36"/>
                      </w:rPr>
                      <w:t>Сигурност и отбрана</w:t>
                    </w:r>
                    <w:r>
                      <w:rPr>
                        <w:rFonts w:ascii="EC Square Sans Pro" w:hAnsi="EC Square Sans Pro"/>
                        <w:color w:val="007DBD"/>
                        <w:sz w:val="22"/>
                        <w:szCs w:val="36"/>
                      </w:rPr>
                      <w:br/>
                    </w:r>
                    <w:r>
                      <w:rPr>
                        <w:rFonts w:ascii="EC Square Sans Pro" w:hAnsi="EC Square Sans Pro"/>
                        <w:color w:val="034EA2"/>
                        <w:sz w:val="22"/>
                        <w:szCs w:val="36"/>
                      </w:rPr>
                      <w:t xml:space="preserve">14,9 </w:t>
                    </w:r>
                  </w:p>
                  <w:p>
                    <w:pPr>
                      <w:pStyle w:val="NormalWeb"/>
                      <w:spacing w:before="0" w:beforeAutospacing="0" w:after="120" w:afterAutospacing="0"/>
                      <w:rPr>
                        <w:rFonts w:ascii="EC Square Sans Pro" w:hAnsi="EC Square Sans Pro"/>
                        <w:sz w:val="16"/>
                      </w:rPr>
                    </w:pPr>
                    <w:r>
                      <w:rPr>
                        <w:rFonts w:ascii="EC Square Sans Pro" w:hAnsi="EC Square Sans Pro"/>
                        <w:color w:val="F16158"/>
                        <w:sz w:val="22"/>
                        <w:szCs w:val="36"/>
                      </w:rPr>
                      <w:t>Съседните региони и светът</w:t>
                    </w:r>
                    <w:r>
                      <w:rPr>
                        <w:rFonts w:ascii="EC Square Sans Pro" w:hAnsi="EC Square Sans Pro"/>
                        <w:color w:val="F16158"/>
                        <w:sz w:val="22"/>
                        <w:szCs w:val="36"/>
                      </w:rPr>
                      <w:br/>
                    </w:r>
                    <w:r>
                      <w:rPr>
                        <w:rFonts w:ascii="EC Square Sans Pro" w:hAnsi="EC Square Sans Pro"/>
                        <w:color w:val="034EA2"/>
                        <w:sz w:val="22"/>
                        <w:szCs w:val="36"/>
                      </w:rPr>
                      <w:t xml:space="preserve">110,6 </w:t>
                    </w:r>
                  </w:p>
                  <w:p>
                    <w:pPr>
                      <w:pStyle w:val="NormalWeb"/>
                      <w:spacing w:before="0" w:beforeAutospacing="0" w:after="120" w:afterAutospacing="0"/>
                      <w:rPr>
                        <w:sz w:val="16"/>
                      </w:rPr>
                    </w:pPr>
                    <w:r>
                      <w:rPr>
                        <w:rFonts w:ascii="EC Square Sans Pro" w:hAnsi="EC Square Sans Pro"/>
                        <w:color w:val="939598"/>
                        <w:sz w:val="22"/>
                        <w:szCs w:val="36"/>
                      </w:rPr>
                      <w:t>Европейска публична администрация</w:t>
                    </w:r>
                    <w:r>
                      <w:rPr>
                        <w:rFonts w:ascii="EC Square Sans Cond Pro" w:hAnsi="EC Square Sans Cond Pro"/>
                        <w:color w:val="939598"/>
                        <w:sz w:val="22"/>
                        <w:szCs w:val="36"/>
                      </w:rPr>
                      <w:br/>
                    </w:r>
                    <w:r>
                      <w:rPr>
                        <w:rFonts w:ascii="EC Square Sans Cond Pro" w:hAnsi="EC Square Sans Cond Pro"/>
                        <w:color w:val="034EA2"/>
                        <w:sz w:val="22"/>
                        <w:szCs w:val="36"/>
                      </w:rPr>
                      <w:t xml:space="preserve">82,5 </w:t>
                    </w:r>
                  </w:p>
                </w:txbxContent>
              </v:textbox>
            </v:shape>
            <w10:wrap type="square"/>
          </v:group>
        </w:pict>
      </w:r>
      <w:r>
        <w:rPr>
          <w:lang w:val="en-US"/>
        </w:rPr>
        <w:pict>
          <v:shape id="_x0000_i1049" type="#_x0000_t75" style="width:255pt;height:241.5pt;visibility:visible;mso-wrap-style:square">
            <v:imagedata r:id="rId35" o:title=""/>
          </v:shape>
        </w:pict>
      </w:r>
    </w:p>
    <w:p>
      <w:pPr>
        <w:pStyle w:val="DGTextstand-alone"/>
      </w:pPr>
      <w:r>
        <w:rPr>
          <w:lang w:val="en-US"/>
        </w:rPr>
        <w:pict>
          <v:shape id="_x0000_i1050" type="#_x0000_t75" style="width:466.5pt;height:105pt;visibility:visible;mso-wrap-style:square">
            <v:imagedata r:id="rId36" o:title=""/>
          </v:shape>
        </w:pict>
      </w:r>
    </w:p>
    <w:p>
      <w:pPr>
        <w:pStyle w:val="DGTextstand-alone"/>
      </w:pPr>
      <w:r>
        <w:t>Над 50 % от дългосрочния бюджет и NextGenerationEU ще бъдат използвани за нови приоритети. Средствата ще бъдат отпуснати за научни изследвания и иновации чрез „Хоризонт Европа“, за справедлив климатичен и цифров преход чрез Фонда за справедлив преход и програмата „Цифрова Европа“, за готовност, възстановяване и устойчивост чрез Механизма за възстановяване и устойчивост и Механизма за гражданска защита на ЕС — rescEU, и за здравната програма „ЕС в подкрепа на здравето“.</w:t>
      </w:r>
    </w:p>
    <w:p>
      <w:pPr>
        <w:pStyle w:val="DGTextstand-alone"/>
      </w:pPr>
      <w:r>
        <w:t>30 % от дългосрочния бюджет и NextGenerationEU ще бъдат изразходени за борба с изменението на климата — най-големият досега дял от най-големия досега европейски бюджет.</w:t>
      </w:r>
    </w:p>
    <w:p>
      <w:pPr>
        <w:pStyle w:val="DGTextstand-alone"/>
      </w:pPr>
      <w:r>
        <w:t>20 % от средствата, предвидени за NextGenerationEU, ще бъдат инвестирани в цифровата трансформация на ЕС. Средствата ще помогнат на ЕС да инвестира повече в суперкомпютрите, изкуствения интелект, киберсигурността, задълбочените цифрови умения и по-широкото използване на цифровите технологии в икономиката и обществото.</w:t>
      </w:r>
    </w:p>
    <w:p>
      <w:pPr>
        <w:pStyle w:val="DGTextstand-alone"/>
      </w:pPr>
      <w:r>
        <w:t>През 2026 г. и 2027 г. 10 % от годишните разходи в рамките на дългосрочния бюджет ще допринесат за спиране и обръщане на тенденцията за намаляване на биологичното разнообразие.</w:t>
      </w:r>
    </w:p>
    <w:p>
      <w:pPr>
        <w:pStyle w:val="DGTextstand-alone"/>
        <w:rPr>
          <w:b/>
          <w:color w:val="016794"/>
          <w:sz w:val="32"/>
          <w:szCs w:val="32"/>
        </w:rPr>
      </w:pPr>
      <w:r>
        <w:rPr>
          <w:b/>
          <w:color w:val="016794"/>
          <w:sz w:val="32"/>
          <w:szCs w:val="32"/>
        </w:rPr>
        <w:t>NEXT GENERATION EU</w:t>
      </w:r>
    </w:p>
    <w:p>
      <w:pPr>
        <w:pStyle w:val="DGTextstand-alone"/>
      </w:pPr>
      <w:r>
        <w:t>Набраните и изразходвани суми по NextGenerationEU (NGEU) ще бъдат включени в годишните отчети за 2021 г. Първото емитиране на облигации, чрез благодарение на което бяха набрани 20 милиарда евро чрез 10-годишна облигация, чийто падеж настъпва през 2031 г., се състоя на 15 юни 2021 г.</w:t>
      </w:r>
    </w:p>
    <w:p>
      <w:pPr>
        <w:pStyle w:val="DGTextstand-alone"/>
      </w:pPr>
      <w:r>
        <w:t>С бюджет от 806,9 милиарда евро NextGenerationEU ще допринесе за поправянето на непосредствените икономически и социални щети, причинени от пандемията от коронавируса. Инструментът ще спомогне за изграждането в периода след COVID-19 на една по-екологична, по-цифровизирана, по-устойчива и по-добре пригодена към днешните и бъдещите предизвикателства Европа.</w:t>
      </w:r>
    </w:p>
    <w:p>
      <w:pPr>
        <w:pStyle w:val="DGTextstand-alone"/>
      </w:pPr>
      <w:r>
        <w:t>Част от средствата — 385,8 милиарда евро — ще бъдат използвани за предоставяне на заеми от Съюза на отделни държави членки. Тези заеми ще бъдат изплатени от тези държави членки. Другата част — 338,0 милиарда евро — ще бъде предоставена под формата на безвъзмездни средства или за предоставяне на възможност за бюджетни гаранции за подкрепа на инвестициите.</w:t>
      </w:r>
    </w:p>
    <w:p>
      <w:pPr>
        <w:pBdr>
          <w:top w:val="nil"/>
          <w:left w:val="nil"/>
          <w:bottom w:val="nil"/>
          <w:right w:val="nil"/>
          <w:between w:val="nil"/>
          <w:bar w:val="nil"/>
        </w:pBdr>
        <w:spacing w:before="120" w:after="240"/>
        <w:jc w:val="both"/>
        <w:rPr>
          <w:rFonts w:ascii="Verdana" w:eastAsia="Calibri" w:hAnsi="Verdana"/>
          <w:noProof/>
          <w:sz w:val="18"/>
          <w:szCs w:val="18"/>
          <w:bdr w:val="nil"/>
          <w:lang w:eastAsia="en-US"/>
        </w:rPr>
      </w:pPr>
      <w:r>
        <w:rPr>
          <w:noProof/>
          <w:lang w:val="en-US" w:eastAsia="en-US"/>
        </w:rPr>
        <w:pict>
          <v:shape id="_x0000_i1051" type="#_x0000_t75" style="width:481.5pt;height:419.25pt;visibility:visible;mso-wrap-style:square">
            <v:imagedata r:id="rId37" o:title=""/>
          </v:shape>
        </w:pict>
      </w:r>
    </w:p>
    <w:p>
      <w:pPr>
        <w:pBdr>
          <w:top w:val="nil"/>
          <w:left w:val="nil"/>
          <w:bottom w:val="nil"/>
          <w:right w:val="nil"/>
          <w:between w:val="nil"/>
          <w:bar w:val="nil"/>
        </w:pBdr>
        <w:spacing w:before="120" w:after="240"/>
        <w:jc w:val="both"/>
        <w:rPr>
          <w:rFonts w:ascii="Verdana" w:eastAsia="Calibri" w:hAnsi="Verdana"/>
          <w:noProof/>
          <w:sz w:val="18"/>
          <w:szCs w:val="18"/>
          <w:bdr w:val="nil"/>
        </w:rPr>
      </w:pPr>
      <w:r>
        <w:rPr>
          <w:rFonts w:ascii="Verdana" w:hAnsi="Verdana"/>
          <w:noProof/>
          <w:sz w:val="18"/>
          <w:szCs w:val="18"/>
          <w:bdr w:val="nil"/>
        </w:rPr>
        <w:t>Основният елемент на NextGenerationEU е Механизмът за възстановяване и устойчивост — инструмент за предоставяне на безвъзмездни средства и заеми в подкрепа на реформите и инвестициите в държавите — членки на ЕС, до обща стойност от 723,8 милиарда евро. Средствата по Механизма за възстановяване и устойчивост ще бъдат разпределяни в съответствие с националните планове за възстановяване и устойчивост, изготвени от всяка държава членка в сътрудничество с Комисията, и в съответствие с договорен коефициент на разпределение.</w:t>
      </w:r>
    </w:p>
    <w:p>
      <w:pPr>
        <w:pBdr>
          <w:top w:val="nil"/>
          <w:left w:val="nil"/>
          <w:bottom w:val="nil"/>
          <w:right w:val="nil"/>
          <w:between w:val="nil"/>
          <w:bar w:val="nil"/>
        </w:pBdr>
        <w:spacing w:before="120" w:after="240"/>
        <w:jc w:val="both"/>
        <w:rPr>
          <w:rFonts w:ascii="Verdana" w:eastAsia="Calibri" w:hAnsi="Verdana"/>
          <w:noProof/>
          <w:sz w:val="18"/>
          <w:szCs w:val="18"/>
          <w:bdr w:val="nil"/>
        </w:rPr>
      </w:pPr>
      <w:r>
        <w:rPr>
          <w:rFonts w:ascii="Verdana" w:hAnsi="Verdana"/>
          <w:noProof/>
          <w:sz w:val="18"/>
          <w:szCs w:val="18"/>
          <w:bdr w:val="nil"/>
        </w:rPr>
        <w:t>Освен това NextGenerationEU ще подсили няколко съществуващи програми на ЕС:</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сближаване — в рамките на помощта за възстановяване в полза на сближаването и териториите на Европа (REACT-EU) — за да се подпомогне преодоляването на икономическите последици от COVID-19 през първите години на възстановяването;</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Фонд за справедлив преход, за да се гарантира, че преходът към неутралност по отношение на климата работи за всички;</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развитие на селските райони, за да се подпомогнат допълнително земеделските стопани;</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InvestEU, за да се подкрепят инвестиционните усилия на нашите предприятия;</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rescEU, за да разполага Механизмът на ЕС за гражданска защита с капацитет за реагиране при мащабни извънредни ситуации;</w:t>
      </w:r>
    </w:p>
    <w:p>
      <w:pPr>
        <w:pBdr>
          <w:top w:val="nil"/>
          <w:left w:val="nil"/>
          <w:bottom w:val="nil"/>
          <w:right w:val="nil"/>
          <w:between w:val="nil"/>
          <w:bar w:val="nil"/>
        </w:pBdr>
        <w:tabs>
          <w:tab w:val="left" w:pos="720"/>
        </w:tabs>
        <w:spacing w:before="120" w:after="24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„Хоризонт Европа“, за да се гарантира, че ЕС разполага с капацитет за финансиране на повече високи постижения в областта на научните изследвания.</w:t>
      </w:r>
    </w:p>
    <w:p>
      <w:pPr>
        <w:pBdr>
          <w:top w:val="nil"/>
          <w:left w:val="nil"/>
          <w:bottom w:val="nil"/>
          <w:right w:val="nil"/>
          <w:between w:val="nil"/>
          <w:bar w:val="nil"/>
        </w:pBdr>
        <w:spacing w:before="120" w:after="240"/>
        <w:jc w:val="both"/>
        <w:rPr>
          <w:rFonts w:ascii="Verdana" w:eastAsia="Calibri" w:hAnsi="Verdana"/>
          <w:noProof/>
          <w:sz w:val="18"/>
          <w:szCs w:val="18"/>
          <w:bdr w:val="nil"/>
        </w:rPr>
      </w:pPr>
      <w:r>
        <w:rPr>
          <w:rFonts w:ascii="Verdana" w:hAnsi="Verdana"/>
          <w:noProof/>
          <w:sz w:val="18"/>
          <w:szCs w:val="18"/>
          <w:bdr w:val="nil"/>
        </w:rPr>
        <w:t>За да финансира NextGenerationEU, ЕС ще взема назаем средства на пазарите с бюджета на ЕС като гаранция. Погасяването ще се извършва в продължение на дълъг период от време — до 2058 г. По този начин ще се избегне незабавният натиск върху националните финанси на държавите членки и ще се даде възможност на държавите от ЕС да съсредоточат усилията си върху възстановяването.</w:t>
      </w:r>
    </w:p>
    <w:p>
      <w:pPr>
        <w:pStyle w:val="HEADER1Part4"/>
        <w:numPr>
          <w:ilvl w:val="0"/>
          <w:numId w:val="40"/>
        </w:numPr>
        <w:rPr>
          <w:noProof/>
          <w:sz w:val="40"/>
          <w:szCs w:val="40"/>
        </w:rPr>
      </w:pPr>
      <w:bookmarkStart w:id="21" w:name="_Toc58590171"/>
      <w:bookmarkStart w:id="22" w:name="_Toc65749856"/>
      <w:bookmarkStart w:id="23" w:name="_Toc65761054"/>
      <w:bookmarkStart w:id="24" w:name="_Toc66112680"/>
      <w:bookmarkStart w:id="25" w:name="_Toc66181034"/>
      <w:bookmarkStart w:id="26" w:name="_Toc66738413"/>
      <w:r>
        <w:rPr>
          <w:noProof/>
        </w:rPr>
        <w:br w:type="page"/>
      </w:r>
      <w:bookmarkStart w:id="27" w:name="_Toc75518083"/>
      <w:r>
        <w:rPr>
          <w:noProof/>
        </w:rPr>
        <w:t>ОТТЕГЛЯНЕ НА ОБЕДИНЕНОТО КРАЛСТВО ОТ ЕВРОПЕЙСКИЯ СЪЮЗ</w:t>
      </w:r>
      <w:bookmarkEnd w:id="21"/>
      <w:bookmarkEnd w:id="22"/>
      <w:bookmarkEnd w:id="23"/>
      <w:bookmarkEnd w:id="24"/>
      <w:bookmarkEnd w:id="25"/>
      <w:bookmarkEnd w:id="26"/>
      <w:bookmarkEnd w:id="27"/>
    </w:p>
    <w:p>
      <w:pPr>
        <w:pStyle w:val="HEADER2Part4"/>
        <w:numPr>
          <w:ilvl w:val="1"/>
          <w:numId w:val="40"/>
        </w:numPr>
      </w:pPr>
      <w:bookmarkStart w:id="28" w:name="_Toc66738414"/>
      <w:bookmarkStart w:id="29" w:name="_Toc75518084"/>
      <w:r>
        <w:t>Контекст</w:t>
      </w:r>
      <w:bookmarkEnd w:id="28"/>
      <w:bookmarkEnd w:id="29"/>
    </w:p>
    <w:p>
      <w:pPr>
        <w:pStyle w:val="DGTextstand-alone"/>
        <w:rPr>
          <w:color w:val="016794"/>
        </w:rPr>
      </w:pPr>
      <w:r>
        <w:rPr>
          <w:spacing w:val="-6"/>
        </w:rPr>
        <w:pict>
          <v:line id="Straight Connector 1820919413" o:spid="_x0000_s1087" style="position:absolute;left:0;text-align:left;flip:y;z-index:-251667968;visibility:visible;mso-wrap-style:square;mso-wrap-distance-left:9pt;mso-wrap-distance-top:0;mso-wrap-distance-right:9pt;mso-wrap-distance-bottom:0;mso-position-horizontal:absolute;mso-position-horizontal-relative:text;mso-position-vertical:absolute;mso-position-vertical-relative:text" from="3.6pt,60.7pt" to="3.6pt,215.6pt" strokecolor="#016794" strokeweight="2.25pt"/>
        </w:pict>
      </w:r>
      <w:r>
        <w:rPr>
          <w:spacing w:val="-6"/>
        </w:rPr>
        <w:t>На 31 януари 2020 г. Обединеното кралство се оттегли от Европейския съюз. Условията за неговото напускане са определени в Споразумение за оттеглянето на Обединеното кралство от ЕС и Европейската общност за атомна енергия</w:t>
      </w:r>
      <w:r>
        <w:rPr>
          <w:rStyle w:val="FootnoteReference"/>
          <w:spacing w:val="-6"/>
        </w:rPr>
        <w:footnoteReference w:id="6"/>
      </w:r>
      <w:r>
        <w:rPr>
          <w:spacing w:val="-6"/>
        </w:rPr>
        <w:t>, известно също като „Споразумението за оттеглянето“ или СО. В рамките на това споразумение Обединеното кралство се съгласи да изпълни всички финансови задължения, поети по време на членството му в ЕС. Споразумението влезе в сила на 31 януари 2020 г</w:t>
      </w:r>
      <w:r>
        <w:t xml:space="preserve">. </w:t>
      </w:r>
    </w:p>
    <w:tbl>
      <w:tblPr>
        <w:tblW w:w="0" w:type="auto"/>
        <w:tblLook w:val="04A0" w:firstRow="1" w:lastRow="0" w:firstColumn="1" w:lastColumn="0" w:noHBand="0" w:noVBand="1"/>
      </w:tblPr>
      <w:tblGrid>
        <w:gridCol w:w="426"/>
        <w:gridCol w:w="9281"/>
      </w:tblGrid>
      <w:tr>
        <w:tc>
          <w:tcPr>
            <w:tcW w:w="396" w:type="dxa"/>
            <w:shd w:val="clear" w:color="auto" w:fill="auto"/>
          </w:tcPr>
          <w:p>
            <w:pPr>
              <w:pStyle w:val="DGTextstand-alone"/>
              <w:spacing w:before="0" w:after="0"/>
            </w:pPr>
            <w:r>
              <w:pict>
                <v:oval id="DOC_ASH00014" o:spid="_x0000_s1225" style="width:7.35pt;height:7.35pt;visibility:visible;mso-wrap-style:square;mso-left-percent:-10001;mso-top-percent:-10001;mso-position-horizontal:absolute;mso-position-horizontal-relative:char;mso-position-vertical:absolute;mso-position-vertical-relative:line;mso-left-percent:-10001;mso-top-percent:-10001;v-text-anchor:top" strokecolor="#016794" strokeweight="2pt">
                  <v:textbox style="mso-next-textbox:#DOC_ASH00014" inset="0,0,0,0">
                    <w:txbxContent>
                      <w:p>
                        <w:pPr>
                          <w:jc w:val="center"/>
                        </w:pPr>
                      </w:p>
                    </w:txbxContent>
                  </v:textbox>
                  <w10:wrap type="none"/>
                  <w10:anchorlock/>
                </v:oval>
              </w:pict>
            </w:r>
          </w:p>
        </w:tc>
        <w:tc>
          <w:tcPr>
            <w:tcW w:w="9281" w:type="dxa"/>
            <w:shd w:val="clear" w:color="auto" w:fill="auto"/>
          </w:tcPr>
          <w:p>
            <w:pPr>
              <w:pStyle w:val="DGTextstand-alone"/>
              <w:spacing w:before="0" w:after="0"/>
              <w:rPr>
                <w:b/>
                <w:color w:val="1F497D"/>
              </w:rPr>
            </w:pPr>
            <w:r>
              <w:rPr>
                <w:b/>
                <w:color w:val="016794"/>
              </w:rPr>
              <w:t>31 януари 2020 г.</w:t>
            </w:r>
          </w:p>
          <w:p>
            <w:pPr>
              <w:pStyle w:val="DGTextstand-alone"/>
              <w:spacing w:before="0" w:after="0"/>
              <w:rPr>
                <w:spacing w:val="-6"/>
              </w:rPr>
            </w:pPr>
            <w:r>
              <w:rPr>
                <w:spacing w:val="-6"/>
              </w:rPr>
              <w:t>Обединеното кралство официално напуска Съюза и Споразумението за оттеглянето влиза в сила</w:t>
            </w:r>
          </w:p>
        </w:tc>
      </w:tr>
      <w:tr>
        <w:tc>
          <w:tcPr>
            <w:tcW w:w="396" w:type="dxa"/>
            <w:shd w:val="clear" w:color="auto" w:fill="auto"/>
          </w:tcPr>
          <w:p>
            <w:pPr>
              <w:pStyle w:val="DGTextstand-alone"/>
              <w:spacing w:before="0" w:after="0"/>
            </w:pPr>
            <w:r>
              <w:pict>
                <v:oval id="DOC_ASH00013" o:spid="_x0000_s1224" style="width:7.35pt;height:7.35pt;visibility:visible;mso-wrap-style:square;mso-left-percent:-10001;mso-top-percent:-10001;mso-position-horizontal:absolute;mso-position-horizontal-relative:char;mso-position-vertical:absolute;mso-position-vertical-relative:line;mso-left-percent:-10001;mso-top-percent:-10001;v-text-anchor:top" strokecolor="#016794" strokeweight="2pt">
                  <v:textbox style="mso-next-textbox:#DOC_ASH00013" inset="0,0,0,0">
                    <w:txbxContent>
                      <w:p>
                        <w:pPr>
                          <w:jc w:val="center"/>
                        </w:pPr>
                      </w:p>
                    </w:txbxContent>
                  </v:textbox>
                  <w10:wrap type="none"/>
                  <w10:anchorlock/>
                </v:oval>
              </w:pict>
            </w:r>
          </w:p>
        </w:tc>
        <w:tc>
          <w:tcPr>
            <w:tcW w:w="9281" w:type="dxa"/>
            <w:shd w:val="clear" w:color="auto" w:fill="auto"/>
          </w:tcPr>
          <w:p>
            <w:pPr>
              <w:pStyle w:val="DGTextstand-alone"/>
              <w:spacing w:before="0" w:after="0"/>
              <w:rPr>
                <w:b/>
                <w:color w:val="016794"/>
              </w:rPr>
            </w:pPr>
            <w:r>
              <w:rPr>
                <w:b/>
                <w:color w:val="016794"/>
              </w:rPr>
              <w:t>1 февруари — 31 декември 2020 г.</w:t>
            </w:r>
          </w:p>
          <w:p>
            <w:pPr>
              <w:pStyle w:val="DGTextstand-alone"/>
              <w:spacing w:before="0" w:after="0"/>
            </w:pPr>
            <w:r>
              <w:t>Преходен период</w:t>
            </w:r>
          </w:p>
        </w:tc>
      </w:tr>
      <w:tr>
        <w:tc>
          <w:tcPr>
            <w:tcW w:w="396" w:type="dxa"/>
            <w:shd w:val="clear" w:color="auto" w:fill="auto"/>
          </w:tcPr>
          <w:p>
            <w:pPr>
              <w:pStyle w:val="DGTextstand-alone"/>
              <w:spacing w:before="0" w:after="0"/>
            </w:pPr>
            <w:r>
              <w:pict>
                <v:oval id="DOC_ASH00012" o:spid="_x0000_s1223" style="width:7.35pt;height:7.35pt;visibility:visible;mso-wrap-style:square;mso-left-percent:-10001;mso-top-percent:-10001;mso-position-horizontal:absolute;mso-position-horizontal-relative:char;mso-position-vertical:absolute;mso-position-vertical-relative:line;mso-left-percent:-10001;mso-top-percent:-10001;v-text-anchor:top" strokecolor="#016794" strokeweight="2pt">
                  <v:textbox style="mso-next-textbox:#DOC_ASH00012" inset="0,0,0,0">
                    <w:txbxContent>
                      <w:p>
                        <w:pPr>
                          <w:jc w:val="center"/>
                        </w:pPr>
                      </w:p>
                    </w:txbxContent>
                  </v:textbox>
                  <w10:wrap type="none"/>
                  <w10:anchorlock/>
                </v:oval>
              </w:pict>
            </w:r>
          </w:p>
        </w:tc>
        <w:tc>
          <w:tcPr>
            <w:tcW w:w="9281" w:type="dxa"/>
            <w:shd w:val="clear" w:color="auto" w:fill="auto"/>
          </w:tcPr>
          <w:p>
            <w:pPr>
              <w:pStyle w:val="DGTextstand-alone"/>
              <w:spacing w:before="0" w:after="0"/>
              <w:rPr>
                <w:b/>
                <w:color w:val="016794"/>
              </w:rPr>
            </w:pPr>
            <w:r>
              <w:rPr>
                <w:b/>
                <w:color w:val="016794"/>
              </w:rPr>
              <w:t>31 март 2021 г.</w:t>
            </w:r>
          </w:p>
          <w:p>
            <w:pPr>
              <w:pStyle w:val="DGTextstand-alone"/>
              <w:spacing w:before="0" w:after="0"/>
            </w:pPr>
            <w:r>
              <w:t>ЕС докладва пред Обединеното кралство за финансовата информация</w:t>
            </w:r>
          </w:p>
        </w:tc>
      </w:tr>
      <w:tr>
        <w:tc>
          <w:tcPr>
            <w:tcW w:w="396" w:type="dxa"/>
            <w:shd w:val="clear" w:color="auto" w:fill="auto"/>
          </w:tcPr>
          <w:p>
            <w:pPr>
              <w:pStyle w:val="DGTextstand-alone"/>
              <w:spacing w:before="0" w:after="0"/>
            </w:pPr>
            <w:r>
              <w:pict>
                <v:oval id="DOC_ASH00011" o:spid="_x0000_s1222" style="width:7.35pt;height:7.35pt;visibility:visible;mso-wrap-style:square;mso-left-percent:-10001;mso-top-percent:-10001;mso-position-horizontal:absolute;mso-position-horizontal-relative:char;mso-position-vertical:absolute;mso-position-vertical-relative:line;mso-left-percent:-10001;mso-top-percent:-10001;v-text-anchor:top" strokecolor="#016794" strokeweight="2pt">
                  <v:textbox style="mso-next-textbox:#DOC_ASH00011" inset="0,0,0,0">
                    <w:txbxContent>
                      <w:p>
                        <w:pPr>
                          <w:jc w:val="center"/>
                        </w:pPr>
                      </w:p>
                    </w:txbxContent>
                  </v:textbox>
                  <w10:wrap type="none"/>
                  <w10:anchorlock/>
                </v:oval>
              </w:pict>
            </w:r>
          </w:p>
        </w:tc>
        <w:tc>
          <w:tcPr>
            <w:tcW w:w="9281" w:type="dxa"/>
            <w:shd w:val="clear" w:color="auto" w:fill="auto"/>
          </w:tcPr>
          <w:p>
            <w:pPr>
              <w:pStyle w:val="DGTextstand-alone"/>
              <w:spacing w:before="0" w:after="0"/>
              <w:rPr>
                <w:b/>
                <w:color w:val="1F497D"/>
              </w:rPr>
            </w:pPr>
            <w:r>
              <w:rPr>
                <w:b/>
                <w:color w:val="016794"/>
              </w:rPr>
              <w:t>16 април 2021 г.</w:t>
            </w:r>
          </w:p>
          <w:p>
            <w:pPr>
              <w:pStyle w:val="DGTextstand-alone"/>
              <w:spacing w:before="0" w:after="0"/>
            </w:pPr>
            <w:r>
              <w:t>ЕС съобщава на Обединеното кралство сумите, които трябва да бъдат платени</w:t>
            </w:r>
          </w:p>
        </w:tc>
      </w:tr>
      <w:tr>
        <w:tc>
          <w:tcPr>
            <w:tcW w:w="396" w:type="dxa"/>
            <w:shd w:val="clear" w:color="auto" w:fill="auto"/>
          </w:tcPr>
          <w:p>
            <w:pPr>
              <w:pStyle w:val="DGTextstand-alone"/>
              <w:spacing w:before="0" w:after="0"/>
            </w:pPr>
            <w:r>
              <w:pict>
                <v:oval id="DOC_ASH00010" o:spid="_x0000_s1221" style="width:7.35pt;height:7.35pt;visibility:visible;mso-wrap-style:square;mso-left-percent:-10001;mso-top-percent:-10001;mso-position-horizontal:absolute;mso-position-horizontal-relative:char;mso-position-vertical:absolute;mso-position-vertical-relative:line;mso-left-percent:-10001;mso-top-percent:-10001;v-text-anchor:top" strokecolor="#016794" strokeweight="2pt">
                  <v:textbox style="mso-next-textbox:#DOC_ASH00010" inset="0,0,0,0">
                    <w:txbxContent>
                      <w:p>
                        <w:pPr>
                          <w:jc w:val="center"/>
                        </w:pPr>
                      </w:p>
                    </w:txbxContent>
                  </v:textbox>
                  <w10:wrap type="none"/>
                  <w10:anchorlock/>
                </v:oval>
              </w:pict>
            </w:r>
          </w:p>
        </w:tc>
        <w:tc>
          <w:tcPr>
            <w:tcW w:w="9281" w:type="dxa"/>
            <w:shd w:val="clear" w:color="auto" w:fill="auto"/>
          </w:tcPr>
          <w:p>
            <w:pPr>
              <w:pStyle w:val="DGTextstand-alone"/>
              <w:spacing w:before="0" w:after="0"/>
              <w:rPr>
                <w:b/>
                <w:color w:val="1F497D"/>
              </w:rPr>
            </w:pPr>
            <w:r>
              <w:rPr>
                <w:b/>
                <w:color w:val="016794"/>
              </w:rPr>
              <w:t>30 юни 2021 г.</w:t>
            </w:r>
          </w:p>
          <w:p>
            <w:pPr>
              <w:pStyle w:val="DGTextstand-alone"/>
              <w:spacing w:before="0" w:after="0"/>
            </w:pPr>
            <w:r>
              <w:t>Трябва да започнат първите плащания от Обединеното кралство съгласно Споразумението за оттеглянето</w:t>
            </w:r>
          </w:p>
        </w:tc>
      </w:tr>
      <w:tr>
        <w:tc>
          <w:tcPr>
            <w:tcW w:w="396" w:type="dxa"/>
            <w:shd w:val="clear" w:color="auto" w:fill="auto"/>
          </w:tcPr>
          <w:p>
            <w:pPr>
              <w:pStyle w:val="DGTextstand-alone"/>
              <w:spacing w:before="0" w:after="0"/>
            </w:pPr>
            <w:r>
              <w:pict>
                <v:oval id="DOC_ASH00009" o:spid="_x0000_s1220" style="width:7.35pt;height:7.35pt;visibility:visible;mso-wrap-style:square;mso-left-percent:-10001;mso-top-percent:-10001;mso-position-horizontal:absolute;mso-position-horizontal-relative:char;mso-position-vertical:absolute;mso-position-vertical-relative:line;mso-left-percent:-10001;mso-top-percent:-10001;v-text-anchor:top" strokecolor="#016794" strokeweight="2pt">
                  <v:textbox style="mso-next-textbox:#DOC_ASH00009" inset="0,0,0,0">
                    <w:txbxContent>
                      <w:p>
                        <w:pPr>
                          <w:jc w:val="center"/>
                        </w:pPr>
                      </w:p>
                    </w:txbxContent>
                  </v:textbox>
                  <w10:wrap type="none"/>
                  <w10:anchorlock/>
                </v:oval>
              </w:pict>
            </w:r>
          </w:p>
        </w:tc>
        <w:tc>
          <w:tcPr>
            <w:tcW w:w="9281" w:type="dxa"/>
            <w:shd w:val="clear" w:color="auto" w:fill="auto"/>
          </w:tcPr>
          <w:p>
            <w:pPr>
              <w:pStyle w:val="DGTextstand-alone"/>
              <w:spacing w:before="0" w:after="0"/>
              <w:rPr>
                <w:b/>
                <w:color w:val="016794"/>
              </w:rPr>
            </w:pPr>
            <w:r>
              <w:rPr>
                <w:b/>
                <w:color w:val="016794"/>
              </w:rPr>
              <w:t>16 септември 2021 г.</w:t>
            </w:r>
          </w:p>
          <w:p>
            <w:pPr>
              <w:pStyle w:val="DGTextstand-alone"/>
              <w:spacing w:before="0" w:after="0"/>
            </w:pPr>
            <w:r>
              <w:t>ЕС съобщава на Обединеното кралство сумите, които трябва да бъдат платени</w:t>
            </w:r>
          </w:p>
        </w:tc>
      </w:tr>
      <w:tr>
        <w:tc>
          <w:tcPr>
            <w:tcW w:w="396" w:type="dxa"/>
            <w:shd w:val="clear" w:color="auto" w:fill="auto"/>
          </w:tcPr>
          <w:p>
            <w:pPr>
              <w:pStyle w:val="DGTextstand-alone"/>
              <w:spacing w:before="0" w:after="0"/>
            </w:pPr>
            <w:r>
              <w:pict>
                <v:oval id="DOC_ASH00008" o:spid="_x0000_s1219" style="width:7.35pt;height:7.35pt;visibility:visible;mso-wrap-style:square;mso-left-percent:-10001;mso-top-percent:-10001;mso-position-horizontal:absolute;mso-position-horizontal-relative:char;mso-position-vertical:absolute;mso-position-vertical-relative:line;mso-left-percent:-10001;mso-top-percent:-10001;v-text-anchor:top" strokecolor="#016794" strokeweight="2pt">
                  <v:textbox style="mso-next-textbox:#DOC_ASH00008" inset="0,0,0,0">
                    <w:txbxContent>
                      <w:p>
                        <w:pPr>
                          <w:jc w:val="center"/>
                        </w:pPr>
                      </w:p>
                    </w:txbxContent>
                  </v:textbox>
                  <w10:wrap type="none"/>
                  <w10:anchorlock/>
                </v:oval>
              </w:pict>
            </w:r>
          </w:p>
        </w:tc>
        <w:tc>
          <w:tcPr>
            <w:tcW w:w="9281" w:type="dxa"/>
            <w:shd w:val="clear" w:color="auto" w:fill="auto"/>
          </w:tcPr>
          <w:p>
            <w:pPr>
              <w:pStyle w:val="DGTextstand-alone"/>
              <w:spacing w:before="0" w:after="0"/>
              <w:rPr>
                <w:b/>
                <w:color w:val="016794"/>
              </w:rPr>
            </w:pPr>
            <w:r>
              <w:rPr>
                <w:b/>
                <w:color w:val="016794"/>
              </w:rPr>
              <w:t>31 октомври 2021 г.</w:t>
            </w:r>
          </w:p>
          <w:p>
            <w:pPr>
              <w:pStyle w:val="DGTextstand-alone"/>
              <w:spacing w:before="0" w:after="0"/>
            </w:pPr>
            <w:r>
              <w:t>Трябва да започнат втори кръг от плащания от Обединеното кралство</w:t>
            </w:r>
          </w:p>
        </w:tc>
      </w:tr>
    </w:tbl>
    <w:p>
      <w:pPr>
        <w:pStyle w:val="DGTextstand-alone"/>
      </w:pPr>
      <w:r>
        <w:t>По време на преходния период Обединеното кралство продължи да прави вноски в бюджета на ЕС и да се ползва от него, все едно че е държава членка. След края на преходния период и в съответствие със СО Обединеното кралство ще продължи да прави вноски в бюджета на ЕС. Аналогично Обединеното кралство ще продължи да се ползва от програмите и разходите на ЕС отпреди 2021 г., все едно че е държава членка. Обединеното кралство ще получи обратно и конкретни суми с определен размер, които е внесло в бюджета на ЕС, или суми, получени от бюджета на ЕС във връзка с неговия период на членство.</w:t>
      </w:r>
    </w:p>
    <w:p>
      <w:pPr>
        <w:pStyle w:val="DGTextstand-alone"/>
      </w:pPr>
      <w:r>
        <w:t>Тези задължения пораждат задължения и вземания за ЕС, които трябва да бъдат изчислени и отразени в неговите годишни отчети: годишните отчети за 2020 г. показват тези суми за първи път, тъй като това е годината, през която Обединеното кралство напусна ЕС.</w:t>
      </w:r>
    </w:p>
    <w:p>
      <w:pPr>
        <w:pStyle w:val="DGTextstand-alone"/>
      </w:pPr>
      <w:r>
        <w:t xml:space="preserve">Поради това настоящите годишни отчети съдържат подробни обяснения за бъдещите вноски на Обединеното кралство в бюджета на ЕС, изисквани по силата на СО, както и сумите, дължими на Обединеното кралство. Обединеното кралство ще плаща съответните суми в продължение на дълъг период от време. </w:t>
      </w:r>
    </w:p>
    <w:p>
      <w:pPr>
        <w:pStyle w:val="DGTextstand-alone"/>
      </w:pPr>
      <w:r>
        <w:t>Нетната сума е изцяло съобразена с трите принципа, залегнали в основата на финансовото споразумение в СО:</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никоя държава членка не следва да плаща повече или да получава по-малко поради оттеглянето на Обединеното кралство от Съюза;</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Обединеното кралство следва да плати своя дял от задълженията, поети по време на неговото членство; и</w:t>
      </w:r>
    </w:p>
    <w:p>
      <w:pPr>
        <w:pBdr>
          <w:top w:val="nil"/>
          <w:left w:val="nil"/>
          <w:bottom w:val="nil"/>
          <w:right w:val="nil"/>
          <w:between w:val="nil"/>
          <w:bar w:val="nil"/>
        </w:pBdr>
        <w:tabs>
          <w:tab w:val="left" w:pos="720"/>
        </w:tabs>
        <w:spacing w:before="120" w:after="24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Обединеното кралство не следва да плаща повече или по-рано, отколкото ако беше останало държава членка. Това означава по-специално, че сумите, които Обединеното кралство следва да плати, се основават на действителните резултати от изпълнението на бюджета, т.е. са коригирани с оглед на изпълнението.</w:t>
      </w:r>
    </w:p>
    <w:p>
      <w:pPr>
        <w:pStyle w:val="DGTextstand-alone"/>
      </w:pPr>
      <w:r>
        <w:t>СО описва подробно и методиките за изчисляване на различните суми, както е обяснено по-долу.</w:t>
      </w:r>
    </w:p>
    <w:p>
      <w:pPr>
        <w:pStyle w:val="HEADER2Part4"/>
        <w:numPr>
          <w:ilvl w:val="1"/>
          <w:numId w:val="40"/>
        </w:numPr>
      </w:pPr>
      <w:bookmarkStart w:id="30" w:name="_Toc75518085"/>
      <w:r>
        <w:t>Дял на Обединеното кралство</w:t>
      </w:r>
      <w:bookmarkEnd w:id="30"/>
    </w:p>
    <w:p>
      <w:pPr>
        <w:pStyle w:val="DGTextstand-alone"/>
      </w:pPr>
      <w:r>
        <w:t>В съответствие с член 139 от СО делът на Обединеното кралство от финансовите задължения, произтичащи от СО, се изчислява като съотношение между собствените ресурси, предоставени от Обединеното кралство през периода 2014—2020 г., и собствените ресурси, предоставени през този период от всички държави членки и Обединеното кралство. Корекциите, произтичащи от нетирането на салдата по ДДС и по БНД за годините 2014—2019, също са включени. Изчисленият дял на Обединеното кралство ще подлежи на окончателните корекции, предвидени в член 139 от СО, през 2022 г. Делът на Обединеното кралство за 2021 г. се използва за изчисленията по член 136, параграф 3, букви а) и в) и членове 140—147.</w:t>
      </w:r>
    </w:p>
    <w:p>
      <w:pPr>
        <w:pStyle w:val="DGTextstand-alone"/>
      </w:pPr>
      <w:r>
        <w:t>Делът на Обединеното кралство, изчислен в съответствие с член 139 от СО, е 12,358072326018200 %.</w:t>
      </w:r>
    </w:p>
    <w:p>
      <w:pPr>
        <w:pStyle w:val="HEADER2Part4"/>
        <w:numPr>
          <w:ilvl w:val="1"/>
          <w:numId w:val="40"/>
        </w:numPr>
      </w:pPr>
      <w:bookmarkStart w:id="31" w:name="_Toc75518086"/>
      <w:r>
        <w:t>Годишни отчети на ЕС: суми, дължими от и на Обединеното кралство съгласно Споразумението за оттеглянето</w:t>
      </w:r>
      <w:bookmarkEnd w:id="31"/>
    </w:p>
    <w:p>
      <w:pPr>
        <w:pStyle w:val="DGTextstand-alone"/>
      </w:pPr>
      <w:r>
        <w:t>СО предвижда задължения за плащания между двете страни, по-специално в следните области:</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собствени ресурси (член 136)</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неизпълнени поети задължения (член 140)</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глоби в областта на конкуренцията (член 141)</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задължения на Съюза (член 142)</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условни финансови пасиви и финансови инструменти (членове 143 и 144)</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нетни активи на Европейската общност за въглища и стомана (член 145)</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инвестиции на ЕС в Европейския инвестиционен фонд (ЕИФ) (член 146)</w:t>
      </w:r>
    </w:p>
    <w:p>
      <w:pPr>
        <w:pBdr>
          <w:top w:val="nil"/>
          <w:left w:val="nil"/>
          <w:bottom w:val="nil"/>
          <w:right w:val="nil"/>
          <w:between w:val="nil"/>
          <w:bar w:val="nil"/>
        </w:pBdr>
        <w:tabs>
          <w:tab w:val="left" w:pos="720"/>
        </w:tabs>
        <w:spacing w:before="120" w:after="24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условни пасиви във връзка със съдебни дела (член 147)</w:t>
      </w:r>
    </w:p>
    <w:p>
      <w:pPr>
        <w:pStyle w:val="DGTextstand-alone"/>
      </w:pPr>
      <w:r>
        <w:t xml:space="preserve">СО съдържа също методиката за това как тези задължения ще се изпълняват всяка година — в обобщение ЕС ще докладва на Обединеното кралство два пъти годишно за дължимите суми, а Обединеното кралство ще ги плаща ежемесечно. Докладването ще бъде актуализирано всяка година въз основа на реалните цифри. </w:t>
      </w:r>
    </w:p>
    <w:p>
      <w:pPr>
        <w:pStyle w:val="DGTextstand-alone"/>
      </w:pPr>
      <w:r>
        <w:t>Таблицата по-долу обобщава сумите, дължими от Обединеното кралство на ЕС, както и всички суми, дължими от ЕС на Обединеното кралство, което води до нетно общо вземане за ЕС. Всички изчисления са направени при пълно спазване на СО. Тези задължения са свързани с минали задължения, поети, когато Обединеното кралство беше държава — членка на ЕС, и по време на преходния период до 31 декември 2020 г., и ще изтекат веднага след като бъдат платени или ако задължението не се материализира. Плащанията ще бъдат извършвани в съответствие с процедурата, посочена в член 148 от СО.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79"/>
        <w:gridCol w:w="1606"/>
        <w:gridCol w:w="37"/>
        <w:gridCol w:w="1399"/>
        <w:gridCol w:w="1210"/>
        <w:gridCol w:w="1527"/>
      </w:tblGrid>
      <w:tr>
        <w:trPr>
          <w:trHeight w:val="255"/>
        </w:trPr>
        <w:tc>
          <w:tcPr>
            <w:tcW w:w="3979" w:type="dxa"/>
            <w:tcBorders>
              <w:top w:val="nil"/>
              <w:left w:val="nil"/>
              <w:bottom w:val="nil"/>
              <w:right w:val="nil"/>
              <w:tl2br w:val="nil"/>
              <w:tr2bl w:val="nil"/>
            </w:tcBorders>
            <w:shd w:val="clear" w:color="auto" w:fill="auto"/>
            <w:tcMar>
              <w:left w:w="60" w:type="dxa"/>
              <w:right w:w="60" w:type="dxa"/>
            </w:tcMar>
            <w:vAlign w:val="bottom"/>
          </w:tcPr>
          <w:p>
            <w:pPr>
              <w:pStyle w:val="DMETW17240BIPFAFVTSD"/>
              <w:rPr>
                <w:rFonts w:ascii="Arial" w:eastAsia="Arial" w:hAnsi="Arial" w:cs="Arial"/>
                <w:noProof/>
                <w:color w:val="000000"/>
                <w:lang w:bidi="en-GB"/>
              </w:rPr>
            </w:pPr>
          </w:p>
        </w:tc>
        <w:tc>
          <w:tcPr>
            <w:tcW w:w="1643" w:type="dxa"/>
            <w:gridSpan w:val="2"/>
            <w:tcBorders>
              <w:top w:val="nil"/>
              <w:left w:val="nil"/>
              <w:bottom w:val="nil"/>
              <w:right w:val="nil"/>
              <w:tl2br w:val="nil"/>
              <w:tr2bl w:val="nil"/>
            </w:tcBorders>
            <w:shd w:val="clear" w:color="auto" w:fill="auto"/>
            <w:tcMar>
              <w:left w:w="60" w:type="dxa"/>
              <w:right w:w="60" w:type="dxa"/>
            </w:tcMar>
            <w:vAlign w:val="bottom"/>
          </w:tcPr>
          <w:p>
            <w:pPr>
              <w:pStyle w:val="DMETW17240BIPFAFVTSD"/>
              <w:rPr>
                <w:rFonts w:ascii="Arial" w:eastAsia="Arial" w:hAnsi="Arial" w:cs="Arial"/>
                <w:noProof/>
                <w:color w:val="000000"/>
              </w:rPr>
            </w:pPr>
          </w:p>
        </w:tc>
        <w:tc>
          <w:tcPr>
            <w:tcW w:w="1399" w:type="dxa"/>
            <w:tcBorders>
              <w:top w:val="nil"/>
              <w:left w:val="nil"/>
              <w:bottom w:val="nil"/>
              <w:right w:val="nil"/>
              <w:tl2br w:val="nil"/>
              <w:tr2bl w:val="nil"/>
            </w:tcBorders>
            <w:shd w:val="clear" w:color="auto" w:fill="auto"/>
            <w:tcMar>
              <w:left w:w="60" w:type="dxa"/>
              <w:right w:w="60" w:type="dxa"/>
            </w:tcMar>
            <w:vAlign w:val="bottom"/>
          </w:tcPr>
          <w:p>
            <w:pPr>
              <w:pStyle w:val="DMETW17240BIPFAFVTSD"/>
              <w:rPr>
                <w:rFonts w:ascii="Arial" w:eastAsia="Arial" w:hAnsi="Arial" w:cs="Arial"/>
                <w:noProof/>
                <w:color w:val="000000"/>
              </w:rPr>
            </w:pPr>
          </w:p>
        </w:tc>
        <w:tc>
          <w:tcPr>
            <w:tcW w:w="1210" w:type="dxa"/>
            <w:tcBorders>
              <w:top w:val="nil"/>
              <w:left w:val="nil"/>
              <w:bottom w:val="nil"/>
              <w:right w:val="nil"/>
              <w:tl2br w:val="nil"/>
              <w:tr2bl w:val="nil"/>
            </w:tcBorders>
            <w:shd w:val="clear" w:color="auto" w:fill="auto"/>
            <w:tcMar>
              <w:left w:w="60" w:type="dxa"/>
              <w:right w:w="60" w:type="dxa"/>
            </w:tcMar>
            <w:vAlign w:val="bottom"/>
          </w:tcPr>
          <w:p>
            <w:pPr>
              <w:pStyle w:val="DMETW17240BIPFAFVTSD"/>
              <w:rPr>
                <w:rFonts w:ascii="Arial" w:eastAsia="Arial" w:hAnsi="Arial" w:cs="Arial"/>
                <w:noProof/>
                <w:color w:val="000000"/>
              </w:rPr>
            </w:pPr>
          </w:p>
        </w:tc>
        <w:tc>
          <w:tcPr>
            <w:tcW w:w="1527"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6"/>
              </w:rPr>
            </w:pPr>
            <w:r>
              <w:rPr>
                <w:rFonts w:ascii="Verdana" w:hAnsi="Verdana"/>
                <w:i/>
                <w:noProof/>
                <w:color w:val="000000"/>
                <w:sz w:val="16"/>
              </w:rPr>
              <w:t>милиарди евро</w:t>
            </w:r>
          </w:p>
        </w:tc>
      </w:tr>
      <w:tr>
        <w:trPr>
          <w:trHeight w:val="255"/>
        </w:trPr>
        <w:tc>
          <w:tcPr>
            <w:tcW w:w="3979" w:type="dxa"/>
            <w:tcBorders>
              <w:top w:val="nil"/>
              <w:left w:val="nil"/>
              <w:bottom w:val="nil"/>
              <w:right w:val="nil"/>
              <w:tl2br w:val="nil"/>
              <w:tr2bl w:val="nil"/>
            </w:tcBorders>
            <w:shd w:val="clear" w:color="auto" w:fill="016794"/>
            <w:tcMar>
              <w:left w:w="60" w:type="dxa"/>
              <w:right w:w="60" w:type="dxa"/>
            </w:tcMar>
            <w:vAlign w:val="center"/>
          </w:tcPr>
          <w:p>
            <w:pPr>
              <w:pStyle w:val="DMETW17240BIPFAFVTSD"/>
              <w:rPr>
                <w:rFonts w:ascii="Verdana" w:eastAsia="Verdana" w:hAnsi="Verdana" w:cs="Verdana"/>
                <w:noProof/>
                <w:color w:val="FFFFFF"/>
              </w:rPr>
            </w:pPr>
          </w:p>
        </w:tc>
        <w:tc>
          <w:tcPr>
            <w:tcW w:w="1606" w:type="dxa"/>
            <w:tcBorders>
              <w:top w:val="nil"/>
              <w:left w:val="nil"/>
              <w:bottom w:val="nil"/>
              <w:right w:val="nil"/>
              <w:tl2br w:val="nil"/>
              <w:tr2bl w:val="nil"/>
            </w:tcBorders>
            <w:shd w:val="clear" w:color="auto" w:fill="016794"/>
            <w:tcMar>
              <w:left w:w="60" w:type="dxa"/>
              <w:right w:w="60" w:type="dxa"/>
            </w:tcMar>
            <w:vAlign w:val="center"/>
          </w:tcPr>
          <w:p>
            <w:pPr>
              <w:pStyle w:val="DMETW17240BIPFAFVTSD"/>
              <w:jc w:val="right"/>
              <w:rPr>
                <w:rFonts w:ascii="Verdana" w:eastAsia="Verdana" w:hAnsi="Verdana" w:cs="Verdana"/>
                <w:noProof/>
                <w:color w:val="FFFFFF"/>
              </w:rPr>
            </w:pPr>
            <w:r>
              <w:rPr>
                <w:rFonts w:ascii="Verdana" w:hAnsi="Verdana"/>
                <w:noProof/>
                <w:color w:val="FFFFFF"/>
              </w:rPr>
              <w:t>Член 140</w:t>
            </w:r>
          </w:p>
        </w:tc>
        <w:tc>
          <w:tcPr>
            <w:tcW w:w="1436" w:type="dxa"/>
            <w:gridSpan w:val="2"/>
            <w:tcBorders>
              <w:top w:val="nil"/>
              <w:left w:val="nil"/>
              <w:bottom w:val="nil"/>
              <w:right w:val="nil"/>
              <w:tl2br w:val="nil"/>
              <w:tr2bl w:val="nil"/>
            </w:tcBorders>
            <w:shd w:val="clear" w:color="auto" w:fill="016794"/>
            <w:vAlign w:val="center"/>
          </w:tcPr>
          <w:p>
            <w:pPr>
              <w:pStyle w:val="DMETW17240BIPFAFVTSD"/>
              <w:jc w:val="right"/>
              <w:rPr>
                <w:rFonts w:ascii="Verdana" w:eastAsia="Verdana" w:hAnsi="Verdana" w:cs="Verdana"/>
                <w:noProof/>
                <w:color w:val="FFFFFF"/>
              </w:rPr>
            </w:pPr>
            <w:r>
              <w:rPr>
                <w:rFonts w:ascii="Verdana" w:hAnsi="Verdana"/>
                <w:noProof/>
                <w:color w:val="FFFFFF"/>
              </w:rPr>
              <w:t>Член 142</w:t>
            </w:r>
          </w:p>
        </w:tc>
        <w:tc>
          <w:tcPr>
            <w:tcW w:w="1210" w:type="dxa"/>
            <w:tcBorders>
              <w:top w:val="nil"/>
              <w:left w:val="nil"/>
              <w:bottom w:val="nil"/>
              <w:right w:val="nil"/>
              <w:tl2br w:val="nil"/>
              <w:tr2bl w:val="nil"/>
            </w:tcBorders>
            <w:shd w:val="clear" w:color="auto" w:fill="016794"/>
            <w:tcMar>
              <w:left w:w="60" w:type="dxa"/>
              <w:right w:w="60" w:type="dxa"/>
            </w:tcMar>
            <w:vAlign w:val="center"/>
          </w:tcPr>
          <w:p>
            <w:pPr>
              <w:pStyle w:val="DMETW17240BIPFAFVTSD"/>
              <w:jc w:val="right"/>
              <w:rPr>
                <w:rFonts w:ascii="Verdana" w:eastAsia="Verdana" w:hAnsi="Verdana" w:cs="Verdana"/>
                <w:noProof/>
                <w:color w:val="FFFFFF"/>
              </w:rPr>
            </w:pPr>
            <w:r>
              <w:rPr>
                <w:rFonts w:ascii="Verdana" w:hAnsi="Verdana"/>
                <w:noProof/>
                <w:color w:val="FFFFFF"/>
              </w:rPr>
              <w:t>Други</w:t>
            </w:r>
          </w:p>
        </w:tc>
        <w:tc>
          <w:tcPr>
            <w:tcW w:w="1527" w:type="dxa"/>
            <w:tcBorders>
              <w:top w:val="nil"/>
              <w:left w:val="nil"/>
              <w:bottom w:val="nil"/>
              <w:right w:val="nil"/>
              <w:tl2br w:val="nil"/>
              <w:tr2bl w:val="nil"/>
            </w:tcBorders>
            <w:shd w:val="clear" w:color="auto" w:fill="016794"/>
            <w:vAlign w:val="center"/>
          </w:tcPr>
          <w:p>
            <w:pPr>
              <w:pStyle w:val="DMETW17240BIPFAFVTSD"/>
              <w:jc w:val="right"/>
              <w:rPr>
                <w:rFonts w:ascii="Verdana" w:eastAsia="Verdana" w:hAnsi="Verdana" w:cs="Verdana"/>
                <w:noProof/>
                <w:color w:val="FFFFFF"/>
              </w:rPr>
            </w:pPr>
            <w:r>
              <w:rPr>
                <w:rFonts w:ascii="Verdana" w:hAnsi="Verdana"/>
                <w:noProof/>
                <w:color w:val="FFFFFF"/>
              </w:rPr>
              <w:t>31.12.2020 г.</w:t>
            </w:r>
          </w:p>
        </w:tc>
      </w:tr>
      <w:tr>
        <w:trPr>
          <w:trHeight w:val="255"/>
        </w:trPr>
        <w:tc>
          <w:tcPr>
            <w:tcW w:w="3979" w:type="dxa"/>
            <w:tcBorders>
              <w:top w:val="nil"/>
              <w:left w:val="nil"/>
              <w:bottom w:val="nil"/>
              <w:right w:val="nil"/>
              <w:tl2br w:val="nil"/>
              <w:tr2bl w:val="nil"/>
            </w:tcBorders>
            <w:shd w:val="clear" w:color="auto" w:fill="auto"/>
            <w:tcMar>
              <w:left w:w="60" w:type="dxa"/>
              <w:right w:w="60" w:type="dxa"/>
            </w:tcMar>
            <w:vAlign w:val="center"/>
          </w:tcPr>
          <w:p>
            <w:pPr>
              <w:pStyle w:val="DMETW17240BIPFAFVTSD"/>
              <w:rPr>
                <w:rFonts w:ascii="Verdana" w:eastAsia="Verdana" w:hAnsi="Verdana" w:cs="Verdana"/>
                <w:i/>
                <w:noProof/>
                <w:color w:val="000000"/>
                <w:sz w:val="18"/>
              </w:rPr>
            </w:pPr>
            <w:r>
              <w:rPr>
                <w:rFonts w:ascii="Verdana" w:hAnsi="Verdana"/>
                <w:i/>
                <w:noProof/>
                <w:color w:val="000000"/>
                <w:sz w:val="18"/>
              </w:rPr>
              <w:t>Дължими от Обединеното кралство</w:t>
            </w:r>
          </w:p>
        </w:tc>
        <w:tc>
          <w:tcPr>
            <w:tcW w:w="1643" w:type="dxa"/>
            <w:gridSpan w:val="2"/>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35,0</w:t>
            </w:r>
          </w:p>
        </w:tc>
        <w:tc>
          <w:tcPr>
            <w:tcW w:w="1399"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14,3</w:t>
            </w:r>
          </w:p>
        </w:tc>
        <w:tc>
          <w:tcPr>
            <w:tcW w:w="121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sz w:val="18"/>
              </w:rPr>
            </w:pPr>
            <w:r>
              <w:rPr>
                <w:rFonts w:ascii="Verdana" w:hAnsi="Verdana"/>
                <w:i/>
                <w:noProof/>
                <w:sz w:val="18"/>
              </w:rPr>
              <w:t>0,3</w:t>
            </w:r>
          </w:p>
        </w:tc>
        <w:tc>
          <w:tcPr>
            <w:tcW w:w="1527"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sz w:val="18"/>
              </w:rPr>
            </w:pPr>
            <w:r>
              <w:rPr>
                <w:rFonts w:ascii="Verdana" w:hAnsi="Verdana"/>
                <w:i/>
                <w:noProof/>
                <w:sz w:val="18"/>
              </w:rPr>
              <w:t>49,6</w:t>
            </w:r>
          </w:p>
        </w:tc>
      </w:tr>
      <w:tr>
        <w:trPr>
          <w:trHeight w:val="255"/>
        </w:trPr>
        <w:tc>
          <w:tcPr>
            <w:tcW w:w="3979" w:type="dxa"/>
            <w:tcBorders>
              <w:top w:val="nil"/>
              <w:left w:val="nil"/>
              <w:bottom w:val="nil"/>
              <w:right w:val="nil"/>
              <w:tl2br w:val="nil"/>
              <w:tr2bl w:val="nil"/>
            </w:tcBorders>
            <w:shd w:val="clear" w:color="auto" w:fill="auto"/>
            <w:tcMar>
              <w:left w:w="60" w:type="dxa"/>
              <w:right w:w="60" w:type="dxa"/>
            </w:tcMar>
            <w:vAlign w:val="center"/>
          </w:tcPr>
          <w:p>
            <w:pPr>
              <w:pStyle w:val="DMETW17240BIPFAFVTSD"/>
              <w:rPr>
                <w:rFonts w:ascii="Verdana" w:eastAsia="Verdana" w:hAnsi="Verdana" w:cs="Verdana"/>
                <w:i/>
                <w:noProof/>
                <w:color w:val="000000"/>
                <w:sz w:val="18"/>
              </w:rPr>
            </w:pPr>
            <w:r>
              <w:rPr>
                <w:rFonts w:ascii="Verdana" w:hAnsi="Verdana"/>
                <w:i/>
                <w:noProof/>
                <w:color w:val="000000"/>
                <w:sz w:val="18"/>
              </w:rPr>
              <w:t>Дължими на Обединеното кралство</w:t>
            </w:r>
          </w:p>
        </w:tc>
        <w:tc>
          <w:tcPr>
            <w:tcW w:w="1643" w:type="dxa"/>
            <w:gridSpan w:val="2"/>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w:t>
            </w:r>
          </w:p>
        </w:tc>
        <w:tc>
          <w:tcPr>
            <w:tcW w:w="1399"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w:t>
            </w:r>
          </w:p>
        </w:tc>
        <w:tc>
          <w:tcPr>
            <w:tcW w:w="121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sz w:val="18"/>
              </w:rPr>
            </w:pPr>
            <w:r>
              <w:rPr>
                <w:rFonts w:ascii="Verdana" w:hAnsi="Verdana"/>
                <w:i/>
                <w:noProof/>
                <w:sz w:val="18"/>
              </w:rPr>
              <w:t>(2,1)</w:t>
            </w:r>
          </w:p>
        </w:tc>
        <w:tc>
          <w:tcPr>
            <w:tcW w:w="1527"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sz w:val="18"/>
              </w:rPr>
            </w:pPr>
            <w:r>
              <w:rPr>
                <w:rFonts w:ascii="Verdana" w:hAnsi="Verdana"/>
                <w:i/>
                <w:noProof/>
                <w:sz w:val="18"/>
              </w:rPr>
              <w:t>(2,1)</w:t>
            </w:r>
          </w:p>
        </w:tc>
      </w:tr>
      <w:tr>
        <w:trPr>
          <w:trHeight w:val="255"/>
        </w:trPr>
        <w:tc>
          <w:tcPr>
            <w:tcW w:w="39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0BIPFAFVTSD"/>
              <w:rPr>
                <w:rFonts w:ascii="Verdana" w:eastAsia="Verdana" w:hAnsi="Verdana" w:cs="Verdana"/>
                <w:b/>
                <w:noProof/>
                <w:color w:val="000000"/>
                <w:sz w:val="18"/>
              </w:rPr>
            </w:pPr>
            <w:r>
              <w:rPr>
                <w:rFonts w:ascii="Verdana" w:hAnsi="Verdana"/>
                <w:b/>
                <w:noProof/>
                <w:color w:val="000000"/>
                <w:sz w:val="18"/>
              </w:rPr>
              <w:t>Нетно вземане от Обединеното кралство</w:t>
            </w:r>
          </w:p>
        </w:tc>
        <w:tc>
          <w:tcPr>
            <w:tcW w:w="1643" w:type="dxa"/>
            <w:gridSpan w:val="2"/>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b/>
                <w:noProof/>
                <w:color w:val="000000"/>
                <w:sz w:val="18"/>
              </w:rPr>
            </w:pPr>
            <w:r>
              <w:rPr>
                <w:rFonts w:ascii="Verdana" w:hAnsi="Verdana"/>
                <w:b/>
                <w:noProof/>
                <w:color w:val="000000"/>
                <w:sz w:val="18"/>
              </w:rPr>
              <w:t>35,0</w:t>
            </w:r>
          </w:p>
        </w:tc>
        <w:tc>
          <w:tcPr>
            <w:tcW w:w="13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b/>
                <w:noProof/>
                <w:color w:val="000000"/>
                <w:sz w:val="18"/>
              </w:rPr>
            </w:pPr>
            <w:r>
              <w:rPr>
                <w:rFonts w:ascii="Verdana" w:hAnsi="Verdana"/>
                <w:b/>
                <w:noProof/>
                <w:color w:val="000000"/>
                <w:sz w:val="18"/>
              </w:rPr>
              <w:t>14,3</w:t>
            </w:r>
          </w:p>
        </w:tc>
        <w:tc>
          <w:tcPr>
            <w:tcW w:w="121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b/>
                <w:noProof/>
                <w:sz w:val="18"/>
              </w:rPr>
            </w:pPr>
            <w:r>
              <w:rPr>
                <w:rFonts w:ascii="Verdana" w:hAnsi="Verdana"/>
                <w:b/>
                <w:noProof/>
                <w:sz w:val="18"/>
              </w:rPr>
              <w:t>(1,8)</w:t>
            </w:r>
          </w:p>
        </w:tc>
        <w:tc>
          <w:tcPr>
            <w:tcW w:w="15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b/>
                <w:noProof/>
                <w:sz w:val="18"/>
              </w:rPr>
            </w:pPr>
            <w:r>
              <w:rPr>
                <w:rFonts w:ascii="Verdana" w:hAnsi="Verdana"/>
                <w:b/>
                <w:noProof/>
                <w:sz w:val="18"/>
              </w:rPr>
              <w:t>47,5</w:t>
            </w:r>
          </w:p>
        </w:tc>
      </w:tr>
      <w:tr>
        <w:trPr>
          <w:trHeight w:val="255"/>
        </w:trPr>
        <w:tc>
          <w:tcPr>
            <w:tcW w:w="3979" w:type="dxa"/>
            <w:tcBorders>
              <w:top w:val="nil"/>
              <w:left w:val="nil"/>
              <w:bottom w:val="nil"/>
              <w:right w:val="nil"/>
              <w:tl2br w:val="nil"/>
              <w:tr2bl w:val="nil"/>
            </w:tcBorders>
            <w:shd w:val="clear" w:color="auto" w:fill="auto"/>
            <w:tcMar>
              <w:left w:w="60" w:type="dxa"/>
              <w:right w:w="60" w:type="dxa"/>
            </w:tcMar>
            <w:vAlign w:val="center"/>
          </w:tcPr>
          <w:p>
            <w:pPr>
              <w:pStyle w:val="DMETW17240BIPFAFVTSD"/>
              <w:rPr>
                <w:rFonts w:ascii="Verdana" w:eastAsia="Verdana" w:hAnsi="Verdana" w:cs="Verdana"/>
                <w:i/>
                <w:noProof/>
                <w:color w:val="016794"/>
                <w:sz w:val="18"/>
              </w:rPr>
            </w:pPr>
            <w:r>
              <w:rPr>
                <w:rFonts w:ascii="Verdana" w:hAnsi="Verdana"/>
                <w:i/>
                <w:noProof/>
                <w:color w:val="016794"/>
                <w:sz w:val="18"/>
              </w:rPr>
              <w:t>Суми, които се очаква Обединеното кралство да плати след 2021 г.</w:t>
            </w:r>
          </w:p>
        </w:tc>
        <w:tc>
          <w:tcPr>
            <w:tcW w:w="1643" w:type="dxa"/>
            <w:gridSpan w:val="2"/>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28,2</w:t>
            </w:r>
          </w:p>
        </w:tc>
        <w:tc>
          <w:tcPr>
            <w:tcW w:w="1399"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14,3</w:t>
            </w:r>
          </w:p>
        </w:tc>
        <w:tc>
          <w:tcPr>
            <w:tcW w:w="121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(1,9)</w:t>
            </w:r>
          </w:p>
        </w:tc>
        <w:tc>
          <w:tcPr>
            <w:tcW w:w="1527"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40,6</w:t>
            </w:r>
          </w:p>
        </w:tc>
      </w:tr>
      <w:tr>
        <w:trPr>
          <w:trHeight w:val="255"/>
        </w:trPr>
        <w:tc>
          <w:tcPr>
            <w:tcW w:w="3979" w:type="dxa"/>
            <w:tcBorders>
              <w:top w:val="nil"/>
              <w:left w:val="nil"/>
              <w:bottom w:val="nil"/>
              <w:right w:val="nil"/>
              <w:tl2br w:val="nil"/>
              <w:tr2bl w:val="nil"/>
            </w:tcBorders>
            <w:shd w:val="clear" w:color="auto" w:fill="auto"/>
            <w:tcMar>
              <w:left w:w="60" w:type="dxa"/>
              <w:right w:w="60" w:type="dxa"/>
            </w:tcMar>
            <w:vAlign w:val="center"/>
          </w:tcPr>
          <w:p>
            <w:pPr>
              <w:pStyle w:val="DMETW17240BIPFAFVTSD"/>
              <w:rPr>
                <w:rFonts w:ascii="Verdana" w:eastAsia="Verdana" w:hAnsi="Verdana" w:cs="Verdana"/>
                <w:i/>
                <w:noProof/>
                <w:color w:val="016794"/>
                <w:sz w:val="18"/>
              </w:rPr>
            </w:pPr>
            <w:r>
              <w:rPr>
                <w:rFonts w:ascii="Verdana" w:hAnsi="Verdana"/>
                <w:i/>
                <w:noProof/>
                <w:color w:val="016794"/>
                <w:sz w:val="18"/>
              </w:rPr>
              <w:t>Суми, които се очаква Обединеното кралство да плати през 2021 г.</w:t>
            </w:r>
          </w:p>
        </w:tc>
        <w:tc>
          <w:tcPr>
            <w:tcW w:w="1643" w:type="dxa"/>
            <w:gridSpan w:val="2"/>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6,8</w:t>
            </w:r>
          </w:p>
        </w:tc>
        <w:tc>
          <w:tcPr>
            <w:tcW w:w="1399"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0,0</w:t>
            </w:r>
          </w:p>
        </w:tc>
        <w:tc>
          <w:tcPr>
            <w:tcW w:w="121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0,0 </w:t>
            </w:r>
          </w:p>
        </w:tc>
        <w:tc>
          <w:tcPr>
            <w:tcW w:w="1527"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6,8</w:t>
            </w:r>
          </w:p>
        </w:tc>
      </w:tr>
    </w:tbl>
    <w:p>
      <w:pPr>
        <w:spacing w:before="120" w:after="240"/>
        <w:jc w:val="both"/>
        <w:rPr>
          <w:rFonts w:ascii="Verdana" w:hAnsi="Verdana"/>
          <w:noProof/>
          <w:sz w:val="18"/>
          <w:szCs w:val="18"/>
        </w:rPr>
      </w:pPr>
      <w:r>
        <w:rPr>
          <w:rFonts w:ascii="Verdana" w:hAnsi="Verdana"/>
          <w:noProof/>
          <w:sz w:val="18"/>
          <w:szCs w:val="18"/>
        </w:rPr>
        <w:t>Общата сума включва следните елементи:</w:t>
      </w:r>
    </w:p>
    <w:p>
      <w:pPr>
        <w:spacing w:before="240" w:after="240"/>
        <w:rPr>
          <w:rFonts w:ascii="Verdana" w:hAnsi="Verdana"/>
          <w:bCs/>
          <w:noProof/>
          <w:sz w:val="18"/>
          <w:szCs w:val="18"/>
        </w:rPr>
      </w:pPr>
      <w:r>
        <w:rPr>
          <w:rFonts w:ascii="Verdana" w:hAnsi="Verdana"/>
          <w:bCs/>
          <w:noProof/>
          <w:color w:val="016794"/>
          <w:sz w:val="18"/>
          <w:szCs w:val="18"/>
        </w:rPr>
        <w:t>Член 136: Собствени ресурси</w:t>
      </w:r>
    </w:p>
    <w:p>
      <w:pPr>
        <w:pStyle w:val="DGTextstand-alone"/>
        <w:spacing w:before="120"/>
      </w:pPr>
      <w:r>
        <w:t>В член 136 се определят разпоредбите, които се прилагат след 31 декември 2020 г. по отношение на собствените ресурси. Обединеното кралство има право да получи своя дял от корекциите, свързани с излишъка от 2020 г. Той подлежи също на корекции на собствените ресурси от ДДС и от БНД, които се отнасят до финансовите години до 2020 г. — тези корекции ще бъдат изчислявани ежегодно до 31 декември 2028 г. Правят се и актуализации на корекцията за Обединеното кралство.</w:t>
      </w:r>
    </w:p>
    <w:p>
      <w:pPr>
        <w:pStyle w:val="DGTextstand-alone"/>
      </w:pPr>
      <w:r>
        <w:t>Обединеното кралство трябва да плати традиционните собствени ресурси, събрани от него след 28 февруари 2021 г., но свързани с 2020 г. и по-рано. Неговият дял от общия размер на традиционните собствени ресурси, предоставени от ЕС-27 и от него, след това се приспада от тази сума. Отделната сметка за традиционните собствени ресурси ще бъде ликвидирана изцяло към 31 декември 2025 г.</w:t>
      </w:r>
    </w:p>
    <w:p>
      <w:pPr>
        <w:pStyle w:val="DGTextstand-alone"/>
      </w:pPr>
      <w:r>
        <w:t>През 2021 г. Обединеното кралство трябва да плати 230 милиона евро.</w:t>
      </w:r>
    </w:p>
    <w:p>
      <w:pPr>
        <w:spacing w:before="240" w:after="240"/>
        <w:rPr>
          <w:rFonts w:ascii="Verdana" w:hAnsi="Verdana"/>
          <w:bCs/>
          <w:noProof/>
          <w:color w:val="016794"/>
          <w:sz w:val="18"/>
          <w:szCs w:val="18"/>
        </w:rPr>
      </w:pPr>
      <w:r>
        <w:rPr>
          <w:rFonts w:ascii="Verdana" w:hAnsi="Verdana"/>
          <w:bCs/>
          <w:noProof/>
          <w:color w:val="016794"/>
          <w:sz w:val="18"/>
          <w:szCs w:val="18"/>
        </w:rPr>
        <w:t>Член 140: Неизпълнени поети задължения (RAL)</w:t>
      </w:r>
    </w:p>
    <w:p>
      <w:pPr>
        <w:pStyle w:val="DGTextstand-alone"/>
        <w:spacing w:before="120"/>
      </w:pPr>
      <w:r>
        <w:rPr>
          <w:i/>
          <w:iCs/>
        </w:rPr>
        <w:t>Reste à liquider</w:t>
      </w:r>
      <w:r>
        <w:t>, или RAL, представлява общият обем на правните задължения, поети от ЕС към получателите, плащанията по които ще бъдат извършени през следващите години. RAL са обичаен елемент на всички многогодишни бюджети, като например бюджета на ЕС.</w:t>
      </w:r>
    </w:p>
    <w:p>
      <w:pPr>
        <w:pStyle w:val="DGTextstand-alone"/>
        <w:spacing w:before="120"/>
      </w:pPr>
      <w:r>
        <w:t xml:space="preserve">Поради това поетите задължения се отнасят до проекти, програми, споразумения или договори, за които вече са поети задължения преди 31 декември 2020 г., но които все още не са изцяло изпълнени и плащанията по които тепърва ще бъдат извършени. Някои от тези плащания са предназначени за получатели от Обединеното кралство. </w:t>
      </w:r>
    </w:p>
    <w:p>
      <w:pPr>
        <w:pStyle w:val="DGTextstand-alone"/>
        <w:spacing w:before="120"/>
      </w:pPr>
      <w:r>
        <w:t>Според СО Обединеното кралство трябва да плати своя дял от неизпълнените поети задължения на ЕС към 31 декември 2020 г., когато приключва преходният период. Всички поети задължения или части от тях, които се очаква да бъдат отменени (отмени на бюджетни кредити), и сумите, свързани с поети задължения, финансирани от целеви приходи, или с програми, в които Обединеното кралство не участва (възможност за неучастие), се приспадат от общата сума.</w:t>
      </w:r>
    </w:p>
    <w:p>
      <w:pPr>
        <w:pStyle w:val="DGTextstand-alone"/>
        <w:spacing w:before="120"/>
      </w:pPr>
      <w:r>
        <w:t>Другите корекции на дължимата от Обединеното кралство сума по тази статия са свързани с нетните финансови корекции от периода 2014—2020 г. или предходни периоди на програмиране и с традиционните собствени ресурси, свързани с 2020 г. и предоставени през януари-февруари 2021 г.</w:t>
      </w:r>
    </w:p>
    <w:p>
      <w:pPr>
        <w:pStyle w:val="DGTextstand-alone"/>
        <w:spacing w:before="120"/>
      </w:pPr>
      <w:r>
        <w:t>За да бъде изчислен делът на Обединеното кралство от RAL, като отправна точка са използвани официалните бюджетни RAL към 31 декември 2020 г. (303,2 милиарда евро, вж. таблица </w:t>
      </w:r>
      <w:r>
        <w:rPr>
          <w:b/>
        </w:rPr>
        <w:t>4.4</w:t>
      </w:r>
      <w:r>
        <w:t xml:space="preserve"> в таблиците за изпълнението на бюджета). Към края на 2020 г. делът на Обединеното кралство от коригираните RAL възлизаше на 36 милиарда евро — след като бе коригирано с прогнозата за отменените бюджетни кредити, вземането на ЕС към края на 2020 г. бе 35 милиарда евро, 6,8 милиарда евро от които ще бъдат платени между 30 юни 2021 г. и 31 декември 2021 г. </w:t>
      </w:r>
    </w:p>
    <w:p>
      <w:pPr>
        <w:spacing w:before="240" w:after="240"/>
        <w:rPr>
          <w:rFonts w:ascii="Verdana" w:hAnsi="Verdana"/>
          <w:bCs/>
          <w:noProof/>
          <w:color w:val="016794"/>
          <w:sz w:val="18"/>
          <w:szCs w:val="18"/>
        </w:rPr>
      </w:pPr>
      <w:r>
        <w:rPr>
          <w:rFonts w:ascii="Verdana" w:hAnsi="Verdana"/>
          <w:bCs/>
          <w:noProof/>
          <w:color w:val="016794"/>
          <w:sz w:val="18"/>
          <w:szCs w:val="18"/>
        </w:rPr>
        <w:t>Член 141: Глоби в областта на конкуренцията</w:t>
      </w:r>
    </w:p>
    <w:p>
      <w:pPr>
        <w:pStyle w:val="DGTextstand-alone"/>
        <w:spacing w:before="120"/>
      </w:pPr>
      <w:r>
        <w:rPr>
          <w:color w:val="000000"/>
          <w:shd w:val="clear" w:color="auto" w:fill="FFFFFF"/>
        </w:rPr>
        <w:t xml:space="preserve">Европейската комисия прилага пряко правилата на ЕС в областта на конкуренцията, като гарантира, че всички предприятия се конкурират на равни начала и лоялно въз основа на своите качества. Това може да доведе до налагане на глоби. </w:t>
      </w:r>
      <w:r>
        <w:t>След като бъдат наложени от ЕС, глобите могат да бъдат оспорени (по съдебен ред) от получателя на глобата, т.е. глобата не е окончателна, докато не приключат всички такива производства.</w:t>
      </w:r>
    </w:p>
    <w:p>
      <w:pPr>
        <w:pStyle w:val="DGTextstand-alone"/>
        <w:spacing w:before="120"/>
      </w:pPr>
      <w:r>
        <w:t xml:space="preserve">ЕС ще плаща на Обединеното кралство всяка година неговия дял от глобите в областта на конкуренцията, за които Съюзът е взел решение преди 31 декември 2020 г., след като тези глоби станат окончателни, т.е. глобеният субект или не обжалва пред Съда на Европейския съюз, или обжалването е неуспешно и той трябва да плати глобата. </w:t>
      </w:r>
    </w:p>
    <w:p>
      <w:pPr>
        <w:pStyle w:val="DGTextstand-alone"/>
        <w:spacing w:before="120"/>
      </w:pPr>
      <w:r>
        <w:t>В годишните отчети сумите, дължими на Обединеното кралство вследствие на глоби, се приспадат от общата сума, дължима от Обединеното кралство. Към 31 декември 2020 г. очакваният дял на Обединеното кралство от неплатените глоби възлиза на 1,8 милиарда евро. Тази сума ще бъде връщана на Обединеното кралство в продължение на дълъг период от време. Стойността се основава на дължимите суми към 31 декември 2020 г. и може да се промени, за да се отразят действителните суми, вписани в бюджета, след като глобите са станали окончателни.</w:t>
      </w:r>
    </w:p>
    <w:p>
      <w:pPr>
        <w:pStyle w:val="DGTextstand-alone"/>
        <w:spacing w:before="120"/>
        <w:rPr>
          <w:bCs/>
          <w:color w:val="016794"/>
        </w:rPr>
      </w:pPr>
      <w:r>
        <w:rPr>
          <w:bCs/>
          <w:color w:val="016794"/>
        </w:rPr>
        <w:t xml:space="preserve">Член 142: Задължения на Съюза </w:t>
      </w:r>
    </w:p>
    <w:p>
      <w:pPr>
        <w:pStyle w:val="DGTextstand-alone"/>
      </w:pPr>
      <w:r>
        <w:t>Обединеното кралство се е ангажирало да плати своя дял от задълженията на Съюза към края на 2020 г. с изключение на конкретни задължения, посочени в СО. Поради това Обединеното кралство ще плаща дела си от задълженията, свързани с ЕС като работодател (т.е. пенсии и здравно осигуряване на пенсионираните служители) към 31 декември 2020 г.:</w:t>
      </w:r>
    </w:p>
    <w:p>
      <w:pPr>
        <w:pStyle w:val="ListParagraph"/>
        <w:numPr>
          <w:ilvl w:val="0"/>
          <w:numId w:val="18"/>
        </w:numPr>
        <w:spacing w:after="160" w:line="259" w:lineRule="auto"/>
        <w:jc w:val="both"/>
        <w:rPr>
          <w:rFonts w:ascii="Verdana" w:hAnsi="Verdana"/>
          <w:noProof/>
          <w:sz w:val="18"/>
          <w:szCs w:val="18"/>
        </w:rPr>
      </w:pPr>
      <w:r>
        <w:rPr>
          <w:rFonts w:ascii="Verdana" w:hAnsi="Verdana"/>
          <w:noProof/>
          <w:sz w:val="18"/>
          <w:szCs w:val="18"/>
        </w:rPr>
        <w:t>пенсии на длъжностните лица на ЕС: плащанията на пенсиите на служителите на ЕС се покриват от годишния бюджет на ЕС. Освен това длъжностните лица на ЕС плащат пенсионни вноски през цялата си професионална кариера. Тези вноски се вписват в бюджета като приход, като по този начин се намаляват вноските, необходими от държавите членки за финансиране на общия годишен бюджет. Държавите — членки на ЕС, се ангажират да покриват разходите за пенсии на служителите на ЕС, когато те се пенсионират. В съответствие с този ангажимент Обединеното кралство ще плаща, считано от юни 2022 г. — в продължение на няколко десетилетия — дела си от годишните пенсии, плащани на длъжностните лица на ЕС, до изтичането на всички пенсионни права, придобити от служителите до 31 декември 2020 г. Обединеното кралство може да реши да уреди задължението си по всяко време, като плати актюерското задължение към края на съответната година за период от 5 години.</w:t>
      </w:r>
    </w:p>
    <w:p>
      <w:pPr>
        <w:pStyle w:val="ListParagraph"/>
        <w:numPr>
          <w:ilvl w:val="0"/>
          <w:numId w:val="18"/>
        </w:numPr>
        <w:spacing w:after="160" w:line="259" w:lineRule="auto"/>
        <w:jc w:val="both"/>
        <w:rPr>
          <w:rFonts w:ascii="Verdana" w:hAnsi="Verdana"/>
          <w:noProof/>
          <w:sz w:val="18"/>
          <w:szCs w:val="18"/>
        </w:rPr>
      </w:pPr>
      <w:r>
        <w:rPr>
          <w:rFonts w:ascii="Verdana" w:hAnsi="Verdana"/>
          <w:noProof/>
          <w:sz w:val="18"/>
          <w:szCs w:val="18"/>
        </w:rPr>
        <w:t>Пенсии на членовете на Европейския парламент, на европейските комисари, на съдиите в Съда на Европейския съюз и т.н.: Обединеното кралство ще плаща дела си от актюерското задължение към 31 декември 2020 г. в продължение на период от 10 години, считано от октомври 2021 г.</w:t>
      </w:r>
    </w:p>
    <w:p>
      <w:pPr>
        <w:pStyle w:val="ListParagraph"/>
        <w:numPr>
          <w:ilvl w:val="0"/>
          <w:numId w:val="18"/>
        </w:numPr>
        <w:spacing w:after="160" w:line="259" w:lineRule="auto"/>
        <w:jc w:val="both"/>
        <w:rPr>
          <w:rFonts w:ascii="Verdana" w:hAnsi="Verdana"/>
          <w:noProof/>
          <w:sz w:val="18"/>
          <w:szCs w:val="18"/>
        </w:rPr>
      </w:pPr>
      <w:r>
        <w:rPr>
          <w:rFonts w:ascii="Verdana" w:hAnsi="Verdana"/>
          <w:noProof/>
          <w:sz w:val="18"/>
          <w:szCs w:val="18"/>
        </w:rPr>
        <w:t>Обща здравноосигурителна схема (ОЗОС): това е системата, която покрива разходите за здравеопазване на служителите на ЕС, включително пенсионерите. Длъжностните лица и пенсионерите на ЕС правят вноски в схемата през цялата си кариера и когато се пенсионират, както прави и ЕС като работодател. В съответствие с принципа, който се прилага и по отношение на пенсионноосигурителната система за длъжностните лица на ЕС, Обединеното кралство ще плаща дела си от вноската от бюджета на ЕС за здравното осигуряване на пенсионираните служители. Тези плащания, които започват през юни 2022 г., ще продължат в продължение на няколко десетилетия или до приключването на всички тези задължения. Както с пенсиите на длъжностните лица, Обединеното кралство може да избере да уреди непогасените задължения по всяко време, като плати актюерското задължение към края на съответната година за период от 5 години.</w:t>
      </w:r>
    </w:p>
    <w:p>
      <w:pPr>
        <w:pStyle w:val="DGTextstand-alone"/>
      </w:pPr>
      <w:r>
        <w:t>Задълженията на ЕС, свързани с горепосочените задължения за изплащане на доходи след напускане, се изчисляват с помощта на одитирани актюерски оценки, основани на международните стандарти. Сумата, която може да се припише на Обединеното кралство към 31 декември 2020 г., възлиза на 14,3 милиарда евро.</w:t>
      </w:r>
    </w:p>
    <w:p>
      <w:pPr>
        <w:pStyle w:val="DGTextstand-alone"/>
      </w:pPr>
      <w:r>
        <w:t>11 милиона евро трябва да бъдат платени от Обединеното кралство през 2021 г. и са свързани само с отделните специфични пенсионноосигурителни схеми (напр. членове на ЕП). Оставащите суми за всички схеми ще бъдат платени в съответствие с договореностите, посочени по-горе, от 2022 г. нататък.</w:t>
      </w:r>
    </w:p>
    <w:p>
      <w:pPr>
        <w:spacing w:before="240" w:after="240"/>
        <w:rPr>
          <w:rFonts w:ascii="Verdana" w:hAnsi="Verdana"/>
          <w:bCs/>
          <w:noProof/>
          <w:color w:val="016794"/>
          <w:sz w:val="18"/>
          <w:szCs w:val="18"/>
        </w:rPr>
      </w:pPr>
      <w:r>
        <w:rPr>
          <w:rFonts w:ascii="Verdana" w:hAnsi="Verdana"/>
          <w:bCs/>
          <w:noProof/>
          <w:color w:val="016794"/>
          <w:sz w:val="18"/>
          <w:szCs w:val="18"/>
        </w:rPr>
        <w:t>Членове 143/144: Финансови инструменти и бюджетни гаранции</w:t>
      </w:r>
    </w:p>
    <w:p>
      <w:pPr>
        <w:pStyle w:val="DGTextstand-alone"/>
        <w:spacing w:before="120"/>
      </w:pPr>
      <w:r>
        <w:t xml:space="preserve">Съгласно тези членове Обединеното кралство е длъжно да финансира условните задължения на ЕС, произтичащи от операции, осъществени преди датата на оттегляне, във връзка с неговите дейности по получаване, отпускане и гарантиране на заеми, в случай че тези задължения се реализират и в случай че не са обхванати от дела на Обединеното кралство от съществуващите гаранционни фондове. ЕС ще възстанови на Обединеното кралство сумите, които Обединеното кралство вече е предоставило за гаранционните фондове и които в крайна сметка се оказват ненужни. </w:t>
      </w:r>
    </w:p>
    <w:p>
      <w:pPr>
        <w:pStyle w:val="DGTextstand-alone"/>
        <w:spacing w:before="120"/>
      </w:pPr>
      <w:r>
        <w:t>Тези суми са преди всичко:</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суми, дължими на Обединеното кралство за дела му от Гаранционния фонд на Европейския фонд за устойчиво развитие (ЕФУР), когато Обединеното кралство вече е допринесло чрез бюджетните си плащания, но не е имало одобрени операции преди оттеглянето, поради което няма задължения, които Обединеното кралство трябва да покрие — 93 милиона евро, които трябва да бъдат върнати на Обединеното кралство през 2021 г.;</w:t>
      </w:r>
    </w:p>
    <w:p>
      <w:pPr>
        <w:pBdr>
          <w:top w:val="nil"/>
          <w:left w:val="nil"/>
          <w:bottom w:val="nil"/>
          <w:right w:val="nil"/>
          <w:between w:val="nil"/>
          <w:bar w:val="nil"/>
        </w:pBdr>
        <w:tabs>
          <w:tab w:val="left" w:pos="720"/>
        </w:tabs>
        <w:spacing w:before="120" w:after="12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суми, които трябва да бъдат платени на Обединеното кралство във връзка с финансови инструменти — 46 милиона евро;</w:t>
      </w:r>
    </w:p>
    <w:p>
      <w:pPr>
        <w:pBdr>
          <w:top w:val="nil"/>
          <w:left w:val="nil"/>
          <w:bottom w:val="nil"/>
          <w:right w:val="nil"/>
          <w:between w:val="nil"/>
          <w:bar w:val="nil"/>
        </w:pBdr>
        <w:tabs>
          <w:tab w:val="left" w:pos="720"/>
        </w:tabs>
        <w:spacing w:before="120" w:after="240"/>
        <w:ind w:left="714" w:hanging="357"/>
        <w:jc w:val="both"/>
        <w:rPr>
          <w:rFonts w:ascii="Verdana" w:eastAsia="Calibri" w:hAnsi="Verdana"/>
          <w:noProof/>
          <w:sz w:val="18"/>
          <w:szCs w:val="18"/>
          <w:bdr w:val="nil"/>
        </w:rPr>
      </w:pPr>
      <w:r>
        <w:rPr>
          <w:rFonts w:ascii="Verdana" w:hAnsi="Verdana"/>
          <w:noProof/>
          <w:sz w:val="18"/>
          <w:szCs w:val="18"/>
          <w:bdr w:val="nil"/>
        </w:rPr>
        <w:t>•</w:t>
      </w:r>
      <w:r>
        <w:rPr>
          <w:rFonts w:ascii="Verdana" w:hAnsi="Verdana"/>
          <w:noProof/>
          <w:sz w:val="18"/>
          <w:szCs w:val="18"/>
          <w:bdr w:val="nil"/>
        </w:rPr>
        <w:tab/>
        <w:t>Обединеното кралство продължава има задължението да предостави своя дял от условните задължения на ЕС (бюджетни гаранции — ЕФСИ, МВК, ЕМФС и други получени заеми и т.н.), ако те станат изискуеми. Максималното задължение на Обединеното кралство възлиза на 12,9 милиарда евро към края на годината — за повече подробности вж. бележка </w:t>
      </w:r>
      <w:r>
        <w:rPr>
          <w:rFonts w:ascii="Verdana" w:hAnsi="Verdana"/>
          <w:b/>
          <w:noProof/>
          <w:sz w:val="18"/>
          <w:szCs w:val="18"/>
          <w:bdr w:val="nil"/>
        </w:rPr>
        <w:t>4.1</w:t>
      </w:r>
      <w:r>
        <w:rPr>
          <w:rFonts w:ascii="Verdana" w:hAnsi="Verdana"/>
          <w:noProof/>
          <w:sz w:val="18"/>
          <w:szCs w:val="18"/>
          <w:bdr w:val="nil"/>
        </w:rPr>
        <w:t xml:space="preserve"> от консолидираните годишни отчети на ЕС. Обединеното кралство дължи сумите само ако задължението се реализира в бъдеще и не е покрито от гаранционен фонд. Счита се, че това е малко вероятно да се случи.</w:t>
      </w:r>
    </w:p>
    <w:p>
      <w:pPr>
        <w:spacing w:before="240" w:after="240"/>
        <w:rPr>
          <w:rFonts w:ascii="Verdana" w:hAnsi="Verdana"/>
          <w:bCs/>
          <w:noProof/>
          <w:color w:val="016794"/>
          <w:sz w:val="18"/>
          <w:szCs w:val="18"/>
        </w:rPr>
      </w:pPr>
      <w:r>
        <w:rPr>
          <w:rFonts w:ascii="Verdana" w:hAnsi="Verdana"/>
          <w:bCs/>
          <w:noProof/>
          <w:color w:val="016794"/>
          <w:sz w:val="18"/>
          <w:szCs w:val="18"/>
        </w:rPr>
        <w:t>Член 145: Европейска общност за въглища и стомана в ликвидация (ЕОВС в ликвидация)</w:t>
      </w:r>
    </w:p>
    <w:p>
      <w:pPr>
        <w:pStyle w:val="DGTextstand-alone"/>
        <w:spacing w:before="120"/>
      </w:pPr>
      <w:r>
        <w:t xml:space="preserve">Обединеното кралство има право на дела си от нетните активи на Европейската общност за въглища и стомана (ЕОВС) в ликвидация към 31 декември 2020 г. — този дял ще бъде плащан на Обединеното кралство в продължение на 5 години. Общата сума, дължима на Обединеното кралство, е 183 милиона евро (37 милиона евро за възстановяване, т.е. прихванати с други суми, дължими през 2021 г.). Това означава, че всяка година между 2021 г. и 2025 г. сумата от 37 милиона евро ще бъде приспадана от дължимите от Обединеното кралство суми. </w:t>
      </w:r>
    </w:p>
    <w:p>
      <w:pPr>
        <w:spacing w:before="240" w:after="240"/>
        <w:rPr>
          <w:rFonts w:ascii="Verdana" w:hAnsi="Verdana"/>
          <w:bCs/>
          <w:noProof/>
          <w:color w:val="016794"/>
          <w:sz w:val="18"/>
          <w:szCs w:val="18"/>
        </w:rPr>
      </w:pPr>
      <w:r>
        <w:rPr>
          <w:rFonts w:ascii="Verdana" w:hAnsi="Verdana"/>
          <w:bCs/>
          <w:noProof/>
          <w:color w:val="016794"/>
          <w:sz w:val="18"/>
          <w:szCs w:val="18"/>
        </w:rPr>
        <w:t>Член 146: Инвестиции в ЕИФ</w:t>
      </w:r>
    </w:p>
    <w:p>
      <w:pPr>
        <w:pStyle w:val="DGTextstand-alone"/>
        <w:spacing w:before="120"/>
      </w:pPr>
      <w:r>
        <w:t>Обединеното кралство има право на дела си от инвестициите, които ЕС е направил във внесения акционерен капитал на Европейския инвестиционен фонд (ЕИФ), платим на равни вноски в продължение на 5 години. Общата сума, дължима на Обединеното кралство, е 33 милиона евро. Това означава, че всяка година между 2021 г. и 2025 г. сумата от 7 милиона евро ще бъде приспадана от дължимите от Обединеното кралство суми.</w:t>
      </w:r>
    </w:p>
    <w:p>
      <w:pPr>
        <w:spacing w:before="240" w:after="240"/>
        <w:rPr>
          <w:rFonts w:ascii="Verdana" w:hAnsi="Verdana"/>
          <w:b/>
          <w:bCs/>
          <w:noProof/>
          <w:sz w:val="18"/>
          <w:szCs w:val="18"/>
          <w:u w:val="single"/>
        </w:rPr>
      </w:pPr>
      <w:r>
        <w:rPr>
          <w:rFonts w:ascii="Verdana" w:hAnsi="Verdana"/>
          <w:bCs/>
          <w:noProof/>
          <w:color w:val="016794"/>
          <w:sz w:val="18"/>
          <w:szCs w:val="18"/>
        </w:rPr>
        <w:t>Член 147: Условни задължения, свързани със съдебни дела</w:t>
      </w:r>
    </w:p>
    <w:p>
      <w:pPr>
        <w:pStyle w:val="DGTextstand-alone"/>
        <w:spacing w:before="120"/>
      </w:pPr>
      <w:r>
        <w:t>Обединеното кралство трябва да плаща всяка година дела си от сумите, плащани от бюджета на ЕС във връзка със съдебни дела, свързани със събития, настъпили преди 31 декември 2020 г. Очакваният дял на Обединеното кралство от съдебните дела, за които вероятно ще трябва да бъдат извършени бъдещи плащания, към края на годината възлиза на 46 милиона евро, но не се дължи от Обединеното кралство, докато — и освен ако — делата не бъдат приключени и плащане не бъде извършено първо от ЕС.</w:t>
      </w:r>
    </w:p>
    <w:p>
      <w:pPr>
        <w:pStyle w:val="HEADER1Part4"/>
        <w:numPr>
          <w:ilvl w:val="0"/>
          <w:numId w:val="40"/>
        </w:numPr>
        <w:rPr>
          <w:noProof/>
          <w:spacing w:val="-6"/>
        </w:rPr>
      </w:pPr>
      <w:bookmarkStart w:id="32" w:name="_Toc66181038"/>
      <w:bookmarkStart w:id="33" w:name="_Toc66738417"/>
      <w:r>
        <w:rPr>
          <w:noProof/>
        </w:rPr>
        <w:br w:type="page"/>
      </w:r>
      <w:bookmarkStart w:id="34" w:name="_Toc75518087"/>
      <w:r>
        <w:rPr>
          <w:noProof/>
          <w:spacing w:val="-6"/>
        </w:rPr>
        <w:t>ОБОБЩЕНИЕ НА ИЗПЪЛНЕНИЕТО НА БЮДЖЕТА</w:t>
      </w:r>
      <w:bookmarkEnd w:id="32"/>
      <w:bookmarkEnd w:id="33"/>
      <w:bookmarkEnd w:id="34"/>
      <w:r>
        <w:rPr>
          <w:noProof/>
          <w:spacing w:val="-6"/>
        </w:rPr>
        <w:t xml:space="preserve"> </w:t>
      </w:r>
    </w:p>
    <w:p>
      <w:pPr>
        <w:pStyle w:val="DGTextstand-alone"/>
        <w:rPr>
          <w:spacing w:val="-6"/>
        </w:rPr>
      </w:pPr>
      <w:r>
        <w:rPr>
          <w:spacing w:val="-6"/>
        </w:rPr>
        <w:t>Окончателният приет бюджет за 2020 г. възлизаше на 173,9 милиарда евро бюджетни кредити за поети задължения и 164,1 милиарда евро бюджетни кредити за плащания. Изпълнението му се повлия силно от пандемията от COVID-19 и от последвалата междусекторна криза. Кризата създаде необходимост от предприемане на решителни действия за укрепване на секторите на общественото здравеопазване в ЕС и смекчаване на социално-икономическите последици в ЕС, както и за предоставяне на помощ на трети държави. Бюджетът за 2020 г. беше последният бюджет, изпълнен съгласно многогодишната финансова рамка за периода 2014—2020 г. Изпълнението му беше внимателно проследено и активно управлявано, което доведе до на практика пълно изпълнение на почти всички програми.</w:t>
      </w:r>
    </w:p>
    <w:p>
      <w:pPr>
        <w:pStyle w:val="DGTextstand-alone"/>
      </w:pPr>
      <w:r>
        <w:t>Изпълнението на общите бюджетни кредити за поети задължения през 2020 г. възлезе на 181,7 милиарда евро:</w:t>
      </w:r>
    </w:p>
    <w:p>
      <w:pPr>
        <w:pStyle w:val="DGTextstand-alone"/>
        <w:numPr>
          <w:ilvl w:val="0"/>
          <w:numId w:val="19"/>
        </w:numPr>
        <w:pBdr>
          <w:top w:val="nil"/>
          <w:left w:val="nil"/>
          <w:bottom w:val="nil"/>
          <w:right w:val="nil"/>
          <w:between w:val="nil"/>
          <w:bar w:val="nil"/>
        </w:pBdr>
        <w:spacing w:before="120" w:after="120"/>
      </w:pPr>
      <w:r>
        <w:t>172,9 милиарда евро от окончателния приет бюджет;</w:t>
      </w:r>
    </w:p>
    <w:p>
      <w:pPr>
        <w:pStyle w:val="DGTextstand-alone"/>
        <w:numPr>
          <w:ilvl w:val="0"/>
          <w:numId w:val="19"/>
        </w:numPr>
        <w:pBdr>
          <w:top w:val="nil"/>
          <w:left w:val="nil"/>
          <w:bottom w:val="nil"/>
          <w:right w:val="nil"/>
          <w:between w:val="nil"/>
          <w:bar w:val="nil"/>
        </w:pBdr>
        <w:spacing w:before="120" w:after="120"/>
        <w:ind w:left="714" w:hanging="357"/>
      </w:pPr>
      <w:r>
        <w:t>1,1 милиарда евро от бюджетните кредити, пренесени от 2019 г.;</w:t>
      </w:r>
    </w:p>
    <w:p>
      <w:pPr>
        <w:pStyle w:val="DGTextstand-alone"/>
        <w:numPr>
          <w:ilvl w:val="0"/>
          <w:numId w:val="19"/>
        </w:numPr>
        <w:pBdr>
          <w:top w:val="nil"/>
          <w:left w:val="nil"/>
          <w:bottom w:val="nil"/>
          <w:right w:val="nil"/>
          <w:between w:val="nil"/>
          <w:bar w:val="nil"/>
        </w:pBdr>
        <w:spacing w:before="120"/>
        <w:ind w:left="714" w:hanging="357"/>
      </w:pPr>
      <w:r>
        <w:t>7,7 милиарда евро от бюджетните кредити, произтичащи от целеви приходи.</w:t>
      </w:r>
    </w:p>
    <w:p>
      <w:pPr>
        <w:pStyle w:val="DGTextstand-alone"/>
      </w:pPr>
      <w:r>
        <w:t>Общите плащания, извършени през 2020 г., бяха в размер на 173,3 милиарда евро:</w:t>
      </w:r>
    </w:p>
    <w:p>
      <w:pPr>
        <w:pStyle w:val="DGTextstand-alone"/>
        <w:numPr>
          <w:ilvl w:val="0"/>
          <w:numId w:val="19"/>
        </w:numPr>
        <w:pBdr>
          <w:top w:val="nil"/>
          <w:left w:val="nil"/>
          <w:bottom w:val="nil"/>
          <w:right w:val="nil"/>
          <w:between w:val="nil"/>
          <w:bar w:val="nil"/>
        </w:pBdr>
        <w:spacing w:before="120" w:after="120"/>
        <w:ind w:left="714" w:hanging="357"/>
      </w:pPr>
      <w:r>
        <w:t>161,8 милиарда евро от окончателния приет бюджет;</w:t>
      </w:r>
    </w:p>
    <w:p>
      <w:pPr>
        <w:pStyle w:val="DGTextstand-alone"/>
        <w:numPr>
          <w:ilvl w:val="0"/>
          <w:numId w:val="19"/>
        </w:numPr>
        <w:pBdr>
          <w:top w:val="nil"/>
          <w:left w:val="nil"/>
          <w:bottom w:val="nil"/>
          <w:right w:val="nil"/>
          <w:between w:val="nil"/>
          <w:bar w:val="nil"/>
        </w:pBdr>
        <w:spacing w:before="120" w:after="120"/>
        <w:ind w:left="714" w:hanging="357"/>
      </w:pPr>
      <w:r>
        <w:t>1,6 милиарда евро от бюджетните кредити, пренесени от 2019 г.;</w:t>
      </w:r>
    </w:p>
    <w:p>
      <w:pPr>
        <w:pStyle w:val="DGTextstand-alone"/>
        <w:numPr>
          <w:ilvl w:val="0"/>
          <w:numId w:val="19"/>
        </w:numPr>
        <w:pBdr>
          <w:top w:val="nil"/>
          <w:left w:val="nil"/>
          <w:bottom w:val="nil"/>
          <w:right w:val="nil"/>
          <w:between w:val="nil"/>
          <w:bar w:val="nil"/>
        </w:pBdr>
        <w:spacing w:before="120" w:after="120"/>
        <w:ind w:left="714" w:hanging="357"/>
      </w:pPr>
      <w:r>
        <w:t>9,9 милиарда евро от бюджетните кредити, произтичащи от целеви приходи.</w:t>
      </w:r>
    </w:p>
    <w:p>
      <w:pPr>
        <w:pStyle w:val="DGTextstand-alone"/>
      </w:pPr>
      <w:r>
        <w:t>През 2020 г. бяха постигнати високи нива на изпълнение по всички функции. Изпълнението за 2020 г. за всички видове бюджетни кредити (бюджет, пренасяния от предходната година и целеви приходи) бе 97 % за поетите задължения и 94 % за плащанията. Процентите на изпълнение, като се изключат целевите приходи, показаха пълно изпълнение през 2020 г. (99,5 % за бюджетните кредити за поети задължения и 98,5 % за бюджетните кредити за плащания).</w:t>
      </w:r>
    </w:p>
    <w:p>
      <w:pPr>
        <w:pStyle w:val="DGTextstand-alone"/>
      </w:pPr>
      <w:r>
        <w:t>Най-голямата част от приходите представляваха собствени ресурси, които възлизаха на 91,9 % от общите приходи в размер на 174,3 милиарда евро, следвани от 4,7 % от вноски и възстановени суми във връзка със споразумения и програми на ЕС, свързани предимно с приходи от финансови корекции (ЕСИФ, ЕФГЗ и ЕЗФРСР).</w:t>
      </w:r>
    </w:p>
    <w:p>
      <w:pPr>
        <w:pStyle w:val="DGTextstand-alone"/>
      </w:pPr>
      <w:r>
        <w:t>Неизпълнените поети задължения (наричани понякога RAL — reste à liquider), които представляват суми, за които е поето задължение, но които все още не са платени, възлизаха на 303,2 милиарда евро към края на 2020 г. Очакваше се увеличение в сравнение с равнището за 2019 г. поради разликата между предвидените в бюджета бюджетни кредити за поети задължения и бюджетни кредити за плащания (9,8 милиарда евро) в окончателния приет бюджет и като се има предвид фактът, че увеличението на неизпълнените поети задължения е нещо нормално, тъй като бюджетните кредити за поети задължения се увеличават всяка година, както е предвидено в МФР. Увеличението на неизпълнените поети задължения в сравнение с 2019 г. бе 5,5 милиарда евро.</w:t>
      </w:r>
    </w:p>
    <w:p>
      <w:pPr>
        <w:pStyle w:val="DGTextstand-alone"/>
        <w:rPr>
          <w:spacing w:val="-6"/>
        </w:rPr>
      </w:pPr>
      <w:r>
        <w:rPr>
          <w:spacing w:val="-6"/>
        </w:rPr>
        <w:t>Бюджетният резултат (излишък) намаля от 3,2 милиарда евро за 2019 г. на 1,8 милиарда евро за 2020 г.:</w:t>
      </w:r>
    </w:p>
    <w:tbl>
      <w:tblPr>
        <w:tblW w:w="4939"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07"/>
        <w:gridCol w:w="664"/>
        <w:gridCol w:w="522"/>
        <w:gridCol w:w="612"/>
        <w:gridCol w:w="574"/>
        <w:gridCol w:w="560"/>
      </w:tblGrid>
      <w:tr>
        <w:trPr>
          <w:gridAfter w:val="1"/>
          <w:wAfter w:w="560" w:type="dxa"/>
          <w:trHeight w:hRule="exact" w:val="284"/>
          <w:jc w:val="center"/>
        </w:trPr>
        <w:tc>
          <w:tcPr>
            <w:tcW w:w="670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p>
        </w:tc>
        <w:tc>
          <w:tcPr>
            <w:tcW w:w="1186"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p>
        </w:tc>
        <w:tc>
          <w:tcPr>
            <w:tcW w:w="1186"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84"/>
          <w:jc w:val="center"/>
        </w:trPr>
        <w:tc>
          <w:tcPr>
            <w:tcW w:w="7370"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05BIPBudgetresult"/>
              <w:jc w:val="center"/>
              <w:rPr>
                <w:rFonts w:ascii="Verdana" w:eastAsia="Verdana" w:hAnsi="Verdana" w:cs="Verdana"/>
                <w:noProof/>
                <w:color w:val="FFFFFF"/>
                <w:sz w:val="16"/>
              </w:rPr>
            </w:pPr>
          </w:p>
        </w:tc>
        <w:tc>
          <w:tcPr>
            <w:tcW w:w="1134"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05BIPBudgetresult"/>
              <w:jc w:val="right"/>
              <w:rPr>
                <w:rFonts w:ascii="Verdana" w:eastAsia="Verdana" w:hAnsi="Verdana" w:cs="Verdana"/>
                <w:noProof/>
                <w:color w:val="FFFFFF"/>
                <w:sz w:val="16"/>
              </w:rPr>
            </w:pPr>
            <w:r>
              <w:rPr>
                <w:rFonts w:ascii="Verdana" w:hAnsi="Verdana"/>
                <w:noProof/>
                <w:color w:val="FFFFFF"/>
                <w:sz w:val="16"/>
              </w:rPr>
              <w:t>2020 г.</w:t>
            </w:r>
          </w:p>
        </w:tc>
        <w:tc>
          <w:tcPr>
            <w:tcW w:w="1134"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05BIPBudgetresult"/>
              <w:jc w:val="right"/>
              <w:rPr>
                <w:rFonts w:ascii="Verdana" w:eastAsia="Verdana" w:hAnsi="Verdana" w:cs="Verdana"/>
                <w:noProof/>
                <w:color w:val="FFFFFF"/>
                <w:sz w:val="16"/>
              </w:rPr>
            </w:pPr>
            <w:r>
              <w:rPr>
                <w:rFonts w:ascii="Verdana" w:hAnsi="Verdana"/>
                <w:noProof/>
                <w:color w:val="FFFFFF"/>
                <w:sz w:val="16"/>
              </w:rPr>
              <w:t>2019 г.</w:t>
            </w:r>
          </w:p>
        </w:tc>
      </w:tr>
      <w:tr>
        <w:trPr>
          <w:trHeight w:hRule="exact" w:val="284"/>
          <w:jc w:val="center"/>
        </w:trPr>
        <w:tc>
          <w:tcPr>
            <w:tcW w:w="7370"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Приходи за финансовата година</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174 306</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163 918</w:t>
            </w:r>
          </w:p>
        </w:tc>
      </w:tr>
      <w:tr>
        <w:trPr>
          <w:trHeight w:hRule="exact" w:val="284"/>
          <w:jc w:val="center"/>
        </w:trPr>
        <w:tc>
          <w:tcPr>
            <w:tcW w:w="7370"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Плащания спрямо бюджетните кредити за текущата година</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(171 721)</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(157 428)</w:t>
            </w:r>
          </w:p>
        </w:tc>
      </w:tr>
      <w:tr>
        <w:trPr>
          <w:trHeight w:hRule="exact" w:val="284"/>
          <w:jc w:val="center"/>
        </w:trPr>
        <w:tc>
          <w:tcPr>
            <w:tcW w:w="7370"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Бюджетни кредити за плащания, пренесени за година N+1</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(2 086)</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(1 615)</w:t>
            </w:r>
          </w:p>
        </w:tc>
      </w:tr>
      <w:tr>
        <w:trPr>
          <w:trHeight w:hRule="exact" w:val="284"/>
          <w:jc w:val="center"/>
        </w:trPr>
        <w:tc>
          <w:tcPr>
            <w:tcW w:w="7370"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Отмяна на неусвоени бюджетни кредити, пренесени от година N-1</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 xml:space="preserve"> 78</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 xml:space="preserve"> 75</w:t>
            </w:r>
          </w:p>
        </w:tc>
      </w:tr>
      <w:tr>
        <w:trPr>
          <w:trHeight w:hRule="exact" w:val="284"/>
          <w:jc w:val="center"/>
        </w:trPr>
        <w:tc>
          <w:tcPr>
            <w:tcW w:w="7370"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Промяна на целевите приходи (Б) – (А)</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1 398</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(1 736)</w:t>
            </w:r>
          </w:p>
        </w:tc>
      </w:tr>
      <w:tr>
        <w:trPr>
          <w:trHeight w:hRule="exact" w:val="284"/>
          <w:jc w:val="center"/>
        </w:trPr>
        <w:tc>
          <w:tcPr>
            <w:tcW w:w="7370"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i/>
                <w:noProof/>
                <w:color w:val="000000"/>
                <w:sz w:val="16"/>
              </w:rPr>
            </w:pPr>
            <w:r>
              <w:rPr>
                <w:rFonts w:ascii="Verdana" w:hAnsi="Verdana"/>
                <w:i/>
                <w:noProof/>
                <w:color w:val="000000"/>
                <w:sz w:val="16"/>
              </w:rPr>
              <w:t xml:space="preserve">     Неизползвани бюджетни кредити към края на текущата година (А)</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i/>
                <w:noProof/>
                <w:color w:val="000000"/>
                <w:sz w:val="16"/>
              </w:rPr>
            </w:pPr>
            <w:r>
              <w:rPr>
                <w:rFonts w:ascii="Verdana" w:hAnsi="Verdana"/>
                <w:i/>
                <w:noProof/>
                <w:color w:val="000000"/>
                <w:sz w:val="16"/>
              </w:rPr>
              <w:t>7 694</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i/>
                <w:noProof/>
                <w:color w:val="000000"/>
                <w:sz w:val="16"/>
              </w:rPr>
            </w:pPr>
            <w:r>
              <w:rPr>
                <w:rFonts w:ascii="Verdana" w:hAnsi="Verdana"/>
                <w:i/>
                <w:noProof/>
                <w:color w:val="000000"/>
                <w:sz w:val="16"/>
              </w:rPr>
              <w:t>9 092</w:t>
            </w:r>
          </w:p>
        </w:tc>
      </w:tr>
      <w:tr>
        <w:trPr>
          <w:trHeight w:hRule="exact" w:val="284"/>
          <w:jc w:val="center"/>
        </w:trPr>
        <w:tc>
          <w:tcPr>
            <w:tcW w:w="7370"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i/>
                <w:noProof/>
                <w:color w:val="000000"/>
                <w:sz w:val="16"/>
              </w:rPr>
            </w:pPr>
            <w:r>
              <w:rPr>
                <w:rFonts w:ascii="Verdana" w:hAnsi="Verdana"/>
                <w:i/>
                <w:noProof/>
                <w:color w:val="000000"/>
                <w:sz w:val="16"/>
              </w:rPr>
              <w:t xml:space="preserve">     Неизползвани бюджетни кредити към края на предходната година (Б)</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i/>
                <w:noProof/>
                <w:color w:val="000000"/>
                <w:sz w:val="16"/>
              </w:rPr>
            </w:pPr>
            <w:r>
              <w:rPr>
                <w:rFonts w:ascii="Verdana" w:hAnsi="Verdana"/>
                <w:i/>
                <w:noProof/>
                <w:color w:val="000000"/>
                <w:sz w:val="16"/>
              </w:rPr>
              <w:t>9 092</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i/>
                <w:noProof/>
                <w:color w:val="000000"/>
                <w:sz w:val="16"/>
              </w:rPr>
            </w:pPr>
            <w:r>
              <w:rPr>
                <w:rFonts w:ascii="Verdana" w:hAnsi="Verdana"/>
                <w:i/>
                <w:noProof/>
                <w:color w:val="000000"/>
                <w:sz w:val="16"/>
              </w:rPr>
              <w:t>7 356</w:t>
            </w:r>
          </w:p>
        </w:tc>
      </w:tr>
      <w:tr>
        <w:trPr>
          <w:trHeight w:hRule="exact" w:val="270"/>
          <w:jc w:val="center"/>
        </w:trPr>
        <w:tc>
          <w:tcPr>
            <w:tcW w:w="7370"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Курсови разлики за годината</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 xml:space="preserve"> (207)</w:t>
            </w:r>
          </w:p>
        </w:tc>
        <w:tc>
          <w:tcPr>
            <w:tcW w:w="113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 xml:space="preserve"> 4</w:t>
            </w:r>
          </w:p>
        </w:tc>
      </w:tr>
      <w:tr>
        <w:trPr>
          <w:trHeight w:hRule="exact" w:val="270"/>
          <w:jc w:val="center"/>
        </w:trPr>
        <w:tc>
          <w:tcPr>
            <w:tcW w:w="7370" w:type="dxa"/>
            <w:gridSpan w:val="2"/>
            <w:tcBorders>
              <w:top w:val="nil"/>
              <w:left w:val="nil"/>
              <w:bottom w:val="nil"/>
              <w:right w:val="nil"/>
              <w:tl2br w:val="nil"/>
              <w:tr2bl w:val="nil"/>
            </w:tcBorders>
            <w:shd w:val="solid" w:color="CCE1EB" w:fill="FFFFFF"/>
            <w:tcMar>
              <w:left w:w="60" w:type="dxa"/>
              <w:right w:w="60" w:type="dxa"/>
            </w:tcMar>
            <w:vAlign w:val="center"/>
          </w:tcPr>
          <w:p>
            <w:pPr>
              <w:pStyle w:val="DMETW19805BIPBudgetresult"/>
              <w:rPr>
                <w:rFonts w:ascii="Verdana" w:eastAsia="Verdana" w:hAnsi="Verdana" w:cs="Verdana"/>
                <w:b/>
                <w:noProof/>
                <w:color w:val="000000"/>
                <w:sz w:val="16"/>
              </w:rPr>
            </w:pPr>
            <w:r>
              <w:rPr>
                <w:rFonts w:ascii="Verdana" w:hAnsi="Verdana"/>
                <w:b/>
                <w:noProof/>
                <w:color w:val="000000"/>
                <w:sz w:val="16"/>
              </w:rPr>
              <w:t>Бюджетен резултат</w:t>
            </w:r>
          </w:p>
        </w:tc>
        <w:tc>
          <w:tcPr>
            <w:tcW w:w="1134" w:type="dxa"/>
            <w:gridSpan w:val="2"/>
            <w:tcBorders>
              <w:top w:val="nil"/>
              <w:left w:val="nil"/>
              <w:bottom w:val="nil"/>
              <w:right w:val="nil"/>
              <w:tl2br w:val="nil"/>
              <w:tr2bl w:val="nil"/>
            </w:tcBorders>
            <w:shd w:val="solid" w:color="CCE1EB" w:fill="FFFFFF"/>
            <w:tcMar>
              <w:left w:w="60" w:type="dxa"/>
              <w:right w:w="60" w:type="dxa"/>
            </w:tcMar>
            <w:vAlign w:val="center"/>
          </w:tcPr>
          <w:p>
            <w:pPr>
              <w:pStyle w:val="DMETW19805BIPBudgetresult"/>
              <w:jc w:val="right"/>
              <w:rPr>
                <w:rFonts w:ascii="Verdana" w:eastAsia="Verdana" w:hAnsi="Verdana" w:cs="Verdana"/>
                <w:b/>
                <w:noProof/>
                <w:color w:val="000000"/>
                <w:sz w:val="16"/>
              </w:rPr>
            </w:pPr>
            <w:r>
              <w:rPr>
                <w:rFonts w:ascii="Verdana" w:hAnsi="Verdana"/>
                <w:b/>
                <w:noProof/>
                <w:color w:val="000000"/>
                <w:sz w:val="16"/>
              </w:rPr>
              <w:t>1 768</w:t>
            </w:r>
          </w:p>
        </w:tc>
        <w:tc>
          <w:tcPr>
            <w:tcW w:w="1134" w:type="dxa"/>
            <w:gridSpan w:val="2"/>
            <w:tcBorders>
              <w:top w:val="nil"/>
              <w:left w:val="nil"/>
              <w:bottom w:val="nil"/>
              <w:right w:val="nil"/>
              <w:tl2br w:val="nil"/>
              <w:tr2bl w:val="nil"/>
            </w:tcBorders>
            <w:shd w:val="solid" w:color="CCE1EB" w:fill="FFFFFF"/>
            <w:tcMar>
              <w:left w:w="60" w:type="dxa"/>
              <w:right w:w="60" w:type="dxa"/>
            </w:tcMar>
            <w:vAlign w:val="center"/>
          </w:tcPr>
          <w:p>
            <w:pPr>
              <w:pStyle w:val="DMETW19805BIPBudgetresult"/>
              <w:jc w:val="right"/>
              <w:rPr>
                <w:rFonts w:ascii="Verdana" w:eastAsia="Verdana" w:hAnsi="Verdana" w:cs="Verdana"/>
                <w:b/>
                <w:noProof/>
                <w:color w:val="000000"/>
                <w:sz w:val="16"/>
              </w:rPr>
            </w:pPr>
            <w:r>
              <w:rPr>
                <w:rFonts w:ascii="Verdana" w:hAnsi="Verdana"/>
                <w:b/>
                <w:noProof/>
                <w:color w:val="000000"/>
                <w:sz w:val="16"/>
              </w:rPr>
              <w:t>3 217</w:t>
            </w:r>
          </w:p>
        </w:tc>
      </w:tr>
    </w:tbl>
    <w:p>
      <w:pPr>
        <w:pStyle w:val="DGTextstand-alone"/>
      </w:pPr>
    </w:p>
    <w:p>
      <w:pPr>
        <w:pStyle w:val="HEADER1Part4"/>
        <w:numPr>
          <w:ilvl w:val="0"/>
          <w:numId w:val="40"/>
        </w:numPr>
        <w:rPr>
          <w:noProof/>
        </w:rPr>
      </w:pPr>
      <w:bookmarkStart w:id="35" w:name="_Toc58590173"/>
      <w:bookmarkStart w:id="36" w:name="_Toc65749858"/>
      <w:bookmarkStart w:id="37" w:name="_Toc65761056"/>
      <w:bookmarkStart w:id="38" w:name="_Toc66112685"/>
      <w:bookmarkStart w:id="39" w:name="_Toc66181039"/>
      <w:bookmarkStart w:id="40" w:name="_Toc66738418"/>
      <w:bookmarkStart w:id="41" w:name="_Toc75518088"/>
      <w:r>
        <w:rPr>
          <w:noProof/>
        </w:rPr>
        <w:t xml:space="preserve">ФИНАНСОВИ ИНСТРУМЕНТИ </w:t>
      </w:r>
      <w:bookmarkEnd w:id="35"/>
      <w:bookmarkEnd w:id="36"/>
      <w:bookmarkEnd w:id="37"/>
      <w:bookmarkEnd w:id="38"/>
      <w:bookmarkEnd w:id="39"/>
      <w:bookmarkEnd w:id="40"/>
      <w:r>
        <w:rPr>
          <w:noProof/>
        </w:rPr>
        <w:t>И БЮДЖЕТНИ ГАРАНЦИИ</w:t>
      </w:r>
      <w:bookmarkEnd w:id="41"/>
    </w:p>
    <w:p>
      <w:pPr>
        <w:pStyle w:val="HEADER2Part4"/>
        <w:numPr>
          <w:ilvl w:val="1"/>
          <w:numId w:val="40"/>
        </w:numPr>
        <w:rPr>
          <w:rFonts w:eastAsia="Calibri"/>
        </w:rPr>
      </w:pPr>
      <w:bookmarkStart w:id="42" w:name="_Toc75518089"/>
      <w:r>
        <w:t>Финансови инструменти, финансирани от бюджета на ЕС</w:t>
      </w:r>
      <w:bookmarkEnd w:id="42"/>
    </w:p>
    <w:p>
      <w:pPr>
        <w:pStyle w:val="DGTextstand-alone"/>
      </w:pPr>
      <w:r>
        <w:t>При този вид изпълнение на бюджета средствата или вече са прехвърлени в доверителните сметки, управлявани от оправомощените субекти, и могат да се ползват (като пари и парични еквиваленти, дългови ценни книжа или инвестиции във фондове на паричния пазар или в групи от портфейли от активи) за покриване на бъдещи задействани гаранции, или са инвестирани в капиталови инструменти. Значението и обемът на финансовите инструменти, финансирани от бюджета на ЕС, в рамките на прякото и непрякото управление нараства през последните години. Основната идея зад този подход, за разлика от традиционния метод на изпълнение на бюджета чрез предоставяне на безвъзмездни средства и субсидии, е, че за всяко евро, похарчено от бюджета чрез финансови инструменти, крайният бенефициер получава над едно евро финансова подкрепа благодарение на лостовия ефект. Финансовите инструменти, финансирани от бюджета на ЕС, съществуват под формата на гаранционни инструменти, капиталови инструменти и инструменти за отпускане на заеми. В рамките на МФР за периода 2021—2027 г. се очаква използването на бюджетни гаранции да нарасне в сравнение с използването на финансови инструменти, които се финансират или провизират изцяло от бюджета на ЕС. По-специално в рамките на програмата InvestEU ще бъде предоставена гаранция от ЕС в размер на 26,2 милиарда евро на групата на ЕИБ и други финансови институции, за да се подкрепят различни цели на политиката на Съюза посредством операции по финансиране и инвестиране.</w:t>
      </w:r>
    </w:p>
    <w:p>
      <w:pPr>
        <w:pStyle w:val="HEADER2Part4"/>
        <w:numPr>
          <w:ilvl w:val="1"/>
          <w:numId w:val="40"/>
        </w:numPr>
        <w:rPr>
          <w:rFonts w:eastAsia="Calibri"/>
        </w:rPr>
      </w:pPr>
      <w:bookmarkStart w:id="43" w:name="_Toc75518090"/>
      <w:r>
        <w:t>Финансови активи, държани в гаранционни фондове за бюджетни гаранции</w:t>
      </w:r>
      <w:bookmarkEnd w:id="43"/>
    </w:p>
    <w:p>
      <w:pPr>
        <w:pStyle w:val="DGTextstand-alone"/>
      </w:pPr>
      <w:r>
        <w:t xml:space="preserve">При този вид изпълнение на бюджета ЕС предоставя гаранции на партньорите, финансирането за които е само частично обезпечено чрез гаранционни фондове, създадени от Комисията, и по този начин се създават условни задължения за бюджета на ЕС, в случай че осигурените провизии не са достатъчни за покриване на задействаните гаранции. ЕС е предоставил на групата на ЕИБ гаранции за заеми, отпуснати извън ЕС (т.нар. мандат за външно кредитиране или МВК), и за дългови и капиталови операции, покрити от гаранцията по ЕФСИ, и също така е предоставил на групата на ЕИБ и други финансови институции гаранции за операции, покрити от гаранцията по ЕФУР. </w:t>
      </w:r>
    </w:p>
    <w:p>
      <w:pPr>
        <w:pStyle w:val="DGTextstand-alone"/>
      </w:pPr>
      <w:r>
        <w:t>За да се намали рискът, който задействането на гаранциите от групата на ЕИБ или други финансови институции може да породи за бюджета на ЕС, ЕС създаде специални гаранционни фондове, финансирани от бюджета. Към 31 декември 2020 г. Комисията притежава финансови активи в:</w:t>
      </w:r>
    </w:p>
    <w:p>
      <w:pPr>
        <w:pStyle w:val="DGTextstand-alone"/>
        <w:numPr>
          <w:ilvl w:val="0"/>
          <w:numId w:val="19"/>
        </w:numPr>
        <w:pBdr>
          <w:top w:val="nil"/>
          <w:left w:val="nil"/>
          <w:bottom w:val="nil"/>
          <w:right w:val="nil"/>
          <w:between w:val="nil"/>
          <w:bar w:val="nil"/>
        </w:pBdr>
        <w:spacing w:before="120" w:after="120"/>
        <w:ind w:left="714" w:hanging="357"/>
      </w:pPr>
      <w:r>
        <w:t>Гаранционния фонд за външни дейности — 2,8 милиарда евро;</w:t>
      </w:r>
    </w:p>
    <w:p>
      <w:pPr>
        <w:pStyle w:val="DGTextstand-alone"/>
        <w:numPr>
          <w:ilvl w:val="0"/>
          <w:numId w:val="19"/>
        </w:numPr>
        <w:pBdr>
          <w:top w:val="nil"/>
          <w:left w:val="nil"/>
          <w:bottom w:val="nil"/>
          <w:right w:val="nil"/>
          <w:between w:val="nil"/>
          <w:bar w:val="nil"/>
        </w:pBdr>
        <w:spacing w:before="120" w:after="120"/>
        <w:ind w:left="714" w:hanging="357"/>
      </w:pPr>
      <w:r>
        <w:t>Гаранционния фонд на ЕФСИ — 8,0 милиарда евро; и</w:t>
      </w:r>
    </w:p>
    <w:p>
      <w:pPr>
        <w:pStyle w:val="DGTextstand-alone"/>
        <w:numPr>
          <w:ilvl w:val="0"/>
          <w:numId w:val="19"/>
        </w:numPr>
        <w:pBdr>
          <w:top w:val="nil"/>
          <w:left w:val="nil"/>
          <w:bottom w:val="nil"/>
          <w:right w:val="nil"/>
          <w:between w:val="nil"/>
          <w:bar w:val="nil"/>
        </w:pBdr>
        <w:spacing w:before="120" w:after="120"/>
        <w:ind w:left="714" w:hanging="357"/>
      </w:pPr>
      <w:r>
        <w:t>Гаранционния фонд на ЕФУР — 0,8 милиарда евро.</w:t>
      </w:r>
    </w:p>
    <w:p>
      <w:pPr>
        <w:pStyle w:val="DGTextstand-alone"/>
      </w:pPr>
      <w:r>
        <w:t>Гаранционният фонд за външни дейности се захранва от бюджета на ЕС така, че да покрива 9 % от непогасените към края на годината гарантирани заеми за дейности по мандата на ЕИБ за външно кредитиране на трети държави. Към 31 декември 2020 г. общата стойност на активите, упомената по-горе, покрива експозиция от отпуснати суми в размер на 20,3 милиарда евро.</w:t>
      </w:r>
    </w:p>
    <w:p>
      <w:pPr>
        <w:pStyle w:val="DGTextstand-alone"/>
      </w:pPr>
      <w:r>
        <w:t>Гаранционният фонд на ЕФСИ започна дейност през 2016 г. Съгласно изменения Регламент за ЕФСИ (Регламент (ЕС) 2017/2396) таванът на гаранцията от ЕС по линия на ЕФСИ беше увеличен на 26 милиарда евро (от първоначалните 16 милиарда евро) и границата за Гаранционния фонд намаля на 35 % (от първоначалните 50 %) от общия размер на задължението по гаранцията на ЕС. Поради това сега се очаква Гаранционният фонд на ЕФСИ да достигне общо 9,1 милиарда евро. Общият размер на активите, които съставляват Гаранционния фонд на ЕФСИ, е 8,0 милиарда евро към 31 декември 2020 г. Тези средства покриват експозиция от отпуснати суми в размер на 18,9 милиарда евро.</w:t>
      </w:r>
    </w:p>
    <w:p>
      <w:pPr>
        <w:pStyle w:val="DGTextstand-alone"/>
      </w:pPr>
      <w:r>
        <w:t xml:space="preserve">Съгласно Регламента за ЕФУР (Регламент (ЕС) 2017/1601) гаранцията от ЕФУР в размер до 1,5 милиарда евро (увеличен допълнително с външно финансиране) следва да се предостави за подкрепа на инвестициите в партньорските държавите в Африка и в държавите, обхванати от европейската политика за съседство. ЕС оповестява гаранцията по ЕФУР в бележките към своите консолидирани годишни отчети (вж. бележка </w:t>
      </w:r>
      <w:r>
        <w:rPr>
          <w:b/>
        </w:rPr>
        <w:t>4.1.1</w:t>
      </w:r>
      <w:r>
        <w:t>) като условен пасив. Към 31 декември 2020 г. бяха в сила петнадесет споразумения за гаранция по ЕФУР за общо покритие с лимит от 1 370 милиона евро. Гаранционният фонд на ЕФУР е създаден с цел да се покрият евентуални бъдещи задействания на гаранции. Към 31 декември 2020 г. финансирането, получено във фонда, възлизаше на общо 0,8 милиарда евро. Като се има предвид, че повечето гаранционни споразумения бяха сключени с партньорите през 2020 г., програмата е във фаза на засилване на изпълнението, като до края на 2020 г. партньорите подписаха гарантирани операции на стойност 438 милиона евро.</w:t>
      </w:r>
    </w:p>
    <w:p>
      <w:pPr>
        <w:pStyle w:val="DGTextstand-alone"/>
      </w:pPr>
      <w:r>
        <w:t>След влизането в сила на МФР за периода 2021—2027 г. нетните активи на Гаранционния фонд на ЕФСИ бяха прехвърлени, считано от 1 януари 2021 г., в общия фонд „Провизии“ (ОФП)</w:t>
      </w:r>
      <w:r>
        <w:rPr>
          <w:rStyle w:val="FootnoteReference"/>
        </w:rPr>
        <w:footnoteReference w:id="7"/>
      </w:r>
      <w:r>
        <w:t>, в който се държат провизиите, направени за покриване на финансовите задължения, произтичащи от бюджетните гаранции и програмите за финансова помощ в рамките на МФР за периода 2021—2027 г. Очаква се активите на Гаранционния фонд на ЕФУР и на Гаранционния фонд за външни дейности да бъдат прехвърлени в ОФП през 2021 г.</w:t>
      </w:r>
    </w:p>
    <w:p>
      <w:pPr>
        <w:pStyle w:val="HEADER2Part4"/>
        <w:numPr>
          <w:ilvl w:val="1"/>
          <w:numId w:val="40"/>
        </w:numPr>
        <w:rPr>
          <w:rFonts w:eastAsia="Calibri"/>
        </w:rPr>
      </w:pPr>
      <w:bookmarkStart w:id="44" w:name="_Toc75518091"/>
      <w:r>
        <w:t>Отпуснати заеми и свързаните с тях получени заеми за програми за финансова помощ</w:t>
      </w:r>
      <w:bookmarkEnd w:id="44"/>
    </w:p>
    <w:p>
      <w:pPr>
        <w:pStyle w:val="DGTextstand-alone"/>
      </w:pPr>
      <w:r>
        <w:t>Финансова подкрепа за държавите членки и за трети държави под формата на двустранни заеми, финансирани със средства от капиталовите пазари с гаранцията на бюджета на ЕС, се предоставя от Комисията по силата на решения на Европейския парламент и на Съвета.</w:t>
      </w:r>
    </w:p>
    <w:p>
      <w:pPr>
        <w:pStyle w:val="DGTextstand-alone"/>
      </w:pPr>
      <w:r>
        <w:t>През 2020 г. Комисията, като действа от името на ЕС, управлява четири основни програми, по които може да отпуска заеми:</w:t>
      </w:r>
    </w:p>
    <w:p>
      <w:pPr>
        <w:pStyle w:val="DGTextstand-alone"/>
        <w:numPr>
          <w:ilvl w:val="0"/>
          <w:numId w:val="19"/>
        </w:numPr>
        <w:pBdr>
          <w:top w:val="nil"/>
          <w:left w:val="nil"/>
          <w:bottom w:val="nil"/>
          <w:right w:val="nil"/>
          <w:between w:val="nil"/>
          <w:bar w:val="nil"/>
        </w:pBdr>
        <w:spacing w:before="120" w:after="120"/>
        <w:ind w:left="714" w:hanging="357"/>
      </w:pPr>
      <w:r>
        <w:t>подкрепа за платежния баланс (ПБ);</w:t>
      </w:r>
    </w:p>
    <w:p>
      <w:pPr>
        <w:pStyle w:val="DGTextstand-alone"/>
        <w:numPr>
          <w:ilvl w:val="0"/>
          <w:numId w:val="19"/>
        </w:numPr>
        <w:pBdr>
          <w:top w:val="nil"/>
          <w:left w:val="nil"/>
          <w:bottom w:val="nil"/>
          <w:right w:val="nil"/>
          <w:between w:val="nil"/>
          <w:bar w:val="nil"/>
        </w:pBdr>
        <w:spacing w:before="120" w:after="120"/>
        <w:ind w:left="714" w:hanging="357"/>
      </w:pPr>
      <w:r>
        <w:t>помощ по линия на Европейския механизъм за финансово стабилизиране (ЕМФС);</w:t>
      </w:r>
    </w:p>
    <w:p>
      <w:pPr>
        <w:pStyle w:val="DGTextstand-alone"/>
        <w:numPr>
          <w:ilvl w:val="0"/>
          <w:numId w:val="19"/>
        </w:numPr>
        <w:pBdr>
          <w:top w:val="nil"/>
          <w:left w:val="nil"/>
          <w:bottom w:val="nil"/>
          <w:right w:val="nil"/>
          <w:between w:val="nil"/>
          <w:bar w:val="nil"/>
        </w:pBdr>
        <w:spacing w:before="120" w:after="120"/>
        <w:ind w:left="714" w:hanging="357"/>
      </w:pPr>
      <w:r>
        <w:t>макрофинансова помощ (МФП) и</w:t>
      </w:r>
    </w:p>
    <w:p>
      <w:pPr>
        <w:pStyle w:val="DGTextstand-alone"/>
        <w:numPr>
          <w:ilvl w:val="0"/>
          <w:numId w:val="19"/>
        </w:numPr>
        <w:pBdr>
          <w:top w:val="nil"/>
          <w:left w:val="nil"/>
          <w:bottom w:val="nil"/>
          <w:right w:val="nil"/>
          <w:between w:val="nil"/>
          <w:bar w:val="nil"/>
        </w:pBdr>
        <w:spacing w:before="120" w:after="120"/>
        <w:ind w:left="714" w:hanging="357"/>
      </w:pPr>
      <w:r>
        <w:t>помощ по линия на SURE.</w:t>
      </w:r>
    </w:p>
    <w:p>
      <w:pPr>
        <w:pStyle w:val="DGTextstand-alone"/>
      </w:pPr>
      <w:r>
        <w:t>Капиталът, необходим за финансиране на дейностите на ЕС по отпускане на заеми, се взема от капиталовите пазари или от финансови институции. Дейностите на ЕС по получаване и отпускане на заеми за програмите за финансова помощ представляват небюджетни операции. По принцип събраните средства след това се предоставят на държавата бенефициер „бек-ту-бек“, т.е. със същия купон, срок и размер. Независимо от метода „бек-ту-бек“, обслужването на дълга по инструментите за финансиране е правно задължение на ЕС, който ще направи необходимото всички плащания да се извършват в пълен размер и в срок. Комисията е въвела процедури, за да гарантира изплащането на взетите назаем средства, дори в случай на неизпълнение на задълженията по отпуснатите заеми.</w:t>
      </w:r>
    </w:p>
    <w:p>
      <w:pPr>
        <w:pStyle w:val="DGTextstand-alone"/>
      </w:pPr>
      <w:r>
        <w:br w:type="page"/>
        <w:t>Към 31 декември 2020 г. номиналният размер на заемите, отпуснати с цел предоставяне на финансова помощ, бе:</w:t>
      </w:r>
    </w:p>
    <w:tbl>
      <w:tblPr>
        <w:tblW w:w="0" w:type="auto"/>
        <w:tblLook w:val="04A0" w:firstRow="1" w:lastRow="0" w:firstColumn="1" w:lastColumn="0" w:noHBand="0" w:noVBand="1"/>
      </w:tblPr>
      <w:tblGrid>
        <w:gridCol w:w="1970"/>
        <w:gridCol w:w="1971"/>
        <w:gridCol w:w="1971"/>
        <w:gridCol w:w="1971"/>
        <w:gridCol w:w="1971"/>
      </w:tblGrid>
      <w:tr>
        <w:trPr>
          <w:trHeight w:val="255"/>
          <w:tblHeader/>
        </w:trPr>
        <w:tc>
          <w:tcPr>
            <w:tcW w:w="1970" w:type="dxa"/>
            <w:shd w:val="clear" w:color="auto" w:fill="auto"/>
            <w:vAlign w:val="center"/>
          </w:tcPr>
          <w:p>
            <w:pPr>
              <w:pStyle w:val="DGTextstand-alone"/>
              <w:spacing w:before="0" w:after="0"/>
              <w:jc w:val="right"/>
              <w:rPr>
                <w:color w:val="FFFFFF"/>
              </w:rPr>
            </w:pPr>
          </w:p>
        </w:tc>
        <w:tc>
          <w:tcPr>
            <w:tcW w:w="1971" w:type="dxa"/>
            <w:shd w:val="clear" w:color="auto" w:fill="auto"/>
            <w:vAlign w:val="center"/>
          </w:tcPr>
          <w:p>
            <w:pPr>
              <w:pStyle w:val="DGTextstand-alone"/>
              <w:spacing w:before="0" w:after="0"/>
              <w:jc w:val="right"/>
              <w:rPr>
                <w:b/>
                <w:color w:val="FFFFFF"/>
              </w:rPr>
            </w:pPr>
          </w:p>
        </w:tc>
        <w:tc>
          <w:tcPr>
            <w:tcW w:w="1971" w:type="dxa"/>
            <w:shd w:val="clear" w:color="auto" w:fill="auto"/>
            <w:vAlign w:val="center"/>
          </w:tcPr>
          <w:p>
            <w:pPr>
              <w:pStyle w:val="DGTextstand-alone"/>
              <w:spacing w:before="0" w:after="0"/>
              <w:jc w:val="right"/>
              <w:rPr>
                <w:b/>
                <w:color w:val="FFFFFF"/>
              </w:rPr>
            </w:pPr>
          </w:p>
        </w:tc>
        <w:tc>
          <w:tcPr>
            <w:tcW w:w="1971" w:type="dxa"/>
            <w:shd w:val="clear" w:color="auto" w:fill="auto"/>
            <w:vAlign w:val="center"/>
          </w:tcPr>
          <w:p>
            <w:pPr>
              <w:pStyle w:val="DGTextstand-alone"/>
              <w:spacing w:before="0" w:after="0"/>
              <w:jc w:val="right"/>
              <w:rPr>
                <w:b/>
                <w:color w:val="FFFFFF"/>
              </w:rPr>
            </w:pPr>
          </w:p>
        </w:tc>
        <w:tc>
          <w:tcPr>
            <w:tcW w:w="1971" w:type="dxa"/>
            <w:shd w:val="clear" w:color="auto" w:fill="auto"/>
            <w:vAlign w:val="center"/>
          </w:tcPr>
          <w:p>
            <w:pPr>
              <w:pStyle w:val="DGTextstand-alone"/>
              <w:spacing w:before="0" w:after="0"/>
              <w:jc w:val="right"/>
              <w:rPr>
                <w:i/>
                <w:color w:val="FFFFFF"/>
              </w:rPr>
            </w:pPr>
            <w:r>
              <w:rPr>
                <w:i/>
                <w:sz w:val="16"/>
              </w:rPr>
              <w:t>милиарди евро</w:t>
            </w:r>
          </w:p>
        </w:tc>
      </w:tr>
      <w:tr>
        <w:trPr>
          <w:trHeight w:val="255"/>
          <w:tblHeader/>
        </w:trPr>
        <w:tc>
          <w:tcPr>
            <w:tcW w:w="1970" w:type="dxa"/>
            <w:shd w:val="clear" w:color="auto" w:fill="016794"/>
            <w:vAlign w:val="center"/>
          </w:tcPr>
          <w:p>
            <w:pPr>
              <w:pStyle w:val="DGTextstand-alone"/>
              <w:spacing w:before="0" w:after="0"/>
              <w:jc w:val="right"/>
              <w:rPr>
                <w:color w:val="FFFFFF"/>
              </w:rPr>
            </w:pPr>
          </w:p>
        </w:tc>
        <w:tc>
          <w:tcPr>
            <w:tcW w:w="1971" w:type="dxa"/>
            <w:shd w:val="clear" w:color="auto" w:fill="016794"/>
            <w:vAlign w:val="center"/>
          </w:tcPr>
          <w:p>
            <w:pPr>
              <w:pStyle w:val="DGTextstand-alone"/>
              <w:spacing w:before="0" w:after="0"/>
              <w:jc w:val="right"/>
              <w:rPr>
                <w:b/>
                <w:color w:val="FFFFFF"/>
              </w:rPr>
            </w:pPr>
            <w:r>
              <w:rPr>
                <w:b/>
                <w:bCs/>
                <w:color w:val="FFFFFF"/>
              </w:rPr>
              <w:t>Общо предоставени</w:t>
            </w:r>
          </w:p>
        </w:tc>
        <w:tc>
          <w:tcPr>
            <w:tcW w:w="1971" w:type="dxa"/>
            <w:shd w:val="clear" w:color="auto" w:fill="016794"/>
            <w:vAlign w:val="center"/>
          </w:tcPr>
          <w:p>
            <w:pPr>
              <w:pStyle w:val="DGTextstand-alone"/>
              <w:spacing w:before="0" w:after="0"/>
              <w:jc w:val="right"/>
              <w:rPr>
                <w:b/>
                <w:color w:val="FFFFFF"/>
              </w:rPr>
            </w:pPr>
            <w:r>
              <w:rPr>
                <w:b/>
                <w:bCs/>
                <w:color w:val="FFFFFF"/>
              </w:rPr>
              <w:t>Общо отпуснати към края на годината</w:t>
            </w:r>
          </w:p>
        </w:tc>
        <w:tc>
          <w:tcPr>
            <w:tcW w:w="1971" w:type="dxa"/>
            <w:shd w:val="clear" w:color="auto" w:fill="016794"/>
            <w:vAlign w:val="center"/>
          </w:tcPr>
          <w:p>
            <w:pPr>
              <w:pStyle w:val="DGTextstand-alone"/>
              <w:spacing w:before="0" w:after="0"/>
              <w:jc w:val="right"/>
              <w:rPr>
                <w:b/>
                <w:color w:val="FFFFFF"/>
              </w:rPr>
            </w:pPr>
            <w:r>
              <w:rPr>
                <w:b/>
                <w:bCs/>
                <w:color w:val="FFFFFF"/>
              </w:rPr>
              <w:t>Общо погасени към края на годината</w:t>
            </w:r>
          </w:p>
        </w:tc>
        <w:tc>
          <w:tcPr>
            <w:tcW w:w="1971" w:type="dxa"/>
            <w:shd w:val="clear" w:color="auto" w:fill="016794"/>
            <w:vAlign w:val="center"/>
          </w:tcPr>
          <w:p>
            <w:pPr>
              <w:pStyle w:val="DGTextstand-alone"/>
              <w:spacing w:before="0" w:after="0"/>
              <w:jc w:val="right"/>
              <w:rPr>
                <w:b/>
                <w:color w:val="FFFFFF"/>
              </w:rPr>
            </w:pPr>
            <w:r>
              <w:rPr>
                <w:b/>
                <w:bCs/>
                <w:color w:val="FFFFFF"/>
              </w:rPr>
              <w:t>Непогасени към края на годината</w:t>
            </w:r>
          </w:p>
        </w:tc>
      </w:tr>
      <w:tr>
        <w:trPr>
          <w:trHeight w:val="255"/>
        </w:trPr>
        <w:tc>
          <w:tcPr>
            <w:tcW w:w="1970" w:type="dxa"/>
            <w:shd w:val="clear" w:color="auto" w:fill="D9D9D9"/>
            <w:vAlign w:val="center"/>
          </w:tcPr>
          <w:p>
            <w:pPr>
              <w:pStyle w:val="DGTextstand-alone"/>
              <w:spacing w:before="0" w:after="0"/>
              <w:jc w:val="left"/>
              <w:rPr>
                <w:b/>
                <w:color w:val="1F497D"/>
              </w:rPr>
            </w:pPr>
            <w:r>
              <w:rPr>
                <w:b/>
                <w:color w:val="1F497D"/>
              </w:rPr>
              <w:t>SURE</w:t>
            </w:r>
          </w:p>
        </w:tc>
        <w:tc>
          <w:tcPr>
            <w:tcW w:w="1971" w:type="dxa"/>
            <w:shd w:val="clear" w:color="auto" w:fill="D9D9D9"/>
            <w:vAlign w:val="center"/>
          </w:tcPr>
          <w:p>
            <w:pPr>
              <w:pStyle w:val="DGTextstand-alone"/>
              <w:spacing w:before="0" w:after="0"/>
              <w:jc w:val="right"/>
              <w:rPr>
                <w:color w:val="1F497D"/>
              </w:rPr>
            </w:pPr>
          </w:p>
        </w:tc>
        <w:tc>
          <w:tcPr>
            <w:tcW w:w="1971" w:type="dxa"/>
            <w:shd w:val="clear" w:color="auto" w:fill="D9D9D9"/>
            <w:vAlign w:val="center"/>
          </w:tcPr>
          <w:p>
            <w:pPr>
              <w:pStyle w:val="DGTextstand-alone"/>
              <w:spacing w:before="0" w:after="0"/>
              <w:jc w:val="right"/>
              <w:rPr>
                <w:color w:val="1F497D"/>
              </w:rPr>
            </w:pPr>
          </w:p>
        </w:tc>
        <w:tc>
          <w:tcPr>
            <w:tcW w:w="1971" w:type="dxa"/>
            <w:shd w:val="clear" w:color="auto" w:fill="D9D9D9"/>
            <w:vAlign w:val="center"/>
          </w:tcPr>
          <w:p>
            <w:pPr>
              <w:pStyle w:val="DGTextstand-alone"/>
              <w:spacing w:before="0" w:after="0"/>
              <w:jc w:val="right"/>
              <w:rPr>
                <w:color w:val="1F497D"/>
              </w:rPr>
            </w:pPr>
          </w:p>
        </w:tc>
        <w:tc>
          <w:tcPr>
            <w:tcW w:w="1971" w:type="dxa"/>
            <w:shd w:val="clear" w:color="auto" w:fill="D9D9D9"/>
            <w:vAlign w:val="center"/>
          </w:tcPr>
          <w:p>
            <w:pPr>
              <w:pStyle w:val="DGTextstand-alone"/>
              <w:spacing w:before="0" w:after="0"/>
              <w:jc w:val="right"/>
              <w:rPr>
                <w:color w:val="1F497D"/>
              </w:rPr>
            </w:pPr>
          </w:p>
        </w:tc>
      </w:tr>
      <w:tr>
        <w:trPr>
          <w:trHeight w:val="255"/>
        </w:trPr>
        <w:tc>
          <w:tcPr>
            <w:tcW w:w="1970" w:type="dxa"/>
            <w:shd w:val="clear" w:color="auto" w:fill="auto"/>
            <w:vAlign w:val="center"/>
          </w:tcPr>
          <w:p>
            <w:pPr>
              <w:pStyle w:val="DGTextstand-alone"/>
              <w:spacing w:before="0" w:after="0"/>
              <w:jc w:val="left"/>
            </w:pPr>
            <w:r>
              <w:t>Белгия</w:t>
            </w:r>
          </w:p>
        </w:tc>
        <w:tc>
          <w:tcPr>
            <w:tcW w:w="1971" w:type="dxa"/>
            <w:shd w:val="clear" w:color="auto" w:fill="auto"/>
            <w:vAlign w:val="center"/>
          </w:tcPr>
          <w:p>
            <w:pPr>
              <w:pStyle w:val="DGTextstand-alone"/>
              <w:spacing w:before="0" w:after="0"/>
              <w:jc w:val="right"/>
            </w:pPr>
            <w:r>
              <w:t>7,8</w:t>
            </w:r>
          </w:p>
        </w:tc>
        <w:tc>
          <w:tcPr>
            <w:tcW w:w="1971" w:type="dxa"/>
            <w:shd w:val="clear" w:color="auto" w:fill="auto"/>
            <w:vAlign w:val="center"/>
          </w:tcPr>
          <w:p>
            <w:pPr>
              <w:pStyle w:val="DGTextstand-alone"/>
              <w:spacing w:before="0" w:after="0"/>
              <w:jc w:val="right"/>
            </w:pPr>
            <w:r>
              <w:t>2,0</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2,0</w:t>
            </w:r>
          </w:p>
        </w:tc>
      </w:tr>
      <w:tr>
        <w:trPr>
          <w:trHeight w:val="255"/>
        </w:trPr>
        <w:tc>
          <w:tcPr>
            <w:tcW w:w="1970" w:type="dxa"/>
            <w:shd w:val="clear" w:color="auto" w:fill="auto"/>
            <w:vAlign w:val="center"/>
          </w:tcPr>
          <w:p>
            <w:pPr>
              <w:pStyle w:val="DGTextstand-alone"/>
              <w:spacing w:before="0" w:after="0"/>
              <w:jc w:val="left"/>
            </w:pPr>
            <w:r>
              <w:t>България</w:t>
            </w:r>
          </w:p>
        </w:tc>
        <w:tc>
          <w:tcPr>
            <w:tcW w:w="1971" w:type="dxa"/>
            <w:shd w:val="clear" w:color="auto" w:fill="auto"/>
            <w:vAlign w:val="center"/>
          </w:tcPr>
          <w:p>
            <w:pPr>
              <w:pStyle w:val="DGTextstand-alone"/>
              <w:spacing w:before="0" w:after="0"/>
              <w:jc w:val="right"/>
            </w:pPr>
            <w:r>
              <w:t>0,5</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w:t>
            </w:r>
          </w:p>
        </w:tc>
      </w:tr>
      <w:tr>
        <w:trPr>
          <w:trHeight w:val="255"/>
        </w:trPr>
        <w:tc>
          <w:tcPr>
            <w:tcW w:w="1970" w:type="dxa"/>
            <w:shd w:val="clear" w:color="auto" w:fill="auto"/>
            <w:vAlign w:val="center"/>
          </w:tcPr>
          <w:p>
            <w:pPr>
              <w:pStyle w:val="DGTextstand-alone"/>
              <w:spacing w:before="0" w:after="0"/>
              <w:jc w:val="left"/>
            </w:pPr>
            <w:r>
              <w:t>Хърватия</w:t>
            </w:r>
          </w:p>
        </w:tc>
        <w:tc>
          <w:tcPr>
            <w:tcW w:w="1971" w:type="dxa"/>
            <w:shd w:val="clear" w:color="auto" w:fill="auto"/>
            <w:vAlign w:val="center"/>
          </w:tcPr>
          <w:p>
            <w:pPr>
              <w:pStyle w:val="DGTextstand-alone"/>
              <w:spacing w:before="0" w:after="0"/>
              <w:jc w:val="right"/>
            </w:pPr>
            <w:r>
              <w:t>1,0</w:t>
            </w:r>
          </w:p>
        </w:tc>
        <w:tc>
          <w:tcPr>
            <w:tcW w:w="1971" w:type="dxa"/>
            <w:shd w:val="clear" w:color="auto" w:fill="auto"/>
            <w:vAlign w:val="center"/>
          </w:tcPr>
          <w:p>
            <w:pPr>
              <w:pStyle w:val="DGTextstand-alone"/>
              <w:spacing w:before="0" w:after="0"/>
              <w:jc w:val="right"/>
            </w:pPr>
            <w:r>
              <w:t>0,5</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0,5</w:t>
            </w:r>
          </w:p>
        </w:tc>
      </w:tr>
      <w:tr>
        <w:trPr>
          <w:trHeight w:val="255"/>
        </w:trPr>
        <w:tc>
          <w:tcPr>
            <w:tcW w:w="1970" w:type="dxa"/>
            <w:shd w:val="clear" w:color="auto" w:fill="auto"/>
            <w:vAlign w:val="center"/>
          </w:tcPr>
          <w:p>
            <w:pPr>
              <w:pStyle w:val="DGTextstand-alone"/>
              <w:spacing w:before="0" w:after="0"/>
              <w:jc w:val="left"/>
            </w:pPr>
            <w:r>
              <w:t>Кипър</w:t>
            </w:r>
          </w:p>
        </w:tc>
        <w:tc>
          <w:tcPr>
            <w:tcW w:w="1971" w:type="dxa"/>
            <w:shd w:val="clear" w:color="auto" w:fill="auto"/>
            <w:vAlign w:val="center"/>
          </w:tcPr>
          <w:p>
            <w:pPr>
              <w:pStyle w:val="DGTextstand-alone"/>
              <w:spacing w:before="0" w:after="0"/>
              <w:jc w:val="right"/>
            </w:pPr>
            <w:r>
              <w:t>0,5</w:t>
            </w:r>
          </w:p>
        </w:tc>
        <w:tc>
          <w:tcPr>
            <w:tcW w:w="1971" w:type="dxa"/>
            <w:shd w:val="clear" w:color="auto" w:fill="auto"/>
            <w:vAlign w:val="center"/>
          </w:tcPr>
          <w:p>
            <w:pPr>
              <w:pStyle w:val="DGTextstand-alone"/>
              <w:spacing w:before="0" w:after="0"/>
              <w:jc w:val="right"/>
            </w:pPr>
            <w:r>
              <w:t>0,3</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0,3</w:t>
            </w:r>
          </w:p>
        </w:tc>
      </w:tr>
      <w:tr>
        <w:trPr>
          <w:trHeight w:val="255"/>
        </w:trPr>
        <w:tc>
          <w:tcPr>
            <w:tcW w:w="1970" w:type="dxa"/>
            <w:shd w:val="clear" w:color="auto" w:fill="auto"/>
            <w:vAlign w:val="center"/>
          </w:tcPr>
          <w:p>
            <w:pPr>
              <w:pStyle w:val="DGTextstand-alone"/>
              <w:spacing w:before="0" w:after="0"/>
              <w:jc w:val="left"/>
            </w:pPr>
            <w:r>
              <w:t>Чехия</w:t>
            </w:r>
          </w:p>
        </w:tc>
        <w:tc>
          <w:tcPr>
            <w:tcW w:w="1971" w:type="dxa"/>
            <w:shd w:val="clear" w:color="auto" w:fill="auto"/>
            <w:vAlign w:val="center"/>
          </w:tcPr>
          <w:p>
            <w:pPr>
              <w:pStyle w:val="DGTextstand-alone"/>
              <w:spacing w:before="0" w:after="0"/>
              <w:jc w:val="right"/>
            </w:pPr>
            <w:r>
              <w:t>2,0</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w:t>
            </w:r>
          </w:p>
        </w:tc>
      </w:tr>
      <w:tr>
        <w:trPr>
          <w:trHeight w:val="255"/>
        </w:trPr>
        <w:tc>
          <w:tcPr>
            <w:tcW w:w="1970" w:type="dxa"/>
            <w:shd w:val="clear" w:color="auto" w:fill="auto"/>
            <w:vAlign w:val="center"/>
          </w:tcPr>
          <w:p>
            <w:pPr>
              <w:pStyle w:val="DGTextstand-alone"/>
              <w:spacing w:before="0" w:after="0"/>
              <w:jc w:val="left"/>
            </w:pPr>
            <w:r>
              <w:t>Гърция</w:t>
            </w:r>
          </w:p>
        </w:tc>
        <w:tc>
          <w:tcPr>
            <w:tcW w:w="1971" w:type="dxa"/>
            <w:shd w:val="clear" w:color="auto" w:fill="auto"/>
            <w:vAlign w:val="center"/>
          </w:tcPr>
          <w:p>
            <w:pPr>
              <w:pStyle w:val="DGTextstand-alone"/>
              <w:spacing w:before="0" w:after="0"/>
              <w:jc w:val="right"/>
            </w:pPr>
            <w:r>
              <w:t>2,7</w:t>
            </w:r>
          </w:p>
        </w:tc>
        <w:tc>
          <w:tcPr>
            <w:tcW w:w="1971" w:type="dxa"/>
            <w:shd w:val="clear" w:color="auto" w:fill="auto"/>
            <w:vAlign w:val="center"/>
          </w:tcPr>
          <w:p>
            <w:pPr>
              <w:pStyle w:val="DGTextstand-alone"/>
              <w:spacing w:before="0" w:after="0"/>
              <w:jc w:val="right"/>
            </w:pPr>
            <w:r>
              <w:t>2,0</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2,0</w:t>
            </w:r>
          </w:p>
        </w:tc>
      </w:tr>
      <w:tr>
        <w:trPr>
          <w:trHeight w:val="255"/>
        </w:trPr>
        <w:tc>
          <w:tcPr>
            <w:tcW w:w="1970" w:type="dxa"/>
            <w:shd w:val="clear" w:color="auto" w:fill="auto"/>
            <w:vAlign w:val="center"/>
          </w:tcPr>
          <w:p>
            <w:pPr>
              <w:pStyle w:val="DGTextstand-alone"/>
              <w:spacing w:before="0" w:after="0"/>
              <w:jc w:val="left"/>
            </w:pPr>
            <w:r>
              <w:t>Унгария</w:t>
            </w:r>
          </w:p>
        </w:tc>
        <w:tc>
          <w:tcPr>
            <w:tcW w:w="1971" w:type="dxa"/>
            <w:shd w:val="clear" w:color="auto" w:fill="auto"/>
            <w:vAlign w:val="center"/>
          </w:tcPr>
          <w:p>
            <w:pPr>
              <w:pStyle w:val="DGTextstand-alone"/>
              <w:spacing w:before="0" w:after="0"/>
              <w:jc w:val="right"/>
            </w:pPr>
            <w:r>
              <w:t>0,5</w:t>
            </w:r>
          </w:p>
        </w:tc>
        <w:tc>
          <w:tcPr>
            <w:tcW w:w="1971" w:type="dxa"/>
            <w:shd w:val="clear" w:color="auto" w:fill="auto"/>
            <w:vAlign w:val="center"/>
          </w:tcPr>
          <w:p>
            <w:pPr>
              <w:pStyle w:val="DGTextstand-alone"/>
              <w:spacing w:before="0" w:after="0"/>
              <w:jc w:val="right"/>
            </w:pPr>
            <w:r>
              <w:t>0,2</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0,2</w:t>
            </w:r>
          </w:p>
        </w:tc>
      </w:tr>
      <w:tr>
        <w:trPr>
          <w:trHeight w:val="255"/>
        </w:trPr>
        <w:tc>
          <w:tcPr>
            <w:tcW w:w="1970" w:type="dxa"/>
            <w:shd w:val="clear" w:color="auto" w:fill="auto"/>
            <w:vAlign w:val="center"/>
          </w:tcPr>
          <w:p>
            <w:pPr>
              <w:pStyle w:val="DGTextstand-alone"/>
              <w:spacing w:before="0" w:after="0"/>
              <w:jc w:val="left"/>
            </w:pPr>
            <w:r>
              <w:t>Ирландия</w:t>
            </w:r>
          </w:p>
        </w:tc>
        <w:tc>
          <w:tcPr>
            <w:tcW w:w="1971" w:type="dxa"/>
            <w:shd w:val="clear" w:color="auto" w:fill="auto"/>
            <w:vAlign w:val="center"/>
          </w:tcPr>
          <w:p>
            <w:pPr>
              <w:pStyle w:val="DGTextstand-alone"/>
              <w:spacing w:before="0" w:after="0"/>
              <w:jc w:val="right"/>
            </w:pPr>
            <w:r>
              <w:t>2,5</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w:t>
            </w:r>
          </w:p>
        </w:tc>
      </w:tr>
      <w:tr>
        <w:trPr>
          <w:trHeight w:val="255"/>
        </w:trPr>
        <w:tc>
          <w:tcPr>
            <w:tcW w:w="1970" w:type="dxa"/>
            <w:shd w:val="clear" w:color="auto" w:fill="auto"/>
            <w:vAlign w:val="center"/>
          </w:tcPr>
          <w:p>
            <w:pPr>
              <w:pStyle w:val="DGTextstand-alone"/>
              <w:spacing w:before="0" w:after="0"/>
              <w:jc w:val="left"/>
            </w:pPr>
            <w:r>
              <w:t>Италия</w:t>
            </w:r>
          </w:p>
        </w:tc>
        <w:tc>
          <w:tcPr>
            <w:tcW w:w="1971" w:type="dxa"/>
            <w:shd w:val="clear" w:color="auto" w:fill="auto"/>
            <w:vAlign w:val="center"/>
          </w:tcPr>
          <w:p>
            <w:pPr>
              <w:pStyle w:val="DGTextstand-alone"/>
              <w:spacing w:before="0" w:after="0"/>
              <w:jc w:val="right"/>
            </w:pPr>
            <w:r>
              <w:t>27,4</w:t>
            </w:r>
          </w:p>
        </w:tc>
        <w:tc>
          <w:tcPr>
            <w:tcW w:w="1971" w:type="dxa"/>
            <w:shd w:val="clear" w:color="auto" w:fill="auto"/>
            <w:vAlign w:val="center"/>
          </w:tcPr>
          <w:p>
            <w:pPr>
              <w:pStyle w:val="DGTextstand-alone"/>
              <w:spacing w:before="0" w:after="0"/>
              <w:jc w:val="right"/>
            </w:pPr>
            <w:r>
              <w:t>16,5</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16,5</w:t>
            </w:r>
          </w:p>
        </w:tc>
      </w:tr>
      <w:tr>
        <w:trPr>
          <w:trHeight w:val="255"/>
        </w:trPr>
        <w:tc>
          <w:tcPr>
            <w:tcW w:w="1970" w:type="dxa"/>
            <w:shd w:val="clear" w:color="auto" w:fill="auto"/>
            <w:vAlign w:val="center"/>
          </w:tcPr>
          <w:p>
            <w:pPr>
              <w:pStyle w:val="DGTextstand-alone"/>
              <w:spacing w:before="0" w:after="0"/>
              <w:jc w:val="left"/>
            </w:pPr>
            <w:r>
              <w:t>Латвия</w:t>
            </w:r>
          </w:p>
        </w:tc>
        <w:tc>
          <w:tcPr>
            <w:tcW w:w="1971" w:type="dxa"/>
            <w:shd w:val="clear" w:color="auto" w:fill="auto"/>
            <w:vAlign w:val="center"/>
          </w:tcPr>
          <w:p>
            <w:pPr>
              <w:pStyle w:val="DGTextstand-alone"/>
              <w:spacing w:before="0" w:after="0"/>
              <w:jc w:val="right"/>
            </w:pPr>
            <w:r>
              <w:t>0,2</w:t>
            </w:r>
          </w:p>
        </w:tc>
        <w:tc>
          <w:tcPr>
            <w:tcW w:w="1971" w:type="dxa"/>
            <w:shd w:val="clear" w:color="auto" w:fill="auto"/>
            <w:vAlign w:val="center"/>
          </w:tcPr>
          <w:p>
            <w:pPr>
              <w:pStyle w:val="DGTextstand-alone"/>
              <w:spacing w:before="0" w:after="0"/>
              <w:jc w:val="right"/>
            </w:pPr>
            <w:r>
              <w:t>0,1</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0,1</w:t>
            </w:r>
          </w:p>
        </w:tc>
      </w:tr>
      <w:tr>
        <w:trPr>
          <w:trHeight w:val="255"/>
        </w:trPr>
        <w:tc>
          <w:tcPr>
            <w:tcW w:w="1970" w:type="dxa"/>
            <w:shd w:val="clear" w:color="auto" w:fill="auto"/>
            <w:vAlign w:val="center"/>
          </w:tcPr>
          <w:p>
            <w:pPr>
              <w:pStyle w:val="DGTextstand-alone"/>
              <w:spacing w:before="0" w:after="0"/>
              <w:jc w:val="left"/>
            </w:pPr>
            <w:r>
              <w:t>Литва</w:t>
            </w:r>
          </w:p>
        </w:tc>
        <w:tc>
          <w:tcPr>
            <w:tcW w:w="1971" w:type="dxa"/>
            <w:shd w:val="clear" w:color="auto" w:fill="auto"/>
            <w:vAlign w:val="center"/>
          </w:tcPr>
          <w:p>
            <w:pPr>
              <w:pStyle w:val="DGTextstand-alone"/>
              <w:spacing w:before="0" w:after="0"/>
              <w:jc w:val="right"/>
            </w:pPr>
            <w:r>
              <w:t>0,6</w:t>
            </w:r>
          </w:p>
        </w:tc>
        <w:tc>
          <w:tcPr>
            <w:tcW w:w="1971" w:type="dxa"/>
            <w:shd w:val="clear" w:color="auto" w:fill="auto"/>
            <w:vAlign w:val="center"/>
          </w:tcPr>
          <w:p>
            <w:pPr>
              <w:pStyle w:val="DGTextstand-alone"/>
              <w:spacing w:before="0" w:after="0"/>
              <w:jc w:val="right"/>
            </w:pPr>
            <w:r>
              <w:t>0,3</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0,3</w:t>
            </w:r>
          </w:p>
        </w:tc>
      </w:tr>
      <w:tr>
        <w:trPr>
          <w:trHeight w:val="255"/>
        </w:trPr>
        <w:tc>
          <w:tcPr>
            <w:tcW w:w="1970" w:type="dxa"/>
            <w:shd w:val="clear" w:color="auto" w:fill="auto"/>
            <w:vAlign w:val="center"/>
          </w:tcPr>
          <w:p>
            <w:pPr>
              <w:pStyle w:val="DGTextstand-alone"/>
              <w:spacing w:before="0" w:after="0"/>
              <w:jc w:val="left"/>
            </w:pPr>
            <w:r>
              <w:t>Малта</w:t>
            </w:r>
          </w:p>
        </w:tc>
        <w:tc>
          <w:tcPr>
            <w:tcW w:w="1971" w:type="dxa"/>
            <w:shd w:val="clear" w:color="auto" w:fill="auto"/>
            <w:vAlign w:val="center"/>
          </w:tcPr>
          <w:p>
            <w:pPr>
              <w:pStyle w:val="DGTextstand-alone"/>
              <w:spacing w:before="0" w:after="0"/>
              <w:jc w:val="right"/>
            </w:pPr>
            <w:r>
              <w:t>0,2</w:t>
            </w:r>
          </w:p>
        </w:tc>
        <w:tc>
          <w:tcPr>
            <w:tcW w:w="1971" w:type="dxa"/>
            <w:shd w:val="clear" w:color="auto" w:fill="auto"/>
            <w:vAlign w:val="center"/>
          </w:tcPr>
          <w:p>
            <w:pPr>
              <w:pStyle w:val="DGTextstand-alone"/>
              <w:spacing w:before="0" w:after="0"/>
              <w:jc w:val="right"/>
            </w:pPr>
            <w:r>
              <w:t>0,1</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0,1</w:t>
            </w:r>
          </w:p>
        </w:tc>
      </w:tr>
      <w:tr>
        <w:trPr>
          <w:trHeight w:val="255"/>
        </w:trPr>
        <w:tc>
          <w:tcPr>
            <w:tcW w:w="1970" w:type="dxa"/>
            <w:shd w:val="clear" w:color="auto" w:fill="auto"/>
            <w:vAlign w:val="center"/>
          </w:tcPr>
          <w:p>
            <w:pPr>
              <w:pStyle w:val="DGTextstand-alone"/>
              <w:spacing w:before="0" w:after="0"/>
              <w:jc w:val="left"/>
            </w:pPr>
            <w:r>
              <w:t>Полша</w:t>
            </w:r>
          </w:p>
        </w:tc>
        <w:tc>
          <w:tcPr>
            <w:tcW w:w="1971" w:type="dxa"/>
            <w:shd w:val="clear" w:color="auto" w:fill="auto"/>
            <w:vAlign w:val="center"/>
          </w:tcPr>
          <w:p>
            <w:pPr>
              <w:pStyle w:val="DGTextstand-alone"/>
              <w:spacing w:before="0" w:after="0"/>
              <w:jc w:val="right"/>
            </w:pPr>
            <w:r>
              <w:t>11,2</w:t>
            </w:r>
          </w:p>
        </w:tc>
        <w:tc>
          <w:tcPr>
            <w:tcW w:w="1971" w:type="dxa"/>
            <w:shd w:val="clear" w:color="auto" w:fill="auto"/>
            <w:vAlign w:val="center"/>
          </w:tcPr>
          <w:p>
            <w:pPr>
              <w:pStyle w:val="DGTextstand-alone"/>
              <w:spacing w:before="0" w:after="0"/>
              <w:jc w:val="right"/>
            </w:pPr>
            <w:r>
              <w:t>1,0</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1,0</w:t>
            </w:r>
          </w:p>
        </w:tc>
      </w:tr>
      <w:tr>
        <w:trPr>
          <w:trHeight w:val="255"/>
        </w:trPr>
        <w:tc>
          <w:tcPr>
            <w:tcW w:w="1970" w:type="dxa"/>
            <w:shd w:val="clear" w:color="auto" w:fill="auto"/>
            <w:vAlign w:val="center"/>
          </w:tcPr>
          <w:p>
            <w:pPr>
              <w:pStyle w:val="DGTextstand-alone"/>
              <w:spacing w:before="0" w:after="0"/>
              <w:jc w:val="left"/>
            </w:pPr>
            <w:r>
              <w:t>Португалия</w:t>
            </w:r>
          </w:p>
        </w:tc>
        <w:tc>
          <w:tcPr>
            <w:tcW w:w="1971" w:type="dxa"/>
            <w:shd w:val="clear" w:color="auto" w:fill="auto"/>
            <w:vAlign w:val="center"/>
          </w:tcPr>
          <w:p>
            <w:pPr>
              <w:pStyle w:val="DGTextstand-alone"/>
              <w:spacing w:before="0" w:after="0"/>
              <w:jc w:val="right"/>
            </w:pPr>
            <w:r>
              <w:t>5,9</w:t>
            </w:r>
          </w:p>
        </w:tc>
        <w:tc>
          <w:tcPr>
            <w:tcW w:w="1971" w:type="dxa"/>
            <w:shd w:val="clear" w:color="auto" w:fill="auto"/>
            <w:vAlign w:val="center"/>
          </w:tcPr>
          <w:p>
            <w:pPr>
              <w:pStyle w:val="DGTextstand-alone"/>
              <w:spacing w:before="0" w:after="0"/>
              <w:jc w:val="right"/>
            </w:pPr>
            <w:r>
              <w:t>3,0</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3,0</w:t>
            </w:r>
          </w:p>
        </w:tc>
      </w:tr>
      <w:tr>
        <w:trPr>
          <w:trHeight w:val="255"/>
        </w:trPr>
        <w:tc>
          <w:tcPr>
            <w:tcW w:w="1970" w:type="dxa"/>
            <w:shd w:val="clear" w:color="auto" w:fill="auto"/>
            <w:vAlign w:val="center"/>
          </w:tcPr>
          <w:p>
            <w:pPr>
              <w:pStyle w:val="DGTextstand-alone"/>
              <w:spacing w:before="0" w:after="0"/>
              <w:jc w:val="left"/>
            </w:pPr>
            <w:r>
              <w:t>Румъния</w:t>
            </w:r>
          </w:p>
        </w:tc>
        <w:tc>
          <w:tcPr>
            <w:tcW w:w="1971" w:type="dxa"/>
            <w:shd w:val="clear" w:color="auto" w:fill="auto"/>
            <w:vAlign w:val="center"/>
          </w:tcPr>
          <w:p>
            <w:pPr>
              <w:pStyle w:val="DGTextstand-alone"/>
              <w:spacing w:before="0" w:after="0"/>
              <w:jc w:val="right"/>
            </w:pPr>
            <w:r>
              <w:t>4,1</w:t>
            </w:r>
          </w:p>
        </w:tc>
        <w:tc>
          <w:tcPr>
            <w:tcW w:w="1971" w:type="dxa"/>
            <w:shd w:val="clear" w:color="auto" w:fill="auto"/>
            <w:vAlign w:val="center"/>
          </w:tcPr>
          <w:p>
            <w:pPr>
              <w:pStyle w:val="DGTextstand-alone"/>
              <w:spacing w:before="0" w:after="0"/>
              <w:jc w:val="right"/>
            </w:pPr>
            <w:r>
              <w:t>3,0</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3,0</w:t>
            </w:r>
          </w:p>
        </w:tc>
      </w:tr>
      <w:tr>
        <w:trPr>
          <w:trHeight w:val="255"/>
        </w:trPr>
        <w:tc>
          <w:tcPr>
            <w:tcW w:w="1970" w:type="dxa"/>
            <w:shd w:val="clear" w:color="auto" w:fill="auto"/>
            <w:vAlign w:val="center"/>
          </w:tcPr>
          <w:p>
            <w:pPr>
              <w:pStyle w:val="DGTextstand-alone"/>
              <w:spacing w:before="0" w:after="0"/>
              <w:jc w:val="left"/>
            </w:pPr>
            <w:r>
              <w:t>Словакия</w:t>
            </w:r>
          </w:p>
        </w:tc>
        <w:tc>
          <w:tcPr>
            <w:tcW w:w="1971" w:type="dxa"/>
            <w:shd w:val="clear" w:color="auto" w:fill="auto"/>
            <w:vAlign w:val="center"/>
          </w:tcPr>
          <w:p>
            <w:pPr>
              <w:pStyle w:val="DGTextstand-alone"/>
              <w:spacing w:before="0" w:after="0"/>
              <w:jc w:val="right"/>
            </w:pPr>
            <w:r>
              <w:t>0,6</w:t>
            </w:r>
          </w:p>
        </w:tc>
        <w:tc>
          <w:tcPr>
            <w:tcW w:w="1971" w:type="dxa"/>
            <w:shd w:val="clear" w:color="auto" w:fill="auto"/>
            <w:vAlign w:val="center"/>
          </w:tcPr>
          <w:p>
            <w:pPr>
              <w:pStyle w:val="DGTextstand-alone"/>
              <w:spacing w:before="0" w:after="0"/>
              <w:jc w:val="right"/>
            </w:pPr>
            <w:r>
              <w:t>0,3</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0,3</w:t>
            </w:r>
          </w:p>
        </w:tc>
      </w:tr>
      <w:tr>
        <w:trPr>
          <w:trHeight w:val="255"/>
        </w:trPr>
        <w:tc>
          <w:tcPr>
            <w:tcW w:w="1970" w:type="dxa"/>
            <w:shd w:val="clear" w:color="auto" w:fill="auto"/>
            <w:vAlign w:val="center"/>
          </w:tcPr>
          <w:p>
            <w:pPr>
              <w:pStyle w:val="DGTextstand-alone"/>
              <w:spacing w:before="0" w:after="0"/>
              <w:jc w:val="left"/>
            </w:pPr>
            <w:r>
              <w:t>Словения</w:t>
            </w:r>
          </w:p>
        </w:tc>
        <w:tc>
          <w:tcPr>
            <w:tcW w:w="1971" w:type="dxa"/>
            <w:shd w:val="clear" w:color="auto" w:fill="auto"/>
            <w:vAlign w:val="center"/>
          </w:tcPr>
          <w:p>
            <w:pPr>
              <w:pStyle w:val="DGTextstand-alone"/>
              <w:spacing w:before="0" w:after="0"/>
              <w:jc w:val="right"/>
            </w:pPr>
            <w:r>
              <w:t>1,1</w:t>
            </w:r>
          </w:p>
        </w:tc>
        <w:tc>
          <w:tcPr>
            <w:tcW w:w="1971" w:type="dxa"/>
            <w:shd w:val="clear" w:color="auto" w:fill="auto"/>
            <w:vAlign w:val="center"/>
          </w:tcPr>
          <w:p>
            <w:pPr>
              <w:pStyle w:val="DGTextstand-alone"/>
              <w:spacing w:before="0" w:after="0"/>
              <w:jc w:val="right"/>
            </w:pPr>
            <w:r>
              <w:t>0,2</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0,2</w:t>
            </w:r>
          </w:p>
        </w:tc>
      </w:tr>
      <w:tr>
        <w:trPr>
          <w:trHeight w:val="255"/>
        </w:trPr>
        <w:tc>
          <w:tcPr>
            <w:tcW w:w="1970" w:type="dxa"/>
            <w:shd w:val="clear" w:color="auto" w:fill="auto"/>
            <w:vAlign w:val="center"/>
          </w:tcPr>
          <w:p>
            <w:pPr>
              <w:pStyle w:val="DGTextstand-alone"/>
              <w:spacing w:before="0" w:after="0"/>
              <w:jc w:val="left"/>
            </w:pPr>
            <w:r>
              <w:t>Испания</w:t>
            </w:r>
          </w:p>
        </w:tc>
        <w:tc>
          <w:tcPr>
            <w:tcW w:w="1971" w:type="dxa"/>
            <w:shd w:val="clear" w:color="auto" w:fill="auto"/>
            <w:vAlign w:val="center"/>
          </w:tcPr>
          <w:p>
            <w:pPr>
              <w:pStyle w:val="DGTextstand-alone"/>
              <w:spacing w:before="0" w:after="0"/>
              <w:jc w:val="right"/>
            </w:pPr>
            <w:r>
              <w:t>21,3</w:t>
            </w:r>
          </w:p>
        </w:tc>
        <w:tc>
          <w:tcPr>
            <w:tcW w:w="1971" w:type="dxa"/>
            <w:shd w:val="clear" w:color="auto" w:fill="auto"/>
            <w:vAlign w:val="center"/>
          </w:tcPr>
          <w:p>
            <w:pPr>
              <w:pStyle w:val="DGTextstand-alone"/>
              <w:spacing w:before="0" w:after="0"/>
              <w:jc w:val="right"/>
            </w:pPr>
            <w:r>
              <w:t>10,0</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10,0</w:t>
            </w:r>
          </w:p>
        </w:tc>
      </w:tr>
      <w:tr>
        <w:trPr>
          <w:trHeight w:val="255"/>
        </w:trPr>
        <w:tc>
          <w:tcPr>
            <w:tcW w:w="1970" w:type="dxa"/>
            <w:tcBorders>
              <w:top w:val="single" w:sz="4" w:space="0" w:color="016794"/>
              <w:bottom w:val="single" w:sz="4" w:space="0" w:color="016794"/>
            </w:tcBorders>
            <w:shd w:val="clear" w:color="auto" w:fill="auto"/>
            <w:vAlign w:val="center"/>
          </w:tcPr>
          <w:p>
            <w:pPr>
              <w:pStyle w:val="DGTextstand-alone"/>
              <w:spacing w:before="0" w:after="0"/>
              <w:jc w:val="left"/>
              <w:rPr>
                <w:b/>
              </w:rPr>
            </w:pP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90,3</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39,5</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39,5</w:t>
            </w:r>
          </w:p>
        </w:tc>
      </w:tr>
      <w:tr>
        <w:trPr>
          <w:trHeight w:val="255"/>
        </w:trPr>
        <w:tc>
          <w:tcPr>
            <w:tcW w:w="1970" w:type="dxa"/>
            <w:shd w:val="clear" w:color="auto" w:fill="D9D9D9"/>
            <w:vAlign w:val="center"/>
          </w:tcPr>
          <w:p>
            <w:pPr>
              <w:pStyle w:val="DGTextstand-alone"/>
              <w:spacing w:before="0" w:after="0"/>
              <w:jc w:val="left"/>
              <w:rPr>
                <w:b/>
                <w:color w:val="1F497D"/>
              </w:rPr>
            </w:pPr>
            <w:r>
              <w:rPr>
                <w:b/>
                <w:color w:val="1F497D"/>
              </w:rPr>
              <w:t>ЕМФС</w:t>
            </w:r>
          </w:p>
        </w:tc>
        <w:tc>
          <w:tcPr>
            <w:tcW w:w="1971" w:type="dxa"/>
            <w:shd w:val="clear" w:color="auto" w:fill="D9D9D9"/>
            <w:vAlign w:val="center"/>
          </w:tcPr>
          <w:p>
            <w:pPr>
              <w:pStyle w:val="DGTextstand-alone"/>
              <w:spacing w:before="0" w:after="0"/>
              <w:jc w:val="right"/>
              <w:rPr>
                <w:color w:val="1F497D"/>
              </w:rPr>
            </w:pPr>
          </w:p>
        </w:tc>
        <w:tc>
          <w:tcPr>
            <w:tcW w:w="1971" w:type="dxa"/>
            <w:shd w:val="clear" w:color="auto" w:fill="D9D9D9"/>
            <w:vAlign w:val="center"/>
          </w:tcPr>
          <w:p>
            <w:pPr>
              <w:pStyle w:val="DGTextstand-alone"/>
              <w:spacing w:before="0" w:after="0"/>
              <w:jc w:val="right"/>
              <w:rPr>
                <w:color w:val="1F497D"/>
              </w:rPr>
            </w:pPr>
          </w:p>
        </w:tc>
        <w:tc>
          <w:tcPr>
            <w:tcW w:w="1971" w:type="dxa"/>
            <w:shd w:val="clear" w:color="auto" w:fill="D9D9D9"/>
            <w:vAlign w:val="center"/>
          </w:tcPr>
          <w:p>
            <w:pPr>
              <w:pStyle w:val="DGTextstand-alone"/>
              <w:spacing w:before="0" w:after="0"/>
              <w:jc w:val="right"/>
              <w:rPr>
                <w:color w:val="1F497D"/>
              </w:rPr>
            </w:pPr>
          </w:p>
        </w:tc>
        <w:tc>
          <w:tcPr>
            <w:tcW w:w="1971" w:type="dxa"/>
            <w:shd w:val="clear" w:color="auto" w:fill="D9D9D9"/>
            <w:vAlign w:val="center"/>
          </w:tcPr>
          <w:p>
            <w:pPr>
              <w:pStyle w:val="DGTextstand-alone"/>
              <w:spacing w:before="0" w:after="0"/>
              <w:jc w:val="right"/>
              <w:rPr>
                <w:color w:val="1F497D"/>
              </w:rPr>
            </w:pPr>
          </w:p>
        </w:tc>
      </w:tr>
      <w:tr>
        <w:trPr>
          <w:trHeight w:val="255"/>
        </w:trPr>
        <w:tc>
          <w:tcPr>
            <w:tcW w:w="1970" w:type="dxa"/>
            <w:shd w:val="clear" w:color="auto" w:fill="auto"/>
            <w:vAlign w:val="center"/>
          </w:tcPr>
          <w:p>
            <w:pPr>
              <w:pStyle w:val="DGTextstand-alone"/>
              <w:spacing w:before="0" w:after="0"/>
              <w:jc w:val="left"/>
            </w:pPr>
            <w:r>
              <w:t>Ирландия</w:t>
            </w:r>
          </w:p>
        </w:tc>
        <w:tc>
          <w:tcPr>
            <w:tcW w:w="1971" w:type="dxa"/>
            <w:shd w:val="clear" w:color="auto" w:fill="auto"/>
            <w:vAlign w:val="center"/>
          </w:tcPr>
          <w:p>
            <w:pPr>
              <w:pStyle w:val="DGTextstand-alone"/>
              <w:spacing w:before="0" w:after="0"/>
              <w:jc w:val="right"/>
            </w:pPr>
            <w:r>
              <w:t>22,5</w:t>
            </w:r>
          </w:p>
        </w:tc>
        <w:tc>
          <w:tcPr>
            <w:tcW w:w="1971" w:type="dxa"/>
            <w:shd w:val="clear" w:color="auto" w:fill="auto"/>
            <w:vAlign w:val="center"/>
          </w:tcPr>
          <w:p>
            <w:pPr>
              <w:pStyle w:val="DGTextstand-alone"/>
              <w:spacing w:before="0" w:after="0"/>
              <w:jc w:val="right"/>
            </w:pPr>
            <w:r>
              <w:t>22,5</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22,5</w:t>
            </w:r>
          </w:p>
        </w:tc>
      </w:tr>
      <w:tr>
        <w:trPr>
          <w:trHeight w:val="255"/>
        </w:trPr>
        <w:tc>
          <w:tcPr>
            <w:tcW w:w="1970" w:type="dxa"/>
            <w:tcBorders>
              <w:bottom w:val="single" w:sz="4" w:space="0" w:color="016794"/>
            </w:tcBorders>
            <w:shd w:val="clear" w:color="auto" w:fill="auto"/>
            <w:vAlign w:val="center"/>
          </w:tcPr>
          <w:p>
            <w:pPr>
              <w:pStyle w:val="DGTextstand-alone"/>
              <w:spacing w:before="0" w:after="0"/>
              <w:jc w:val="left"/>
            </w:pPr>
            <w:r>
              <w:t>Португалия</w:t>
            </w:r>
          </w:p>
        </w:tc>
        <w:tc>
          <w:tcPr>
            <w:tcW w:w="1971" w:type="dxa"/>
            <w:tcBorders>
              <w:bottom w:val="single" w:sz="4" w:space="0" w:color="016794"/>
            </w:tcBorders>
            <w:shd w:val="clear" w:color="auto" w:fill="auto"/>
            <w:vAlign w:val="center"/>
          </w:tcPr>
          <w:p>
            <w:pPr>
              <w:pStyle w:val="DGTextstand-alone"/>
              <w:spacing w:before="0" w:after="0"/>
              <w:jc w:val="right"/>
            </w:pPr>
            <w:r>
              <w:t>26,0</w:t>
            </w:r>
          </w:p>
        </w:tc>
        <w:tc>
          <w:tcPr>
            <w:tcW w:w="1971" w:type="dxa"/>
            <w:tcBorders>
              <w:bottom w:val="single" w:sz="4" w:space="0" w:color="016794"/>
            </w:tcBorders>
            <w:shd w:val="clear" w:color="auto" w:fill="auto"/>
            <w:vAlign w:val="center"/>
          </w:tcPr>
          <w:p>
            <w:pPr>
              <w:pStyle w:val="DGTextstand-alone"/>
              <w:spacing w:before="0" w:after="0"/>
              <w:jc w:val="right"/>
            </w:pPr>
            <w:r>
              <w:t>24,3</w:t>
            </w:r>
          </w:p>
        </w:tc>
        <w:tc>
          <w:tcPr>
            <w:tcW w:w="1971" w:type="dxa"/>
            <w:tcBorders>
              <w:bottom w:val="single" w:sz="4" w:space="0" w:color="016794"/>
            </w:tcBorders>
            <w:shd w:val="clear" w:color="auto" w:fill="auto"/>
            <w:vAlign w:val="center"/>
          </w:tcPr>
          <w:p>
            <w:pPr>
              <w:pStyle w:val="DGTextstand-alone"/>
              <w:spacing w:before="0" w:after="0"/>
              <w:jc w:val="right"/>
            </w:pPr>
            <w:r>
              <w:t>-</w:t>
            </w:r>
          </w:p>
        </w:tc>
        <w:tc>
          <w:tcPr>
            <w:tcW w:w="1971" w:type="dxa"/>
            <w:tcBorders>
              <w:bottom w:val="single" w:sz="4" w:space="0" w:color="016794"/>
            </w:tcBorders>
            <w:shd w:val="clear" w:color="auto" w:fill="auto"/>
            <w:vAlign w:val="center"/>
          </w:tcPr>
          <w:p>
            <w:pPr>
              <w:pStyle w:val="DGTextstand-alone"/>
              <w:spacing w:before="0" w:after="0"/>
              <w:jc w:val="right"/>
            </w:pPr>
            <w:r>
              <w:t>24,3</w:t>
            </w:r>
          </w:p>
        </w:tc>
      </w:tr>
      <w:tr>
        <w:trPr>
          <w:trHeight w:val="255"/>
        </w:trPr>
        <w:tc>
          <w:tcPr>
            <w:tcW w:w="1970" w:type="dxa"/>
            <w:tcBorders>
              <w:top w:val="single" w:sz="4" w:space="0" w:color="016794"/>
              <w:bottom w:val="single" w:sz="4" w:space="0" w:color="016794"/>
            </w:tcBorders>
            <w:shd w:val="clear" w:color="auto" w:fill="auto"/>
            <w:vAlign w:val="center"/>
          </w:tcPr>
          <w:p>
            <w:pPr>
              <w:pStyle w:val="DGTextstand-alone"/>
              <w:spacing w:before="0" w:after="0"/>
              <w:jc w:val="left"/>
              <w:rPr>
                <w:b/>
              </w:rPr>
            </w:pP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48,5</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46,8</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46,8</w:t>
            </w:r>
          </w:p>
        </w:tc>
      </w:tr>
      <w:tr>
        <w:trPr>
          <w:trHeight w:val="255"/>
        </w:trPr>
        <w:tc>
          <w:tcPr>
            <w:tcW w:w="1970" w:type="dxa"/>
            <w:tcBorders>
              <w:top w:val="single" w:sz="4" w:space="0" w:color="016794"/>
            </w:tcBorders>
            <w:shd w:val="clear" w:color="auto" w:fill="D9D9D9"/>
            <w:vAlign w:val="center"/>
          </w:tcPr>
          <w:p>
            <w:pPr>
              <w:pStyle w:val="DGTextstand-alone"/>
              <w:spacing w:before="0" w:after="0"/>
              <w:jc w:val="left"/>
              <w:rPr>
                <w:b/>
                <w:color w:val="1F497D"/>
              </w:rPr>
            </w:pPr>
            <w:r>
              <w:rPr>
                <w:b/>
                <w:color w:val="1F497D"/>
              </w:rPr>
              <w:t>МФП</w:t>
            </w:r>
          </w:p>
        </w:tc>
        <w:tc>
          <w:tcPr>
            <w:tcW w:w="1971" w:type="dxa"/>
            <w:tcBorders>
              <w:top w:val="single" w:sz="4" w:space="0" w:color="016794"/>
            </w:tcBorders>
            <w:shd w:val="clear" w:color="auto" w:fill="D9D9D9"/>
            <w:vAlign w:val="center"/>
          </w:tcPr>
          <w:p>
            <w:pPr>
              <w:pStyle w:val="DGTextstand-alone"/>
              <w:spacing w:before="0" w:after="0"/>
              <w:jc w:val="right"/>
              <w:rPr>
                <w:color w:val="1F497D"/>
              </w:rPr>
            </w:pPr>
          </w:p>
        </w:tc>
        <w:tc>
          <w:tcPr>
            <w:tcW w:w="1971" w:type="dxa"/>
            <w:tcBorders>
              <w:top w:val="single" w:sz="4" w:space="0" w:color="016794"/>
            </w:tcBorders>
            <w:shd w:val="clear" w:color="auto" w:fill="D9D9D9"/>
            <w:vAlign w:val="center"/>
          </w:tcPr>
          <w:p>
            <w:pPr>
              <w:pStyle w:val="DGTextstand-alone"/>
              <w:spacing w:before="0" w:after="0"/>
              <w:jc w:val="right"/>
              <w:rPr>
                <w:color w:val="1F497D"/>
              </w:rPr>
            </w:pPr>
          </w:p>
        </w:tc>
        <w:tc>
          <w:tcPr>
            <w:tcW w:w="1971" w:type="dxa"/>
            <w:tcBorders>
              <w:top w:val="single" w:sz="4" w:space="0" w:color="016794"/>
            </w:tcBorders>
            <w:shd w:val="clear" w:color="auto" w:fill="D9D9D9"/>
            <w:vAlign w:val="center"/>
          </w:tcPr>
          <w:p>
            <w:pPr>
              <w:pStyle w:val="DGTextstand-alone"/>
              <w:spacing w:before="0" w:after="0"/>
              <w:jc w:val="right"/>
              <w:rPr>
                <w:color w:val="1F497D"/>
              </w:rPr>
            </w:pPr>
          </w:p>
        </w:tc>
        <w:tc>
          <w:tcPr>
            <w:tcW w:w="1971" w:type="dxa"/>
            <w:tcBorders>
              <w:top w:val="single" w:sz="4" w:space="0" w:color="016794"/>
            </w:tcBorders>
            <w:shd w:val="clear" w:color="auto" w:fill="D9D9D9"/>
            <w:vAlign w:val="center"/>
          </w:tcPr>
          <w:p>
            <w:pPr>
              <w:pStyle w:val="DGTextstand-alone"/>
              <w:spacing w:before="0" w:after="0"/>
              <w:jc w:val="right"/>
              <w:rPr>
                <w:color w:val="1F497D"/>
              </w:rPr>
            </w:pPr>
          </w:p>
        </w:tc>
      </w:tr>
      <w:tr>
        <w:trPr>
          <w:trHeight w:val="255"/>
        </w:trPr>
        <w:tc>
          <w:tcPr>
            <w:tcW w:w="1970" w:type="dxa"/>
            <w:shd w:val="clear" w:color="auto" w:fill="auto"/>
            <w:vAlign w:val="center"/>
          </w:tcPr>
          <w:p>
            <w:pPr>
              <w:pStyle w:val="DGTextstand-alone"/>
              <w:spacing w:before="0" w:after="0"/>
              <w:jc w:val="left"/>
            </w:pPr>
            <w:r>
              <w:t>Украйна</w:t>
            </w:r>
          </w:p>
        </w:tc>
        <w:tc>
          <w:tcPr>
            <w:tcW w:w="1971" w:type="dxa"/>
            <w:shd w:val="clear" w:color="auto" w:fill="auto"/>
            <w:vAlign w:val="center"/>
          </w:tcPr>
          <w:p>
            <w:pPr>
              <w:pStyle w:val="DGTextstand-alone"/>
              <w:spacing w:before="0" w:after="0"/>
              <w:jc w:val="right"/>
            </w:pPr>
            <w:r>
              <w:t>5,0</w:t>
            </w:r>
          </w:p>
        </w:tc>
        <w:tc>
          <w:tcPr>
            <w:tcW w:w="1971" w:type="dxa"/>
            <w:shd w:val="clear" w:color="auto" w:fill="auto"/>
            <w:vAlign w:val="center"/>
          </w:tcPr>
          <w:p>
            <w:pPr>
              <w:pStyle w:val="DGTextstand-alone"/>
              <w:spacing w:before="0" w:after="0"/>
              <w:jc w:val="right"/>
            </w:pPr>
            <w:r>
              <w:t>4,4</w:t>
            </w:r>
          </w:p>
        </w:tc>
        <w:tc>
          <w:tcPr>
            <w:tcW w:w="1971" w:type="dxa"/>
            <w:shd w:val="clear" w:color="auto" w:fill="auto"/>
            <w:vAlign w:val="center"/>
          </w:tcPr>
          <w:p>
            <w:pPr>
              <w:pStyle w:val="DGTextstand-alone"/>
              <w:spacing w:before="0" w:after="0"/>
              <w:jc w:val="right"/>
            </w:pPr>
            <w:r>
              <w:t>(0,6)</w:t>
            </w:r>
          </w:p>
        </w:tc>
        <w:tc>
          <w:tcPr>
            <w:tcW w:w="1971" w:type="dxa"/>
            <w:shd w:val="clear" w:color="auto" w:fill="auto"/>
            <w:vAlign w:val="center"/>
          </w:tcPr>
          <w:p>
            <w:pPr>
              <w:pStyle w:val="DGTextstand-alone"/>
              <w:spacing w:before="0" w:after="0"/>
              <w:jc w:val="right"/>
            </w:pPr>
            <w:r>
              <w:t>3,8</w:t>
            </w:r>
          </w:p>
        </w:tc>
      </w:tr>
      <w:tr>
        <w:trPr>
          <w:trHeight w:val="255"/>
        </w:trPr>
        <w:tc>
          <w:tcPr>
            <w:tcW w:w="1970" w:type="dxa"/>
            <w:shd w:val="clear" w:color="auto" w:fill="auto"/>
            <w:vAlign w:val="center"/>
          </w:tcPr>
          <w:p>
            <w:pPr>
              <w:pStyle w:val="DGTextstand-alone"/>
              <w:spacing w:before="0" w:after="0"/>
              <w:jc w:val="left"/>
            </w:pPr>
            <w:r>
              <w:t>Тунис</w:t>
            </w:r>
          </w:p>
        </w:tc>
        <w:tc>
          <w:tcPr>
            <w:tcW w:w="1971" w:type="dxa"/>
            <w:shd w:val="clear" w:color="auto" w:fill="auto"/>
            <w:vAlign w:val="center"/>
          </w:tcPr>
          <w:p>
            <w:pPr>
              <w:pStyle w:val="DGTextstand-alone"/>
              <w:spacing w:before="0" w:after="0"/>
              <w:jc w:val="right"/>
            </w:pPr>
            <w:r>
              <w:t>1,4</w:t>
            </w:r>
          </w:p>
        </w:tc>
        <w:tc>
          <w:tcPr>
            <w:tcW w:w="1971" w:type="dxa"/>
            <w:shd w:val="clear" w:color="auto" w:fill="auto"/>
            <w:vAlign w:val="center"/>
          </w:tcPr>
          <w:p>
            <w:pPr>
              <w:pStyle w:val="DGTextstand-alone"/>
              <w:spacing w:before="0" w:after="0"/>
              <w:jc w:val="right"/>
            </w:pPr>
            <w:r>
              <w:t>0,8</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0,8</w:t>
            </w:r>
          </w:p>
        </w:tc>
      </w:tr>
      <w:tr>
        <w:trPr>
          <w:trHeight w:val="255"/>
        </w:trPr>
        <w:tc>
          <w:tcPr>
            <w:tcW w:w="1970" w:type="dxa"/>
            <w:shd w:val="clear" w:color="auto" w:fill="auto"/>
            <w:vAlign w:val="center"/>
          </w:tcPr>
          <w:p>
            <w:pPr>
              <w:pStyle w:val="DGTextstand-alone"/>
              <w:spacing w:before="0" w:after="0"/>
              <w:jc w:val="left"/>
            </w:pPr>
            <w:r>
              <w:t>Йордания</w:t>
            </w:r>
          </w:p>
        </w:tc>
        <w:tc>
          <w:tcPr>
            <w:tcW w:w="1971" w:type="dxa"/>
            <w:shd w:val="clear" w:color="auto" w:fill="auto"/>
            <w:vAlign w:val="center"/>
          </w:tcPr>
          <w:p>
            <w:pPr>
              <w:pStyle w:val="DGTextstand-alone"/>
              <w:spacing w:before="0" w:after="0"/>
              <w:jc w:val="right"/>
            </w:pPr>
            <w:r>
              <w:t>1,1</w:t>
            </w:r>
          </w:p>
        </w:tc>
        <w:tc>
          <w:tcPr>
            <w:tcW w:w="1971" w:type="dxa"/>
            <w:shd w:val="clear" w:color="auto" w:fill="auto"/>
            <w:vAlign w:val="center"/>
          </w:tcPr>
          <w:p>
            <w:pPr>
              <w:pStyle w:val="DGTextstand-alone"/>
              <w:spacing w:before="0" w:after="0"/>
              <w:jc w:val="right"/>
            </w:pPr>
            <w:r>
              <w:t>0,6</w:t>
            </w:r>
          </w:p>
        </w:tc>
        <w:tc>
          <w:tcPr>
            <w:tcW w:w="1971" w:type="dxa"/>
            <w:shd w:val="clear" w:color="auto" w:fill="auto"/>
            <w:vAlign w:val="center"/>
          </w:tcPr>
          <w:p>
            <w:pPr>
              <w:pStyle w:val="DGTextstand-alone"/>
              <w:spacing w:before="0" w:after="0"/>
              <w:jc w:val="right"/>
            </w:pPr>
            <w:r>
              <w:t>-</w:t>
            </w:r>
          </w:p>
        </w:tc>
        <w:tc>
          <w:tcPr>
            <w:tcW w:w="1971" w:type="dxa"/>
            <w:shd w:val="clear" w:color="auto" w:fill="auto"/>
            <w:vAlign w:val="center"/>
          </w:tcPr>
          <w:p>
            <w:pPr>
              <w:pStyle w:val="DGTextstand-alone"/>
              <w:spacing w:before="0" w:after="0"/>
              <w:jc w:val="right"/>
            </w:pPr>
            <w:r>
              <w:t>0,6</w:t>
            </w:r>
          </w:p>
        </w:tc>
      </w:tr>
      <w:tr>
        <w:trPr>
          <w:trHeight w:val="255"/>
        </w:trPr>
        <w:tc>
          <w:tcPr>
            <w:tcW w:w="1970" w:type="dxa"/>
            <w:tcBorders>
              <w:bottom w:val="single" w:sz="4" w:space="0" w:color="016794"/>
            </w:tcBorders>
            <w:shd w:val="clear" w:color="auto" w:fill="auto"/>
            <w:vAlign w:val="center"/>
          </w:tcPr>
          <w:p>
            <w:pPr>
              <w:pStyle w:val="DGTextstand-alone"/>
              <w:spacing w:before="0" w:after="0"/>
              <w:jc w:val="left"/>
            </w:pPr>
            <w:r>
              <w:t>Други</w:t>
            </w:r>
          </w:p>
        </w:tc>
        <w:tc>
          <w:tcPr>
            <w:tcW w:w="1971" w:type="dxa"/>
            <w:tcBorders>
              <w:bottom w:val="single" w:sz="4" w:space="0" w:color="016794"/>
            </w:tcBorders>
            <w:shd w:val="clear" w:color="auto" w:fill="auto"/>
            <w:vAlign w:val="center"/>
          </w:tcPr>
          <w:p>
            <w:pPr>
              <w:pStyle w:val="DGTextstand-alone"/>
              <w:spacing w:before="0" w:after="0"/>
              <w:jc w:val="right"/>
            </w:pPr>
            <w:r>
              <w:t>1,5</w:t>
            </w:r>
          </w:p>
        </w:tc>
        <w:tc>
          <w:tcPr>
            <w:tcW w:w="1971" w:type="dxa"/>
            <w:tcBorders>
              <w:bottom w:val="single" w:sz="4" w:space="0" w:color="016794"/>
            </w:tcBorders>
            <w:shd w:val="clear" w:color="auto" w:fill="auto"/>
            <w:vAlign w:val="center"/>
          </w:tcPr>
          <w:p>
            <w:pPr>
              <w:pStyle w:val="DGTextstand-alone"/>
              <w:spacing w:before="0" w:after="0"/>
              <w:jc w:val="right"/>
            </w:pPr>
            <w:r>
              <w:t>0,8</w:t>
            </w:r>
          </w:p>
        </w:tc>
        <w:tc>
          <w:tcPr>
            <w:tcW w:w="1971" w:type="dxa"/>
            <w:tcBorders>
              <w:bottom w:val="single" w:sz="4" w:space="0" w:color="016794"/>
            </w:tcBorders>
            <w:shd w:val="clear" w:color="auto" w:fill="auto"/>
            <w:vAlign w:val="center"/>
          </w:tcPr>
          <w:p>
            <w:pPr>
              <w:pStyle w:val="DGTextstand-alone"/>
              <w:spacing w:before="0" w:after="0"/>
              <w:jc w:val="right"/>
            </w:pPr>
            <w:r>
              <w:t>(0,2)</w:t>
            </w:r>
          </w:p>
        </w:tc>
        <w:tc>
          <w:tcPr>
            <w:tcW w:w="1971" w:type="dxa"/>
            <w:tcBorders>
              <w:bottom w:val="single" w:sz="4" w:space="0" w:color="016794"/>
            </w:tcBorders>
            <w:shd w:val="clear" w:color="auto" w:fill="auto"/>
            <w:vAlign w:val="center"/>
          </w:tcPr>
          <w:p>
            <w:pPr>
              <w:pStyle w:val="DGTextstand-alone"/>
              <w:spacing w:before="0" w:after="0"/>
              <w:jc w:val="right"/>
            </w:pPr>
            <w:r>
              <w:t>0,6</w:t>
            </w:r>
          </w:p>
        </w:tc>
      </w:tr>
      <w:tr>
        <w:trPr>
          <w:trHeight w:val="255"/>
        </w:trPr>
        <w:tc>
          <w:tcPr>
            <w:tcW w:w="1970" w:type="dxa"/>
            <w:tcBorders>
              <w:top w:val="single" w:sz="4" w:space="0" w:color="016794"/>
              <w:bottom w:val="single" w:sz="4" w:space="0" w:color="016794"/>
            </w:tcBorders>
            <w:shd w:val="clear" w:color="auto" w:fill="auto"/>
            <w:vAlign w:val="center"/>
          </w:tcPr>
          <w:p>
            <w:pPr>
              <w:pStyle w:val="DGTextstand-alone"/>
              <w:spacing w:before="0" w:after="0"/>
              <w:jc w:val="left"/>
              <w:rPr>
                <w:b/>
              </w:rPr>
            </w:pP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9,0</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6,6</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(0,8)</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5,8</w:t>
            </w:r>
          </w:p>
        </w:tc>
      </w:tr>
      <w:tr>
        <w:trPr>
          <w:trHeight w:val="255"/>
        </w:trPr>
        <w:tc>
          <w:tcPr>
            <w:tcW w:w="1970" w:type="dxa"/>
            <w:shd w:val="clear" w:color="auto" w:fill="D9D9D9"/>
            <w:vAlign w:val="center"/>
          </w:tcPr>
          <w:p>
            <w:pPr>
              <w:pStyle w:val="DGTextstand-alone"/>
              <w:spacing w:before="0" w:after="0"/>
              <w:jc w:val="left"/>
              <w:rPr>
                <w:b/>
                <w:color w:val="1F497D"/>
              </w:rPr>
            </w:pPr>
            <w:r>
              <w:rPr>
                <w:b/>
                <w:color w:val="1F497D"/>
              </w:rPr>
              <w:t>ПБ</w:t>
            </w:r>
          </w:p>
        </w:tc>
        <w:tc>
          <w:tcPr>
            <w:tcW w:w="1971" w:type="dxa"/>
            <w:shd w:val="clear" w:color="auto" w:fill="D9D9D9"/>
            <w:vAlign w:val="center"/>
          </w:tcPr>
          <w:p>
            <w:pPr>
              <w:pStyle w:val="DGTextstand-alone"/>
              <w:spacing w:before="0" w:after="0"/>
              <w:jc w:val="right"/>
              <w:rPr>
                <w:color w:val="1F497D"/>
              </w:rPr>
            </w:pPr>
          </w:p>
        </w:tc>
        <w:tc>
          <w:tcPr>
            <w:tcW w:w="1971" w:type="dxa"/>
            <w:shd w:val="clear" w:color="auto" w:fill="D9D9D9"/>
            <w:vAlign w:val="center"/>
          </w:tcPr>
          <w:p>
            <w:pPr>
              <w:pStyle w:val="DGTextstand-alone"/>
              <w:spacing w:before="0" w:after="0"/>
              <w:jc w:val="right"/>
              <w:rPr>
                <w:color w:val="1F497D"/>
              </w:rPr>
            </w:pPr>
          </w:p>
        </w:tc>
        <w:tc>
          <w:tcPr>
            <w:tcW w:w="1971" w:type="dxa"/>
            <w:shd w:val="clear" w:color="auto" w:fill="D9D9D9"/>
            <w:vAlign w:val="center"/>
          </w:tcPr>
          <w:p>
            <w:pPr>
              <w:pStyle w:val="DGTextstand-alone"/>
              <w:spacing w:before="0" w:after="0"/>
              <w:jc w:val="right"/>
              <w:rPr>
                <w:color w:val="1F497D"/>
              </w:rPr>
            </w:pPr>
          </w:p>
        </w:tc>
        <w:tc>
          <w:tcPr>
            <w:tcW w:w="1971" w:type="dxa"/>
            <w:shd w:val="clear" w:color="auto" w:fill="D9D9D9"/>
            <w:vAlign w:val="center"/>
          </w:tcPr>
          <w:p>
            <w:pPr>
              <w:pStyle w:val="DGTextstand-alone"/>
              <w:spacing w:before="0" w:after="0"/>
              <w:jc w:val="right"/>
              <w:rPr>
                <w:color w:val="1F497D"/>
              </w:rPr>
            </w:pPr>
          </w:p>
        </w:tc>
      </w:tr>
      <w:tr>
        <w:trPr>
          <w:trHeight w:val="255"/>
        </w:trPr>
        <w:tc>
          <w:tcPr>
            <w:tcW w:w="1970" w:type="dxa"/>
            <w:shd w:val="clear" w:color="auto" w:fill="auto"/>
            <w:vAlign w:val="center"/>
          </w:tcPr>
          <w:p>
            <w:pPr>
              <w:pStyle w:val="DGTextstand-alone"/>
              <w:spacing w:before="0" w:after="0"/>
              <w:jc w:val="left"/>
            </w:pPr>
            <w:r>
              <w:t>Латвия</w:t>
            </w:r>
          </w:p>
        </w:tc>
        <w:tc>
          <w:tcPr>
            <w:tcW w:w="1971" w:type="dxa"/>
            <w:shd w:val="clear" w:color="auto" w:fill="auto"/>
            <w:vAlign w:val="center"/>
          </w:tcPr>
          <w:p>
            <w:pPr>
              <w:pStyle w:val="DGTextstand-alone"/>
              <w:spacing w:before="0" w:after="0"/>
              <w:jc w:val="right"/>
            </w:pPr>
            <w:r>
              <w:t>3,1</w:t>
            </w:r>
          </w:p>
        </w:tc>
        <w:tc>
          <w:tcPr>
            <w:tcW w:w="1971" w:type="dxa"/>
            <w:shd w:val="clear" w:color="auto" w:fill="auto"/>
            <w:vAlign w:val="center"/>
          </w:tcPr>
          <w:p>
            <w:pPr>
              <w:pStyle w:val="DGTextstand-alone"/>
              <w:spacing w:before="0" w:after="0"/>
              <w:jc w:val="right"/>
            </w:pPr>
            <w:r>
              <w:t>2,9</w:t>
            </w:r>
          </w:p>
        </w:tc>
        <w:tc>
          <w:tcPr>
            <w:tcW w:w="1971" w:type="dxa"/>
            <w:shd w:val="clear" w:color="auto" w:fill="auto"/>
            <w:vAlign w:val="center"/>
          </w:tcPr>
          <w:p>
            <w:pPr>
              <w:pStyle w:val="DGTextstand-alone"/>
              <w:spacing w:before="0" w:after="0"/>
              <w:jc w:val="right"/>
            </w:pPr>
            <w:r>
              <w:t>(2,7)</w:t>
            </w:r>
          </w:p>
        </w:tc>
        <w:tc>
          <w:tcPr>
            <w:tcW w:w="1971" w:type="dxa"/>
            <w:shd w:val="clear" w:color="auto" w:fill="auto"/>
            <w:vAlign w:val="center"/>
          </w:tcPr>
          <w:p>
            <w:pPr>
              <w:pStyle w:val="DGTextstand-alone"/>
              <w:spacing w:before="0" w:after="0"/>
              <w:jc w:val="right"/>
            </w:pPr>
            <w:r>
              <w:t>0,2</w:t>
            </w:r>
          </w:p>
        </w:tc>
      </w:tr>
      <w:tr>
        <w:trPr>
          <w:trHeight w:val="255"/>
        </w:trPr>
        <w:tc>
          <w:tcPr>
            <w:tcW w:w="1970" w:type="dxa"/>
            <w:tcBorders>
              <w:top w:val="single" w:sz="4" w:space="0" w:color="016794"/>
              <w:bottom w:val="single" w:sz="4" w:space="0" w:color="016794"/>
            </w:tcBorders>
            <w:shd w:val="clear" w:color="auto" w:fill="auto"/>
            <w:vAlign w:val="center"/>
          </w:tcPr>
          <w:p>
            <w:pPr>
              <w:pStyle w:val="DGTextstand-alone"/>
              <w:spacing w:before="0" w:after="0"/>
              <w:jc w:val="left"/>
              <w:rPr>
                <w:b/>
              </w:rPr>
            </w:pP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3,1</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2,9</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(2,7)</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rPr>
            </w:pPr>
            <w:r>
              <w:rPr>
                <w:b/>
              </w:rPr>
              <w:t>0,2</w:t>
            </w:r>
          </w:p>
        </w:tc>
      </w:tr>
      <w:tr>
        <w:trPr>
          <w:trHeight w:val="255"/>
        </w:trPr>
        <w:tc>
          <w:tcPr>
            <w:tcW w:w="1970" w:type="dxa"/>
            <w:tcBorders>
              <w:top w:val="single" w:sz="4" w:space="0" w:color="016794"/>
              <w:bottom w:val="single" w:sz="4" w:space="0" w:color="016794"/>
            </w:tcBorders>
            <w:shd w:val="clear" w:color="auto" w:fill="auto"/>
            <w:vAlign w:val="center"/>
          </w:tcPr>
          <w:p>
            <w:pPr>
              <w:pStyle w:val="DGTextstand-alone"/>
              <w:spacing w:before="0" w:after="0"/>
              <w:jc w:val="left"/>
              <w:rPr>
                <w:b/>
                <w:color w:val="1F497D"/>
              </w:rPr>
            </w:pPr>
            <w:r>
              <w:rPr>
                <w:b/>
                <w:color w:val="1F497D"/>
              </w:rPr>
              <w:t>Общо</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color w:val="1F497D"/>
              </w:rPr>
            </w:pPr>
            <w:r>
              <w:rPr>
                <w:b/>
                <w:color w:val="1F497D"/>
              </w:rPr>
              <w:t>150,9</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color w:val="1F497D"/>
              </w:rPr>
            </w:pPr>
            <w:r>
              <w:rPr>
                <w:b/>
                <w:color w:val="1F497D"/>
              </w:rPr>
              <w:t>95,8</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color w:val="1F497D"/>
              </w:rPr>
            </w:pPr>
            <w:r>
              <w:rPr>
                <w:b/>
                <w:color w:val="1F497D"/>
              </w:rPr>
              <w:t>(3,5)</w:t>
            </w:r>
          </w:p>
        </w:tc>
        <w:tc>
          <w:tcPr>
            <w:tcW w:w="1971" w:type="dxa"/>
            <w:tcBorders>
              <w:top w:val="single" w:sz="4" w:space="0" w:color="016794"/>
              <w:bottom w:val="single" w:sz="4" w:space="0" w:color="016794"/>
            </w:tcBorders>
            <w:shd w:val="clear" w:color="auto" w:fill="auto"/>
            <w:vAlign w:val="center"/>
          </w:tcPr>
          <w:p>
            <w:pPr>
              <w:pStyle w:val="DGTextstand-alone"/>
              <w:spacing w:before="0" w:after="0"/>
              <w:jc w:val="right"/>
              <w:rPr>
                <w:b/>
                <w:color w:val="1F497D"/>
              </w:rPr>
            </w:pPr>
            <w:r>
              <w:rPr>
                <w:b/>
                <w:color w:val="1F497D"/>
              </w:rPr>
              <w:t>92,3</w:t>
            </w:r>
          </w:p>
        </w:tc>
      </w:tr>
    </w:tbl>
    <w:p>
      <w:pPr>
        <w:pStyle w:val="DGTextstand-alone"/>
      </w:pPr>
    </w:p>
    <w:p>
      <w:pPr>
        <w:pStyle w:val="DGTextstand-alone"/>
      </w:pPr>
      <w:r>
        <w:br w:type="page"/>
        <w:t>Графикът за възстановяване за непогасените суми към края на годината е, както следва:</w:t>
      </w:r>
    </w:p>
    <w:tbl>
      <w:tblPr>
        <w:tblW w:w="4891" w:type="pct"/>
        <w:tblCellMar>
          <w:right w:w="340" w:type="dxa"/>
        </w:tblCellMar>
        <w:tblLook w:val="04A0" w:firstRow="1" w:lastRow="0" w:firstColumn="1" w:lastColumn="0" w:noHBand="0" w:noVBand="1"/>
      </w:tblPr>
      <w:tblGrid>
        <w:gridCol w:w="1974"/>
        <w:gridCol w:w="1973"/>
        <w:gridCol w:w="1973"/>
        <w:gridCol w:w="1973"/>
        <w:gridCol w:w="1973"/>
      </w:tblGrid>
      <w:tr>
        <w:trPr>
          <w:trHeight w:val="340"/>
        </w:trPr>
        <w:tc>
          <w:tcPr>
            <w:tcW w:w="1000" w:type="pct"/>
            <w:tcBorders>
              <w:top w:val="nil"/>
              <w:left w:val="nil"/>
              <w:right w:val="nil"/>
            </w:tcBorders>
            <w:shd w:val="clear" w:color="auto" w:fill="auto"/>
            <w:noWrap/>
            <w:vAlign w:val="bottom"/>
            <w:hideMark/>
          </w:tcPr>
          <w:p>
            <w:pPr>
              <w:rPr>
                <w:rFonts w:ascii="Calibri" w:hAnsi="Calibri"/>
                <w:noProof/>
                <w:color w:val="000000"/>
                <w:sz w:val="22"/>
                <w:szCs w:val="22"/>
              </w:rPr>
            </w:pPr>
          </w:p>
        </w:tc>
        <w:tc>
          <w:tcPr>
            <w:tcW w:w="1000" w:type="pct"/>
            <w:tcBorders>
              <w:top w:val="nil"/>
              <w:left w:val="nil"/>
              <w:right w:val="nil"/>
            </w:tcBorders>
          </w:tcPr>
          <w:p>
            <w:pPr>
              <w:jc w:val="right"/>
              <w:rPr>
                <w:rFonts w:ascii="Verdana" w:hAnsi="Verdana"/>
                <w:b/>
                <w:bCs/>
                <w:noProof/>
                <w:color w:val="92D050"/>
                <w:sz w:val="18"/>
                <w:szCs w:val="28"/>
              </w:rPr>
            </w:pPr>
          </w:p>
        </w:tc>
        <w:tc>
          <w:tcPr>
            <w:tcW w:w="1000" w:type="pct"/>
            <w:tcBorders>
              <w:top w:val="nil"/>
              <w:left w:val="nil"/>
              <w:right w:val="nil"/>
            </w:tcBorders>
            <w:shd w:val="clear" w:color="auto" w:fill="auto"/>
            <w:noWrap/>
            <w:vAlign w:val="bottom"/>
          </w:tcPr>
          <w:p>
            <w:pPr>
              <w:jc w:val="right"/>
              <w:rPr>
                <w:rFonts w:ascii="Verdana" w:hAnsi="Verdana"/>
                <w:b/>
                <w:bCs/>
                <w:noProof/>
                <w:color w:val="92D050"/>
                <w:sz w:val="18"/>
                <w:szCs w:val="28"/>
              </w:rPr>
            </w:pPr>
          </w:p>
        </w:tc>
        <w:tc>
          <w:tcPr>
            <w:tcW w:w="1000" w:type="pct"/>
            <w:tcBorders>
              <w:top w:val="nil"/>
              <w:left w:val="nil"/>
              <w:right w:val="nil"/>
            </w:tcBorders>
            <w:shd w:val="clear" w:color="auto" w:fill="auto"/>
          </w:tcPr>
          <w:p>
            <w:pPr>
              <w:rPr>
                <w:rFonts w:ascii="Calibri" w:hAnsi="Calibri"/>
                <w:b/>
                <w:bCs/>
                <w:noProof/>
                <w:color w:val="FFFFFF"/>
                <w:sz w:val="28"/>
                <w:szCs w:val="28"/>
              </w:rPr>
            </w:pPr>
          </w:p>
        </w:tc>
        <w:tc>
          <w:tcPr>
            <w:tcW w:w="1000" w:type="pct"/>
            <w:tcBorders>
              <w:left w:val="nil"/>
              <w:right w:val="nil"/>
            </w:tcBorders>
            <w:vAlign w:val="center"/>
            <w:hideMark/>
          </w:tcPr>
          <w:p>
            <w:pPr>
              <w:jc w:val="right"/>
              <w:rPr>
                <w:rFonts w:ascii="Calibri" w:hAnsi="Calibri"/>
                <w:b/>
                <w:bCs/>
                <w:noProof/>
                <w:color w:val="FFFFFF"/>
                <w:sz w:val="16"/>
                <w:szCs w:val="28"/>
              </w:rPr>
            </w:pPr>
            <w:r>
              <w:rPr>
                <w:rFonts w:ascii="Verdana" w:hAnsi="Verdana"/>
                <w:i/>
                <w:iCs/>
                <w:noProof/>
                <w:color w:val="000000"/>
                <w:sz w:val="16"/>
                <w:szCs w:val="16"/>
              </w:rPr>
              <w:t>милиарди евро</w:t>
            </w:r>
          </w:p>
        </w:tc>
      </w:tr>
      <w:tr>
        <w:trPr>
          <w:trHeight w:val="340"/>
        </w:trPr>
        <w:tc>
          <w:tcPr>
            <w:tcW w:w="1000" w:type="pct"/>
            <w:tcBorders>
              <w:top w:val="nil"/>
              <w:left w:val="nil"/>
              <w:right w:val="nil"/>
            </w:tcBorders>
            <w:shd w:val="clear" w:color="auto" w:fill="auto"/>
            <w:noWrap/>
            <w:vAlign w:val="bottom"/>
            <w:hideMark/>
          </w:tcPr>
          <w:p>
            <w:pPr>
              <w:rPr>
                <w:rFonts w:ascii="Calibri" w:hAnsi="Calibri"/>
                <w:noProof/>
                <w:color w:val="000000"/>
                <w:sz w:val="22"/>
                <w:szCs w:val="22"/>
              </w:rPr>
            </w:pPr>
          </w:p>
        </w:tc>
        <w:tc>
          <w:tcPr>
            <w:tcW w:w="1000" w:type="pct"/>
            <w:tcBorders>
              <w:top w:val="nil"/>
              <w:left w:val="nil"/>
              <w:right w:val="single" w:sz="4" w:space="0" w:color="D9D9D9"/>
            </w:tcBorders>
            <w:shd w:val="clear" w:color="auto" w:fill="015073"/>
            <w:vAlign w:val="center"/>
          </w:tcPr>
          <w:p>
            <w:pPr>
              <w:jc w:val="right"/>
              <w:rPr>
                <w:rFonts w:ascii="EC Square Sans Pro" w:hAnsi="EC Square Sans Pro"/>
                <w:b/>
                <w:bCs/>
                <w:noProof/>
                <w:color w:val="FFFFFF"/>
                <w:sz w:val="20"/>
                <w:szCs w:val="28"/>
              </w:rPr>
            </w:pPr>
            <w:r>
              <w:rPr>
                <w:rFonts w:ascii="EC Square Sans Pro" w:hAnsi="EC Square Sans Pro"/>
                <w:b/>
                <w:bCs/>
                <w:noProof/>
                <w:color w:val="FFFFFF"/>
                <w:sz w:val="20"/>
                <w:szCs w:val="18"/>
              </w:rPr>
              <w:t>SURE</w:t>
            </w:r>
          </w:p>
        </w:tc>
        <w:tc>
          <w:tcPr>
            <w:tcW w:w="1000" w:type="pct"/>
            <w:tcBorders>
              <w:top w:val="nil"/>
              <w:left w:val="single" w:sz="4" w:space="0" w:color="D9D9D9"/>
              <w:right w:val="single" w:sz="4" w:space="0" w:color="D9D9D9"/>
            </w:tcBorders>
            <w:shd w:val="clear" w:color="auto" w:fill="016794"/>
            <w:noWrap/>
            <w:vAlign w:val="center"/>
          </w:tcPr>
          <w:p>
            <w:pPr>
              <w:jc w:val="right"/>
              <w:rPr>
                <w:rFonts w:ascii="EC Square Sans Pro" w:hAnsi="EC Square Sans Pro"/>
                <w:b/>
                <w:bCs/>
                <w:noProof/>
                <w:color w:val="92D050"/>
                <w:sz w:val="20"/>
                <w:szCs w:val="28"/>
              </w:rPr>
            </w:pPr>
            <w:r>
              <w:rPr>
                <w:rFonts w:ascii="EC Square Sans Pro" w:hAnsi="EC Square Sans Pro"/>
                <w:b/>
                <w:bCs/>
                <w:noProof/>
                <w:color w:val="FFFFFF"/>
                <w:sz w:val="20"/>
                <w:szCs w:val="18"/>
              </w:rPr>
              <w:t>ЕМФС</w:t>
            </w:r>
          </w:p>
        </w:tc>
        <w:tc>
          <w:tcPr>
            <w:tcW w:w="1000" w:type="pct"/>
            <w:tcBorders>
              <w:top w:val="nil"/>
              <w:left w:val="single" w:sz="4" w:space="0" w:color="D9D9D9"/>
              <w:right w:val="single" w:sz="4" w:space="0" w:color="D9D9D9"/>
            </w:tcBorders>
            <w:shd w:val="clear" w:color="auto" w:fill="59BDB8"/>
            <w:vAlign w:val="center"/>
          </w:tcPr>
          <w:p>
            <w:pPr>
              <w:jc w:val="right"/>
              <w:rPr>
                <w:rFonts w:ascii="EC Square Sans Pro" w:hAnsi="EC Square Sans Pro"/>
                <w:b/>
                <w:bCs/>
                <w:noProof/>
                <w:color w:val="FFFFFF"/>
                <w:sz w:val="20"/>
                <w:szCs w:val="28"/>
              </w:rPr>
            </w:pPr>
            <w:r>
              <w:rPr>
                <w:rFonts w:ascii="EC Square Sans Pro" w:hAnsi="EC Square Sans Pro"/>
                <w:b/>
                <w:bCs/>
                <w:noProof/>
                <w:color w:val="FFFFFF"/>
                <w:sz w:val="20"/>
                <w:szCs w:val="18"/>
              </w:rPr>
              <w:t>МФП</w:t>
            </w:r>
          </w:p>
        </w:tc>
        <w:tc>
          <w:tcPr>
            <w:tcW w:w="1000" w:type="pct"/>
            <w:tcBorders>
              <w:left w:val="single" w:sz="4" w:space="0" w:color="D9D9D9"/>
              <w:right w:val="nil"/>
            </w:tcBorders>
            <w:shd w:val="clear" w:color="auto" w:fill="A6A6A6"/>
            <w:vAlign w:val="center"/>
            <w:hideMark/>
          </w:tcPr>
          <w:p>
            <w:pPr>
              <w:jc w:val="right"/>
              <w:rPr>
                <w:rFonts w:ascii="EC Square Sans Pro" w:hAnsi="EC Square Sans Pro"/>
                <w:b/>
                <w:bCs/>
                <w:noProof/>
                <w:color w:val="FFFFFF"/>
                <w:sz w:val="20"/>
                <w:szCs w:val="28"/>
              </w:rPr>
            </w:pPr>
            <w:r>
              <w:rPr>
                <w:rFonts w:ascii="EC Square Sans Pro" w:hAnsi="EC Square Sans Pro"/>
                <w:b/>
                <w:bCs/>
                <w:noProof/>
                <w:color w:val="FFFFFF"/>
                <w:sz w:val="20"/>
                <w:szCs w:val="18"/>
              </w:rPr>
              <w:t>ОБЩО</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2021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9,8</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9,8</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2022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2,7</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2,7</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2023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3,5</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0,1</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3,6</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2024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2,6</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0,6</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3,2</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2025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8,0</w:t>
            </w: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2,4</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10,4</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2026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4,0</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0,1</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4,1</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2027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3,0</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0,2</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3,2</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2028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2,3</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0,2</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2,5</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2029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1,4</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0,9</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2,3</w:t>
            </w:r>
          </w:p>
        </w:tc>
      </w:tr>
      <w:tr>
        <w:trPr>
          <w:trHeight w:val="255"/>
        </w:trPr>
        <w:tc>
          <w:tcPr>
            <w:tcW w:w="1000" w:type="pct"/>
            <w:tcBorders>
              <w:left w:val="nil"/>
            </w:tcBorders>
            <w:shd w:val="clear" w:color="auto" w:fill="auto"/>
            <w:noWrap/>
            <w:vAlign w:val="center"/>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2030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10,0</w:t>
            </w:r>
          </w:p>
        </w:tc>
        <w:tc>
          <w:tcPr>
            <w:tcW w:w="1000" w:type="pct"/>
            <w:shd w:val="clear" w:color="auto" w:fill="auto"/>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0,1</w:t>
            </w:r>
          </w:p>
        </w:tc>
        <w:tc>
          <w:tcPr>
            <w:tcW w:w="1000" w:type="pct"/>
            <w:tcBorders>
              <w:right w:val="nil"/>
            </w:tcBorders>
            <w:shd w:val="clear" w:color="auto" w:fill="D9D9D9"/>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10,1</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2031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2,2</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0,9</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3,1</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2032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3,0</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0,1</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3,1</w:t>
            </w:r>
          </w:p>
        </w:tc>
      </w:tr>
      <w:tr>
        <w:trPr>
          <w:trHeight w:val="255"/>
        </w:trPr>
        <w:tc>
          <w:tcPr>
            <w:tcW w:w="1000" w:type="pct"/>
            <w:tcBorders>
              <w:left w:val="nil"/>
            </w:tcBorders>
            <w:shd w:val="clear" w:color="auto" w:fill="auto"/>
            <w:noWrap/>
            <w:vAlign w:val="center"/>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2033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2,1</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0,5</w:t>
            </w:r>
          </w:p>
        </w:tc>
        <w:tc>
          <w:tcPr>
            <w:tcW w:w="1000" w:type="pct"/>
            <w:tcBorders>
              <w:right w:val="nil"/>
            </w:tcBorders>
            <w:shd w:val="clear" w:color="auto" w:fill="D9D9D9"/>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2,6</w:t>
            </w:r>
          </w:p>
        </w:tc>
      </w:tr>
      <w:tr>
        <w:trPr>
          <w:trHeight w:val="255"/>
        </w:trPr>
        <w:tc>
          <w:tcPr>
            <w:tcW w:w="1000" w:type="pct"/>
            <w:tcBorders>
              <w:lef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2034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lang w:eastAsia="en-US"/>
              </w:rPr>
            </w:pPr>
          </w:p>
        </w:tc>
        <w:tc>
          <w:tcPr>
            <w:tcW w:w="1000" w:type="pct"/>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0,2</w:t>
            </w:r>
          </w:p>
        </w:tc>
        <w:tc>
          <w:tcPr>
            <w:tcW w:w="1000" w:type="pct"/>
            <w:tcBorders>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0,2</w:t>
            </w:r>
          </w:p>
        </w:tc>
      </w:tr>
      <w:tr>
        <w:trPr>
          <w:trHeight w:val="255"/>
        </w:trPr>
        <w:tc>
          <w:tcPr>
            <w:tcW w:w="1000" w:type="pct"/>
            <w:tcBorders>
              <w:left w:val="nil"/>
            </w:tcBorders>
            <w:shd w:val="clear" w:color="auto" w:fill="auto"/>
            <w:noWrap/>
            <w:vAlign w:val="center"/>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2035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8,5</w:t>
            </w:r>
          </w:p>
        </w:tc>
        <w:tc>
          <w:tcPr>
            <w:tcW w:w="1000" w:type="pct"/>
            <w:shd w:val="clear" w:color="auto" w:fill="auto"/>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2,0</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1,9</w:t>
            </w:r>
          </w:p>
        </w:tc>
        <w:tc>
          <w:tcPr>
            <w:tcW w:w="1000" w:type="pct"/>
            <w:tcBorders>
              <w:right w:val="nil"/>
            </w:tcBorders>
            <w:shd w:val="clear" w:color="auto" w:fill="D9D9D9"/>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12,4</w:t>
            </w:r>
          </w:p>
        </w:tc>
      </w:tr>
      <w:tr>
        <w:trPr>
          <w:trHeight w:val="255"/>
        </w:trPr>
        <w:tc>
          <w:tcPr>
            <w:tcW w:w="1000" w:type="pct"/>
            <w:tcBorders>
              <w:left w:val="nil"/>
            </w:tcBorders>
            <w:shd w:val="clear" w:color="auto" w:fill="auto"/>
            <w:noWrap/>
            <w:vAlign w:val="center"/>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2036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1,0</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tcBorders>
              <w:right w:val="nil"/>
            </w:tcBorders>
            <w:shd w:val="clear" w:color="auto" w:fill="D9D9D9"/>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1,0</w:t>
            </w:r>
          </w:p>
        </w:tc>
      </w:tr>
      <w:tr>
        <w:trPr>
          <w:trHeight w:val="255"/>
        </w:trPr>
        <w:tc>
          <w:tcPr>
            <w:tcW w:w="1000" w:type="pct"/>
            <w:tcBorders>
              <w:left w:val="nil"/>
            </w:tcBorders>
            <w:shd w:val="clear" w:color="auto" w:fill="auto"/>
            <w:noWrap/>
            <w:vAlign w:val="center"/>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2038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1,8</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tcBorders>
              <w:right w:val="nil"/>
            </w:tcBorders>
            <w:shd w:val="clear" w:color="auto" w:fill="D9D9D9"/>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1,8</w:t>
            </w:r>
          </w:p>
        </w:tc>
      </w:tr>
      <w:tr>
        <w:trPr>
          <w:trHeight w:val="255"/>
        </w:trPr>
        <w:tc>
          <w:tcPr>
            <w:tcW w:w="1000" w:type="pct"/>
            <w:tcBorders>
              <w:left w:val="nil"/>
            </w:tcBorders>
            <w:shd w:val="clear" w:color="auto" w:fill="auto"/>
            <w:noWrap/>
            <w:vAlign w:val="center"/>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2040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7,0</w:t>
            </w:r>
          </w:p>
        </w:tc>
        <w:tc>
          <w:tcPr>
            <w:tcW w:w="1000" w:type="pct"/>
            <w:shd w:val="clear" w:color="auto" w:fill="auto"/>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tcBorders>
              <w:right w:val="nil"/>
            </w:tcBorders>
            <w:shd w:val="clear" w:color="auto" w:fill="D9D9D9"/>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7,0</w:t>
            </w:r>
          </w:p>
        </w:tc>
      </w:tr>
      <w:tr>
        <w:trPr>
          <w:trHeight w:val="255"/>
        </w:trPr>
        <w:tc>
          <w:tcPr>
            <w:tcW w:w="1000" w:type="pct"/>
            <w:tcBorders>
              <w:left w:val="nil"/>
            </w:tcBorders>
            <w:shd w:val="clear" w:color="auto" w:fill="auto"/>
            <w:noWrap/>
            <w:vAlign w:val="center"/>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2042 г.</w:t>
            </w:r>
          </w:p>
        </w:tc>
        <w:tc>
          <w:tcPr>
            <w:tcW w:w="1000" w:type="pct"/>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shd w:val="clear" w:color="auto" w:fill="auto"/>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3,0</w:t>
            </w:r>
          </w:p>
        </w:tc>
        <w:tc>
          <w:tcPr>
            <w:tcW w:w="1000" w:type="pct"/>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tcBorders>
              <w:right w:val="nil"/>
            </w:tcBorders>
            <w:shd w:val="clear" w:color="auto" w:fill="D9D9D9"/>
            <w:noWrap/>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3,0</w:t>
            </w:r>
          </w:p>
        </w:tc>
      </w:tr>
      <w:tr>
        <w:trPr>
          <w:trHeight w:val="255"/>
        </w:trPr>
        <w:tc>
          <w:tcPr>
            <w:tcW w:w="1000" w:type="pct"/>
            <w:tcBorders>
              <w:left w:val="nil"/>
              <w:bottom w:val="single" w:sz="18" w:space="0" w:color="016794"/>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noProof/>
                <w:sz w:val="20"/>
                <w:szCs w:val="22"/>
                <w:bdr w:val="nil"/>
              </w:rPr>
            </w:pPr>
            <w:r>
              <w:rPr>
                <w:rFonts w:ascii="EC Square Sans Pro" w:hAnsi="EC Square Sans Pro"/>
                <w:noProof/>
                <w:sz w:val="20"/>
                <w:szCs w:val="22"/>
                <w:bdr w:val="nil"/>
              </w:rPr>
              <w:t>2050 г.</w:t>
            </w:r>
          </w:p>
        </w:tc>
        <w:tc>
          <w:tcPr>
            <w:tcW w:w="1000" w:type="pct"/>
            <w:tcBorders>
              <w:bottom w:val="single" w:sz="18" w:space="0" w:color="016794"/>
            </w:tcBorders>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6,0</w:t>
            </w:r>
          </w:p>
        </w:tc>
        <w:tc>
          <w:tcPr>
            <w:tcW w:w="1000" w:type="pct"/>
            <w:tcBorders>
              <w:bottom w:val="single" w:sz="18" w:space="0" w:color="016794"/>
            </w:tcBorders>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tcBorders>
              <w:bottom w:val="single" w:sz="18" w:space="0" w:color="016794"/>
            </w:tcBorders>
            <w:shd w:val="clear" w:color="auto" w:fill="auto"/>
            <w:vAlign w:val="center"/>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w:t>
            </w:r>
          </w:p>
        </w:tc>
        <w:tc>
          <w:tcPr>
            <w:tcW w:w="1000" w:type="pct"/>
            <w:tcBorders>
              <w:bottom w:val="single" w:sz="18" w:space="0" w:color="016794"/>
              <w:right w:val="nil"/>
            </w:tcBorders>
            <w:shd w:val="clear" w:color="auto" w:fill="D9D9D9"/>
            <w:noWrap/>
            <w:vAlign w:val="center"/>
            <w:hideMark/>
          </w:tcPr>
          <w:p>
            <w:pPr>
              <w:pBdr>
                <w:top w:val="nil"/>
                <w:left w:val="nil"/>
                <w:bottom w:val="nil"/>
                <w:right w:val="nil"/>
                <w:between w:val="nil"/>
                <w:bar w:val="nil"/>
              </w:pBdr>
              <w:jc w:val="right"/>
              <w:rPr>
                <w:rFonts w:ascii="EC Square Sans Pro" w:eastAsia="Calibri" w:hAnsi="EC Square Sans Pro"/>
                <w:noProof/>
                <w:sz w:val="20"/>
                <w:szCs w:val="22"/>
                <w:bdr w:val="nil"/>
              </w:rPr>
            </w:pPr>
            <w:r>
              <w:rPr>
                <w:rFonts w:ascii="EC Square Sans Pro" w:hAnsi="EC Square Sans Pro"/>
                <w:noProof/>
                <w:sz w:val="20"/>
                <w:szCs w:val="22"/>
                <w:bdr w:val="nil"/>
              </w:rPr>
              <w:t>6,0</w:t>
            </w:r>
          </w:p>
        </w:tc>
      </w:tr>
      <w:tr>
        <w:trPr>
          <w:trHeight w:val="340"/>
        </w:trPr>
        <w:tc>
          <w:tcPr>
            <w:tcW w:w="1000" w:type="pct"/>
            <w:tcBorders>
              <w:top w:val="single" w:sz="18" w:space="0" w:color="016794"/>
              <w:left w:val="nil"/>
              <w:bottom w:val="single" w:sz="18" w:space="0" w:color="016794"/>
              <w:right w:val="nil"/>
            </w:tcBorders>
            <w:shd w:val="clear" w:color="auto" w:fill="auto"/>
            <w:noWrap/>
            <w:vAlign w:val="center"/>
            <w:hideMark/>
          </w:tcPr>
          <w:p>
            <w:pPr>
              <w:pBdr>
                <w:top w:val="nil"/>
                <w:left w:val="nil"/>
                <w:bottom w:val="nil"/>
                <w:right w:val="nil"/>
                <w:between w:val="nil"/>
                <w:bar w:val="nil"/>
              </w:pBdr>
              <w:jc w:val="center"/>
              <w:rPr>
                <w:rFonts w:ascii="EC Square Sans Pro" w:eastAsia="Calibri" w:hAnsi="EC Square Sans Pro"/>
                <w:b/>
                <w:noProof/>
                <w:color w:val="016794"/>
                <w:sz w:val="20"/>
                <w:szCs w:val="22"/>
                <w:bdr w:val="nil"/>
              </w:rPr>
            </w:pPr>
            <w:r>
              <w:rPr>
                <w:rFonts w:ascii="EC Square Sans Pro" w:hAnsi="EC Square Sans Pro"/>
                <w:b/>
                <w:noProof/>
                <w:color w:val="016794"/>
                <w:sz w:val="20"/>
                <w:szCs w:val="22"/>
                <w:bdr w:val="nil"/>
              </w:rPr>
              <w:t>Общо</w:t>
            </w:r>
          </w:p>
        </w:tc>
        <w:tc>
          <w:tcPr>
            <w:tcW w:w="1000" w:type="pct"/>
            <w:tcBorders>
              <w:top w:val="single" w:sz="18" w:space="0" w:color="016794"/>
              <w:left w:val="nil"/>
              <w:bottom w:val="single" w:sz="18" w:space="0" w:color="016794"/>
              <w:right w:val="nil"/>
            </w:tcBorders>
            <w:vAlign w:val="center"/>
          </w:tcPr>
          <w:p>
            <w:pPr>
              <w:pBdr>
                <w:top w:val="nil"/>
                <w:left w:val="nil"/>
                <w:bottom w:val="nil"/>
                <w:right w:val="nil"/>
                <w:between w:val="nil"/>
                <w:bar w:val="nil"/>
              </w:pBdr>
              <w:jc w:val="right"/>
              <w:rPr>
                <w:rFonts w:ascii="EC Square Sans Pro" w:eastAsia="Calibri" w:hAnsi="EC Square Sans Pro"/>
                <w:b/>
                <w:noProof/>
                <w:color w:val="016794"/>
                <w:sz w:val="20"/>
                <w:szCs w:val="22"/>
                <w:bdr w:val="nil"/>
              </w:rPr>
            </w:pPr>
            <w:r>
              <w:rPr>
                <w:rFonts w:ascii="EC Square Sans Pro" w:hAnsi="EC Square Sans Pro"/>
                <w:b/>
                <w:noProof/>
                <w:color w:val="016794"/>
                <w:sz w:val="20"/>
                <w:szCs w:val="22"/>
                <w:bdr w:val="nil"/>
              </w:rPr>
              <w:t>39,5</w:t>
            </w:r>
          </w:p>
        </w:tc>
        <w:tc>
          <w:tcPr>
            <w:tcW w:w="1000" w:type="pct"/>
            <w:tcBorders>
              <w:top w:val="single" w:sz="18" w:space="0" w:color="016794"/>
              <w:left w:val="nil"/>
              <w:bottom w:val="single" w:sz="18" w:space="0" w:color="016794"/>
              <w:right w:val="nil"/>
            </w:tcBorders>
            <w:shd w:val="clear" w:color="auto" w:fill="auto"/>
            <w:noWrap/>
            <w:vAlign w:val="center"/>
            <w:hideMark/>
          </w:tcPr>
          <w:p>
            <w:pPr>
              <w:pBdr>
                <w:top w:val="nil"/>
                <w:left w:val="nil"/>
                <w:bottom w:val="nil"/>
                <w:right w:val="nil"/>
                <w:between w:val="nil"/>
                <w:bar w:val="nil"/>
              </w:pBdr>
              <w:jc w:val="right"/>
              <w:rPr>
                <w:rFonts w:ascii="EC Square Sans Pro" w:eastAsia="Calibri" w:hAnsi="EC Square Sans Pro"/>
                <w:b/>
                <w:noProof/>
                <w:color w:val="016794"/>
                <w:sz w:val="20"/>
                <w:szCs w:val="22"/>
                <w:bdr w:val="nil"/>
              </w:rPr>
            </w:pPr>
            <w:r>
              <w:rPr>
                <w:rFonts w:ascii="EC Square Sans Pro" w:hAnsi="EC Square Sans Pro"/>
                <w:b/>
                <w:noProof/>
                <w:color w:val="016794"/>
                <w:sz w:val="20"/>
                <w:szCs w:val="22"/>
                <w:bdr w:val="nil"/>
              </w:rPr>
              <w:t>46,8</w:t>
            </w:r>
          </w:p>
        </w:tc>
        <w:tc>
          <w:tcPr>
            <w:tcW w:w="1000" w:type="pct"/>
            <w:tcBorders>
              <w:top w:val="single" w:sz="18" w:space="0" w:color="016794"/>
              <w:left w:val="nil"/>
              <w:bottom w:val="single" w:sz="18" w:space="0" w:color="016794"/>
              <w:right w:val="nil"/>
            </w:tcBorders>
            <w:shd w:val="clear" w:color="auto" w:fill="auto"/>
            <w:vAlign w:val="center"/>
          </w:tcPr>
          <w:p>
            <w:pPr>
              <w:pBdr>
                <w:top w:val="nil"/>
                <w:left w:val="nil"/>
                <w:bottom w:val="nil"/>
                <w:right w:val="nil"/>
                <w:between w:val="nil"/>
                <w:bar w:val="nil"/>
              </w:pBdr>
              <w:jc w:val="right"/>
              <w:rPr>
                <w:rFonts w:ascii="EC Square Sans Pro" w:eastAsia="Calibri" w:hAnsi="EC Square Sans Pro"/>
                <w:b/>
                <w:noProof/>
                <w:color w:val="016794"/>
                <w:sz w:val="20"/>
                <w:szCs w:val="22"/>
                <w:bdr w:val="nil"/>
              </w:rPr>
            </w:pPr>
            <w:r>
              <w:rPr>
                <w:rFonts w:ascii="EC Square Sans Pro" w:hAnsi="EC Square Sans Pro"/>
                <w:b/>
                <w:noProof/>
                <w:color w:val="016794"/>
                <w:sz w:val="20"/>
                <w:szCs w:val="22"/>
                <w:bdr w:val="nil"/>
              </w:rPr>
              <w:t>5,8</w:t>
            </w:r>
          </w:p>
        </w:tc>
        <w:tc>
          <w:tcPr>
            <w:tcW w:w="1000" w:type="pct"/>
            <w:tcBorders>
              <w:top w:val="single" w:sz="18" w:space="0" w:color="016794"/>
              <w:left w:val="nil"/>
              <w:bottom w:val="single" w:sz="18" w:space="0" w:color="016794"/>
              <w:right w:val="nil"/>
            </w:tcBorders>
            <w:shd w:val="clear" w:color="auto" w:fill="FFFFFF"/>
            <w:noWrap/>
            <w:vAlign w:val="center"/>
            <w:hideMark/>
          </w:tcPr>
          <w:p>
            <w:pPr>
              <w:pBdr>
                <w:top w:val="nil"/>
                <w:left w:val="nil"/>
                <w:bottom w:val="nil"/>
                <w:right w:val="nil"/>
                <w:between w:val="nil"/>
                <w:bar w:val="nil"/>
              </w:pBdr>
              <w:jc w:val="right"/>
              <w:rPr>
                <w:rFonts w:ascii="EC Square Sans Pro" w:eastAsia="Calibri" w:hAnsi="EC Square Sans Pro"/>
                <w:b/>
                <w:noProof/>
                <w:color w:val="016794"/>
                <w:sz w:val="20"/>
                <w:szCs w:val="22"/>
                <w:bdr w:val="nil"/>
              </w:rPr>
            </w:pPr>
            <w:r>
              <w:rPr>
                <w:rFonts w:ascii="EC Square Sans Pro" w:hAnsi="EC Square Sans Pro"/>
                <w:b/>
                <w:noProof/>
                <w:color w:val="016794"/>
                <w:sz w:val="20"/>
                <w:szCs w:val="22"/>
                <w:bdr w:val="nil"/>
              </w:rPr>
              <w:t>92,1</w:t>
            </w:r>
          </w:p>
        </w:tc>
      </w:tr>
      <w:tr>
        <w:trPr>
          <w:trHeight w:val="340"/>
        </w:trPr>
        <w:tc>
          <w:tcPr>
            <w:tcW w:w="1000" w:type="pct"/>
            <w:tcBorders>
              <w:top w:val="single" w:sz="18" w:space="0" w:color="016794"/>
              <w:left w:val="nil"/>
              <w:right w:val="nil"/>
            </w:tcBorders>
            <w:shd w:val="clear" w:color="auto" w:fill="auto"/>
            <w:noWrap/>
            <w:vAlign w:val="center"/>
          </w:tcPr>
          <w:p>
            <w:pPr>
              <w:pBdr>
                <w:top w:val="nil"/>
                <w:left w:val="nil"/>
                <w:bottom w:val="nil"/>
                <w:right w:val="nil"/>
                <w:between w:val="nil"/>
                <w:bar w:val="nil"/>
              </w:pBdr>
              <w:rPr>
                <w:rFonts w:ascii="Verdana" w:eastAsia="Calibri" w:hAnsi="Verdana"/>
                <w:b/>
                <w:noProof/>
                <w:color w:val="016794"/>
                <w:sz w:val="18"/>
                <w:szCs w:val="18"/>
                <w:bdr w:val="nil"/>
                <w:lang w:eastAsia="en-US"/>
              </w:rPr>
            </w:pPr>
          </w:p>
        </w:tc>
        <w:tc>
          <w:tcPr>
            <w:tcW w:w="1000" w:type="pct"/>
            <w:tcBorders>
              <w:top w:val="single" w:sz="18" w:space="0" w:color="016794"/>
              <w:left w:val="nil"/>
              <w:right w:val="nil"/>
            </w:tcBorders>
            <w:vAlign w:val="center"/>
          </w:tcPr>
          <w:p>
            <w:pPr>
              <w:pBdr>
                <w:top w:val="nil"/>
                <w:left w:val="nil"/>
                <w:bottom w:val="nil"/>
                <w:right w:val="nil"/>
                <w:between w:val="nil"/>
                <w:bar w:val="nil"/>
              </w:pBdr>
              <w:jc w:val="right"/>
              <w:rPr>
                <w:rFonts w:ascii="Verdana" w:eastAsia="Calibri" w:hAnsi="Verdana"/>
                <w:b/>
                <w:noProof/>
                <w:color w:val="016794"/>
                <w:sz w:val="18"/>
                <w:szCs w:val="18"/>
                <w:bdr w:val="nil"/>
                <w:lang w:eastAsia="en-US"/>
              </w:rPr>
            </w:pPr>
          </w:p>
        </w:tc>
        <w:tc>
          <w:tcPr>
            <w:tcW w:w="1000" w:type="pct"/>
            <w:tcBorders>
              <w:top w:val="single" w:sz="18" w:space="0" w:color="016794"/>
              <w:left w:val="nil"/>
              <w:right w:val="nil"/>
            </w:tcBorders>
            <w:shd w:val="clear" w:color="auto" w:fill="auto"/>
            <w:noWrap/>
            <w:vAlign w:val="center"/>
          </w:tcPr>
          <w:p>
            <w:pPr>
              <w:pBdr>
                <w:top w:val="nil"/>
                <w:left w:val="nil"/>
                <w:bottom w:val="nil"/>
                <w:right w:val="nil"/>
                <w:between w:val="nil"/>
                <w:bar w:val="nil"/>
              </w:pBdr>
              <w:jc w:val="right"/>
              <w:rPr>
                <w:rFonts w:ascii="Verdana" w:eastAsia="Calibri" w:hAnsi="Verdana"/>
                <w:b/>
                <w:noProof/>
                <w:color w:val="016794"/>
                <w:sz w:val="18"/>
                <w:szCs w:val="18"/>
                <w:bdr w:val="nil"/>
                <w:lang w:eastAsia="en-US"/>
              </w:rPr>
            </w:pPr>
          </w:p>
        </w:tc>
        <w:tc>
          <w:tcPr>
            <w:tcW w:w="1000" w:type="pct"/>
            <w:tcBorders>
              <w:top w:val="single" w:sz="18" w:space="0" w:color="016794"/>
              <w:left w:val="nil"/>
              <w:right w:val="nil"/>
            </w:tcBorders>
            <w:shd w:val="clear" w:color="auto" w:fill="auto"/>
            <w:vAlign w:val="center"/>
          </w:tcPr>
          <w:p>
            <w:pPr>
              <w:pBdr>
                <w:top w:val="nil"/>
                <w:left w:val="nil"/>
                <w:bottom w:val="nil"/>
                <w:right w:val="nil"/>
                <w:between w:val="nil"/>
                <w:bar w:val="nil"/>
              </w:pBdr>
              <w:jc w:val="right"/>
              <w:rPr>
                <w:rFonts w:ascii="Verdana" w:eastAsia="Calibri" w:hAnsi="Verdana"/>
                <w:b/>
                <w:noProof/>
                <w:color w:val="016794"/>
                <w:sz w:val="18"/>
                <w:szCs w:val="18"/>
                <w:bdr w:val="nil"/>
                <w:lang w:eastAsia="en-US"/>
              </w:rPr>
            </w:pPr>
          </w:p>
        </w:tc>
        <w:tc>
          <w:tcPr>
            <w:tcW w:w="1000" w:type="pct"/>
            <w:tcBorders>
              <w:top w:val="single" w:sz="18" w:space="0" w:color="016794"/>
              <w:left w:val="nil"/>
              <w:right w:val="nil"/>
            </w:tcBorders>
            <w:shd w:val="clear" w:color="auto" w:fill="FFFFFF"/>
            <w:noWrap/>
            <w:vAlign w:val="center"/>
          </w:tcPr>
          <w:p>
            <w:pPr>
              <w:pBdr>
                <w:top w:val="nil"/>
                <w:left w:val="nil"/>
                <w:bottom w:val="nil"/>
                <w:right w:val="nil"/>
                <w:between w:val="nil"/>
                <w:bar w:val="nil"/>
              </w:pBdr>
              <w:jc w:val="right"/>
              <w:rPr>
                <w:rFonts w:ascii="Verdana" w:eastAsia="Calibri" w:hAnsi="Verdana"/>
                <w:b/>
                <w:noProof/>
                <w:color w:val="016794"/>
                <w:sz w:val="18"/>
                <w:szCs w:val="18"/>
                <w:bdr w:val="nil"/>
                <w:lang w:eastAsia="en-US"/>
              </w:rPr>
            </w:pPr>
          </w:p>
        </w:tc>
      </w:tr>
    </w:tbl>
    <w:p>
      <w:pPr>
        <w:pStyle w:val="DGTextstand-alone"/>
      </w:pPr>
      <w:r>
        <w:rPr>
          <w:color w:val="016794"/>
        </w:rPr>
        <w:t>SURE</w:t>
      </w:r>
    </w:p>
    <w:p>
      <w:pPr>
        <w:pStyle w:val="DGTextstand-alone"/>
        <w:keepNext/>
      </w:pPr>
      <w:r>
        <w:t>Инструментът SURE бе създаден през 2020 г. с цел предоставяне на финансова помощ на държавите членки, които изпитват или са сериозно застрашени от тежко икономическо сътресение, причинено от пандемията от COVID-19 на тяхната територия. Инструментът допълва националните мерки, предприети от засегнатите държави членки.</w:t>
      </w:r>
    </w:p>
    <w:p>
      <w:pPr>
        <w:pStyle w:val="DGTextstand-alone"/>
        <w:keepNext/>
      </w:pPr>
      <w:r>
        <w:t>Максималният размер на финансовата помощ не може да превишава 100 милиарда евро за всички държави членки. През 2020 г. държавите членки подписаха споразумения за заем в размер на 85,9 милиарда евро, като от тази сума бяха отпуснати 39,5 милиарда евро. Срокът на заемите варира между 5, 10, 15, 20 и 30 години.</w:t>
      </w:r>
    </w:p>
    <w:p>
      <w:pPr>
        <w:pStyle w:val="DGTextstand-alone"/>
        <w:rPr>
          <w:color w:val="016794"/>
        </w:rPr>
      </w:pPr>
      <w:r>
        <w:rPr>
          <w:color w:val="016794"/>
        </w:rPr>
        <w:t>ЕМФС</w:t>
      </w:r>
    </w:p>
    <w:p>
      <w:pPr>
        <w:pStyle w:val="DGTextstand-alone"/>
      </w:pPr>
      <w:r>
        <w:t>ЕМФС бе създаден с цел предоставяне на финансова помощ на всички държави членки, изпитващи или сериозно застрашени от тежки икономически или финансови сътресения, причинени от изключителни обстоятелства извън техния контрол. ЕМФС бе използван за предоставяне на финансова помощ, обвързана с провеждането на реформи, на Ирландия и Португалия между 2011 г. и 2014 г. Тази програма изтече и не могат да бъдат теглени допълнителни заеми, но тя продължава да съществува за специфични задачи, като например удължаване на сроковете на заемите, отпуснати на Ирландия и на Португалия, и отпускане на междинни заеми. През февруари 2021 г. Ирландия и Португалия поискаха да бъде удължен срокът за сумите, дължими през юни 2021 г. (4,8 милиарда евро) и септември 2021 г. (5 милиарда евро). През април 2021 г. Комисията взе назаем 4,8 милиарда евро, за да поднови заемите, дължими през юни 2021 г., които бяха удължени с 15 години.</w:t>
      </w:r>
    </w:p>
    <w:p>
      <w:pPr>
        <w:pStyle w:val="DGTextstand-alone"/>
      </w:pPr>
      <w:r>
        <w:t>През 2020 г. не бяха осъществени нови операции, нито бяха погасени заеми.</w:t>
      </w:r>
    </w:p>
    <w:p>
      <w:pPr>
        <w:pStyle w:val="DGTextstand-alone"/>
        <w:rPr>
          <w:color w:val="016794"/>
        </w:rPr>
      </w:pPr>
      <w:r>
        <w:rPr>
          <w:color w:val="016794"/>
        </w:rPr>
        <w:t>МФП</w:t>
      </w:r>
    </w:p>
    <w:p>
      <w:pPr>
        <w:pStyle w:val="DGTextstand-alone"/>
      </w:pPr>
      <w:r>
        <w:t>Програмата за макрофинансова помощ (МФП) е форма на финансова помощ, предоставяна от ЕС на партньорски държави извън ЕС, които изпитват криза с платежния си баланс. Тя се осъществява под формата на средносрочни/дългосрочни заеми или безвъзмездни средства, или на комбинация от тях, и се предоставя само на държави, включени в програма на МВФ, по която се предоставя помощ.</w:t>
      </w:r>
    </w:p>
    <w:p>
      <w:pPr>
        <w:pStyle w:val="DGTextstand-alone"/>
      </w:pPr>
      <w:r>
        <w:t>През 2020 г. Комисията прие предложение за пакет за МФП на стойност 3 милиарда евро за десет държави, обхванати от процеса на разширяване, и съседни държави, за да им се помогне да ограничат неблагоприятните икономически последици от пандемията от коронавируса. Европейският парламент и Съветът приеха решението на 25 май 2020 г.</w:t>
      </w:r>
    </w:p>
    <w:p>
      <w:pPr>
        <w:pStyle w:val="DGTextstand-alone"/>
        <w:rPr>
          <w:i/>
        </w:rPr>
      </w:pPr>
      <w:r>
        <w:t>Общо 1,7 милиарда евро бяха изплатени през 2020 г. по линия на програмата за МФП.</w:t>
      </w:r>
    </w:p>
    <w:p>
      <w:pPr>
        <w:pStyle w:val="DGTextstand-alone"/>
        <w:rPr>
          <w:color w:val="016794"/>
        </w:rPr>
      </w:pPr>
      <w:r>
        <w:rPr>
          <w:color w:val="016794"/>
        </w:rPr>
        <w:t>ПБ</w:t>
      </w:r>
    </w:p>
    <w:p>
      <w:pPr>
        <w:pStyle w:val="DGTextstand-alone"/>
      </w:pPr>
      <w:r>
        <w:t xml:space="preserve">ПБ е програма за подпомагане, предназначена за държави извън еврозоната, които изпитват или са застрашени от трудности по отношение на платежния си баланс. Подкрепата за ПБ се осъществява под формата на средносрочни заеми, обвързани с изпълнението на политики, целящи да се намери решение на съществуващите икономически проблеми. Обикновено подкрепата за платежния баланс от ЕС се предлага в сътрудничество с Международния валутен фонд (МВФ) и други международни институции или държави. </w:t>
      </w:r>
    </w:p>
    <w:p>
      <w:pPr>
        <w:pStyle w:val="DGTextstand-alone"/>
      </w:pPr>
      <w:r>
        <w:t>През 2020 г. не бяха осъществени нови операции, нито бяха погасени заеми.</w:t>
      </w:r>
    </w:p>
    <w:p>
      <w:pPr>
        <w:pStyle w:val="HEADER2Part4"/>
        <w:numPr>
          <w:ilvl w:val="1"/>
          <w:numId w:val="40"/>
        </w:numPr>
        <w:rPr>
          <w:rFonts w:eastAsia="Calibri"/>
        </w:rPr>
      </w:pPr>
      <w:bookmarkStart w:id="45" w:name="_Toc75518092"/>
      <w:r>
        <w:t>Бюджетни условни пасиви във връзка с програмите за финансова помощ</w:t>
      </w:r>
      <w:bookmarkEnd w:id="45"/>
    </w:p>
    <w:p>
      <w:pPr>
        <w:pStyle w:val="DGTextstand-alone"/>
      </w:pPr>
      <w:r>
        <w:t xml:space="preserve">Получените заеми на ЕС представляват преки и безусловни задължения на ЕС и се гарантират от държавите — членки на ЕС (бюджетни условни пасиви). Заемите, взети с цел финансиране на заеми за държави извън ЕС, попадат в обхвата на Гаранционния фонд за външни дейности. Ако държава членка бенефициер не изпълни задълженията си по заем, ако е възможно, дългът се изплаща от средствата, с които разполага Комисията. Ако това не е възможно в този момент, Комисията взема необходимите средства от държавите членки. Съгласно законодателството на ЕС за собствените ресурси (член 14 от Регламент № 609/2014 на Съвета) държавите — членки на ЕС, са правно задължени да осигуряват достатъчно средства за изпълняване на задълженията на ЕС. Поради това инвеститорите са изложени само на кредитния риск на ЕС, а не на този на бенефициера, на който са отпуснати финансираните заеми. Благодарение на отпускането на заеми „бек-ту-бек“ бюджетът на ЕС не поема никакъв лихвен или валутен риск. </w:t>
      </w:r>
    </w:p>
    <w:p>
      <w:pPr>
        <w:pStyle w:val="DGTextstand-alone"/>
      </w:pPr>
      <w:r>
        <w:t>Заемите, предоставени на държавите членки по линия на инструмента SURE, са подкрепени от система от доброволни гаранции от държавите членки в размер на 25 % от максималния размер на финансовата помощ. Участието на всяка държава членка в общия размер на гаранцията съответства на нейния относителен дял от общия брутен национален доход (БНД) на Европейския съюз въз основа на бюджета на ЕС за 2020 г.</w:t>
      </w:r>
    </w:p>
    <w:p>
      <w:pPr>
        <w:pStyle w:val="DGTextstand-alone"/>
      </w:pPr>
      <w:r>
        <w:t>За всяка програма за дадена държава в решенията на Европейския парламент, на Съвета и на Комисията се определят общата отпусната сума, броят на траншовете, които трябва да се платят, и максималният (среден) срок на пакета от заеми. Впоследствие Комисията и съответната държава членка се договарят относно параметрите на заема/финансирането, и по-специално срока на траншовете. Освен това всички части от заема освен първата зависят от спазването на условията на политиката в контекста на съвместна финансова помощ от ЕС и МВФ, което е друг фактор, влияещ на момента на извършване на операциите по финансиране. Това означава, че моментът на емитиране и сроковете зависят от съответните дейности на ЕС по отпускане на заеми. Финансирането се извършва само в евро, а сроковете варират от 3 до 30 години.</w:t>
      </w:r>
    </w:p>
    <w:p>
      <w:pPr>
        <w:pStyle w:val="HEADER1Part4"/>
        <w:numPr>
          <w:ilvl w:val="0"/>
          <w:numId w:val="40"/>
        </w:numPr>
        <w:rPr>
          <w:noProof/>
        </w:rPr>
      </w:pPr>
      <w:r>
        <w:rPr>
          <w:noProof/>
        </w:rPr>
        <w:br w:type="page"/>
      </w:r>
      <w:bookmarkStart w:id="46" w:name="_Toc75518093"/>
      <w:r>
        <w:rPr>
          <w:noProof/>
        </w:rPr>
        <w:t>АНАЛИЗ НА ФИНАНСОВИТЕ ОТЧЕТИ</w:t>
      </w:r>
      <w:bookmarkEnd w:id="46"/>
    </w:p>
    <w:p>
      <w:pPr>
        <w:pStyle w:val="HEADER2Part4"/>
        <w:numPr>
          <w:ilvl w:val="1"/>
          <w:numId w:val="40"/>
        </w:numPr>
      </w:pPr>
      <w:bookmarkStart w:id="47" w:name="_Toc75518094"/>
      <w:r>
        <w:t>ПРИХОДИ</w:t>
      </w:r>
      <w:bookmarkEnd w:id="47"/>
    </w:p>
    <w:p>
      <w:pPr>
        <w:pStyle w:val="DGTextstand-alone"/>
        <w:rPr>
          <w:highlight w:val="lightGray"/>
        </w:rPr>
      </w:pPr>
      <w:r>
        <w:t>Консолидираните приходи на ЕС включват сумите, свързани с операции с размяна и операции без размяна, като операциите без размяна са най-съществени. Петгодишната тенденция на основните категории приходи от операции без размяна (включващи ресурсите от БНД, традиционните собствени ресурси, ресурсите от ДДС, глобите и събирането на разходи и изключващи еднократния ефект на приходите, свързани с оттеглянето на Обединеното кралство от ЕС през 2020 г.) е, както следва:</w:t>
      </w:r>
    </w:p>
    <w:p>
      <w:pPr>
        <w:pStyle w:val="HEADER5"/>
        <w:rPr>
          <w:b/>
          <w:noProof/>
        </w:rPr>
      </w:pPr>
      <w:r>
        <w:rPr>
          <w:noProof/>
        </w:rPr>
        <w:t>Петгодишна тенденция на приходите от основните операции без размяна (в милиони евро)</w:t>
      </w:r>
      <w:r>
        <w:rPr>
          <w:noProof/>
          <w:lang w:eastAsia="en-US"/>
        </w:rPr>
        <w:t xml:space="preserve"> </w:t>
      </w:r>
      <w:r>
        <w:rPr>
          <w:noProof/>
          <w:lang w:val="en-US" w:eastAsia="en-US"/>
        </w:rPr>
        <w:pict>
          <v:shape id="_x0000_i1059" type="#_x0000_t75" style="width:442.5pt;height:236.25pt;visibility:visible;mso-wrap-style:square">
            <v:imagedata r:id="rId38" o:title=""/>
          </v:shape>
        </w:pict>
      </w:r>
    </w:p>
    <w:p>
      <w:pPr>
        <w:pStyle w:val="DGTextstand-alone"/>
        <w:spacing w:before="0"/>
        <w:jc w:val="center"/>
        <w:rPr>
          <w:color w:val="016794"/>
          <w:spacing w:val="-6"/>
          <w:sz w:val="14"/>
        </w:rPr>
      </w:pPr>
      <w:r>
        <w:rPr>
          <w:color w:val="016794"/>
          <w:spacing w:val="-6"/>
          <w:sz w:val="14"/>
        </w:rPr>
        <w:t>*Като се изключат приходите от операции без размяна, свързани с оттеглянето на Обединеното кралство от ЕС (47 456 милиона евро)</w:t>
      </w:r>
    </w:p>
    <w:p>
      <w:pPr>
        <w:pStyle w:val="DGTextstand-alone"/>
        <w:spacing w:before="0"/>
        <w:rPr>
          <w:color w:val="016794"/>
        </w:rPr>
      </w:pPr>
    </w:p>
    <w:p>
      <w:pPr>
        <w:pStyle w:val="DGTextstand-alone"/>
        <w:rPr>
          <w:spacing w:val="-6"/>
        </w:rPr>
      </w:pPr>
      <w:r>
        <w:rPr>
          <w:spacing w:val="-6"/>
        </w:rPr>
        <w:t>Тъй като бюджетните приходи следва да са равни на (или да превишават) бюджетните разходи, основният двигател на тенденцията на приходите, показана по-горе, са извършените всяка година плащания.</w:t>
      </w:r>
    </w:p>
    <w:p>
      <w:pPr>
        <w:pStyle w:val="DGTextstand-alone"/>
        <w:rPr>
          <w:spacing w:val="-6"/>
        </w:rPr>
      </w:pPr>
      <w:r>
        <w:rPr>
          <w:spacing w:val="-6"/>
        </w:rPr>
        <w:t xml:space="preserve">През 2020 г. консолидираните приходи възлизаха на 224,0 милиарда евро, което представлява значително увеличение с 63,7 милиарда евро, или 39,7 %, в сравнение със сумата за предходната година — 160,3 милиарда евро. Основната причина за тази промяна бе финансовият ефект от оттеглянето на Обединеното кралство от Европейския съюз (47,5 милиарда евро). Ако бъдат коригирани с този еднократен ефект, консолидираните приходи за 2020 г. възлизат на 176,5 милиарда евро, което продължава да представлява увеличение с 16,2 милиарда евро, или 10,1 %, в сравнение с предходната година. Това коригирано увеличение се дължи предимно на следните ефекти: </w:t>
      </w:r>
    </w:p>
    <w:p>
      <w:pPr>
        <w:pStyle w:val="DGTextstand-alone"/>
        <w:numPr>
          <w:ilvl w:val="0"/>
          <w:numId w:val="20"/>
        </w:numPr>
        <w:pBdr>
          <w:top w:val="nil"/>
          <w:left w:val="nil"/>
          <w:bottom w:val="nil"/>
          <w:right w:val="nil"/>
          <w:between w:val="nil"/>
          <w:bar w:val="nil"/>
        </w:pBdr>
        <w:spacing w:before="120" w:after="120"/>
      </w:pPr>
      <w:r>
        <w:t>Приходите от БНД (брутен национален доход) — основният елемент от оперативните приходи на ЕС — нараснаха от 108,8 милиарда евро през 2019 г. на 125,4 милиарда евро през 2020 г. Увеличението с 16,6 милиарда евро, или 15,3 %, се дължеше предимно на нарасналите нужди от бюджетни кредити за плащания за 2020 г., предназначени за подсилване на основните политики на ЕС, напр. стратегията за ваксини срещу COVID-19 (изпълнявана чрез Инструмента за спешна подкрепа) и сферата на сближаването (чрез приемане на Инвестиционната инициатива в отговор на коронавируса — плюс).</w:t>
      </w:r>
    </w:p>
    <w:p>
      <w:pPr>
        <w:pStyle w:val="DGTextstand-alone"/>
        <w:numPr>
          <w:ilvl w:val="0"/>
          <w:numId w:val="20"/>
        </w:numPr>
        <w:pBdr>
          <w:top w:val="nil"/>
          <w:left w:val="nil"/>
          <w:bottom w:val="nil"/>
          <w:right w:val="nil"/>
          <w:between w:val="nil"/>
          <w:bar w:val="nil"/>
        </w:pBdr>
        <w:spacing w:before="120" w:after="120"/>
      </w:pPr>
      <w:r>
        <w:t>Другите приходи от операции без размяна нараснаха от 2,1  милиарда евро през 2019 г. на 7,1 милиарда евро през 2020 г. Увеличението от 5,0 милиарда евро се дължеше предимно на приноса на държавите членки към Фонда за иновации, който започна да функционира през 2020 г. (2,1 милиарда евро), на увеличение на бюджетния излишък, взет от предходната година (3,2 милиарда евро за 2020 г. спрямо 1,8 милиарда евро за 2019 г.), както и на принос на държавите членки в размер на 0,8 милиарда евро за допълване на Инструмента за спешна подкрепа (ИСП).</w:t>
      </w:r>
    </w:p>
    <w:p>
      <w:pPr>
        <w:pStyle w:val="DGTextstand-alone"/>
        <w:numPr>
          <w:ilvl w:val="0"/>
          <w:numId w:val="20"/>
        </w:numPr>
        <w:pBdr>
          <w:top w:val="nil"/>
          <w:left w:val="nil"/>
          <w:bottom w:val="nil"/>
          <w:right w:val="nil"/>
          <w:between w:val="nil"/>
          <w:bar w:val="nil"/>
        </w:pBdr>
        <w:spacing w:before="120" w:after="120"/>
      </w:pPr>
      <w:r>
        <w:br w:type="page"/>
        <w:t>Финансовите приходи нараснаха от 1,8 милиарда евро през 2019 г. на 3,4 милиарда евро през 2020 г. Увеличението с 1,6 милиарда евро, или 88,9 %, се дължеше предимно на увеличението на лихвите за забава, по-конкретно за случаите във връзка с ТСР на Обединеното кралство (0,5 милиарда евро) и случаи, несвързани с Обединеното кралство (0,5 милиарда евро), както и на приходите от премии по облигации, свързани с инструмента SURE (0,7 милиарда евро).</w:t>
      </w:r>
    </w:p>
    <w:p>
      <w:pPr>
        <w:pStyle w:val="DGTextstand-alone"/>
        <w:numPr>
          <w:ilvl w:val="0"/>
          <w:numId w:val="20"/>
        </w:numPr>
        <w:pBdr>
          <w:top w:val="nil"/>
          <w:left w:val="nil"/>
          <w:bottom w:val="nil"/>
          <w:right w:val="nil"/>
          <w:between w:val="nil"/>
          <w:bar w:val="nil"/>
        </w:pBdr>
        <w:spacing w:before="120" w:after="120"/>
      </w:pPr>
      <w:r>
        <w:t>Приходите от глоби намаляха от 4,3  милиарда евро през 2019 г. на 0,5 милиарда евро през 2020 г. Намалението с 3,8 милиарда евро, или 88,4 %, се дължеше както на по-малкия брой, така и на по-ниския размер на глобите, наложени през 2020 г. Докато през 2020 г. основните глоби възлизаха на общо 0,26 милиарда евро (Orbia, Clariant и Celanese), най-големите случаи през 2019 г. възлизаха на 3,1 милиарда евро (Google, два случая, свързани с Forex, и MasterCard).</w:t>
      </w:r>
    </w:p>
    <w:p>
      <w:pPr>
        <w:pStyle w:val="DGTextstand-alone"/>
      </w:pPr>
      <w:r>
        <w:t>Посочените по-горе промени бяха балансирани от намаляване на приходите от традиционни собствени ресурси от 21,2 милиарда евро през 2019 г. на 19,6 милиарда евро през 2020 г. (намаление с 1,6 милиарда евро, или 7,5 %) и от намаляване на финансовите събирания от 2,6 милиарда евро през 2019 г. на 1,4 милиарда евро през 2020 г. (намаление с 1,2 милиарда евро, или 46,2 %).</w:t>
      </w:r>
    </w:p>
    <w:p>
      <w:pPr>
        <w:pStyle w:val="HEADER2Part4"/>
        <w:numPr>
          <w:ilvl w:val="1"/>
          <w:numId w:val="40"/>
        </w:numPr>
      </w:pPr>
      <w:bookmarkStart w:id="48" w:name="_Toc75518095"/>
      <w:r>
        <w:t>РАЗХОДИ</w:t>
      </w:r>
      <w:bookmarkEnd w:id="48"/>
    </w:p>
    <w:p>
      <w:pPr>
        <w:pStyle w:val="DGTextstand-alone"/>
      </w:pPr>
      <w:r>
        <w:t>Основният компонент на разходите, признати в консолидираните финансови отчети, са трансферните плащания в рамките на споделеното управление, което обхваща следните фондове: i) Европейския фонд за гарантиране на земеделието (ЕФГЗ), ii) Европейския земеделски фонд за развитие на селските райони (ЕЗФРСР) и други инструменти за развитие на селските райони, iii) Европейския фонд за регионално развитие (ЕФРР) и Кохезионния фонд (КФ), както и iv) Европейския социален фонд (ЕСФ). Тези фондове съставляваха 109,7 милиарда евро, или 65,9 %, от общите разходи в размер на 166,6 милиарда евро, направени през 2020 г. (2019 г.: 103,9 милиарда евро, или 66,8 %). Разпределението на разходите е посочено в графиката по-долу:</w:t>
      </w:r>
    </w:p>
    <w:p>
      <w:pPr>
        <w:pStyle w:val="DGTextstand-alone"/>
        <w:rPr>
          <w:color w:val="016794"/>
        </w:rPr>
      </w:pPr>
      <w:r>
        <w:rPr>
          <w:color w:val="016794"/>
        </w:rPr>
        <w:t>Относително тегло на основните разходи, изпълнени от държавите членки (споделено управление), за 2020 финансова година:</w:t>
      </w:r>
    </w:p>
    <w:p>
      <w:pPr>
        <w:pStyle w:val="DGTextstand-alone"/>
        <w:jc w:val="center"/>
      </w:pPr>
      <w:r>
        <w:rPr>
          <w:lang w:val="en-US"/>
        </w:rPr>
        <w:pict>
          <v:shape id="_x0000_i1060" type="#_x0000_t75" style="width:378pt;height:211.5pt;visibility:visible;mso-wrap-style:square">
            <v:imagedata r:id="rId39" o:title=""/>
          </v:shape>
        </w:pict>
      </w:r>
    </w:p>
    <w:p>
      <w:pPr>
        <w:pStyle w:val="DGTextstand-alone"/>
      </w:pPr>
      <w:r>
        <w:t>Разходите, направени при прякото управление, представляват изпълнението на бюджета от Комисията, изпълнителните агенции и доверителните фондове. При непрякото управление бюджетът се изпълнява от агенции на ЕС, органи на ЕС, трети държави, международни организации и други субекти.</w:t>
      </w:r>
    </w:p>
    <w:p>
      <w:pPr>
        <w:pStyle w:val="DGTextstand-alone"/>
      </w:pPr>
      <w:r>
        <w:t>ЕС признава определени бъдещи задължения за плащане като разходи, дори когато все още не са отразени в бюджетните сметки на касова основа. Съществените суми са посочени при задълженията и начислените разходи за земеделието и развитието на селските райони и също при задълженията, свързани с пенсиите и доходите на наети лица, във връзка с пенсионните и други права след напускане, придобити от членовете на Комисията, членовете на институциите на ЕС и персонала.</w:t>
      </w:r>
    </w:p>
    <w:p>
      <w:pPr>
        <w:pStyle w:val="DGTextstand-alone"/>
      </w:pPr>
      <w:r>
        <w:t>Като цяло разходите нараснаха със 7,1 %, или 11,1 милиарда евро, от 155,5 милиарда евро на 166,6 милиарда евро в сравнение с 2019 г., което се дължи предимно на следните ефекти:</w:t>
      </w:r>
    </w:p>
    <w:p>
      <w:pPr>
        <w:pStyle w:val="DGTextstand-alone"/>
        <w:numPr>
          <w:ilvl w:val="0"/>
          <w:numId w:val="20"/>
        </w:numPr>
        <w:pBdr>
          <w:top w:val="nil"/>
          <w:left w:val="nil"/>
          <w:bottom w:val="nil"/>
          <w:right w:val="nil"/>
          <w:between w:val="nil"/>
          <w:bar w:val="nil"/>
        </w:pBdr>
        <w:spacing w:before="120" w:after="120"/>
      </w:pPr>
      <w:r>
        <w:t>Разходите по ЕФРР и КФ нараснаха от 35,2 милиарда евро през 2019 г. на 41,1 милиарда евро през 2020 г. Увеличението с 5,9 милиарда евро, или 16,8 %, се дължеше на по-доброто изпълнение на програмите с напредването на МФР.</w:t>
      </w:r>
    </w:p>
    <w:p>
      <w:pPr>
        <w:pStyle w:val="DGTextstand-alone"/>
        <w:numPr>
          <w:ilvl w:val="0"/>
          <w:numId w:val="20"/>
        </w:numPr>
        <w:pBdr>
          <w:top w:val="nil"/>
          <w:left w:val="nil"/>
          <w:bottom w:val="nil"/>
          <w:right w:val="nil"/>
          <w:between w:val="nil"/>
          <w:bar w:val="nil"/>
        </w:pBdr>
        <w:spacing w:before="120" w:after="120"/>
      </w:pPr>
      <w:r>
        <w:t>Разходите по ЕСФ нараснаха от 11,2 милиарда евро през 2019 г. на 13,7 милиарда евро през 2020 г. Увеличението с 2,5 милиарда евро, или 22,3 %, се дължеше предимно на засиленото изпълнение.</w:t>
      </w:r>
    </w:p>
    <w:p>
      <w:pPr>
        <w:pStyle w:val="DGTextstand-alone"/>
        <w:numPr>
          <w:ilvl w:val="0"/>
          <w:numId w:val="20"/>
        </w:numPr>
        <w:pBdr>
          <w:top w:val="nil"/>
          <w:left w:val="nil"/>
          <w:bottom w:val="nil"/>
          <w:right w:val="nil"/>
          <w:between w:val="nil"/>
          <w:bar w:val="nil"/>
        </w:pBdr>
        <w:spacing w:before="120" w:after="120"/>
      </w:pPr>
      <w:r>
        <w:t>Разходите в рамките на прякото управление от Комисията нараснаха от 18,9 милиарда евро през 2019 г. на 22,1 милиарда евро през 2020 г. Увеличението с 3,2 милиарда евро, или 16,9 %, се дължеше предимно на разходите за ваксини срещу COVID-19 (1,6 милиарда евро), както и на разходите по линия на инструментите за съседство и предприсъединителните инструменти (0,6 милиарда евро).</w:t>
      </w:r>
    </w:p>
    <w:p>
      <w:pPr>
        <w:pStyle w:val="DGTextstand-alone"/>
        <w:numPr>
          <w:ilvl w:val="0"/>
          <w:numId w:val="20"/>
        </w:numPr>
        <w:pBdr>
          <w:top w:val="nil"/>
          <w:left w:val="nil"/>
          <w:bottom w:val="nil"/>
          <w:right w:val="nil"/>
          <w:between w:val="nil"/>
          <w:bar w:val="nil"/>
        </w:pBdr>
        <w:spacing w:before="120" w:after="120"/>
      </w:pPr>
      <w:r>
        <w:t>Разходите по ЕФГЗ намаляха от 44,0 милиарда евро през 2019 г. на 40,5 милиарда евро през 2020 г. Намалението с 3,5 милиарда евро, или 8 %, се дължеше предимно на намалението с 2,6 милиарда евро на сумите, заявени за преки плащания, насочени към подпомагане на доходите на земеделските стопанства.</w:t>
      </w:r>
    </w:p>
    <w:p>
      <w:pPr>
        <w:pStyle w:val="HEADER2Part4"/>
        <w:numPr>
          <w:ilvl w:val="1"/>
          <w:numId w:val="40"/>
        </w:numPr>
      </w:pPr>
      <w:bookmarkStart w:id="49" w:name="_Toc75518096"/>
      <w:r>
        <w:t>АКТИВИ</w:t>
      </w:r>
      <w:bookmarkEnd w:id="49"/>
    </w:p>
    <w:p>
      <w:pPr>
        <w:pStyle w:val="DGTextstand-alone"/>
        <w:rPr>
          <w:highlight w:val="lightGray"/>
        </w:rPr>
      </w:pPr>
      <w:r>
        <w:t>Най-важните позиции при активите в счетоводния баланс са свързани с финансовите активи (различни от парите и паричните еквиваленти), които съставляват 40,4 % от общите активи на ЕС, следвани от вземанията и предварителното финансиране, чиито проценти са съответно 26,6 % и 22,4 %:</w:t>
      </w:r>
    </w:p>
    <w:p>
      <w:pPr>
        <w:pStyle w:val="DGTextstand-alone"/>
        <w:rPr>
          <w:color w:val="016794"/>
        </w:rPr>
      </w:pPr>
      <w:r>
        <w:rPr>
          <w:color w:val="016794"/>
        </w:rPr>
        <w:t>Състав на консолидираните активи на ЕС</w:t>
      </w:r>
    </w:p>
    <w:p>
      <w:pPr>
        <w:jc w:val="center"/>
        <w:rPr>
          <w:rFonts w:ascii="Verdana" w:hAnsi="Verdana"/>
          <w:noProof/>
          <w:color w:val="016794"/>
          <w:sz w:val="18"/>
          <w:szCs w:val="18"/>
        </w:rPr>
      </w:pPr>
      <w:r>
        <w:rPr>
          <w:noProof/>
          <w:lang w:val="en-US" w:eastAsia="en-US"/>
        </w:rPr>
        <w:pict>
          <v:shape id="_x0000_i1061" type="#_x0000_t75" style="width:457.5pt;height:247.5pt;visibility:visible;mso-wrap-style:square">
            <v:imagedata r:id="rId40" o:title=""/>
          </v:shape>
        </w:pict>
      </w:r>
    </w:p>
    <w:p>
      <w:pPr>
        <w:pStyle w:val="DGTextstand-alone"/>
      </w:pPr>
      <w:r>
        <w:t xml:space="preserve">Към 31 декември 2020 г. активите възлизаха на общо 280,0 милиарда евро, което е със 101,1 милиарда евро, или 56,5 %, повече спрямо предходната година (2019 г.: 178,9 милиарда евро), главно поради следните основни промени: </w:t>
      </w:r>
    </w:p>
    <w:p>
      <w:pPr>
        <w:pStyle w:val="DGTextstand-alone"/>
        <w:numPr>
          <w:ilvl w:val="0"/>
          <w:numId w:val="20"/>
        </w:numPr>
        <w:pBdr>
          <w:top w:val="nil"/>
          <w:left w:val="nil"/>
          <w:bottom w:val="nil"/>
          <w:right w:val="nil"/>
          <w:between w:val="nil"/>
          <w:bar w:val="nil"/>
        </w:pBdr>
        <w:spacing w:before="120" w:after="120"/>
      </w:pPr>
      <w:r>
        <w:t xml:space="preserve">Вземанията нараснаха от 24,0 милиарда евро през 2019 г. на 74,5 милиарда евро през 2020 г. Значителното увеличение с 50,5 милиарда евро се дължи предимно на оттеглянето на Обединеното кралство от Европейския съюз и на генерираното от това вземане (47,5 милиарда евро). </w:t>
      </w:r>
    </w:p>
    <w:p>
      <w:pPr>
        <w:pStyle w:val="DGTextstand-alone"/>
        <w:numPr>
          <w:ilvl w:val="0"/>
          <w:numId w:val="20"/>
        </w:numPr>
        <w:pBdr>
          <w:top w:val="nil"/>
          <w:left w:val="nil"/>
          <w:bottom w:val="nil"/>
          <w:right w:val="nil"/>
          <w:between w:val="nil"/>
          <w:bar w:val="nil"/>
        </w:pBdr>
        <w:spacing w:before="120" w:after="120"/>
      </w:pPr>
      <w:r>
        <w:t>Заемите нараснаха от 52,7 милиарда евро през 2019 г. на 93,3 милиарда евро през 2020 г. Значителното увеличение от 40,6 милиарда евро, или 77,0 %, отразява предимно отпускането на заеми за финансова помощ по инструмента SURE (39,5 милиарда евро).</w:t>
      </w:r>
    </w:p>
    <w:p>
      <w:pPr>
        <w:pStyle w:val="DGTextstand-alone"/>
        <w:numPr>
          <w:ilvl w:val="0"/>
          <w:numId w:val="20"/>
        </w:numPr>
        <w:pBdr>
          <w:top w:val="nil"/>
          <w:left w:val="nil"/>
          <w:bottom w:val="nil"/>
          <w:right w:val="nil"/>
          <w:between w:val="nil"/>
          <w:bar w:val="nil"/>
        </w:pBdr>
        <w:spacing w:before="120" w:after="120"/>
      </w:pPr>
      <w:r>
        <w:t>Предварителното финансиране нарасна от 51,4 милиарда евро през 2019 г. на 62,7 милиарда евро през 2020 г. Увеличението с 11,3 милиарда евро, или 22,0 %, се дължи предимно на несъбирането през 2020 г. на годишното предварително финансиране за 2019 г. като част от мерките по инвестиционните инициативи в отговор на коронавируса (6,6 милиарда евро) и на предварителното финансиране, платено за разработването на ваксини за справяне с пандемията от COVID-19 (1 милиард евро).</w:t>
      </w:r>
    </w:p>
    <w:p>
      <w:pPr>
        <w:pStyle w:val="DGTextstand-alone"/>
      </w:pPr>
      <w:r>
        <w:t>Паричната наличност от 16,7 милиарда евро към края на годината включва следните основни елементи:</w:t>
      </w:r>
    </w:p>
    <w:p>
      <w:pPr>
        <w:pStyle w:val="DGTextstand-alone"/>
        <w:numPr>
          <w:ilvl w:val="0"/>
          <w:numId w:val="20"/>
        </w:numPr>
        <w:pBdr>
          <w:top w:val="nil"/>
          <w:left w:val="nil"/>
          <w:bottom w:val="nil"/>
          <w:right w:val="nil"/>
          <w:between w:val="nil"/>
          <w:bar w:val="nil"/>
        </w:pBdr>
        <w:spacing w:before="120" w:after="120"/>
      </w:pPr>
      <w:r>
        <w:t>Сума в размер на 9,4 милиарда евро плащания, които все още не са извършени към края на годината, от които 7,9 милиарда евро са свързани с целеви приходи. Целевите приходи включват 1,3 милиарда евро парични средства, набрани от продажбата на квоти за емисии и събрани от ЕИБ, след като са били разпределени от държавите членки за Фонда за иновации.</w:t>
      </w:r>
    </w:p>
    <w:p>
      <w:pPr>
        <w:pStyle w:val="DGTextstand-alone"/>
        <w:numPr>
          <w:ilvl w:val="0"/>
          <w:numId w:val="20"/>
        </w:numPr>
        <w:pBdr>
          <w:top w:val="nil"/>
          <w:left w:val="nil"/>
          <w:bottom w:val="nil"/>
          <w:right w:val="nil"/>
          <w:between w:val="nil"/>
          <w:bar w:val="nil"/>
        </w:pBdr>
        <w:spacing w:before="120" w:after="120"/>
      </w:pPr>
      <w:r>
        <w:t>Сума от 2,4 милиарда евро, предназначена за финансовите инструменти, свързани предимно с паричните еквиваленти, управлявани от доверени лица от името на Комисията с цел изпълнение на конкретни програми по линия на финансови инструменти, финансирани от бюджета на ЕС, и с парите и паричните еквиваленти, държани в гаранционните фондове, свързани с бюджетните гаранции. Средствата, предназначени за финансовите инструменти и гаранционните фондове, могат да се използват само от съответните програми.</w:t>
      </w:r>
    </w:p>
    <w:p>
      <w:pPr>
        <w:pStyle w:val="DGTextstand-alone"/>
        <w:numPr>
          <w:ilvl w:val="0"/>
          <w:numId w:val="20"/>
        </w:numPr>
        <w:pBdr>
          <w:top w:val="nil"/>
          <w:left w:val="nil"/>
          <w:bottom w:val="nil"/>
          <w:right w:val="nil"/>
          <w:between w:val="nil"/>
          <w:bar w:val="nil"/>
        </w:pBdr>
        <w:spacing w:before="120" w:after="120"/>
      </w:pPr>
      <w:r>
        <w:t>Сума в размер на 1,6 милиарда евро, предназначена за агенциите и съвместните предприятия и управлявана от касата на Комисията от името на тези субекти.</w:t>
      </w:r>
    </w:p>
    <w:p>
      <w:pPr>
        <w:pStyle w:val="DGTextstand-alone"/>
        <w:numPr>
          <w:ilvl w:val="0"/>
          <w:numId w:val="20"/>
        </w:numPr>
        <w:pBdr>
          <w:top w:val="nil"/>
          <w:left w:val="nil"/>
          <w:bottom w:val="nil"/>
          <w:right w:val="nil"/>
          <w:between w:val="nil"/>
          <w:bar w:val="nil"/>
        </w:pBdr>
        <w:spacing w:before="120" w:after="120"/>
      </w:pPr>
      <w:r>
        <w:t>Парични средства, свързани с глоби в размер на 1,5 милиарда евро, свързани предимно с парични средства, получени вследствие на глоби, наложени от Комисията, за които случаят все още не е приключил, и — в по-малка степен — с окончателно получени глоби, които ще бъдат прехвърлени в бюджета през следващата година.</w:t>
      </w:r>
    </w:p>
    <w:p>
      <w:pPr>
        <w:pStyle w:val="DGTextstand-alone"/>
        <w:numPr>
          <w:ilvl w:val="0"/>
          <w:numId w:val="20"/>
        </w:numPr>
        <w:pBdr>
          <w:top w:val="nil"/>
          <w:left w:val="nil"/>
          <w:bottom w:val="nil"/>
          <w:right w:val="nil"/>
          <w:between w:val="nil"/>
          <w:bar w:val="nil"/>
        </w:pBdr>
        <w:spacing w:before="120" w:after="120"/>
      </w:pPr>
      <w:r>
        <w:t>Паричните средства, свързани с други консолидирани институции, агенции и органи, в размер на 1,4 милиарда евро.</w:t>
      </w:r>
    </w:p>
    <w:p>
      <w:pPr>
        <w:pStyle w:val="DGTextstand-alone"/>
        <w:rPr>
          <w:color w:val="016794"/>
        </w:rPr>
      </w:pPr>
      <w:r>
        <w:rPr>
          <w:color w:val="016794"/>
        </w:rPr>
        <w:t>Предварително финансиране</w:t>
      </w:r>
    </w:p>
    <w:p>
      <w:pPr>
        <w:pStyle w:val="DGTextstand-alone"/>
      </w:pPr>
      <w:r>
        <w:t>Следва да се отбележи, че равнището на предварителното финансиране се влияе значително от цикъла на МФР — например в началото на даден период на МФР се очаква да бъдат извършени големи авансови плащания към държавите членки в рамките на политиката на сближаване и тези суми остават на разположение на държавите членки до приключването на програмите. Изплаща се и годишно предварително финансиране, което трябва да се използва в рамките на годината или да се възстанови през следващата година като част от годишното приключване на цикъла на сметките. Комисията прави всичко възможно, за да гарантира, че нивата на предварителното финансиране се поддържат на подходящо равнище. Трябва да бъде постигнат баланс между осигуряването на достатъчно финансиране за проектите и своевременното признаване на разходите.</w:t>
      </w:r>
    </w:p>
    <w:p>
      <w:pPr>
        <w:pStyle w:val="DGTextstand-alone"/>
      </w:pPr>
      <w:r>
        <w:t>Общият размер на предварителното финансиране (без другите авансови плащания към държавите членки и средствата, предоставени на доверителния фонд Bêkou и доверителния фонд за Африка) в счетоводния баланс на ЕС възлиза на 55,5 милиарда евро (2019 г.: 44,4 милиарда евро), почти всички от които са свързани с дейности на Комисията. Около 58 % от предварителното финансиране от Комисията се отнасят до споделеното управление, което означава, че изпълнението на бюджета се делегира на държавите членки (Комисията има надзорна функция).</w:t>
      </w:r>
    </w:p>
    <w:p>
      <w:pPr>
        <w:pStyle w:val="DGTextstand-alone"/>
        <w:rPr>
          <w:color w:val="016794"/>
        </w:rPr>
      </w:pPr>
      <w:r>
        <w:br w:type="page"/>
      </w:r>
      <w:r>
        <w:rPr>
          <w:color w:val="016794"/>
        </w:rPr>
        <w:t>Предварително финансиране от Комисията по режими на управление</w:t>
      </w:r>
    </w:p>
    <w:p>
      <w:pPr>
        <w:pStyle w:val="DGTextstand-alone"/>
        <w:jc w:val="center"/>
      </w:pPr>
      <w:r>
        <w:rPr>
          <w:lang w:val="en-US"/>
        </w:rPr>
        <w:pict>
          <v:shape id="_x0000_i1062" type="#_x0000_t75" style="width:483pt;height:116.25pt;visibility:visible;mso-wrap-style:square">
            <v:imagedata r:id="rId41" o:title=""/>
          </v:shape>
        </w:pict>
      </w:r>
    </w:p>
    <w:p>
      <w:pPr>
        <w:pStyle w:val="HEADER2Part4"/>
        <w:numPr>
          <w:ilvl w:val="1"/>
          <w:numId w:val="40"/>
        </w:numPr>
      </w:pPr>
      <w:r>
        <w:br w:type="page"/>
      </w:r>
      <w:bookmarkStart w:id="50" w:name="_Toc75518097"/>
      <w:r>
        <w:t>ПАСИВИ</w:t>
      </w:r>
      <w:bookmarkEnd w:id="50"/>
    </w:p>
    <w:p>
      <w:pPr>
        <w:pStyle w:val="DGTextstand-alone"/>
      </w:pPr>
      <w:r>
        <w:t>Най-съществените позиции от страната на пасивите на счетоводния баланс се състоят предимно от четири позиции: i) пенсионни задължения и други задължения, свързани с доходите след напускане; ii) взети заеми; iii) задължения към трети държави и iv) начислени разходи.</w:t>
      </w:r>
    </w:p>
    <w:p>
      <w:pPr>
        <w:pStyle w:val="HEADER5"/>
        <w:rPr>
          <w:noProof/>
        </w:rPr>
      </w:pPr>
      <w:r>
        <w:rPr>
          <w:noProof/>
        </w:rPr>
        <w:t>Състав на пасивите в консолидирания счетоводен баланс на ЕС</w:t>
      </w:r>
    </w:p>
    <w:p>
      <w:pPr>
        <w:pStyle w:val="HEADER5"/>
        <w:rPr>
          <w:noProof/>
        </w:rPr>
      </w:pPr>
    </w:p>
    <w:p>
      <w:pPr>
        <w:pStyle w:val="HEADER5"/>
        <w:jc w:val="center"/>
        <w:rPr>
          <w:noProof/>
        </w:rPr>
      </w:pPr>
      <w:r>
        <w:rPr>
          <w:noProof/>
          <w:lang w:val="en-US" w:eastAsia="en-US"/>
        </w:rPr>
        <w:pict>
          <v:shape id="Picture 1" o:spid="_x0000_i1063" type="#_x0000_t75" style="width:482.25pt;height:251.25pt;visibility:visible;mso-wrap-style:square">
            <v:imagedata r:id="rId42" o:title=""/>
          </v:shape>
        </w:pict>
      </w:r>
    </w:p>
    <w:p>
      <w:pPr>
        <w:pStyle w:val="HEADER5"/>
        <w:jc w:val="center"/>
        <w:rPr>
          <w:noProof/>
        </w:rPr>
      </w:pPr>
    </w:p>
    <w:p>
      <w:pPr>
        <w:pStyle w:val="DGTextstand-alone"/>
        <w:spacing w:before="120" w:after="120"/>
      </w:pPr>
      <w:r>
        <w:t>Към 31 декември 2020 г. пасивите възлизаха на общо 313,5 милиарда евро, което е с 62,0 милиарда евро, или 24,7 %, повече спрямо предходната година (251,5 милиарда евро).</w:t>
      </w:r>
    </w:p>
    <w:p>
      <w:pPr>
        <w:pStyle w:val="DGTextstand-alone"/>
        <w:spacing w:before="120" w:after="120"/>
      </w:pPr>
      <w:r>
        <w:t>Основните промени бяха свързани със следните последици:</w:t>
      </w:r>
    </w:p>
    <w:p>
      <w:pPr>
        <w:pStyle w:val="DGTextstand-alone"/>
        <w:numPr>
          <w:ilvl w:val="0"/>
          <w:numId w:val="20"/>
        </w:numPr>
        <w:pBdr>
          <w:top w:val="nil"/>
          <w:left w:val="nil"/>
          <w:bottom w:val="nil"/>
          <w:right w:val="nil"/>
          <w:between w:val="nil"/>
          <w:bar w:val="nil"/>
        </w:pBdr>
        <w:spacing w:before="120" w:after="120"/>
      </w:pPr>
      <w:r>
        <w:t>Пенсиите и другите доходи след напускане нараснаха от 97,7 милиарда евро през 2019 г. на 116,0 милиарда евро през 2020 г. Увеличението с 18,3 милиарда евро, или 18,7 %, се дължеше предимно на актюерската загуба вследствие на финансовите предположения, причинена от допълнително значително намаляване на дисконтовия процент.</w:t>
      </w:r>
    </w:p>
    <w:p>
      <w:pPr>
        <w:pStyle w:val="DGTextstand-alone"/>
        <w:numPr>
          <w:ilvl w:val="0"/>
          <w:numId w:val="20"/>
        </w:numPr>
        <w:pBdr>
          <w:top w:val="nil"/>
          <w:left w:val="nil"/>
          <w:bottom w:val="nil"/>
          <w:right w:val="nil"/>
          <w:between w:val="nil"/>
          <w:bar w:val="nil"/>
        </w:pBdr>
        <w:spacing w:before="120" w:after="120"/>
        <w:ind w:left="714" w:hanging="357"/>
      </w:pPr>
      <w:r>
        <w:t>Взетите заеми нараснаха от 52,6 милиарда евро през 2019 г. на 93,2 милиарда евро през 2020 г. Увеличението с 40,6 милиарда евро, или 77,2 %, отразява предимно емисията по инструмента SURE в размер на 39,5 милиарда евро към края на 2020 г.</w:t>
      </w:r>
    </w:p>
    <w:p>
      <w:pPr>
        <w:pStyle w:val="DGTextstand-alone"/>
        <w:numPr>
          <w:ilvl w:val="0"/>
          <w:numId w:val="20"/>
        </w:numPr>
        <w:pBdr>
          <w:top w:val="nil"/>
          <w:left w:val="nil"/>
          <w:bottom w:val="nil"/>
          <w:right w:val="nil"/>
          <w:between w:val="nil"/>
          <w:bar w:val="nil"/>
        </w:pBdr>
        <w:spacing w:before="120"/>
      </w:pPr>
      <w:r>
        <w:t>Задълженията нараснаха от 27,2 милиарда евро през 2019 г. на 32,4 милиарда евро през 2020 г. Увеличението с 5,2 милиарда евро, или 19,1 %, се дължи предимно на неприключените декларации за направени разходи за периода 2014—2020 г. на МФР, които бяха получени точно в края на годината и не бяха обработени или платени поради липсата на бюджетни кредити за плащания.</w:t>
      </w:r>
    </w:p>
    <w:p>
      <w:pPr>
        <w:pStyle w:val="DGTextstand-alone"/>
        <w:spacing w:after="0"/>
        <w:rPr>
          <w:color w:val="016794"/>
        </w:rPr>
      </w:pPr>
      <w:r>
        <w:rPr>
          <w:color w:val="016794"/>
        </w:rPr>
        <w:br w:type="page"/>
        <w:t>Общо получени декларации за направени разходи и фактури, признати в счетоводния баланс в позицията за задълженията</w:t>
      </w:r>
    </w:p>
    <w:p>
      <w:pPr>
        <w:pStyle w:val="DGTextstand-alone"/>
        <w:spacing w:after="0"/>
        <w:rPr>
          <w:color w:val="016794"/>
          <w:lang w:eastAsia="en-GB"/>
        </w:rPr>
      </w:pPr>
    </w:p>
    <w:p>
      <w:pPr>
        <w:pStyle w:val="HEADER5"/>
        <w:jc w:val="center"/>
        <w:rPr>
          <w:noProof/>
        </w:rPr>
      </w:pPr>
      <w:r>
        <w:rPr>
          <w:noProof/>
          <w:lang w:val="en-US" w:eastAsia="en-US"/>
        </w:rPr>
        <w:pict>
          <v:shape id="_x0000_i1064" type="#_x0000_t75" style="width:369pt;height:208.5pt;visibility:visible;mso-wrap-style:square">
            <v:imagedata r:id="rId43" o:title=""/>
          </v:shape>
        </w:pict>
      </w:r>
    </w:p>
    <w:p>
      <w:pPr>
        <w:pStyle w:val="DGTextstand-alone"/>
        <w:rPr>
          <w:color w:val="016794"/>
        </w:rPr>
      </w:pPr>
      <w:r>
        <w:rPr>
          <w:color w:val="016794"/>
        </w:rPr>
        <w:t>Нетни активи</w:t>
      </w:r>
    </w:p>
    <w:p>
      <w:pPr>
        <w:pStyle w:val="DGTextstand-alone"/>
        <w:spacing w:after="480"/>
      </w:pPr>
      <w:r>
        <w:t>Това, че пасивите надвишават активите, не означава, че институциите и органите на ЕС са в затруднено финансово положение, а по-скоро, че някои задължения ще бъдат финансирани от бъдещи годишни бюджети. Много разходи се признават по правилата за счетоводна отчетност на базата на текущо начисляване през текущата година, въпреки че могат в действителност да бъдат платени през следващата или по-късни години и да бъдат финансирани от бъдещи бюджети. Съответните приходи ще бъдат отчетени едва през бъдещи периоди. Най-значителните суми, които трябва да бъдат изтъкнати, са дейностите по линия на ЕФГЗ (по-голямата част от които обикновено се плащат през първото тримесечие на следващата година) и задължениeтo, свързанo с доходите на наети лица (коeто ще бъде изплащано в продължение на няколко десетилетия). Значителното намаление на сумите, които трябва да бъдат поискани от държавите членки, от 77,6 милиарда евро през 2019 г. на 38,5 милиарда евро през 2020 г. се дължи предимно на приходите, свързани с нетните суми, дължими от Обединеното кралство съгласно СО, подписано след излизането му от Съюза през 2020 г. — вж. бележка </w:t>
      </w:r>
      <w:r>
        <w:rPr>
          <w:b/>
        </w:rPr>
        <w:t>2.6.1.2</w:t>
      </w:r>
      <w:r>
        <w:t xml:space="preserve"> от консолидираните годишни отчети на ЕС.</w:t>
      </w:r>
    </w:p>
    <w:p>
      <w:pPr>
        <w:pStyle w:val="HEADER1Part4"/>
        <w:numPr>
          <w:ilvl w:val="0"/>
          <w:numId w:val="40"/>
        </w:numPr>
        <w:spacing w:after="120"/>
        <w:rPr>
          <w:noProof/>
        </w:rPr>
      </w:pPr>
      <w:r>
        <w:rPr>
          <w:noProof/>
        </w:rPr>
        <w:br w:type="page"/>
      </w:r>
      <w:bookmarkStart w:id="51" w:name="_Toc75518098"/>
      <w:r>
        <w:rPr>
          <w:noProof/>
        </w:rPr>
        <w:t>ПОЛИТИЧЕСКА И ФИНАНСОВА РАМКА, УПРАВЛЕНИЕ И ОТЧЕТНОСТ НА ЕС</w:t>
      </w:r>
      <w:bookmarkEnd w:id="51"/>
    </w:p>
    <w:p>
      <w:pPr>
        <w:pStyle w:val="DGTextstand-alone"/>
      </w:pPr>
      <w:r>
        <w:t>Европейският съюз (ЕС) е съюз, на който държавите членки предоставят правомощия, чрез които да бъдат постигнати общите им цели. Съюзът се основава на следните ценности: зачитане на човешкото достойнство, свобода, демокрация, равенство, правова държава и зачитане на правата на човека, включително правата на лицата, които принадлежат към малцинства. Тези ценности са общи за държавите членки в общество, което се характеризира с плурализъм, недопускане на недискриминация, търпимост, справедливост, солидарност и равенство между жените и мъжете.</w:t>
      </w:r>
    </w:p>
    <w:p>
      <w:pPr>
        <w:pStyle w:val="HEADER2Part4"/>
        <w:numPr>
          <w:ilvl w:val="1"/>
          <w:numId w:val="40"/>
        </w:numPr>
        <w:spacing w:after="120"/>
      </w:pPr>
      <w:bookmarkStart w:id="52" w:name="_Toc75518099"/>
      <w:r>
        <w:t>ПОЛИТИЧЕСКА И ФИНАНСОВА РАМКА</w:t>
      </w:r>
      <w:bookmarkEnd w:id="52"/>
    </w:p>
    <w:tbl>
      <w:tblPr>
        <w:tblW w:w="0" w:type="auto"/>
        <w:tblLook w:val="04A0" w:firstRow="1" w:lastRow="0" w:firstColumn="1" w:lastColumn="0" w:noHBand="0" w:noVBand="1"/>
      </w:tblPr>
      <w:tblGrid>
        <w:gridCol w:w="2518"/>
        <w:gridCol w:w="7260"/>
      </w:tblGrid>
      <w:tr>
        <w:trPr>
          <w:trHeight w:val="907"/>
        </w:trPr>
        <w:tc>
          <w:tcPr>
            <w:tcW w:w="2518" w:type="dxa"/>
            <w:shd w:val="clear" w:color="auto" w:fill="92CDDC" w:themeFill="accent5" w:themeFillTint="99"/>
            <w:vAlign w:val="center"/>
          </w:tcPr>
          <w:p>
            <w:pPr>
              <w:pStyle w:val="DGTextstand-alone"/>
              <w:spacing w:before="0" w:after="0"/>
              <w:jc w:val="center"/>
              <w:rPr>
                <w:b/>
                <w:color w:val="FFFFFF"/>
              </w:rPr>
            </w:pPr>
            <w:r>
              <w:rPr>
                <w:b/>
                <w:color w:val="FFFFFF"/>
              </w:rPr>
              <w:t>Договори на ЕС</w:t>
            </w:r>
          </w:p>
        </w:tc>
        <w:tc>
          <w:tcPr>
            <w:tcW w:w="7260" w:type="dxa"/>
            <w:shd w:val="clear" w:color="auto" w:fill="auto"/>
          </w:tcPr>
          <w:p>
            <w:pPr>
              <w:pStyle w:val="DGTextstand-alone"/>
              <w:spacing w:before="0" w:after="0"/>
              <w:rPr>
                <w:spacing w:val="-6"/>
              </w:rPr>
            </w:pPr>
            <w:r>
              <w:rPr>
                <w:spacing w:val="-6"/>
              </w:rPr>
              <w:t xml:space="preserve">Общите цели и принципи, от които се ръководят Съюзът и европейските институции, са определени в </w:t>
            </w:r>
            <w:r>
              <w:rPr>
                <w:color w:val="016794"/>
                <w:spacing w:val="-6"/>
              </w:rPr>
              <w:t>Договорите</w:t>
            </w:r>
            <w:r>
              <w:rPr>
                <w:spacing w:val="-6"/>
              </w:rPr>
              <w:t>. Съюзът и институциите му могат да действат само в рамките на правомощията, предоставени им от Договорите с цел да изпълнят заложените в тях цели. Те трябва да правят това,</w:t>
            </w:r>
          </w:p>
        </w:tc>
      </w:tr>
      <w:tr>
        <w:trPr>
          <w:trHeight w:val="519"/>
        </w:trPr>
        <w:tc>
          <w:tcPr>
            <w:tcW w:w="9778" w:type="dxa"/>
            <w:gridSpan w:val="2"/>
            <w:shd w:val="clear" w:color="auto" w:fill="auto"/>
          </w:tcPr>
          <w:p>
            <w:pPr>
              <w:pStyle w:val="DGTextstand-alone"/>
              <w:spacing w:before="0" w:after="0"/>
              <w:rPr>
                <w:spacing w:val="-12"/>
              </w:rPr>
            </w:pPr>
            <w:r>
              <w:rPr>
                <w:spacing w:val="-12"/>
              </w:rPr>
              <w:t>като съблюдават принципите</w:t>
            </w:r>
            <w:r>
              <w:rPr>
                <w:rStyle w:val="FootnoteReference"/>
                <w:spacing w:val="-12"/>
              </w:rPr>
              <w:footnoteReference w:id="8"/>
            </w:r>
            <w:r>
              <w:rPr>
                <w:spacing w:val="-12"/>
              </w:rPr>
              <w:t xml:space="preserve"> на субсидиарност и пропорционалност. За да постигне целите си и изпълни политиките си, Съюзът си осигурява необходимите финансови средства. Комисията отговаря за утвърждаването на общия интерес на Съюза, което включва изпълняване на бюджета и управление на програмите в сътрудничество с държавите членки и в съответствие с принципа на добро финансово управление.</w:t>
            </w:r>
          </w:p>
        </w:tc>
      </w:tr>
    </w:tbl>
    <w:p>
      <w:pPr>
        <w:pStyle w:val="DGTextstand-alone"/>
      </w:pPr>
      <w:r>
        <w:t>ЕС работи за изпълнението на определените от Договора цели с помощта на набор от инструменти, един от които е бюджетът на ЕС. Други инструменти са например общата законодателна рамка и съвместните стратегии за политиката.</w:t>
      </w:r>
    </w:p>
    <w:tbl>
      <w:tblPr>
        <w:tblW w:w="0" w:type="auto"/>
        <w:tblLook w:val="04A0" w:firstRow="1" w:lastRow="0" w:firstColumn="1" w:lastColumn="0" w:noHBand="0" w:noVBand="1"/>
      </w:tblPr>
      <w:tblGrid>
        <w:gridCol w:w="2518"/>
        <w:gridCol w:w="7260"/>
      </w:tblGrid>
      <w:tr>
        <w:tc>
          <w:tcPr>
            <w:tcW w:w="2518" w:type="dxa"/>
            <w:shd w:val="clear" w:color="auto" w:fill="1F497D"/>
            <w:vAlign w:val="center"/>
          </w:tcPr>
          <w:p>
            <w:pPr>
              <w:pStyle w:val="DGTextstand-alone"/>
              <w:spacing w:before="0" w:after="0"/>
              <w:jc w:val="center"/>
              <w:rPr>
                <w:b/>
              </w:rPr>
            </w:pPr>
            <w:r>
              <w:rPr>
                <w:b/>
                <w:color w:val="FFFFFF"/>
              </w:rPr>
              <w:t>Политически приоритети на Комисията</w:t>
            </w:r>
          </w:p>
        </w:tc>
        <w:tc>
          <w:tcPr>
            <w:tcW w:w="7260" w:type="dxa"/>
            <w:shd w:val="clear" w:color="auto" w:fill="auto"/>
          </w:tcPr>
          <w:p>
            <w:pPr>
              <w:pStyle w:val="DGTextstand-alone"/>
              <w:spacing w:before="0"/>
            </w:pPr>
            <w:r>
              <w:rPr>
                <w:color w:val="016794"/>
              </w:rPr>
              <w:t>Политическите приоритети на Комисията</w:t>
            </w:r>
            <w:r>
              <w:t xml:space="preserve"> са определени в политическите насоки, изготвени от нейния председател. Под ръководството на председателя Фон дер Лайен Комисията, която встъпи в длъжност на 1 декември 2019 г., ще се съсредоточи върху следните шест основни амбициозни цели:</w:t>
            </w:r>
          </w:p>
        </w:tc>
      </w:tr>
    </w:tbl>
    <w:p>
      <w:pPr>
        <w:tabs>
          <w:tab w:val="left" w:pos="426"/>
          <w:tab w:val="left" w:pos="907"/>
          <w:tab w:val="left" w:pos="8647"/>
        </w:tabs>
        <w:jc w:val="both"/>
        <w:rPr>
          <w:rFonts w:ascii="Verdana" w:hAnsi="Verdana"/>
          <w:noProof/>
          <w:sz w:val="18"/>
          <w:szCs w:val="18"/>
          <w:lang w:eastAsia="en-US"/>
        </w:rPr>
      </w:pPr>
    </w:p>
    <w:p>
      <w:pPr>
        <w:pStyle w:val="DGTextstand-alone"/>
        <w:spacing w:before="0"/>
        <w:rPr>
          <w:color w:val="016794"/>
        </w:rPr>
      </w:pPr>
      <w:r>
        <w:rPr>
          <w:color w:val="016794"/>
        </w:rPr>
        <w:t>6 ОСНОВНИ АМБИЦИОЗНИ ЦЕЛИ</w:t>
      </w:r>
    </w:p>
    <w:tbl>
      <w:tblPr>
        <w:tblW w:w="9639" w:type="dxa"/>
        <w:tblLayout w:type="fixed"/>
        <w:tblCellMar>
          <w:left w:w="0" w:type="dxa"/>
          <w:right w:w="0" w:type="dxa"/>
        </w:tblCellMar>
        <w:tblLook w:val="04A0" w:firstRow="1" w:lastRow="0" w:firstColumn="1" w:lastColumn="0" w:noHBand="0" w:noVBand="1"/>
      </w:tblPr>
      <w:tblGrid>
        <w:gridCol w:w="1260"/>
        <w:gridCol w:w="105"/>
        <w:gridCol w:w="8274"/>
      </w:tblGrid>
      <w:tr>
        <w:tc>
          <w:tcPr>
            <w:tcW w:w="1260" w:type="dxa"/>
            <w:shd w:val="clear" w:color="auto" w:fill="auto"/>
            <w:vAlign w:val="center"/>
          </w:tcPr>
          <w:p>
            <w:pPr>
              <w:jc w:val="center"/>
              <w:rPr>
                <w:rFonts w:ascii="Verdana" w:hAnsi="Verdana"/>
                <w:b/>
                <w:noProof/>
                <w:sz w:val="18"/>
                <w:szCs w:val="18"/>
              </w:rPr>
            </w:pPr>
            <w:r>
              <w:rPr>
                <w:noProof/>
              </w:rPr>
              <w:pict>
                <v:shape id="_x0000_i1065" type="#_x0000_t75" alt="DOC_IMG00010" style="width:59.25pt;height:34.5pt;visibility:visible;mso-wrap-style:square">
                  <v:imagedata r:id="rId44" o:title="DOC_IMG00010" croptop="737f" cropbottom="737f" cropleft="8916f" cropright="11712f"/>
                </v:shape>
              </w:pict>
            </w:r>
          </w:p>
        </w:tc>
        <w:tc>
          <w:tcPr>
            <w:tcW w:w="105" w:type="dxa"/>
          </w:tcPr>
          <w:p>
            <w:pPr>
              <w:spacing w:after="60"/>
              <w:jc w:val="both"/>
              <w:rPr>
                <w:rFonts w:ascii="Verdana" w:hAnsi="Verdana"/>
                <w:noProof/>
                <w:sz w:val="18"/>
                <w:szCs w:val="18"/>
                <w:lang w:eastAsia="en-US"/>
              </w:rPr>
            </w:pPr>
          </w:p>
        </w:tc>
        <w:tc>
          <w:tcPr>
            <w:tcW w:w="8274" w:type="dxa"/>
          </w:tcPr>
          <w:p>
            <w:pPr>
              <w:pStyle w:val="DGTextstand-alone"/>
              <w:spacing w:before="0" w:after="60"/>
              <w:jc w:val="left"/>
              <w:rPr>
                <w:color w:val="016794"/>
              </w:rPr>
            </w:pPr>
            <w:r>
              <w:rPr>
                <w:color w:val="016794"/>
              </w:rPr>
              <w:t>Европейски зелен пакт</w:t>
            </w:r>
          </w:p>
          <w:p>
            <w:pPr>
              <w:pStyle w:val="DGTextstand-alone"/>
              <w:spacing w:before="0" w:after="0"/>
              <w:jc w:val="left"/>
            </w:pPr>
            <w:r>
              <w:t>– Стремеж да бъдем първият неутрален по отношение на климата континент</w:t>
            </w:r>
          </w:p>
        </w:tc>
      </w:tr>
      <w:tr>
        <w:trPr>
          <w:trHeight w:val="57"/>
        </w:trPr>
        <w:tc>
          <w:tcPr>
            <w:tcW w:w="1260" w:type="dxa"/>
            <w:shd w:val="clear" w:color="auto" w:fill="auto"/>
            <w:vAlign w:val="center"/>
          </w:tcPr>
          <w:p>
            <w:pPr>
              <w:rPr>
                <w:rFonts w:ascii="Verdana" w:hAnsi="Verdana"/>
                <w:noProof/>
                <w:sz w:val="8"/>
                <w:lang w:eastAsia="de-DE"/>
              </w:rPr>
            </w:pPr>
          </w:p>
        </w:tc>
        <w:tc>
          <w:tcPr>
            <w:tcW w:w="105" w:type="dxa"/>
          </w:tcPr>
          <w:p>
            <w:pPr>
              <w:jc w:val="both"/>
              <w:rPr>
                <w:rFonts w:ascii="Verdana" w:hAnsi="Verdana"/>
                <w:noProof/>
                <w:sz w:val="8"/>
                <w:szCs w:val="18"/>
                <w:lang w:eastAsia="en-US"/>
              </w:rPr>
            </w:pPr>
          </w:p>
        </w:tc>
        <w:tc>
          <w:tcPr>
            <w:tcW w:w="8274" w:type="dxa"/>
          </w:tcPr>
          <w:p>
            <w:pPr>
              <w:pStyle w:val="DGTextstand-alone"/>
              <w:spacing w:before="0" w:after="0"/>
              <w:jc w:val="left"/>
              <w:rPr>
                <w:sz w:val="8"/>
              </w:rPr>
            </w:pPr>
          </w:p>
        </w:tc>
      </w:tr>
      <w:tr>
        <w:tc>
          <w:tcPr>
            <w:tcW w:w="1260" w:type="dxa"/>
            <w:shd w:val="clear" w:color="auto" w:fill="auto"/>
            <w:vAlign w:val="center"/>
          </w:tcPr>
          <w:p>
            <w:pPr>
              <w:jc w:val="center"/>
              <w:rPr>
                <w:rFonts w:ascii="Verdana" w:hAnsi="Verdana"/>
                <w:b/>
                <w:noProof/>
                <w:sz w:val="18"/>
                <w:szCs w:val="18"/>
              </w:rPr>
            </w:pPr>
            <w:r>
              <w:rPr>
                <w:rFonts w:ascii="Verdana" w:hAnsi="Verdana"/>
                <w:noProof/>
                <w:sz w:val="18"/>
                <w:szCs w:val="18"/>
              </w:rPr>
              <w:pict>
                <v:shape id="_x0000_i1066" type="#_x0000_t75" alt="цифрова ера" style="width:59.25pt;height:34.5pt;visibility:visible;mso-wrap-style:square">
                  <v:imagedata r:id="rId45" o:title="digital age"/>
                </v:shape>
              </w:pict>
            </w:r>
          </w:p>
        </w:tc>
        <w:tc>
          <w:tcPr>
            <w:tcW w:w="105" w:type="dxa"/>
          </w:tcPr>
          <w:p>
            <w:pPr>
              <w:spacing w:after="60"/>
              <w:jc w:val="both"/>
              <w:rPr>
                <w:rFonts w:ascii="Verdana" w:hAnsi="Verdana"/>
                <w:noProof/>
                <w:sz w:val="18"/>
                <w:szCs w:val="18"/>
                <w:lang w:eastAsia="en-US"/>
              </w:rPr>
            </w:pPr>
          </w:p>
        </w:tc>
        <w:tc>
          <w:tcPr>
            <w:tcW w:w="8274" w:type="dxa"/>
          </w:tcPr>
          <w:p>
            <w:pPr>
              <w:pStyle w:val="DGTextstand-alone"/>
              <w:spacing w:before="0" w:after="60"/>
              <w:jc w:val="left"/>
              <w:rPr>
                <w:color w:val="016794"/>
              </w:rPr>
            </w:pPr>
            <w:r>
              <w:rPr>
                <w:color w:val="016794"/>
              </w:rPr>
              <w:t>Европа, подготвена за цифровата ера</w:t>
            </w:r>
          </w:p>
          <w:p>
            <w:pPr>
              <w:pStyle w:val="DGTextstand-alone"/>
              <w:spacing w:before="0" w:after="0"/>
              <w:jc w:val="left"/>
            </w:pPr>
            <w:r>
              <w:t>– Предоставяне на повече възможности на хората чрез ново поколение технологии</w:t>
            </w:r>
          </w:p>
        </w:tc>
      </w:tr>
      <w:tr>
        <w:trPr>
          <w:trHeight w:val="57"/>
        </w:trPr>
        <w:tc>
          <w:tcPr>
            <w:tcW w:w="1260" w:type="dxa"/>
            <w:shd w:val="clear" w:color="auto" w:fill="auto"/>
            <w:vAlign w:val="center"/>
          </w:tcPr>
          <w:p>
            <w:pPr>
              <w:rPr>
                <w:rFonts w:ascii="Verdana" w:hAnsi="Verdana"/>
                <w:noProof/>
                <w:sz w:val="8"/>
                <w:szCs w:val="18"/>
                <w:lang w:eastAsia="en-US"/>
              </w:rPr>
            </w:pPr>
          </w:p>
        </w:tc>
        <w:tc>
          <w:tcPr>
            <w:tcW w:w="105" w:type="dxa"/>
          </w:tcPr>
          <w:p>
            <w:pPr>
              <w:jc w:val="both"/>
              <w:rPr>
                <w:rFonts w:ascii="Verdana" w:hAnsi="Verdana"/>
                <w:noProof/>
                <w:sz w:val="8"/>
                <w:szCs w:val="18"/>
                <w:lang w:eastAsia="en-US"/>
              </w:rPr>
            </w:pPr>
          </w:p>
        </w:tc>
        <w:tc>
          <w:tcPr>
            <w:tcW w:w="8274" w:type="dxa"/>
          </w:tcPr>
          <w:p>
            <w:pPr>
              <w:pStyle w:val="DGTextstand-alone"/>
              <w:spacing w:before="0" w:after="0"/>
              <w:jc w:val="left"/>
              <w:rPr>
                <w:sz w:val="8"/>
              </w:rPr>
            </w:pPr>
          </w:p>
        </w:tc>
      </w:tr>
      <w:tr>
        <w:tc>
          <w:tcPr>
            <w:tcW w:w="1260" w:type="dxa"/>
            <w:shd w:val="clear" w:color="auto" w:fill="auto"/>
            <w:vAlign w:val="center"/>
          </w:tcPr>
          <w:p>
            <w:pPr>
              <w:jc w:val="center"/>
              <w:rPr>
                <w:rFonts w:ascii="Verdana" w:hAnsi="Verdana"/>
                <w:b/>
                <w:noProof/>
                <w:sz w:val="18"/>
                <w:szCs w:val="18"/>
              </w:rPr>
            </w:pPr>
            <w:r>
              <w:rPr>
                <w:rFonts w:ascii="Verdana" w:hAnsi="Verdana"/>
                <w:noProof/>
                <w:sz w:val="18"/>
                <w:szCs w:val="18"/>
              </w:rPr>
              <w:pict>
                <v:shape id="_x0000_i1067" type="#_x0000_t75" alt="икономика за хората" style="width:59.25pt;height:34.5pt;visibility:visible;mso-wrap-style:square">
                  <v:imagedata r:id="rId46" o:title="economy for people"/>
                </v:shape>
              </w:pict>
            </w:r>
          </w:p>
        </w:tc>
        <w:tc>
          <w:tcPr>
            <w:tcW w:w="105" w:type="dxa"/>
          </w:tcPr>
          <w:p>
            <w:pPr>
              <w:spacing w:after="60"/>
              <w:jc w:val="both"/>
              <w:rPr>
                <w:rFonts w:ascii="Verdana" w:hAnsi="Verdana"/>
                <w:noProof/>
                <w:sz w:val="18"/>
                <w:szCs w:val="18"/>
                <w:lang w:eastAsia="en-US"/>
              </w:rPr>
            </w:pPr>
          </w:p>
        </w:tc>
        <w:tc>
          <w:tcPr>
            <w:tcW w:w="8274" w:type="dxa"/>
          </w:tcPr>
          <w:p>
            <w:pPr>
              <w:pStyle w:val="DGTextstand-alone"/>
              <w:spacing w:before="0" w:after="60"/>
              <w:jc w:val="left"/>
            </w:pPr>
            <w:r>
              <w:rPr>
                <w:color w:val="016794"/>
              </w:rPr>
              <w:t>Икономика в интерес на хората</w:t>
            </w:r>
          </w:p>
          <w:p>
            <w:pPr>
              <w:pStyle w:val="DGTextstand-alone"/>
              <w:spacing w:before="0" w:after="0"/>
              <w:jc w:val="left"/>
            </w:pPr>
            <w:r>
              <w:t>– Работа за постигане на социална справедливост и благоденствие</w:t>
            </w:r>
          </w:p>
        </w:tc>
      </w:tr>
      <w:tr>
        <w:trPr>
          <w:trHeight w:val="57"/>
        </w:trPr>
        <w:tc>
          <w:tcPr>
            <w:tcW w:w="1260" w:type="dxa"/>
            <w:shd w:val="clear" w:color="auto" w:fill="auto"/>
            <w:vAlign w:val="center"/>
          </w:tcPr>
          <w:p>
            <w:pPr>
              <w:rPr>
                <w:rFonts w:ascii="Verdana" w:hAnsi="Verdana"/>
                <w:noProof/>
                <w:sz w:val="8"/>
                <w:szCs w:val="8"/>
                <w:lang w:eastAsia="en-US"/>
              </w:rPr>
            </w:pPr>
          </w:p>
        </w:tc>
        <w:tc>
          <w:tcPr>
            <w:tcW w:w="105" w:type="dxa"/>
          </w:tcPr>
          <w:p>
            <w:pPr>
              <w:jc w:val="both"/>
              <w:rPr>
                <w:rFonts w:ascii="Verdana" w:hAnsi="Verdana"/>
                <w:noProof/>
                <w:sz w:val="8"/>
                <w:szCs w:val="8"/>
                <w:lang w:eastAsia="en-US"/>
              </w:rPr>
            </w:pPr>
          </w:p>
        </w:tc>
        <w:tc>
          <w:tcPr>
            <w:tcW w:w="8274" w:type="dxa"/>
          </w:tcPr>
          <w:p>
            <w:pPr>
              <w:pStyle w:val="DGTextstand-alone"/>
              <w:spacing w:before="0" w:after="0"/>
              <w:jc w:val="left"/>
              <w:rPr>
                <w:sz w:val="8"/>
                <w:szCs w:val="8"/>
              </w:rPr>
            </w:pPr>
          </w:p>
        </w:tc>
      </w:tr>
      <w:tr>
        <w:tc>
          <w:tcPr>
            <w:tcW w:w="1260" w:type="dxa"/>
            <w:shd w:val="clear" w:color="auto" w:fill="auto"/>
            <w:vAlign w:val="center"/>
          </w:tcPr>
          <w:p>
            <w:pPr>
              <w:jc w:val="center"/>
              <w:rPr>
                <w:rFonts w:ascii="Verdana" w:hAnsi="Verdana"/>
                <w:b/>
                <w:noProof/>
                <w:sz w:val="18"/>
                <w:szCs w:val="18"/>
              </w:rPr>
            </w:pPr>
            <w:r>
              <w:rPr>
                <w:rFonts w:ascii="Verdana" w:hAnsi="Verdana"/>
                <w:noProof/>
                <w:sz w:val="18"/>
                <w:szCs w:val="18"/>
              </w:rPr>
              <w:pict>
                <v:shape id="_x0000_i1068" type="#_x0000_t75" alt="По-силна Европа на световната сцена" style="width:59.25pt;height:34.5pt;visibility:visible;mso-wrap-style:square">
                  <v:imagedata r:id="rId47" o:title="A stronger Europe in the world"/>
                </v:shape>
              </w:pict>
            </w:r>
          </w:p>
        </w:tc>
        <w:tc>
          <w:tcPr>
            <w:tcW w:w="105" w:type="dxa"/>
          </w:tcPr>
          <w:p>
            <w:pPr>
              <w:spacing w:after="60"/>
              <w:jc w:val="both"/>
              <w:rPr>
                <w:rFonts w:ascii="Verdana" w:hAnsi="Verdana"/>
                <w:noProof/>
                <w:sz w:val="18"/>
                <w:szCs w:val="18"/>
                <w:lang w:eastAsia="en-US"/>
              </w:rPr>
            </w:pPr>
          </w:p>
        </w:tc>
        <w:tc>
          <w:tcPr>
            <w:tcW w:w="8274" w:type="dxa"/>
          </w:tcPr>
          <w:p>
            <w:pPr>
              <w:pStyle w:val="DGTextstand-alone"/>
              <w:spacing w:before="0" w:after="60"/>
              <w:jc w:val="left"/>
              <w:rPr>
                <w:color w:val="016794"/>
              </w:rPr>
            </w:pPr>
            <w:r>
              <w:rPr>
                <w:color w:val="016794"/>
              </w:rPr>
              <w:t>По-силна Европа на световната сцена</w:t>
            </w:r>
          </w:p>
          <w:p>
            <w:pPr>
              <w:pStyle w:val="DGTextstand-alone"/>
              <w:spacing w:before="0" w:after="0"/>
              <w:jc w:val="left"/>
            </w:pPr>
            <w:r>
              <w:t>– Европа да прояви по-голяма амбиция чрез укрепване на нашия уникален знак за отговорно глобално лидерство</w:t>
            </w:r>
          </w:p>
        </w:tc>
      </w:tr>
      <w:tr>
        <w:trPr>
          <w:trHeight w:val="57"/>
        </w:trPr>
        <w:tc>
          <w:tcPr>
            <w:tcW w:w="1260" w:type="dxa"/>
            <w:shd w:val="clear" w:color="auto" w:fill="auto"/>
            <w:vAlign w:val="center"/>
          </w:tcPr>
          <w:p>
            <w:pPr>
              <w:rPr>
                <w:rFonts w:ascii="Verdana" w:hAnsi="Verdana"/>
                <w:noProof/>
                <w:sz w:val="8"/>
                <w:szCs w:val="8"/>
                <w:lang w:eastAsia="en-US"/>
              </w:rPr>
            </w:pPr>
          </w:p>
        </w:tc>
        <w:tc>
          <w:tcPr>
            <w:tcW w:w="105" w:type="dxa"/>
          </w:tcPr>
          <w:p>
            <w:pPr>
              <w:jc w:val="both"/>
              <w:rPr>
                <w:rFonts w:ascii="Verdana" w:hAnsi="Verdana"/>
                <w:noProof/>
                <w:sz w:val="8"/>
                <w:szCs w:val="8"/>
                <w:lang w:eastAsia="en-US"/>
              </w:rPr>
            </w:pPr>
          </w:p>
        </w:tc>
        <w:tc>
          <w:tcPr>
            <w:tcW w:w="8274" w:type="dxa"/>
          </w:tcPr>
          <w:p>
            <w:pPr>
              <w:pStyle w:val="DGTextstand-alone"/>
              <w:spacing w:before="0" w:after="0"/>
              <w:jc w:val="left"/>
              <w:rPr>
                <w:sz w:val="8"/>
                <w:szCs w:val="8"/>
              </w:rPr>
            </w:pPr>
          </w:p>
        </w:tc>
      </w:tr>
      <w:tr>
        <w:tc>
          <w:tcPr>
            <w:tcW w:w="1260" w:type="dxa"/>
            <w:shd w:val="clear" w:color="auto" w:fill="auto"/>
            <w:vAlign w:val="center"/>
          </w:tcPr>
          <w:p>
            <w:pPr>
              <w:jc w:val="center"/>
              <w:rPr>
                <w:rFonts w:ascii="Verdana" w:hAnsi="Verdana"/>
                <w:b/>
                <w:noProof/>
                <w:sz w:val="18"/>
                <w:szCs w:val="18"/>
              </w:rPr>
            </w:pPr>
            <w:r>
              <w:rPr>
                <w:rFonts w:ascii="Verdana" w:hAnsi="Verdana"/>
                <w:noProof/>
                <w:sz w:val="18"/>
                <w:szCs w:val="18"/>
              </w:rPr>
              <w:pict>
                <v:shape id="_x0000_i1069" type="#_x0000_t75" alt="Утвърждаване на европейския начин на живот" style="width:59.25pt;height:34.5pt;visibility:visible;mso-wrap-style:square">
                  <v:imagedata r:id="rId48" o:title="Promoting the European way of life"/>
                </v:shape>
              </w:pict>
            </w:r>
          </w:p>
        </w:tc>
        <w:tc>
          <w:tcPr>
            <w:tcW w:w="105" w:type="dxa"/>
          </w:tcPr>
          <w:p>
            <w:pPr>
              <w:spacing w:after="60"/>
              <w:jc w:val="both"/>
              <w:rPr>
                <w:rFonts w:ascii="Verdana" w:hAnsi="Verdana"/>
                <w:noProof/>
                <w:sz w:val="18"/>
                <w:szCs w:val="18"/>
                <w:lang w:eastAsia="en-US"/>
              </w:rPr>
            </w:pPr>
          </w:p>
        </w:tc>
        <w:tc>
          <w:tcPr>
            <w:tcW w:w="8274" w:type="dxa"/>
          </w:tcPr>
          <w:p>
            <w:pPr>
              <w:pStyle w:val="DGTextstand-alone"/>
              <w:spacing w:before="0" w:after="60"/>
              <w:jc w:val="left"/>
              <w:rPr>
                <w:color w:val="016794"/>
              </w:rPr>
            </w:pPr>
            <w:r>
              <w:rPr>
                <w:color w:val="016794"/>
              </w:rPr>
              <w:t>Утвърждаване на европейския ни начин на живот</w:t>
            </w:r>
          </w:p>
          <w:p>
            <w:pPr>
              <w:pStyle w:val="DGTextstand-alone"/>
              <w:spacing w:before="0" w:after="0"/>
              <w:jc w:val="left"/>
            </w:pPr>
            <w:r>
              <w:t>– Изграждане на Съюз на равенство, в който възможностите са достъпни за всички</w:t>
            </w:r>
          </w:p>
        </w:tc>
      </w:tr>
      <w:tr>
        <w:trPr>
          <w:trHeight w:val="57"/>
        </w:trPr>
        <w:tc>
          <w:tcPr>
            <w:tcW w:w="1260" w:type="dxa"/>
            <w:shd w:val="clear" w:color="auto" w:fill="auto"/>
            <w:vAlign w:val="center"/>
          </w:tcPr>
          <w:p>
            <w:pPr>
              <w:rPr>
                <w:rFonts w:ascii="Verdana" w:hAnsi="Verdana"/>
                <w:noProof/>
                <w:sz w:val="8"/>
                <w:szCs w:val="18"/>
                <w:lang w:eastAsia="en-US"/>
              </w:rPr>
            </w:pPr>
          </w:p>
        </w:tc>
        <w:tc>
          <w:tcPr>
            <w:tcW w:w="105" w:type="dxa"/>
          </w:tcPr>
          <w:p>
            <w:pPr>
              <w:jc w:val="both"/>
              <w:rPr>
                <w:rFonts w:ascii="Verdana" w:hAnsi="Verdana"/>
                <w:noProof/>
                <w:sz w:val="8"/>
                <w:szCs w:val="18"/>
                <w:lang w:eastAsia="en-US"/>
              </w:rPr>
            </w:pPr>
          </w:p>
        </w:tc>
        <w:tc>
          <w:tcPr>
            <w:tcW w:w="8274" w:type="dxa"/>
          </w:tcPr>
          <w:p>
            <w:pPr>
              <w:pStyle w:val="DGTextstand-alone"/>
              <w:spacing w:before="0" w:after="0"/>
              <w:jc w:val="left"/>
              <w:rPr>
                <w:sz w:val="8"/>
              </w:rPr>
            </w:pPr>
          </w:p>
        </w:tc>
      </w:tr>
      <w:tr>
        <w:tc>
          <w:tcPr>
            <w:tcW w:w="1260" w:type="dxa"/>
            <w:shd w:val="clear" w:color="auto" w:fill="auto"/>
            <w:vAlign w:val="center"/>
          </w:tcPr>
          <w:p>
            <w:pPr>
              <w:jc w:val="center"/>
              <w:rPr>
                <w:rFonts w:ascii="Verdana" w:hAnsi="Verdana"/>
                <w:b/>
                <w:noProof/>
                <w:sz w:val="18"/>
                <w:szCs w:val="18"/>
              </w:rPr>
            </w:pPr>
            <w:r>
              <w:rPr>
                <w:rFonts w:ascii="Verdana" w:hAnsi="Verdana"/>
                <w:noProof/>
                <w:sz w:val="18"/>
                <w:szCs w:val="18"/>
              </w:rPr>
              <w:pict>
                <v:shape id="_x0000_i1070" type="#_x0000_t75" alt="Нов тласък за европейската демокрация" style="width:59.25pt;height:34.5pt;visibility:visible;mso-wrap-style:square">
                  <v:imagedata r:id="rId49" o:title="A new push for European democracy"/>
                </v:shape>
              </w:pict>
            </w:r>
          </w:p>
        </w:tc>
        <w:tc>
          <w:tcPr>
            <w:tcW w:w="105" w:type="dxa"/>
          </w:tcPr>
          <w:p>
            <w:pPr>
              <w:spacing w:after="60"/>
              <w:jc w:val="both"/>
              <w:rPr>
                <w:rFonts w:ascii="Verdana" w:hAnsi="Verdana"/>
                <w:noProof/>
                <w:sz w:val="18"/>
                <w:szCs w:val="18"/>
                <w:lang w:eastAsia="en-US"/>
              </w:rPr>
            </w:pPr>
          </w:p>
        </w:tc>
        <w:tc>
          <w:tcPr>
            <w:tcW w:w="8274" w:type="dxa"/>
          </w:tcPr>
          <w:p>
            <w:pPr>
              <w:pStyle w:val="DGTextstand-alone"/>
              <w:spacing w:before="0" w:after="60"/>
              <w:jc w:val="left"/>
              <w:rPr>
                <w:color w:val="016794"/>
              </w:rPr>
            </w:pPr>
            <w:r>
              <w:rPr>
                <w:color w:val="016794"/>
              </w:rPr>
              <w:t>Нов тласък за европейската демокрация</w:t>
            </w:r>
          </w:p>
          <w:p>
            <w:pPr>
              <w:pStyle w:val="DGTextstand-alone"/>
              <w:spacing w:before="0" w:after="0"/>
              <w:jc w:val="left"/>
            </w:pPr>
            <w:r>
              <w:t>– Насърчаване, защита и утвърждаване на нашата демокрация</w:t>
            </w:r>
          </w:p>
        </w:tc>
      </w:tr>
    </w:tbl>
    <w:p>
      <w:pPr>
        <w:tabs>
          <w:tab w:val="left" w:pos="426"/>
          <w:tab w:val="left" w:pos="907"/>
          <w:tab w:val="left" w:pos="8647"/>
        </w:tabs>
        <w:spacing w:after="240"/>
        <w:ind w:right="-22"/>
        <w:jc w:val="both"/>
        <w:rPr>
          <w:rFonts w:ascii="Verdana" w:hAnsi="Verdana"/>
          <w:noProof/>
          <w:sz w:val="18"/>
          <w:szCs w:val="18"/>
          <w:lang w:eastAsia="en-US"/>
        </w:rPr>
      </w:pPr>
    </w:p>
    <w:p>
      <w:pPr>
        <w:tabs>
          <w:tab w:val="left" w:pos="426"/>
          <w:tab w:val="left" w:pos="907"/>
          <w:tab w:val="left" w:pos="8647"/>
        </w:tabs>
        <w:spacing w:before="240" w:after="240"/>
        <w:jc w:val="both"/>
        <w:rPr>
          <w:rFonts w:ascii="Verdana" w:hAnsi="Verdana"/>
          <w:noProof/>
          <w:sz w:val="18"/>
          <w:szCs w:val="18"/>
          <w:lang w:eastAsia="en-US"/>
        </w:rPr>
        <w:sectPr>
          <w:headerReference w:type="even" r:id="rId50"/>
          <w:headerReference w:type="default" r:id="rId51"/>
          <w:footerReference w:type="even" r:id="rId52"/>
          <w:footerReference w:type="default" r:id="rId53"/>
          <w:headerReference w:type="first" r:id="rId54"/>
          <w:footerReference w:type="first" r:id="rId55"/>
          <w:pgSz w:w="11906" w:h="16838"/>
          <w:pgMar w:top="1134" w:right="1134" w:bottom="1134" w:left="1134" w:header="709" w:footer="709" w:gutter="0"/>
          <w:cols w:space="708"/>
          <w:docGrid w:linePitch="360"/>
        </w:sectPr>
      </w:pPr>
    </w:p>
    <w:p>
      <w:pPr>
        <w:tabs>
          <w:tab w:val="left" w:pos="426"/>
          <w:tab w:val="left" w:pos="907"/>
          <w:tab w:val="left" w:pos="8647"/>
        </w:tabs>
        <w:spacing w:after="240"/>
        <w:ind w:right="-22"/>
        <w:rPr>
          <w:rFonts w:ascii="Verdana" w:hAnsi="Verdana"/>
          <w:noProof/>
          <w:sz w:val="18"/>
          <w:szCs w:val="18"/>
          <w:lang w:eastAsia="en-US"/>
        </w:rPr>
        <w:sectPr>
          <w:headerReference w:type="even" r:id="rId56"/>
          <w:headerReference w:type="default" r:id="rId57"/>
          <w:footerReference w:type="even" r:id="rId58"/>
          <w:footerReference w:type="default" r:id="rId59"/>
          <w:headerReference w:type="first" r:id="rId60"/>
          <w:footerReference w:type="first" r:id="rId61"/>
          <w:type w:val="continuous"/>
          <w:pgSz w:w="11906" w:h="16838"/>
          <w:pgMar w:top="1134" w:right="1134" w:bottom="1134" w:left="1134" w:header="709" w:footer="709" w:gutter="0"/>
          <w:cols w:num="2" w:space="708"/>
          <w:docGrid w:linePitch="360"/>
        </w:sectPr>
      </w:pPr>
    </w:p>
    <w:tbl>
      <w:tblPr>
        <w:tblW w:w="0" w:type="auto"/>
        <w:tblLook w:val="04A0" w:firstRow="1" w:lastRow="0" w:firstColumn="1" w:lastColumn="0" w:noHBand="0" w:noVBand="1"/>
      </w:tblPr>
      <w:tblGrid>
        <w:gridCol w:w="2518"/>
        <w:gridCol w:w="7260"/>
      </w:tblGrid>
      <w:tr>
        <w:tc>
          <w:tcPr>
            <w:tcW w:w="2518" w:type="dxa"/>
            <w:shd w:val="clear" w:color="auto" w:fill="92CDDC" w:themeFill="accent5" w:themeFillTint="99"/>
            <w:vAlign w:val="center"/>
          </w:tcPr>
          <w:p>
            <w:pPr>
              <w:pStyle w:val="DGTextstand-alone"/>
              <w:spacing w:before="0" w:after="0"/>
              <w:jc w:val="center"/>
              <w:rPr>
                <w:b/>
                <w:color w:val="FFFFFF"/>
              </w:rPr>
            </w:pPr>
            <w:r>
              <w:rPr>
                <w:b/>
                <w:color w:val="FFFFFF"/>
              </w:rPr>
              <w:t>Многогодишната финансова рамка и разходните програми</w:t>
            </w:r>
          </w:p>
        </w:tc>
        <w:tc>
          <w:tcPr>
            <w:tcW w:w="7260" w:type="dxa"/>
            <w:shd w:val="clear" w:color="auto" w:fill="auto"/>
          </w:tcPr>
          <w:p>
            <w:pPr>
              <w:pStyle w:val="DGTextstand-alone"/>
              <w:spacing w:before="0" w:after="0"/>
            </w:pPr>
            <w:r>
              <w:t xml:space="preserve">Политиките, които се подпомагат от бюджета на ЕС, се изпълняват в съответствие с </w:t>
            </w:r>
            <w:r>
              <w:rPr>
                <w:color w:val="016794"/>
              </w:rPr>
              <w:t>многогодишната финансова рамка (МФР)</w:t>
            </w:r>
            <w:r>
              <w:t xml:space="preserve"> и съответното секторно законодателство, в което се определят разходните програми и инструментите. Тези програми дават финансово изражение на политическите приоритети на ЕС за период от време, който е достатъчно дълъг, за да бъдат приоритетите ефективни и </w:t>
            </w:r>
          </w:p>
        </w:tc>
      </w:tr>
      <w:tr>
        <w:trPr>
          <w:trHeight w:val="1519"/>
        </w:trPr>
        <w:tc>
          <w:tcPr>
            <w:tcW w:w="9778" w:type="dxa"/>
            <w:gridSpan w:val="2"/>
            <w:shd w:val="clear" w:color="auto" w:fill="auto"/>
          </w:tcPr>
          <w:p>
            <w:pPr>
              <w:pStyle w:val="DGTextstand-alone"/>
              <w:spacing w:before="0" w:after="0"/>
            </w:pPr>
            <w:r>
              <w:t>да се осигури съгласувана дългосрочна перспектива за бенефициерите на средства от ЕС и съфинансиращите национални органи. Определят се максимални годишни размери (тавани) за разходите на ЕС като цяло и за основните категории разходи (функции). Сборът от таваните на всички функции дава общия таван за бюджетните кредити за поети задължения. МФР се приема от Съвета с единодушие на всички държави членки, с одобрението на Европейския парламент. Новата многогодишна финансова рамка за периода 2021—2027 г. беше приета на 17 декември 2020 г.</w:t>
            </w:r>
          </w:p>
        </w:tc>
      </w:tr>
      <w:tr>
        <w:tc>
          <w:tcPr>
            <w:tcW w:w="2518" w:type="dxa"/>
            <w:shd w:val="clear" w:color="auto" w:fill="1F497D"/>
            <w:vAlign w:val="center"/>
          </w:tcPr>
          <w:p>
            <w:pPr>
              <w:pStyle w:val="DGTextstand-alone"/>
              <w:spacing w:before="0" w:after="0"/>
              <w:jc w:val="center"/>
              <w:rPr>
                <w:b/>
                <w:color w:val="FFFFFF"/>
              </w:rPr>
            </w:pPr>
            <w:r>
              <w:rPr>
                <w:b/>
                <w:color w:val="FFFFFF"/>
              </w:rPr>
              <w:t>Годишен бюджет</w:t>
            </w:r>
          </w:p>
        </w:tc>
        <w:tc>
          <w:tcPr>
            <w:tcW w:w="7260" w:type="dxa"/>
            <w:shd w:val="clear" w:color="auto" w:fill="auto"/>
          </w:tcPr>
          <w:p>
            <w:pPr>
              <w:pStyle w:val="DGTextstand-alone"/>
              <w:spacing w:before="0" w:after="0"/>
            </w:pPr>
            <w:r>
              <w:rPr>
                <w:color w:val="016794"/>
              </w:rPr>
              <w:t>Годишният бюджет</w:t>
            </w:r>
            <w:r>
              <w:t xml:space="preserve"> се изготвя от Комисията и обикновено се одобрява до средата на декември от Европейския парламент и Съвета въз основа на процедурата по член 314 от ДФЕС. Според принципа на балансираност на бюджета общият размер на приходите трябва да е равен на общия размер на разходите (бюджетните</w:t>
            </w:r>
          </w:p>
        </w:tc>
      </w:tr>
      <w:tr>
        <w:trPr>
          <w:trHeight w:val="364"/>
        </w:trPr>
        <w:tc>
          <w:tcPr>
            <w:tcW w:w="9778" w:type="dxa"/>
            <w:gridSpan w:val="2"/>
            <w:shd w:val="clear" w:color="auto" w:fill="auto"/>
          </w:tcPr>
          <w:p>
            <w:pPr>
              <w:pStyle w:val="DGTextstand-alone"/>
              <w:spacing w:before="0" w:after="0"/>
            </w:pPr>
            <w:r>
              <w:t>кредити за плащания) за дадена финансова година.</w:t>
            </w:r>
          </w:p>
        </w:tc>
      </w:tr>
    </w:tbl>
    <w:p>
      <w:pPr>
        <w:pStyle w:val="DGTextstand-alone"/>
        <w:spacing w:before="0" w:after="0"/>
      </w:pPr>
      <w:r>
        <w:t xml:space="preserve">Основните </w:t>
      </w:r>
      <w:r>
        <w:rPr>
          <w:color w:val="016794"/>
        </w:rPr>
        <w:t>източници на финансиране</w:t>
      </w:r>
      <w:r>
        <w:t xml:space="preserve"> на ЕС са приходите от собствени ресурси, които се допълват от други приходи. Съществуват три вида собствени ресурси: традиционните собствени ресурси (предимно митата), собственият ресурс на база данъка върху добавената стойност (ДДС) и собственият ресурс на база брутния национален доход (БНД). Другите приходи, произтичащи от дейностите на ЕС (напр. глобите в областта на конкуренцията), обикновено представляват по-малко от 10 % от общите приходи (като се игнорира еднократният ефект от оттеглянето на Обединеното кралство от ЕС върху годишните отчети за 2020 г.). Общият размер на собствените ресурси, необходими за финансиране на бюджета, се определя, като от общия размер на разходите се извади общият размер на другите приходи.</w:t>
      </w:r>
    </w:p>
    <w:p>
      <w:pPr>
        <w:pStyle w:val="DGTextstand-alone"/>
        <w:spacing w:before="0" w:after="0"/>
      </w:pPr>
    </w:p>
    <w:tbl>
      <w:tblPr>
        <w:tblW w:w="0" w:type="auto"/>
        <w:tblLook w:val="04A0" w:firstRow="1" w:lastRow="0" w:firstColumn="1" w:lastColumn="0" w:noHBand="0" w:noVBand="1"/>
      </w:tblPr>
      <w:tblGrid>
        <w:gridCol w:w="2518"/>
        <w:gridCol w:w="7260"/>
      </w:tblGrid>
      <w:tr>
        <w:trPr>
          <w:trHeight w:val="624"/>
        </w:trPr>
        <w:tc>
          <w:tcPr>
            <w:tcW w:w="2518" w:type="dxa"/>
            <w:shd w:val="clear" w:color="auto" w:fill="92CDDC" w:themeFill="accent5" w:themeFillTint="99"/>
            <w:vAlign w:val="center"/>
          </w:tcPr>
          <w:p>
            <w:pPr>
              <w:pStyle w:val="DGTextstand-alone"/>
              <w:spacing w:before="0" w:after="0"/>
              <w:ind w:left="907" w:hanging="907"/>
              <w:jc w:val="center"/>
              <w:rPr>
                <w:b/>
                <w:color w:val="FFFFFF"/>
              </w:rPr>
            </w:pPr>
          </w:p>
          <w:p>
            <w:pPr>
              <w:pStyle w:val="DGTextstand-alone"/>
              <w:spacing w:before="0" w:after="0"/>
              <w:ind w:left="709" w:hanging="907"/>
              <w:jc w:val="center"/>
              <w:rPr>
                <w:b/>
                <w:color w:val="FFFFFF"/>
                <w:spacing w:val="-6"/>
              </w:rPr>
            </w:pPr>
            <w:r>
              <w:rPr>
                <w:b/>
                <w:color w:val="FFFFFF"/>
                <w:spacing w:val="-6"/>
              </w:rPr>
              <w:t>Методи на управление</w:t>
            </w:r>
          </w:p>
          <w:p>
            <w:pPr>
              <w:pStyle w:val="DGTextstand-alone"/>
              <w:spacing w:before="0" w:after="0"/>
              <w:ind w:left="907" w:hanging="907"/>
              <w:jc w:val="center"/>
              <w:rPr>
                <w:b/>
                <w:color w:val="FFFFFF"/>
              </w:rPr>
            </w:pPr>
          </w:p>
        </w:tc>
        <w:tc>
          <w:tcPr>
            <w:tcW w:w="7260" w:type="dxa"/>
            <w:shd w:val="clear" w:color="auto" w:fill="auto"/>
          </w:tcPr>
          <w:p>
            <w:pPr>
              <w:pStyle w:val="DGTextstand-alone"/>
              <w:spacing w:before="0" w:after="0"/>
            </w:pPr>
            <w:r>
              <w:t>Бюджетът на ЕС се изпълнява посредством три метода на управление, които определят начина, по който средствата се изплащат и управляват:</w:t>
            </w:r>
          </w:p>
          <w:p>
            <w:pPr>
              <w:pStyle w:val="DGTextstand-alone"/>
              <w:spacing w:before="0" w:after="0"/>
            </w:pPr>
          </w:p>
          <w:p>
            <w:pPr>
              <w:pStyle w:val="DGTextstand-alone"/>
              <w:spacing w:before="0" w:after="0"/>
            </w:pPr>
          </w:p>
        </w:tc>
      </w:tr>
    </w:tbl>
    <w:p>
      <w:pPr>
        <w:pStyle w:val="DGTextstand-alone"/>
        <w:numPr>
          <w:ilvl w:val="0"/>
          <w:numId w:val="21"/>
        </w:numPr>
        <w:pBdr>
          <w:top w:val="nil"/>
          <w:left w:val="nil"/>
          <w:bottom w:val="nil"/>
          <w:right w:val="nil"/>
          <w:between w:val="nil"/>
          <w:bar w:val="nil"/>
        </w:pBdr>
      </w:pPr>
      <w:r>
        <w:rPr>
          <w:color w:val="016794"/>
        </w:rPr>
        <w:t>Споделено управление:</w:t>
      </w:r>
      <w:r>
        <w:t xml:space="preserve"> по-голямата част от бюджета (около 3/4 от него) се управлява посредством система на споделено управление от Комисията в сътрудничество с държавите членки, и по-конкретно в областта на структурните фондове и земеделието.</w:t>
      </w:r>
    </w:p>
    <w:p>
      <w:pPr>
        <w:pStyle w:val="DGTextstand-alone"/>
        <w:numPr>
          <w:ilvl w:val="0"/>
          <w:numId w:val="21"/>
        </w:numPr>
        <w:pBdr>
          <w:top w:val="nil"/>
          <w:left w:val="nil"/>
          <w:bottom w:val="nil"/>
          <w:right w:val="nil"/>
          <w:between w:val="nil"/>
          <w:bar w:val="nil"/>
        </w:pBdr>
      </w:pPr>
      <w:r>
        <w:rPr>
          <w:color w:val="016794"/>
        </w:rPr>
        <w:t>Пряко управление:</w:t>
      </w:r>
      <w:r>
        <w:t xml:space="preserve"> Комисията също така управлява сама програми и може да делегира изпълнението на конкретни програми на изпълнителните агенции.</w:t>
      </w:r>
    </w:p>
    <w:p>
      <w:pPr>
        <w:pStyle w:val="DGTextstand-alone"/>
        <w:numPr>
          <w:ilvl w:val="0"/>
          <w:numId w:val="21"/>
        </w:numPr>
        <w:pBdr>
          <w:top w:val="nil"/>
          <w:left w:val="nil"/>
          <w:bottom w:val="nil"/>
          <w:right w:val="nil"/>
          <w:between w:val="nil"/>
          <w:bar w:val="nil"/>
        </w:pBdr>
      </w:pPr>
      <w:r>
        <w:rPr>
          <w:color w:val="016794"/>
        </w:rPr>
        <w:t>Непряко управление:</w:t>
      </w:r>
      <w:r>
        <w:t xml:space="preserve"> решенията във връзка с разходите могат да се управляват и непряко чрез други органи в рамките на ЕС или извън него. Във Финансовия регламент и/или в споразуменията за финансов принос се определят необходимите механизми за контрол и докладване от страна на тези субекти и надзорът от страна на Комисията, когато задачите по изпълнението на бюджета са възложени на национални агенции, групата на Европейската инвестиционна банка, трети държави, международни организации (напр. Световната банка или ООН) и други субекти (напр. децентрализираните агенции на ЕС и съвместни предприятия).</w:t>
      </w:r>
    </w:p>
    <w:tbl>
      <w:tblPr>
        <w:tblW w:w="0" w:type="auto"/>
        <w:tblLook w:val="04A0" w:firstRow="1" w:lastRow="0" w:firstColumn="1" w:lastColumn="0" w:noHBand="0" w:noVBand="1"/>
      </w:tblPr>
      <w:tblGrid>
        <w:gridCol w:w="2518"/>
        <w:gridCol w:w="7260"/>
      </w:tblGrid>
      <w:tr>
        <w:trPr>
          <w:trHeight w:val="624"/>
        </w:trPr>
        <w:tc>
          <w:tcPr>
            <w:tcW w:w="2518" w:type="dxa"/>
            <w:shd w:val="clear" w:color="auto" w:fill="1F497D"/>
            <w:vAlign w:val="center"/>
          </w:tcPr>
          <w:p>
            <w:pPr>
              <w:pStyle w:val="DGTextstand-alone"/>
              <w:spacing w:before="0" w:after="0"/>
              <w:jc w:val="center"/>
              <w:rPr>
                <w:b/>
                <w:color w:val="FFFFFF"/>
              </w:rPr>
            </w:pPr>
            <w:r>
              <w:rPr>
                <w:b/>
                <w:color w:val="FFFFFF"/>
              </w:rPr>
              <w:t>Финансов регламент</w:t>
            </w:r>
          </w:p>
        </w:tc>
        <w:tc>
          <w:tcPr>
            <w:tcW w:w="7260" w:type="dxa"/>
            <w:shd w:val="clear" w:color="auto" w:fill="auto"/>
          </w:tcPr>
          <w:p>
            <w:pPr>
              <w:pStyle w:val="DGTextstand-alone"/>
              <w:spacing w:before="0" w:after="0"/>
            </w:pPr>
            <w:r>
              <w:rPr>
                <w:color w:val="016794"/>
              </w:rPr>
              <w:t>Финансовият регламент</w:t>
            </w:r>
            <w:r>
              <w:t xml:space="preserve"> (ФР)</w:t>
            </w:r>
            <w:r>
              <w:rPr>
                <w:rStyle w:val="FootnoteReference"/>
              </w:rPr>
              <w:footnoteReference w:id="9"/>
            </w:r>
            <w:r>
              <w:t xml:space="preserve">, приложим за общия бюджет, е основен акт в регулаторната структура на финансите на ЕС. В него се определят подробно финансовите правила, приложими за изпълнението на бюджета на ЕС, както и ролите на различните участници в осигуряването на това, че средствата се използват разумно и </w:t>
            </w:r>
          </w:p>
        </w:tc>
      </w:tr>
      <w:tr>
        <w:tc>
          <w:tcPr>
            <w:tcW w:w="9778" w:type="dxa"/>
            <w:gridSpan w:val="2"/>
            <w:shd w:val="clear" w:color="auto" w:fill="auto"/>
          </w:tcPr>
          <w:p>
            <w:pPr>
              <w:pStyle w:val="DGTextstand-alone"/>
              <w:spacing w:before="0" w:after="0"/>
            </w:pPr>
            <w:r>
              <w:t>постига поставените цели.</w:t>
            </w:r>
          </w:p>
          <w:p>
            <w:pPr>
              <w:pStyle w:val="DGTextstand-alone"/>
              <w:spacing w:before="0" w:after="0"/>
            </w:pPr>
          </w:p>
        </w:tc>
      </w:tr>
    </w:tbl>
    <w:p>
      <w:pPr>
        <w:pStyle w:val="DGTextstand-alone"/>
      </w:pPr>
    </w:p>
    <w:p>
      <w:pPr>
        <w:pStyle w:val="HEADER2Part4"/>
        <w:numPr>
          <w:ilvl w:val="1"/>
          <w:numId w:val="40"/>
        </w:numPr>
        <w:spacing w:before="0"/>
      </w:pPr>
      <w:r>
        <w:br w:type="page"/>
      </w:r>
      <w:bookmarkStart w:id="53" w:name="_Toc75518100"/>
      <w:r>
        <w:t>УПРАВЛЕНИЕ И ОТЧЕТНОСТ</w:t>
      </w:r>
      <w:bookmarkEnd w:id="53"/>
    </w:p>
    <w:p>
      <w:pPr>
        <w:pStyle w:val="HEADER3Part3"/>
        <w:numPr>
          <w:ilvl w:val="2"/>
          <w:numId w:val="40"/>
        </w:numPr>
        <w:spacing w:after="240"/>
        <w:rPr>
          <w:noProof/>
        </w:rPr>
      </w:pPr>
      <w:r>
        <w:rPr>
          <w:noProof/>
        </w:rPr>
        <w:t>Институционална структура</w:t>
      </w:r>
    </w:p>
    <w:p>
      <w:pPr>
        <w:pStyle w:val="DGTextstand-alone"/>
        <w:rPr>
          <w:spacing w:val="-6"/>
        </w:rPr>
      </w:pPr>
      <w:r>
        <w:rPr>
          <w:spacing w:val="-6"/>
        </w:rPr>
        <w:t>EС разполага с институционална рамка, която има за цел да насърчава неговите ценности, да преследва неговите цели, да служи на неговите интереси, на интересите на неговите граждани и на тези на държавите членки, както и да осигурява съгласуваност, ефективност и последователност на неговите политики и дейности. Организационната структура се състои от институции, агенции и други органи на ЕС, които са включени в консолидираните отчети на ЕС, доколкото са изпълнени критериите за консолидиране, определени във ФР и в приложимите счетоводни правила (вж. бележка </w:t>
      </w:r>
      <w:r>
        <w:rPr>
          <w:b/>
          <w:spacing w:val="-6"/>
        </w:rPr>
        <w:t>9</w:t>
      </w:r>
      <w:r>
        <w:rPr>
          <w:spacing w:val="-6"/>
        </w:rPr>
        <w:t xml:space="preserve"> от консолидираните годишни отчети на ЕС за списъка на субектите, включени в обхвата на консолидацията).</w:t>
      </w:r>
    </w:p>
    <w:p>
      <w:pPr>
        <w:pStyle w:val="DGTextstand-alone"/>
      </w:pPr>
      <w:r>
        <w:t>Европейският парламент изпълнява, съвместно със Съвета, законодателни и бюджетни функции. Комисията се отчита политически пред Европейския парламент. Съветът също изпълнява функции, свързани с определяне на политиките и координиране, в рамките на общите политически насоки и приоритети на Съюза, определени от Европейския съвет.</w:t>
      </w:r>
    </w:p>
    <w:p>
      <w:pPr>
        <w:pStyle w:val="DGTextstand-alone"/>
      </w:pPr>
      <w:r>
        <w:t>Европейската комисия е изпълнителният орган на Европейския съюз. Тя допринася за постигането на общите интереси на Съюза и предприема подходящи инициативи за тази цел. Тя гарантира прилагането на Договорите и упражнява надзор върху прилагането на правото на Съюза от държавите членки под контрола на Съда на Европейския съюз. Тя изпълнява координационни, изпълнителни и управленски функции, изпълнява бюджета и управлява програмите.</w:t>
      </w:r>
    </w:p>
    <w:p>
      <w:pPr>
        <w:pStyle w:val="DGTextstand-alone"/>
      </w:pPr>
      <w:r>
        <w:t>Комисията изпълнява бюджета, до голяма степен в сътрудничество с държавите членки</w:t>
      </w:r>
      <w:r>
        <w:rPr>
          <w:rStyle w:val="FootnoteReference"/>
        </w:rPr>
        <w:footnoteReference w:id="10"/>
      </w:r>
      <w:r>
        <w:t>. Те гарантират съвместно, че бюджетните кредити се използват в съответствие с принципите на доброто финансово управление. Регламентите определят задълженията на държавите членки за контрол и одит, когато те участват в изпълнението на бюджета, както и отговорностите, които произтичат от тези задължения. Те определят също отговорностите и подробни правила за всяка от институциите на ЕС, що се отнася до нейните разходи.</w:t>
      </w:r>
    </w:p>
    <w:p>
      <w:pPr>
        <w:pStyle w:val="HEADER3Part3"/>
        <w:numPr>
          <w:ilvl w:val="2"/>
          <w:numId w:val="40"/>
        </w:numPr>
        <w:spacing w:after="240"/>
        <w:rPr>
          <w:noProof/>
        </w:rPr>
      </w:pPr>
      <w:r>
        <w:rPr>
          <w:noProof/>
        </w:rPr>
        <w:t>Управленска структура на Комисията</w:t>
      </w:r>
    </w:p>
    <w:p>
      <w:pPr>
        <w:pStyle w:val="DGTextstand-alone"/>
      </w:pPr>
      <w:r>
        <w:t>Механизмите на Комисията за управление и начинът, по който те гарантират, че Комисията функционира като модерна, отговорна и ориентирана към резултатите институция, са описани в Съобщение C(2020) 4240 от 24.6.2020 г. относно управлението в Европейската комисия.</w:t>
      </w:r>
    </w:p>
    <w:p>
      <w:pPr>
        <w:pStyle w:val="DGTextstand-alone"/>
        <w:rPr>
          <w:spacing w:val="-4"/>
        </w:rPr>
      </w:pPr>
      <w:r>
        <w:rPr>
          <w:spacing w:val="-4"/>
        </w:rPr>
        <w:t xml:space="preserve">Комисията изпълнява своите функции под ръководството на колегиума на членовете на Комисията, който определя приоритетите и носи цялата политическа отговорност за работата на Комисията. Като колегиум Комисията работи под политическото ръководство на своя председател, който представя целите, които възнамерява да преследва, под формата на политическите насоки на председателя. Председателят определя вътрешната организация на Комисията, като гарантира, че тя действа последователно, ефективно и като колегиален орган. Вътрешните договорености създават структура от солидни инструменти за контрол и управление, които позволяват на </w:t>
      </w:r>
      <w:r>
        <w:rPr>
          <w:color w:val="016794"/>
          <w:spacing w:val="-4"/>
        </w:rPr>
        <w:t>колегиума на членовете на Комисията</w:t>
      </w:r>
      <w:r>
        <w:rPr>
          <w:spacing w:val="-4"/>
        </w:rPr>
        <w:t xml:space="preserve"> да поеме политическа отговорност за работата на Комисията</w:t>
      </w:r>
      <w:r>
        <w:rPr>
          <w:rStyle w:val="FootnoteReference"/>
          <w:spacing w:val="-4"/>
        </w:rPr>
        <w:footnoteReference w:id="11"/>
      </w:r>
      <w:r>
        <w:rPr>
          <w:spacing w:val="-4"/>
        </w:rPr>
        <w:t>.</w:t>
      </w:r>
    </w:p>
    <w:p>
      <w:pPr>
        <w:pStyle w:val="DGTextstand-alone"/>
        <w:rPr>
          <w:b/>
          <w:color w:val="016794"/>
          <w:sz w:val="28"/>
        </w:rPr>
      </w:pPr>
      <w:r>
        <w:t xml:space="preserve">Колегиумът делегира оперативното изпълнение на бюджета и финансовото управление на </w:t>
      </w:r>
      <w:r>
        <w:rPr>
          <w:color w:val="016794"/>
        </w:rPr>
        <w:t>генералните директори и ръководителите на служби</w:t>
      </w:r>
      <w:r>
        <w:t>, които ръководят административната структура на Комисията. Този децентрализиран подход създава административна култура, която насърчава служителите да поемат отговорност за дейностите, върху които имат контрол, и изисква от тях да предоставят увереност за дейностите, за които носят отговорност.</w:t>
      </w:r>
    </w:p>
    <w:p>
      <w:pPr>
        <w:pStyle w:val="HEADER3Part3"/>
        <w:numPr>
          <w:ilvl w:val="2"/>
          <w:numId w:val="40"/>
        </w:numPr>
        <w:spacing w:after="240"/>
        <w:rPr>
          <w:noProof/>
        </w:rPr>
      </w:pPr>
      <w:r>
        <w:rPr>
          <w:noProof/>
        </w:rPr>
        <w:t>Финансово управление на Комисията</w:t>
      </w:r>
    </w:p>
    <w:p>
      <w:pPr>
        <w:pStyle w:val="DGTextstand-alone"/>
      </w:pPr>
      <w:r>
        <w:t>В Комисията функциите и отговорностите в областта на финансовото управление са ясно определени (напр. във ФР и във Вътрешните правила</w:t>
      </w:r>
      <w:r>
        <w:rPr>
          <w:rStyle w:val="FootnoteReference"/>
        </w:rPr>
        <w:footnoteReference w:id="12"/>
      </w:r>
      <w:r>
        <w:t xml:space="preserve">) и се прилагат по съответния начин. В качеството си на </w:t>
      </w:r>
      <w:r>
        <w:rPr>
          <w:color w:val="016794"/>
        </w:rPr>
        <w:t>оправомощени разпоредители с бюджетни кредити</w:t>
      </w:r>
      <w:r>
        <w:t xml:space="preserve"> генералните директори и ръководителите на служби в Комисията отговарят за доброто финансово управление на ресурсите на ЕС, за спазването на разпоредбите на Финансовия регламент, за управлението на риска и за изготвянето на подходяща рамка за вътрешен контрол. </w:t>
      </w:r>
    </w:p>
    <w:p>
      <w:pPr>
        <w:pStyle w:val="DGTextstand-alone"/>
      </w:pPr>
      <w:r>
        <w:t xml:space="preserve">Отговорността на разпоредителите с бюджетни кредити обхваща целия управленски процес — от определянето на това какво трябва да се направи, за да бъдат постигнати определените от институцията цели на политиката, до управлението на дейностите както от оперативна гледна точка, така и от гледна точка на доброто финансово управление. Задачите могат след това да бъдат вторично делегирани на директори, началници на отдели и други лица, които по този начин стават вторично оправомощени разпоредители с бюджетни кредити. Всеки оправомощен разпоредител с бюджетни кредити може да разчита на един или двама директори, отговарящи за управлението на риска и за вътрешния контрол, за да надзирава и наблюдава прилагането на системите за вътрешен контрол. </w:t>
      </w:r>
    </w:p>
    <w:p>
      <w:pPr>
        <w:pStyle w:val="DGTextstand-alone"/>
      </w:pPr>
      <w:r>
        <w:t xml:space="preserve">Централните служби на Комисията дават насоки и съвети и насърчават най-добрите практики, включително чрез дейността на Общия управителен съвет. </w:t>
      </w:r>
    </w:p>
    <w:p>
      <w:pPr>
        <w:pStyle w:val="DGTextstand-alone"/>
      </w:pPr>
      <w:r>
        <w:t xml:space="preserve">Съгласно ФР всеки разпоредител с бюджетни кредити трябва да изготвя годишен отчет за дейността (ГОД), в който се описват подробно постигнатите резултати, вътрешният контрол и дейностите по финансово управление през годината. ГОД съдържа декларация, че ресурсите са били използвани при съблюдаване на принципите на доброто финансово управление и че са осигурени процедури за контрол, които дават необходимите гаранции във връзка със законосъобразността и редовността на извършените операции. Годишният доклад за управлението и изпълнението на бюджета на ЕС е основният инструмент, </w:t>
      </w:r>
      <w:r>
        <w:rPr>
          <w:b/>
        </w:rPr>
        <w:t>чрез който колегиумът на членовете на Комисията поема политическа отговорност за финансовото управление на бюджета на ЕС</w:t>
      </w:r>
      <w:r>
        <w:t>.</w:t>
      </w:r>
    </w:p>
    <w:p>
      <w:pPr>
        <w:pStyle w:val="DGTextstand-alone"/>
      </w:pPr>
      <w:r>
        <w:rPr>
          <w:color w:val="016794"/>
        </w:rPr>
        <w:t>Счетоводителят</w:t>
      </w:r>
      <w:r>
        <w:t xml:space="preserve"> на Комисията отговаря централно за управлението на касата, за процедурите по събиране на средства, за определянето на счетоводни правила въз основа на международните счетоводни стандарти за публичния сектор (МССПС), за утвърждаването на счетоводните системи и за изготвянето на годишните отчети на Комисията и на консолидираните годишни отчети на ЕС. Освен това счетоводителят трябва да подписва годишните отчети, като декларира, че те представят честно, във всички съществени аспекти, финансовото състояние, резултатите от дейността и паричните потоци на Съюза. Годишните отчети се приемат от колегиума на членовете на Комисията. Счетоводителят е независима функция. Той носи голяма отговорност за финансовото отчитане в Комисията. </w:t>
      </w:r>
    </w:p>
    <w:p>
      <w:pPr>
        <w:pStyle w:val="DGTextstand-alone"/>
      </w:pPr>
      <w:r>
        <w:rPr>
          <w:color w:val="016794"/>
        </w:rPr>
        <w:t>Вътрешният одитор</w:t>
      </w:r>
      <w:r>
        <w:t xml:space="preserve"> на Комисията също е централизирана и независима функция. Той предоставя независими съвети, становища и препоръки във връзка с качеството и функционирането на системите за вътрешен контрол в Комисията, агенциите на ЕС и други автономни органи. </w:t>
      </w:r>
    </w:p>
    <w:p>
      <w:pPr>
        <w:pStyle w:val="DGTextstand-alone"/>
      </w:pPr>
      <w:r>
        <w:rPr>
          <w:color w:val="016794"/>
        </w:rPr>
        <w:t>Комитетът за контрол на одитите</w:t>
      </w:r>
      <w:r>
        <w:t xml:space="preserve"> гарантира независимостта на вътрешния одитор и следи качеството на дейността по вътрешен одит и последващите действия, предприети от службите на Комисията във връзка с препоръките от вътрешен и външен одит, както и с констатациите и препоръките на Европейската сметна палата, свързани с освобождаването от отговорност, относно надеждността на годишните консолидирани отчети на ЕС. Консултативната роля на комитета допринася за цялостното допълнително подобряване на ефективността и ефикасността на Комисията при постигането на нейните цели и улеснява надзора от страна на колегиума на комисарите върху ръководенето, управлението на риска и практиките за вътрешен контрол на Комисията.</w:t>
      </w:r>
    </w:p>
    <w:p>
      <w:pPr>
        <w:pStyle w:val="HEADER3Part3"/>
        <w:numPr>
          <w:ilvl w:val="2"/>
          <w:numId w:val="40"/>
        </w:numPr>
        <w:rPr>
          <w:noProof/>
        </w:rPr>
      </w:pPr>
      <w:r>
        <w:rPr>
          <w:noProof/>
        </w:rPr>
        <w:t>Външен одит и процедура по освобождаване от отговорност във връзка с изпълнението на бюджета</w:t>
      </w:r>
    </w:p>
    <w:p>
      <w:pPr>
        <w:pStyle w:val="DGTextstand-alone"/>
        <w:spacing w:before="120"/>
      </w:pPr>
      <w:r>
        <w:t>В съответствие с принципите на доброто финансово управление средствата трябва да се управляват ефективно, ефикасно и икономично. Съществува рамка за отчетност, основана на подробно докладване, външен одит и политически контрол, която има за цел да предостави разумна увереност, че средствата на ЕС се изразходват по подходящ начин.</w:t>
      </w:r>
    </w:p>
    <w:p>
      <w:pPr>
        <w:pStyle w:val="DGTextstand-alone"/>
        <w:spacing w:before="120"/>
      </w:pPr>
      <w:r>
        <w:t xml:space="preserve">Всяка година </w:t>
      </w:r>
      <w:r>
        <w:rPr>
          <w:b/>
        </w:rPr>
        <w:t>Европейската сметна палата</w:t>
      </w:r>
      <w:r>
        <w:t xml:space="preserve"> проверява надеждността на отчетите, дали всички приходи са получени и всички разходи са извършени законосъобразно и редовно, както и дали финансовото управление и качествените аспекти на бюджетирането, включително измерението на изпълнението, са били надеждни. Публикуването на годишния доклад на Европейската сметна палата е началото на процедурата по освобождаване от отговорност във връзка с изпълнението на бюджета. Одиторите изготвят и специални доклади относно конкретни разходи или области на политиката или относно бюджетни или управленски въпроси.</w:t>
      </w:r>
    </w:p>
    <w:p>
      <w:pPr>
        <w:pStyle w:val="DGTextstand-alone"/>
        <w:spacing w:before="120"/>
      </w:pPr>
      <w:r>
        <w:t xml:space="preserve">След препоръка на </w:t>
      </w:r>
      <w:r>
        <w:rPr>
          <w:b/>
        </w:rPr>
        <w:t>Съвета</w:t>
      </w:r>
      <w:r>
        <w:t xml:space="preserve"> </w:t>
      </w:r>
      <w:r>
        <w:rPr>
          <w:b/>
        </w:rPr>
        <w:t>Европейският парламент</w:t>
      </w:r>
      <w:r>
        <w:t xml:space="preserve"> взема решение дали да даде окончателното си одобрение, известно като „разрешение за освобождаване от отговорност“, за начина, по който Комисията е изпълнила бюджета на ЕС през дадена година. Годишната процедура по освобождаване от отговорност във връзка с изпълнението на бюджета гарантира, че Комисията носи политическа отговорност за изпълнението на бюджета на ЕС.</w:t>
      </w:r>
    </w:p>
    <w:p>
      <w:pPr>
        <w:pStyle w:val="DGTextstand-alone"/>
        <w:spacing w:before="120"/>
      </w:pPr>
      <w:r>
        <w:t>Решението относно освобождаването от отговорност се основава и на интегрираните отчети на Комисията за финансите и управленската отговорност, на изслушванията на членове на Комисията в Европейския парламент и на отговорите, дадени на писмени въпроси, отправени към Комисията.</w:t>
      </w:r>
    </w:p>
    <w:bookmarkEnd w:id="7"/>
    <w:p>
      <w:pPr>
        <w:pStyle w:val="DGTextstand-alone"/>
        <w:spacing w:before="120"/>
        <w:sectPr>
          <w:headerReference w:type="even" r:id="rId62"/>
          <w:headerReference w:type="default" r:id="rId63"/>
          <w:footerReference w:type="even" r:id="rId64"/>
          <w:footerReference w:type="default" r:id="rId65"/>
          <w:headerReference w:type="first" r:id="rId66"/>
          <w:footerReference w:type="first" r:id="rId67"/>
          <w:pgSz w:w="11907" w:h="16840"/>
          <w:pgMar w:top="1134" w:right="1134" w:bottom="1134" w:left="1134" w:header="709" w:footer="709" w:gutter="0"/>
          <w:cols w:space="708"/>
          <w:docGrid w:linePitch="360"/>
        </w:sectPr>
      </w:pPr>
    </w:p>
    <w:p>
      <w:pPr>
        <w:pStyle w:val="FIRSTCHAPTERPAGE"/>
        <w:rPr>
          <w:noProof/>
        </w:rPr>
      </w:pPr>
      <w:bookmarkStart w:id="54" w:name="_Toc75518065"/>
      <w:bookmarkStart w:id="55" w:name="_DMBM_19800"/>
      <w:r>
        <w:rPr>
          <w:noProof/>
        </w:rPr>
        <w:t>БЕЛЕЖКА, СЪПЪТСТВАЩА КОНСОЛИДИРАНИТЕ ОТЧЕТИ</w:t>
      </w:r>
      <w:bookmarkEnd w:id="54"/>
    </w:p>
    <w:p>
      <w:pPr>
        <w:pStyle w:val="DGTextstand-alone"/>
      </w:pPr>
    </w:p>
    <w:p>
      <w:pPr>
        <w:pStyle w:val="DGTextstand-alone"/>
      </w:pPr>
      <w:r>
        <w:t>Консолидираните годишни отчети на Европейския съюз за 2020 г. са изготвени въз основа на информацията, предоставена от институциите и органите съгласно член 246, параграф 2 от Финансовия регламент, приложим за общия бюджет на Европейския съюз. С настоящото заявявам, че те бяха съставени в съответствие с дял XIII от този Финансов регламент и със счетоводните принципи, правила и методи, посочени в бележките към финансовите отчети.</w:t>
      </w:r>
    </w:p>
    <w:p>
      <w:pPr>
        <w:pStyle w:val="DGTextstand-alone"/>
      </w:pPr>
      <w:r>
        <w:t>От счетоводителите на тези институции и органи, които удостовериха нейната надеждност, получих цялата информация, необходима за изготвянето на отчетите, които показват активите и пасивите на Европейския съюз и изпълнението на бюджета.</w:t>
      </w:r>
    </w:p>
    <w:p>
      <w:pPr>
        <w:pStyle w:val="DGTextstand-alone"/>
      </w:pPr>
      <w:r>
        <w:t>С настоящото удостоверявам, че въз основа на тази информация и на проверките, които прецених за необходими, за да подпиша отчетите на Европейската комисия, имам разумна увереност, че отчетите представят честно, във всички съществени аспекти, финансовото състояние, резултатите от дейността и паричните потоци на Европейския съюз.</w:t>
      </w:r>
    </w:p>
    <w:p>
      <w:pPr>
        <w:pStyle w:val="DGTextstand-alone"/>
      </w:pPr>
    </w:p>
    <w:p>
      <w:pPr>
        <w:pStyle w:val="Textstand-alone"/>
      </w:pPr>
    </w:p>
    <w:p>
      <w:pPr>
        <w:pStyle w:val="SignatureRightItalic"/>
        <w:rPr>
          <w:noProof/>
        </w:rPr>
      </w:pPr>
    </w:p>
    <w:p>
      <w:pPr>
        <w:pStyle w:val="SignatureRight"/>
        <w:rPr>
          <w:noProof/>
        </w:rPr>
      </w:pPr>
      <w:r>
        <w:rPr>
          <w:noProof/>
        </w:rPr>
        <w:t>Rosa ALDEA BUSQUETS</w:t>
      </w:r>
    </w:p>
    <w:p>
      <w:pPr>
        <w:pStyle w:val="SignatureRightBold"/>
        <w:rPr>
          <w:noProof/>
        </w:rPr>
      </w:pPr>
      <w:r>
        <w:rPr>
          <w:noProof/>
        </w:rPr>
        <w:t>Счетоводител на Комисията</w:t>
      </w:r>
    </w:p>
    <w:p>
      <w:pPr>
        <w:pStyle w:val="SignatureRightItalic0"/>
        <w:rPr>
          <w:noProof/>
        </w:rPr>
      </w:pPr>
      <w:r>
        <w:rPr>
          <w:noProof/>
        </w:rPr>
        <w:t>18 юни 2021 г.</w:t>
      </w:r>
    </w:p>
    <w:p>
      <w:pPr>
        <w:pStyle w:val="SignatureRightItalic0"/>
        <w:rPr>
          <w:noProof/>
        </w:rPr>
        <w:sectPr>
          <w:headerReference w:type="even" r:id="rId68"/>
          <w:headerReference w:type="default" r:id="rId69"/>
          <w:footerReference w:type="even" r:id="rId70"/>
          <w:footerReference w:type="default" r:id="rId71"/>
          <w:headerReference w:type="first" r:id="rId72"/>
          <w:footerReference w:type="first" r:id="rId73"/>
          <w:pgSz w:w="11906" w:h="16838"/>
          <w:pgMar w:top="1134" w:right="1134" w:bottom="1134" w:left="1134" w:header="709" w:footer="709" w:gutter="0"/>
          <w:cols w:space="708"/>
          <w:docGrid w:linePitch="360"/>
        </w:sectPr>
      </w:pPr>
      <w:r>
        <w:rPr>
          <w:noProof/>
        </w:rPr>
        <w:t xml:space="preserve"> </w:t>
      </w:r>
      <w:bookmarkEnd w:id="55"/>
    </w:p>
    <w:p>
      <w:pPr>
        <w:pStyle w:val="FinancialYear"/>
        <w:rPr>
          <w:noProof/>
        </w:rPr>
      </w:pPr>
      <w:bookmarkStart w:id="56" w:name="_DMBM_19788"/>
      <w:r>
        <w:rPr>
          <w:noProof/>
        </w:rPr>
        <w:t>ЕВРОПЕЙСКИ СЪЮЗ</w:t>
      </w:r>
    </w:p>
    <w:p>
      <w:pPr>
        <w:pStyle w:val="FinancialYear"/>
        <w:rPr>
          <w:noProof/>
        </w:rPr>
      </w:pPr>
      <w:r>
        <w:rPr>
          <w:noProof/>
        </w:rPr>
        <w:t>2020 ФИНАНСОВА ГОДИНА</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57" w:name="_Toc75518066"/>
      <w:r>
        <w:rPr>
          <w:noProof/>
        </w:rPr>
        <w:t>КОНСОЛИДИРАНИ ФИНАНСОВИ ОТЧЕТИ И ОБЯСНИТЕЛНИ БЕЛЕЖКИ</w:t>
      </w:r>
      <w:bookmarkEnd w:id="57"/>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74"/>
          <w:headerReference w:type="default" r:id="rId75"/>
          <w:footerReference w:type="even" r:id="rId76"/>
          <w:footerReference w:type="default" r:id="rId77"/>
          <w:headerReference w:type="first" r:id="rId78"/>
          <w:footerReference w:type="first" r:id="rId79"/>
          <w:pgSz w:w="11906" w:h="16838"/>
          <w:pgMar w:top="1134" w:right="1134" w:bottom="1134" w:left="1134" w:header="709" w:footer="709" w:gutter="0"/>
          <w:cols w:space="708"/>
          <w:docGrid w:linePitch="360"/>
        </w:sectPr>
      </w:pPr>
      <w:r>
        <w:rPr>
          <w:noProof/>
        </w:rPr>
        <w:t>Следва да се отбележи, че поради закръглянето на цифрите в милиони евро някои финансови данни в таблиците по-долу може да изглеждат грешни.</w:t>
      </w:r>
      <w:bookmarkEnd w:id="56"/>
    </w:p>
    <w:p>
      <w:pPr>
        <w:pStyle w:val="HEADERTABLE"/>
        <w:rPr>
          <w:noProof/>
        </w:rPr>
      </w:pPr>
      <w:bookmarkStart w:id="58" w:name="_DMBM_19815"/>
      <w:r>
        <w:rPr>
          <w:noProof/>
        </w:rPr>
        <w:t>СЪДЪРЖАНИЕ</w:t>
      </w:r>
    </w:p>
    <w:p>
      <w:pPr>
        <w:pStyle w:val="Textstand-alone"/>
      </w:pPr>
    </w:p>
    <w:p>
      <w:pPr>
        <w:pStyle w:val="TOC1"/>
        <w:rPr>
          <w:rFonts w:asciiTheme="minorHAnsi" w:eastAsiaTheme="minorEastAsia" w:hAnsiTheme="minorHAnsi" w:cstheme="minorBidi"/>
          <w:noProof/>
          <w:color w:val="auto"/>
          <w:szCs w:val="22"/>
        </w:rPr>
      </w:pPr>
      <w:r>
        <w:rPr>
          <w:noProof/>
          <w:color w:val="016894"/>
          <w:sz w:val="20"/>
        </w:rPr>
        <w:fldChar w:fldCharType="begin"/>
      </w:r>
      <w:r>
        <w:rPr>
          <w:noProof/>
          <w:color w:val="016894"/>
          <w:sz w:val="20"/>
        </w:rPr>
        <w:instrText xml:space="preserve"> TOC \o "1-3" \h \z \t "HEADER 1_NOTES;2;HEADER_TITLE_1;1" </w:instrText>
      </w:r>
      <w:r>
        <w:rPr>
          <w:noProof/>
          <w:color w:val="016894"/>
          <w:sz w:val="20"/>
        </w:rPr>
        <w:fldChar w:fldCharType="separate"/>
      </w:r>
      <w:hyperlink w:anchor="_Toc75518103" w:history="1">
        <w:r>
          <w:rPr>
            <w:noProof/>
          </w:rPr>
          <w:t>СЧЕТОВОДЕН БАЛАНС</w:t>
        </w:r>
        <w:r>
          <w:rPr>
            <w:noProof/>
            <w:webHidden/>
          </w:rPr>
          <w:tab/>
        </w:r>
        <w:r>
          <w:rPr>
            <w:noProof/>
            <w:webHidden/>
          </w:rPr>
          <w:fldChar w:fldCharType="begin"/>
        </w:r>
        <w:r>
          <w:rPr>
            <w:noProof/>
            <w:webHidden/>
          </w:rPr>
          <w:instrText xml:space="preserve"> PAGEREF _Toc75518103 \h </w:instrText>
        </w:r>
        <w:r>
          <w:rPr>
            <w:noProof/>
            <w:webHidden/>
          </w:rPr>
        </w:r>
        <w:r>
          <w:rPr>
            <w:noProof/>
            <w:webHidden/>
          </w:rPr>
          <w:fldChar w:fldCharType="separate"/>
        </w:r>
        <w:r>
          <w:rPr>
            <w:noProof/>
            <w:webHidden/>
          </w:rPr>
          <w:t>42</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104" w:history="1">
        <w:r>
          <w:rPr>
            <w:noProof/>
          </w:rPr>
          <w:t>ОТЧЕТ ЗА ФИНАНСОВИЯ РЕЗУЛТАТ</w:t>
        </w:r>
        <w:r>
          <w:rPr>
            <w:noProof/>
            <w:webHidden/>
          </w:rPr>
          <w:tab/>
        </w:r>
        <w:r>
          <w:rPr>
            <w:noProof/>
            <w:webHidden/>
          </w:rPr>
          <w:fldChar w:fldCharType="begin"/>
        </w:r>
        <w:r>
          <w:rPr>
            <w:noProof/>
            <w:webHidden/>
          </w:rPr>
          <w:instrText xml:space="preserve"> PAGEREF _Toc75518104 \h </w:instrText>
        </w:r>
        <w:r>
          <w:rPr>
            <w:noProof/>
            <w:webHidden/>
          </w:rPr>
        </w:r>
        <w:r>
          <w:rPr>
            <w:noProof/>
            <w:webHidden/>
          </w:rPr>
          <w:fldChar w:fldCharType="separate"/>
        </w:r>
        <w:r>
          <w:rPr>
            <w:noProof/>
            <w:webHidden/>
          </w:rPr>
          <w:t>43</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105" w:history="1">
        <w:r>
          <w:rPr>
            <w:noProof/>
          </w:rPr>
          <w:t>ОТЧЕТ ЗА ПАРИЧНИТЕ ПОТОЦИ</w:t>
        </w:r>
        <w:r>
          <w:rPr>
            <w:noProof/>
            <w:webHidden/>
          </w:rPr>
          <w:tab/>
        </w:r>
        <w:r>
          <w:rPr>
            <w:noProof/>
            <w:webHidden/>
          </w:rPr>
          <w:fldChar w:fldCharType="begin"/>
        </w:r>
        <w:r>
          <w:rPr>
            <w:noProof/>
            <w:webHidden/>
          </w:rPr>
          <w:instrText xml:space="preserve"> PAGEREF _Toc75518105 \h </w:instrText>
        </w:r>
        <w:r>
          <w:rPr>
            <w:noProof/>
            <w:webHidden/>
          </w:rPr>
        </w:r>
        <w:r>
          <w:rPr>
            <w:noProof/>
            <w:webHidden/>
          </w:rPr>
          <w:fldChar w:fldCharType="separate"/>
        </w:r>
        <w:r>
          <w:rPr>
            <w:noProof/>
            <w:webHidden/>
          </w:rPr>
          <w:t>44</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106" w:history="1">
        <w:r>
          <w:rPr>
            <w:noProof/>
          </w:rPr>
          <w:t>ОТЧЕТ ЗА ПРОМЕНИТЕ В НЕТНИТЕ АКТИВИ</w:t>
        </w:r>
        <w:r>
          <w:rPr>
            <w:noProof/>
            <w:webHidden/>
          </w:rPr>
          <w:tab/>
        </w:r>
        <w:r>
          <w:rPr>
            <w:noProof/>
            <w:webHidden/>
          </w:rPr>
          <w:fldChar w:fldCharType="begin"/>
        </w:r>
        <w:r>
          <w:rPr>
            <w:noProof/>
            <w:webHidden/>
          </w:rPr>
          <w:instrText xml:space="preserve"> PAGEREF _Toc75518106 \h </w:instrText>
        </w:r>
        <w:r>
          <w:rPr>
            <w:noProof/>
            <w:webHidden/>
          </w:rPr>
        </w:r>
        <w:r>
          <w:rPr>
            <w:noProof/>
            <w:webHidden/>
          </w:rPr>
          <w:fldChar w:fldCharType="separate"/>
        </w:r>
        <w:r>
          <w:rPr>
            <w:noProof/>
            <w:webHidden/>
          </w:rPr>
          <w:t>45</w:t>
        </w:r>
        <w:r>
          <w:rPr>
            <w:noProof/>
            <w:webHidden/>
          </w:rPr>
          <w:fldChar w:fldCharType="end"/>
        </w:r>
      </w:hyperlink>
    </w:p>
    <w:p>
      <w:pPr>
        <w:pStyle w:val="TOC1"/>
        <w:rPr>
          <w:rFonts w:asciiTheme="minorHAnsi" w:eastAsiaTheme="minorEastAsia" w:hAnsiTheme="minorHAnsi" w:cstheme="minorBidi"/>
          <w:noProof/>
          <w:color w:val="auto"/>
          <w:szCs w:val="22"/>
        </w:rPr>
      </w:pPr>
      <w:hyperlink w:anchor="_Toc75518107" w:history="1">
        <w:r>
          <w:rPr>
            <w:noProof/>
            <w:szCs w:val="22"/>
          </w:rPr>
          <w:t>БЕЛЕЖКИ КЪМ ФИНАНСОВИТЕ ОТЧЕТИ</w:t>
        </w:r>
        <w:r>
          <w:rPr>
            <w:noProof/>
            <w:webHidden/>
          </w:rPr>
          <w:tab/>
        </w:r>
        <w:r>
          <w:rPr>
            <w:noProof/>
            <w:webHidden/>
          </w:rPr>
          <w:fldChar w:fldCharType="begin"/>
        </w:r>
        <w:r>
          <w:rPr>
            <w:noProof/>
            <w:webHidden/>
          </w:rPr>
          <w:instrText xml:space="preserve"> PAGEREF _Toc75518107 \h </w:instrText>
        </w:r>
        <w:r>
          <w:rPr>
            <w:noProof/>
            <w:webHidden/>
          </w:rPr>
        </w:r>
        <w:r>
          <w:rPr>
            <w:noProof/>
            <w:webHidden/>
          </w:rPr>
          <w:fldChar w:fldCharType="separate"/>
        </w:r>
        <w:r>
          <w:rPr>
            <w:noProof/>
            <w:webHidden/>
          </w:rPr>
          <w:t>46</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108" w:history="1">
        <w:r>
          <w:rPr>
            <w:rStyle w:val="Hyperlink"/>
            <w:noProof/>
          </w:rPr>
          <w:t>1.</w:t>
        </w:r>
        <w:r>
          <w:rPr>
            <w:rFonts w:asciiTheme="minorHAnsi" w:eastAsiaTheme="minorEastAsia" w:hAnsiTheme="minorHAnsi" w:cstheme="minorBidi"/>
            <w:noProof/>
            <w:color w:val="auto"/>
            <w:szCs w:val="22"/>
          </w:rPr>
          <w:tab/>
        </w:r>
        <w:r>
          <w:rPr>
            <w:noProof/>
          </w:rPr>
          <w:t>ВАЖНИ СЧЕТОВОДНИ ПОЛИТИКИ</w:t>
        </w:r>
        <w:r>
          <w:rPr>
            <w:noProof/>
            <w:webHidden/>
          </w:rPr>
          <w:tab/>
        </w:r>
        <w:r>
          <w:rPr>
            <w:noProof/>
            <w:webHidden/>
          </w:rPr>
          <w:fldChar w:fldCharType="begin"/>
        </w:r>
        <w:r>
          <w:rPr>
            <w:noProof/>
            <w:webHidden/>
          </w:rPr>
          <w:instrText xml:space="preserve"> PAGEREF _Toc75518108 \h </w:instrText>
        </w:r>
        <w:r>
          <w:rPr>
            <w:noProof/>
            <w:webHidden/>
          </w:rPr>
        </w:r>
        <w:r>
          <w:rPr>
            <w:noProof/>
            <w:webHidden/>
          </w:rPr>
          <w:fldChar w:fldCharType="separate"/>
        </w:r>
        <w:r>
          <w:rPr>
            <w:noProof/>
            <w:webHidden/>
          </w:rPr>
          <w:t>47</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109" w:history="1">
        <w:r>
          <w:rPr>
            <w:rStyle w:val="Hyperlink"/>
            <w:noProof/>
          </w:rPr>
          <w:t>2.</w:t>
        </w:r>
        <w:r>
          <w:rPr>
            <w:rFonts w:asciiTheme="minorHAnsi" w:eastAsiaTheme="minorEastAsia" w:hAnsiTheme="minorHAnsi" w:cstheme="minorBidi"/>
            <w:noProof/>
            <w:color w:val="auto"/>
            <w:szCs w:val="22"/>
          </w:rPr>
          <w:tab/>
        </w:r>
        <w:r>
          <w:rPr>
            <w:noProof/>
          </w:rPr>
          <w:t>БЕЛЕЖКИ КЪМ СЧЕТОВОДНИЯ БАЛАНС</w:t>
        </w:r>
        <w:r>
          <w:rPr>
            <w:noProof/>
            <w:webHidden/>
          </w:rPr>
          <w:tab/>
        </w:r>
        <w:r>
          <w:rPr>
            <w:noProof/>
            <w:webHidden/>
          </w:rPr>
          <w:fldChar w:fldCharType="begin"/>
        </w:r>
        <w:r>
          <w:rPr>
            <w:noProof/>
            <w:webHidden/>
          </w:rPr>
          <w:instrText xml:space="preserve"> PAGEREF _Toc75518109 \h </w:instrText>
        </w:r>
        <w:r>
          <w:rPr>
            <w:noProof/>
            <w:webHidden/>
          </w:rPr>
        </w:r>
        <w:r>
          <w:rPr>
            <w:noProof/>
            <w:webHidden/>
          </w:rPr>
          <w:fldChar w:fldCharType="separate"/>
        </w:r>
        <w:r>
          <w:rPr>
            <w:noProof/>
            <w:webHidden/>
          </w:rPr>
          <w:t>64</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110" w:history="1">
        <w:r>
          <w:rPr>
            <w:rStyle w:val="Hyperlink"/>
            <w:noProof/>
          </w:rPr>
          <w:t>3.</w:t>
        </w:r>
        <w:r>
          <w:rPr>
            <w:rFonts w:asciiTheme="minorHAnsi" w:eastAsiaTheme="minorEastAsia" w:hAnsiTheme="minorHAnsi" w:cstheme="minorBidi"/>
            <w:noProof/>
            <w:color w:val="auto"/>
            <w:szCs w:val="22"/>
          </w:rPr>
          <w:tab/>
        </w:r>
        <w:r>
          <w:rPr>
            <w:noProof/>
          </w:rPr>
          <w:t>БЕЛЕЖКИ КЪМ ОТЧЕТА ЗА ФИНАНСОВИЯ РЕЗУЛТАТ</w:t>
        </w:r>
        <w:r>
          <w:rPr>
            <w:noProof/>
            <w:webHidden/>
          </w:rPr>
          <w:tab/>
        </w:r>
        <w:r>
          <w:rPr>
            <w:noProof/>
            <w:webHidden/>
          </w:rPr>
          <w:fldChar w:fldCharType="begin"/>
        </w:r>
        <w:r>
          <w:rPr>
            <w:noProof/>
            <w:webHidden/>
          </w:rPr>
          <w:instrText xml:space="preserve"> PAGEREF _Toc75518110 \h </w:instrText>
        </w:r>
        <w:r>
          <w:rPr>
            <w:noProof/>
            <w:webHidden/>
          </w:rPr>
        </w:r>
        <w:r>
          <w:rPr>
            <w:noProof/>
            <w:webHidden/>
          </w:rPr>
          <w:fldChar w:fldCharType="separate"/>
        </w:r>
        <w:r>
          <w:rPr>
            <w:noProof/>
            <w:webHidden/>
          </w:rPr>
          <w:t>101</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111" w:history="1">
        <w:r>
          <w:rPr>
            <w:rStyle w:val="Hyperlink"/>
            <w:noProof/>
          </w:rPr>
          <w:t>4.</w:t>
        </w:r>
        <w:r>
          <w:rPr>
            <w:rFonts w:asciiTheme="minorHAnsi" w:eastAsiaTheme="minorEastAsia" w:hAnsiTheme="minorHAnsi" w:cstheme="minorBidi"/>
            <w:noProof/>
            <w:color w:val="auto"/>
            <w:szCs w:val="22"/>
          </w:rPr>
          <w:tab/>
        </w:r>
        <w:r>
          <w:rPr>
            <w:noProof/>
          </w:rPr>
          <w:t>УСЛОВНИ ПАСИВИ И АКТИВИ</w:t>
        </w:r>
        <w:r>
          <w:rPr>
            <w:noProof/>
            <w:webHidden/>
          </w:rPr>
          <w:tab/>
        </w:r>
        <w:r>
          <w:rPr>
            <w:noProof/>
            <w:webHidden/>
          </w:rPr>
          <w:fldChar w:fldCharType="begin"/>
        </w:r>
        <w:r>
          <w:rPr>
            <w:noProof/>
            <w:webHidden/>
          </w:rPr>
          <w:instrText xml:space="preserve"> PAGEREF _Toc75518111 \h </w:instrText>
        </w:r>
        <w:r>
          <w:rPr>
            <w:noProof/>
            <w:webHidden/>
          </w:rPr>
        </w:r>
        <w:r>
          <w:rPr>
            <w:noProof/>
            <w:webHidden/>
          </w:rPr>
          <w:fldChar w:fldCharType="separate"/>
        </w:r>
        <w:r>
          <w:rPr>
            <w:noProof/>
            <w:webHidden/>
          </w:rPr>
          <w:t>110</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112" w:history="1">
        <w:r>
          <w:rPr>
            <w:rStyle w:val="Hyperlink"/>
            <w:noProof/>
          </w:rPr>
          <w:t>5.</w:t>
        </w:r>
        <w:r>
          <w:rPr>
            <w:rFonts w:asciiTheme="minorHAnsi" w:eastAsiaTheme="minorEastAsia" w:hAnsiTheme="minorHAnsi" w:cstheme="minorBidi"/>
            <w:noProof/>
            <w:color w:val="auto"/>
            <w:szCs w:val="22"/>
          </w:rPr>
          <w:tab/>
        </w:r>
        <w:r>
          <w:rPr>
            <w:noProof/>
          </w:rPr>
          <w:t>БЮДЖЕТНИ И ПРАВНИ ЗАДЪЛЖЕНИЯ</w:t>
        </w:r>
        <w:r>
          <w:rPr>
            <w:noProof/>
            <w:webHidden/>
          </w:rPr>
          <w:tab/>
        </w:r>
        <w:r>
          <w:rPr>
            <w:noProof/>
            <w:webHidden/>
          </w:rPr>
          <w:fldChar w:fldCharType="begin"/>
        </w:r>
        <w:r>
          <w:rPr>
            <w:noProof/>
            <w:webHidden/>
          </w:rPr>
          <w:instrText xml:space="preserve"> PAGEREF _Toc75518112 \h </w:instrText>
        </w:r>
        <w:r>
          <w:rPr>
            <w:noProof/>
            <w:webHidden/>
          </w:rPr>
        </w:r>
        <w:r>
          <w:rPr>
            <w:noProof/>
            <w:webHidden/>
          </w:rPr>
          <w:fldChar w:fldCharType="separate"/>
        </w:r>
        <w:r>
          <w:rPr>
            <w:noProof/>
            <w:webHidden/>
          </w:rPr>
          <w:t>115</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113" w:history="1">
        <w:r>
          <w:rPr>
            <w:rStyle w:val="Hyperlink"/>
            <w:noProof/>
          </w:rPr>
          <w:t>6.</w:t>
        </w:r>
        <w:r>
          <w:rPr>
            <w:rFonts w:asciiTheme="minorHAnsi" w:eastAsiaTheme="minorEastAsia" w:hAnsiTheme="minorHAnsi" w:cstheme="minorBidi"/>
            <w:noProof/>
            <w:color w:val="auto"/>
            <w:szCs w:val="22"/>
          </w:rPr>
          <w:tab/>
        </w:r>
        <w:r>
          <w:rPr>
            <w:noProof/>
          </w:rPr>
          <w:t>УПРАВЛЕНИЕ НА ФИНАНСОВИЯ РИСК</w:t>
        </w:r>
        <w:r>
          <w:rPr>
            <w:noProof/>
            <w:webHidden/>
          </w:rPr>
          <w:tab/>
        </w:r>
        <w:r>
          <w:rPr>
            <w:noProof/>
            <w:webHidden/>
          </w:rPr>
          <w:fldChar w:fldCharType="begin"/>
        </w:r>
        <w:r>
          <w:rPr>
            <w:noProof/>
            <w:webHidden/>
          </w:rPr>
          <w:instrText xml:space="preserve"> PAGEREF _Toc75518113 \h </w:instrText>
        </w:r>
        <w:r>
          <w:rPr>
            <w:noProof/>
            <w:webHidden/>
          </w:rPr>
        </w:r>
        <w:r>
          <w:rPr>
            <w:noProof/>
            <w:webHidden/>
          </w:rPr>
          <w:fldChar w:fldCharType="separate"/>
        </w:r>
        <w:r>
          <w:rPr>
            <w:noProof/>
            <w:webHidden/>
          </w:rPr>
          <w:t>121</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114" w:history="1">
        <w:r>
          <w:rPr>
            <w:rStyle w:val="Hyperlink"/>
            <w:noProof/>
          </w:rPr>
          <w:t>7.</w:t>
        </w:r>
        <w:r>
          <w:rPr>
            <w:rFonts w:asciiTheme="minorHAnsi" w:eastAsiaTheme="minorEastAsia" w:hAnsiTheme="minorHAnsi" w:cstheme="minorBidi"/>
            <w:noProof/>
            <w:color w:val="auto"/>
            <w:szCs w:val="22"/>
          </w:rPr>
          <w:tab/>
        </w:r>
        <w:r>
          <w:rPr>
            <w:noProof/>
          </w:rPr>
          <w:t>ОПОВЕСТЯВАНЕ НА СВЪРЗАНИ ЛИЦА</w:t>
        </w:r>
        <w:r>
          <w:rPr>
            <w:noProof/>
            <w:webHidden/>
          </w:rPr>
          <w:tab/>
        </w:r>
        <w:r>
          <w:rPr>
            <w:noProof/>
            <w:webHidden/>
          </w:rPr>
          <w:fldChar w:fldCharType="begin"/>
        </w:r>
        <w:r>
          <w:rPr>
            <w:noProof/>
            <w:webHidden/>
          </w:rPr>
          <w:instrText xml:space="preserve"> PAGEREF _Toc75518114 \h </w:instrText>
        </w:r>
        <w:r>
          <w:rPr>
            <w:noProof/>
            <w:webHidden/>
          </w:rPr>
        </w:r>
        <w:r>
          <w:rPr>
            <w:noProof/>
            <w:webHidden/>
          </w:rPr>
          <w:fldChar w:fldCharType="separate"/>
        </w:r>
        <w:r>
          <w:rPr>
            <w:noProof/>
            <w:webHidden/>
          </w:rPr>
          <w:t>135</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115" w:history="1">
        <w:r>
          <w:rPr>
            <w:rStyle w:val="Hyperlink"/>
            <w:rFonts w:eastAsia="Calibri"/>
            <w:noProof/>
          </w:rPr>
          <w:t>8.</w:t>
        </w:r>
        <w:r>
          <w:rPr>
            <w:rFonts w:asciiTheme="minorHAnsi" w:eastAsiaTheme="minorEastAsia" w:hAnsiTheme="minorHAnsi" w:cstheme="minorBidi"/>
            <w:noProof/>
            <w:color w:val="auto"/>
            <w:szCs w:val="22"/>
          </w:rPr>
          <w:tab/>
        </w:r>
        <w:r>
          <w:rPr>
            <w:noProof/>
          </w:rPr>
          <w:t>СЪБИТИЯ СЛЕД ДАТАТА НА СЧЕТОВОДНИЯ БАЛАНС</w:t>
        </w:r>
        <w:r>
          <w:rPr>
            <w:noProof/>
            <w:webHidden/>
          </w:rPr>
          <w:tab/>
        </w:r>
        <w:r>
          <w:rPr>
            <w:noProof/>
            <w:webHidden/>
          </w:rPr>
          <w:fldChar w:fldCharType="begin"/>
        </w:r>
        <w:r>
          <w:rPr>
            <w:noProof/>
            <w:webHidden/>
          </w:rPr>
          <w:instrText xml:space="preserve"> PAGEREF _Toc75518115 \h </w:instrText>
        </w:r>
        <w:r>
          <w:rPr>
            <w:noProof/>
            <w:webHidden/>
          </w:rPr>
        </w:r>
        <w:r>
          <w:rPr>
            <w:noProof/>
            <w:webHidden/>
          </w:rPr>
          <w:fldChar w:fldCharType="separate"/>
        </w:r>
        <w:r>
          <w:rPr>
            <w:noProof/>
            <w:webHidden/>
          </w:rPr>
          <w:t>138</w:t>
        </w:r>
        <w:r>
          <w:rPr>
            <w:noProof/>
            <w:webHidden/>
          </w:rPr>
          <w:fldChar w:fldCharType="end"/>
        </w:r>
      </w:hyperlink>
    </w:p>
    <w:p>
      <w:pPr>
        <w:pStyle w:val="TOC2"/>
        <w:rPr>
          <w:rFonts w:asciiTheme="minorHAnsi" w:eastAsiaTheme="minorEastAsia" w:hAnsiTheme="minorHAnsi" w:cstheme="minorBidi"/>
          <w:noProof/>
          <w:color w:val="auto"/>
          <w:szCs w:val="22"/>
        </w:rPr>
      </w:pPr>
      <w:hyperlink w:anchor="_Toc75518116" w:history="1">
        <w:r>
          <w:rPr>
            <w:rStyle w:val="Hyperlink"/>
            <w:noProof/>
          </w:rPr>
          <w:t>9.</w:t>
        </w:r>
        <w:r>
          <w:rPr>
            <w:rFonts w:asciiTheme="minorHAnsi" w:eastAsiaTheme="minorEastAsia" w:hAnsiTheme="minorHAnsi" w:cstheme="minorBidi"/>
            <w:noProof/>
            <w:color w:val="auto"/>
            <w:szCs w:val="22"/>
          </w:rPr>
          <w:tab/>
        </w:r>
        <w:r>
          <w:rPr>
            <w:noProof/>
          </w:rPr>
          <w:t>ОБХВАТ НА КОНСОЛИДАЦИЯТА</w:t>
        </w:r>
        <w:r>
          <w:rPr>
            <w:noProof/>
            <w:webHidden/>
          </w:rPr>
          <w:tab/>
        </w:r>
        <w:r>
          <w:rPr>
            <w:noProof/>
            <w:webHidden/>
          </w:rPr>
          <w:fldChar w:fldCharType="begin"/>
        </w:r>
        <w:r>
          <w:rPr>
            <w:noProof/>
            <w:webHidden/>
          </w:rPr>
          <w:instrText xml:space="preserve"> PAGEREF _Toc75518116 \h </w:instrText>
        </w:r>
        <w:r>
          <w:rPr>
            <w:noProof/>
            <w:webHidden/>
          </w:rPr>
        </w:r>
        <w:r>
          <w:rPr>
            <w:noProof/>
            <w:webHidden/>
          </w:rPr>
          <w:fldChar w:fldCharType="separate"/>
        </w:r>
        <w:r>
          <w:rPr>
            <w:noProof/>
            <w:webHidden/>
          </w:rPr>
          <w:t>139</w:t>
        </w:r>
        <w:r>
          <w:rPr>
            <w:noProof/>
            <w:webHidden/>
          </w:rPr>
          <w:fldChar w:fldCharType="end"/>
        </w:r>
      </w:hyperlink>
    </w:p>
    <w:p>
      <w:pPr>
        <w:pStyle w:val="Textstand-alone"/>
        <w:sectPr>
          <w:headerReference w:type="even" r:id="rId80"/>
          <w:headerReference w:type="default" r:id="rId81"/>
          <w:footerReference w:type="even" r:id="rId82"/>
          <w:footerReference w:type="default" r:id="rId83"/>
          <w:headerReference w:type="first" r:id="rId84"/>
          <w:footerReference w:type="first" r:id="rId85"/>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szCs w:val="24"/>
        </w:rPr>
        <w:t xml:space="preserve"> </w:t>
      </w:r>
      <w:bookmarkEnd w:id="58"/>
    </w:p>
    <w:p>
      <w:pPr>
        <w:pStyle w:val="HEADERTITLE1"/>
        <w:spacing w:after="0"/>
      </w:pPr>
      <w:bookmarkStart w:id="59" w:name="_Toc75518067"/>
      <w:bookmarkStart w:id="60" w:name="_Toc75518103"/>
      <w:bookmarkStart w:id="61" w:name="_DMBM_19817"/>
      <w:r>
        <w:t>СЧЕТОВОДЕН БАЛАНС</w:t>
      </w:r>
      <w:bookmarkEnd w:id="59"/>
      <w:bookmarkEnd w:id="60"/>
    </w:p>
    <w:p>
      <w:pPr>
        <w:pStyle w:val="DGTextstand-alone"/>
        <w:spacing w:after="0"/>
        <w:rPr>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9"/>
        <w:gridCol w:w="1134"/>
        <w:gridCol w:w="1559"/>
        <w:gridCol w:w="1476"/>
      </w:tblGrid>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FFFFFF"/>
                <w:sz w:val="16"/>
              </w:rPr>
            </w:pPr>
            <w:bookmarkStart w:id="62" w:name="DOC_TBL00001_1_1"/>
            <w:bookmarkEnd w:id="62"/>
          </w:p>
        </w:tc>
        <w:tc>
          <w:tcPr>
            <w:tcW w:w="1134" w:type="dxa"/>
            <w:tcBorders>
              <w:top w:val="nil"/>
              <w:left w:val="nil"/>
              <w:bottom w:val="nil"/>
              <w:right w:val="nil"/>
              <w:tl2br w:val="nil"/>
              <w:tr2bl w:val="nil"/>
            </w:tcBorders>
            <w:shd w:val="clear" w:color="auto" w:fill="auto"/>
            <w:tcMar>
              <w:left w:w="60" w:type="dxa"/>
              <w:right w:w="60" w:type="dxa"/>
            </w:tcMar>
            <w:vAlign w:val="bottom"/>
          </w:tcPr>
          <w:p>
            <w:pPr>
              <w:pStyle w:val="DMETW19858BIPBS"/>
              <w:rPr>
                <w:rFonts w:ascii="Arial" w:eastAsia="Arial" w:hAnsi="Arial" w:cs="Arial"/>
                <w:noProof/>
                <w:color w:val="000000"/>
              </w:rPr>
            </w:pPr>
          </w:p>
        </w:tc>
        <w:tc>
          <w:tcPr>
            <w:tcW w:w="1559" w:type="dxa"/>
            <w:tcBorders>
              <w:top w:val="nil"/>
              <w:left w:val="nil"/>
              <w:bottom w:val="nil"/>
              <w:right w:val="nil"/>
              <w:tl2br w:val="nil"/>
              <w:tr2bl w:val="nil"/>
            </w:tcBorders>
            <w:shd w:val="clear" w:color="auto" w:fill="auto"/>
            <w:tcMar>
              <w:left w:w="60" w:type="dxa"/>
              <w:right w:w="60" w:type="dxa"/>
            </w:tcMar>
            <w:vAlign w:val="bottom"/>
          </w:tcPr>
          <w:p>
            <w:pPr>
              <w:pStyle w:val="DMETW19858BIPBS"/>
              <w:rPr>
                <w:rFonts w:ascii="Arial" w:eastAsia="Arial" w:hAnsi="Arial" w:cs="Arial"/>
                <w:noProof/>
                <w:color w:val="000000"/>
              </w:rPr>
            </w:pPr>
          </w:p>
        </w:tc>
        <w:tc>
          <w:tcPr>
            <w:tcW w:w="1476" w:type="dxa"/>
            <w:tcBorders>
              <w:top w:val="nil"/>
              <w:left w:val="nil"/>
              <w:bottom w:val="nil"/>
              <w:right w:val="nil"/>
              <w:tl2br w:val="nil"/>
              <w:tr2bl w:val="nil"/>
            </w:tcBorders>
            <w:shd w:val="clear" w:color="auto" w:fill="auto"/>
            <w:tcMar>
              <w:left w:w="60" w:type="dxa"/>
              <w:right w:w="60" w:type="dxa"/>
            </w:tcMar>
            <w:vAlign w:val="bottom"/>
          </w:tcPr>
          <w:p>
            <w:pPr>
              <w:pStyle w:val="DMETW19858BIPBS"/>
              <w:jc w:val="right"/>
              <w:rPr>
                <w:rFonts w:ascii="Verdana" w:eastAsia="Verdana" w:hAnsi="Verdana" w:cs="Verdana"/>
                <w:i/>
                <w:noProof/>
                <w:color w:val="000000"/>
                <w:sz w:val="16"/>
              </w:rPr>
            </w:pPr>
            <w:r>
              <w:rPr>
                <w:rFonts w:ascii="Verdana" w:hAnsi="Verdana"/>
                <w:i/>
                <w:noProof/>
                <w:color w:val="000000"/>
                <w:sz w:val="16"/>
              </w:rPr>
              <w:t xml:space="preserve"> милиони евро</w:t>
            </w:r>
          </w:p>
        </w:tc>
      </w:tr>
      <w:tr>
        <w:trPr>
          <w:trHeight w:hRule="exact" w:val="255"/>
        </w:trPr>
        <w:tc>
          <w:tcPr>
            <w:tcW w:w="5589" w:type="dxa"/>
            <w:tcBorders>
              <w:top w:val="nil"/>
              <w:left w:val="nil"/>
              <w:bottom w:val="nil"/>
              <w:right w:val="nil"/>
              <w:tl2br w:val="nil"/>
              <w:tr2bl w:val="nil"/>
            </w:tcBorders>
            <w:shd w:val="solid" w:color="016794" w:fill="FFFFFF"/>
            <w:tcMar>
              <w:left w:w="60" w:type="dxa"/>
              <w:right w:w="60" w:type="dxa"/>
            </w:tcMar>
            <w:vAlign w:val="center"/>
          </w:tcPr>
          <w:p>
            <w:pPr>
              <w:pStyle w:val="DMETW19858BIPBS"/>
              <w:rPr>
                <w:rFonts w:ascii="Verdana" w:eastAsia="Verdana" w:hAnsi="Verdana" w:cs="Verdana"/>
                <w:noProof/>
                <w:color w:val="FFFFFF"/>
              </w:rPr>
            </w:pPr>
          </w:p>
        </w:tc>
        <w:tc>
          <w:tcPr>
            <w:tcW w:w="1134" w:type="dxa"/>
            <w:tcBorders>
              <w:top w:val="nil"/>
              <w:left w:val="nil"/>
              <w:bottom w:val="nil"/>
              <w:right w:val="nil"/>
              <w:tl2br w:val="nil"/>
              <w:tr2bl w:val="nil"/>
            </w:tcBorders>
            <w:shd w:val="solid" w:color="016794" w:fill="FFFFFF"/>
            <w:tcMar>
              <w:left w:w="60" w:type="dxa"/>
              <w:right w:w="60" w:type="dxa"/>
            </w:tcMar>
            <w:vAlign w:val="center"/>
          </w:tcPr>
          <w:p>
            <w:pPr>
              <w:pStyle w:val="DMETW19858BIPBS"/>
              <w:jc w:val="center"/>
              <w:rPr>
                <w:rFonts w:ascii="Verdana" w:eastAsia="Verdana" w:hAnsi="Verdana" w:cs="Verdana"/>
                <w:noProof/>
                <w:color w:val="FFFFFF"/>
              </w:rPr>
            </w:pPr>
            <w:r>
              <w:rPr>
                <w:rFonts w:ascii="Verdana" w:hAnsi="Verdana"/>
                <w:noProof/>
                <w:color w:val="FFFFFF"/>
              </w:rPr>
              <w:t>Бележка</w:t>
            </w:r>
          </w:p>
        </w:tc>
        <w:tc>
          <w:tcPr>
            <w:tcW w:w="1559" w:type="dxa"/>
            <w:tcBorders>
              <w:top w:val="nil"/>
              <w:left w:val="nil"/>
              <w:bottom w:val="nil"/>
              <w:right w:val="nil"/>
              <w:tl2br w:val="nil"/>
              <w:tr2bl w:val="nil"/>
            </w:tcBorders>
            <w:shd w:val="solid" w:color="016794" w:fill="FFFFFF"/>
            <w:tcMar>
              <w:left w:w="60" w:type="dxa"/>
              <w:right w:w="60" w:type="dxa"/>
            </w:tcMar>
            <w:vAlign w:val="center"/>
          </w:tcPr>
          <w:p>
            <w:pPr>
              <w:pStyle w:val="DMETW19858BIPBS"/>
              <w:jc w:val="right"/>
              <w:rPr>
                <w:rFonts w:ascii="Verdana" w:eastAsia="Verdana" w:hAnsi="Verdana" w:cs="Verdana"/>
                <w:noProof/>
                <w:color w:val="FFFFFF"/>
              </w:rPr>
            </w:pPr>
            <w:r>
              <w:rPr>
                <w:rFonts w:ascii="Verdana" w:hAnsi="Verdana"/>
                <w:noProof/>
                <w:color w:val="FFFFFF"/>
              </w:rPr>
              <w:t>31.12.2020 г. г.</w:t>
            </w:r>
          </w:p>
        </w:tc>
        <w:tc>
          <w:tcPr>
            <w:tcW w:w="1476" w:type="dxa"/>
            <w:tcBorders>
              <w:top w:val="nil"/>
              <w:left w:val="nil"/>
              <w:bottom w:val="nil"/>
              <w:right w:val="nil"/>
              <w:tl2br w:val="nil"/>
              <w:tr2bl w:val="nil"/>
            </w:tcBorders>
            <w:shd w:val="solid" w:color="016794" w:fill="FFFFFF"/>
            <w:tcMar>
              <w:left w:w="60" w:type="dxa"/>
              <w:right w:w="60" w:type="dxa"/>
            </w:tcMar>
            <w:vAlign w:val="center"/>
          </w:tcPr>
          <w:p>
            <w:pPr>
              <w:pStyle w:val="DMETW19858BIPBS"/>
              <w:jc w:val="right"/>
              <w:rPr>
                <w:rFonts w:ascii="Verdana" w:eastAsia="Verdana" w:hAnsi="Verdana" w:cs="Verdana"/>
                <w:noProof/>
                <w:color w:val="FFFFFF"/>
              </w:rPr>
            </w:pPr>
            <w:r>
              <w:rPr>
                <w:rFonts w:ascii="Verdana" w:hAnsi="Verdana"/>
                <w:noProof/>
                <w:color w:val="FFFFFF"/>
              </w:rPr>
              <w:t>31.12.2019 г. г.</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b/>
                <w:noProof/>
                <w:color w:val="000000"/>
                <w:sz w:val="18"/>
              </w:rPr>
            </w:pPr>
            <w:r>
              <w:rPr>
                <w:rFonts w:ascii="Verdana" w:hAnsi="Verdana"/>
                <w:b/>
                <w:noProof/>
                <w:color w:val="000000"/>
                <w:sz w:val="18"/>
              </w:rPr>
              <w:t>НЕТЕКУЩИ АКТИВИ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Arial" w:eastAsia="Arial" w:hAnsi="Arial" w:cs="Arial"/>
                <w:noProof/>
                <w:color w:val="000000"/>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Arial" w:eastAsia="Arial" w:hAnsi="Arial" w:cs="Arial"/>
                <w:noProof/>
                <w:color w:val="000000"/>
                <w:lang w:bidi="en-GB"/>
              </w:rPr>
            </w:pP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Нематериални активи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2.1</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 xml:space="preserve"> 620</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 xml:space="preserve"> 515</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Имоти, машини и съоръжения</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2.2</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11 682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11 380</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Инвестиции, отчетени посредством метода на собствения капитал</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2.3</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 xml:space="preserve"> 588</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 xml:space="preserve"> 591</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Финансови активи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2.4</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99 214</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66 714</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Предварително финансиране</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2.5</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34 519</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26 240</w:t>
            </w:r>
          </w:p>
        </w:tc>
      </w:tr>
      <w:tr>
        <w:trPr>
          <w:trHeight w:hRule="exact" w:val="255"/>
        </w:trPr>
        <w:tc>
          <w:tcPr>
            <w:tcW w:w="558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Вземания по операции с размяна и средства, подлежащи на събиране, по операции без размяна</w:t>
            </w:r>
          </w:p>
        </w:tc>
        <w:tc>
          <w:tcPr>
            <w:tcW w:w="113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2.6</w:t>
            </w:r>
          </w:p>
        </w:tc>
        <w:tc>
          <w:tcPr>
            <w:tcW w:w="155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45 813</w:t>
            </w:r>
          </w:p>
        </w:tc>
        <w:tc>
          <w:tcPr>
            <w:tcW w:w="14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3 607</w:t>
            </w:r>
          </w:p>
        </w:tc>
      </w:tr>
      <w:tr>
        <w:trPr>
          <w:trHeight w:hRule="exact" w:val="255"/>
        </w:trPr>
        <w:tc>
          <w:tcPr>
            <w:tcW w:w="5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p>
        </w:tc>
        <w:tc>
          <w:tcPr>
            <w:tcW w:w="11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noProof/>
                <w:color w:val="000000"/>
                <w:sz w:val="18"/>
              </w:rPr>
            </w:pPr>
          </w:p>
        </w:tc>
        <w:tc>
          <w:tcPr>
            <w:tcW w:w="15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192 434</w:t>
            </w:r>
          </w:p>
        </w:tc>
        <w:tc>
          <w:tcPr>
            <w:tcW w:w="1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109 047</w:t>
            </w:r>
          </w:p>
        </w:tc>
      </w:tr>
      <w:tr>
        <w:trPr>
          <w:trHeight w:hRule="exact" w:val="255"/>
        </w:trPr>
        <w:tc>
          <w:tcPr>
            <w:tcW w:w="558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b/>
                <w:noProof/>
                <w:color w:val="000000"/>
                <w:sz w:val="18"/>
              </w:rPr>
            </w:pPr>
            <w:r>
              <w:rPr>
                <w:rFonts w:ascii="Verdana" w:hAnsi="Verdana"/>
                <w:b/>
                <w:noProof/>
                <w:color w:val="000000"/>
                <w:sz w:val="18"/>
              </w:rPr>
              <w:t>ТЕКУЩИ АКТИВИ</w:t>
            </w:r>
          </w:p>
        </w:tc>
        <w:tc>
          <w:tcPr>
            <w:tcW w:w="113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p>
        </w:tc>
        <w:tc>
          <w:tcPr>
            <w:tcW w:w="155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noProof/>
                <w:color w:val="000000"/>
                <w:sz w:val="18"/>
              </w:rPr>
            </w:pPr>
          </w:p>
        </w:tc>
        <w:tc>
          <w:tcPr>
            <w:tcW w:w="14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noProof/>
                <w:color w:val="000000"/>
                <w:sz w:val="18"/>
                <w:lang w:bidi="en-GB"/>
              </w:rPr>
            </w:pP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Финансови активи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2.4</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13 881</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4 514</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Предварително финансиране</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2.5</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28 229</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25 206</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Вземания по операции с размяна и средства, подлежащи на събиране, по операции без размяна</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2.6</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28 681</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20 367</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Материални запаси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2.7</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 xml:space="preserve"> 80</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 xml:space="preserve"> 68</w:t>
            </w:r>
          </w:p>
        </w:tc>
      </w:tr>
      <w:tr>
        <w:trPr>
          <w:trHeight w:hRule="exact" w:val="255"/>
        </w:trPr>
        <w:tc>
          <w:tcPr>
            <w:tcW w:w="558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 xml:space="preserve">Пари и парични еквиваленти </w:t>
            </w:r>
          </w:p>
        </w:tc>
        <w:tc>
          <w:tcPr>
            <w:tcW w:w="113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2.8</w:t>
            </w:r>
          </w:p>
        </w:tc>
        <w:tc>
          <w:tcPr>
            <w:tcW w:w="155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16 742</w:t>
            </w:r>
          </w:p>
        </w:tc>
        <w:tc>
          <w:tcPr>
            <w:tcW w:w="14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19 745</w:t>
            </w:r>
          </w:p>
        </w:tc>
      </w:tr>
      <w:tr>
        <w:trPr>
          <w:trHeight w:hRule="exact" w:val="255"/>
        </w:trPr>
        <w:tc>
          <w:tcPr>
            <w:tcW w:w="558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p>
        </w:tc>
        <w:tc>
          <w:tcPr>
            <w:tcW w:w="113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p>
        </w:tc>
        <w:tc>
          <w:tcPr>
            <w:tcW w:w="155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87 613</w:t>
            </w:r>
          </w:p>
        </w:tc>
        <w:tc>
          <w:tcPr>
            <w:tcW w:w="14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69 900</w:t>
            </w:r>
          </w:p>
        </w:tc>
      </w:tr>
      <w:tr>
        <w:trPr>
          <w:trHeight w:hRule="exact" w:val="255"/>
        </w:trPr>
        <w:tc>
          <w:tcPr>
            <w:tcW w:w="5589" w:type="dxa"/>
            <w:tcBorders>
              <w:top w:val="nil"/>
              <w:left w:val="nil"/>
              <w:bottom w:val="nil"/>
              <w:right w:val="nil"/>
              <w:tl2br w:val="nil"/>
              <w:tr2bl w:val="nil"/>
            </w:tcBorders>
            <w:shd w:val="solid" w:color="CCE1EA" w:fill="FFFFFF"/>
            <w:tcMar>
              <w:left w:w="60" w:type="dxa"/>
              <w:right w:w="60" w:type="dxa"/>
            </w:tcMar>
            <w:vAlign w:val="center"/>
          </w:tcPr>
          <w:p>
            <w:pPr>
              <w:pStyle w:val="DMETW19858BIPBS"/>
              <w:rPr>
                <w:rFonts w:ascii="Verdana" w:eastAsia="Verdana" w:hAnsi="Verdana" w:cs="Verdana"/>
                <w:b/>
                <w:noProof/>
                <w:color w:val="000000"/>
                <w:sz w:val="18"/>
              </w:rPr>
            </w:pPr>
            <w:r>
              <w:rPr>
                <w:rFonts w:ascii="Verdana" w:hAnsi="Verdana"/>
                <w:b/>
                <w:noProof/>
                <w:color w:val="000000"/>
                <w:sz w:val="18"/>
              </w:rPr>
              <w:t>ОБЩО АКТИВИ</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center"/>
              <w:rPr>
                <w:rFonts w:ascii="Verdana" w:eastAsia="Verdana" w:hAnsi="Verdana" w:cs="Verdana"/>
                <w:noProof/>
                <w:color w:val="000000"/>
                <w:sz w:val="18"/>
              </w:rPr>
            </w:pPr>
          </w:p>
        </w:tc>
        <w:tc>
          <w:tcPr>
            <w:tcW w:w="1559"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280 047</w:t>
            </w:r>
          </w:p>
        </w:tc>
        <w:tc>
          <w:tcPr>
            <w:tcW w:w="1476"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178 947</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noProof/>
                <w:color w:val="000000"/>
                <w:sz w:val="18"/>
              </w:rPr>
            </w:pP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noProof/>
                <w:color w:val="000000"/>
                <w:sz w:val="18"/>
                <w:lang w:bidi="en-GB"/>
              </w:rPr>
            </w:pP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b/>
                <w:noProof/>
                <w:color w:val="000000"/>
                <w:sz w:val="18"/>
              </w:rPr>
            </w:pPr>
            <w:r>
              <w:rPr>
                <w:rFonts w:ascii="Verdana" w:hAnsi="Verdana"/>
                <w:b/>
                <w:noProof/>
                <w:color w:val="000000"/>
                <w:sz w:val="18"/>
              </w:rPr>
              <w:t>НЕТЕКУЩИ ПАСИВИ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noProof/>
                <w:color w:val="000000"/>
                <w:sz w:val="18"/>
                <w:lang w:bidi="en-GB"/>
              </w:rPr>
            </w:pP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Пенсии и други доходи на наети лица</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2.9</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(116 020)</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(97 659)</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Провизии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2.10</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(3 878)</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(3 707)</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Финансови пасиви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2.11</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(84 399)</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(53 071)</w:t>
            </w:r>
          </w:p>
        </w:tc>
      </w:tr>
      <w:tr>
        <w:trPr>
          <w:trHeight w:hRule="exact" w:val="255"/>
        </w:trPr>
        <w:tc>
          <w:tcPr>
            <w:tcW w:w="5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p>
        </w:tc>
        <w:tc>
          <w:tcPr>
            <w:tcW w:w="113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noProof/>
                <w:color w:val="000000"/>
                <w:sz w:val="18"/>
              </w:rPr>
            </w:pPr>
          </w:p>
        </w:tc>
        <w:tc>
          <w:tcPr>
            <w:tcW w:w="15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(204 297)</w:t>
            </w:r>
          </w:p>
        </w:tc>
        <w:tc>
          <w:tcPr>
            <w:tcW w:w="1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(154 437)</w:t>
            </w:r>
          </w:p>
        </w:tc>
      </w:tr>
      <w:tr>
        <w:trPr>
          <w:trHeight w:hRule="exact" w:val="255"/>
        </w:trPr>
        <w:tc>
          <w:tcPr>
            <w:tcW w:w="558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b/>
                <w:noProof/>
                <w:color w:val="000000"/>
                <w:sz w:val="18"/>
              </w:rPr>
            </w:pPr>
            <w:r>
              <w:rPr>
                <w:rFonts w:ascii="Verdana" w:hAnsi="Verdana"/>
                <w:b/>
                <w:noProof/>
                <w:color w:val="000000"/>
                <w:sz w:val="18"/>
              </w:rPr>
              <w:t>ТЕКУЩИ ПАСИВИ</w:t>
            </w:r>
          </w:p>
        </w:tc>
        <w:tc>
          <w:tcPr>
            <w:tcW w:w="113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p>
        </w:tc>
        <w:tc>
          <w:tcPr>
            <w:tcW w:w="155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noProof/>
                <w:color w:val="000000"/>
                <w:sz w:val="18"/>
              </w:rPr>
            </w:pPr>
          </w:p>
        </w:tc>
        <w:tc>
          <w:tcPr>
            <w:tcW w:w="14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noProof/>
                <w:color w:val="000000"/>
                <w:sz w:val="18"/>
                <w:lang w:bidi="en-GB"/>
              </w:rPr>
            </w:pP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Провизии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2.10</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(1 527)</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(1 116)</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Финансови пасиви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2.11</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(10 649)</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(1 446)</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Задължения</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2.12</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(32 408)</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(27 241)</w:t>
            </w:r>
          </w:p>
        </w:tc>
      </w:tr>
      <w:tr>
        <w:trPr>
          <w:trHeight w:hRule="exact" w:val="255"/>
        </w:trPr>
        <w:tc>
          <w:tcPr>
            <w:tcW w:w="558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Начислени разходи и приходи за бъдещи периоди</w:t>
            </w:r>
          </w:p>
        </w:tc>
        <w:tc>
          <w:tcPr>
            <w:tcW w:w="113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2.13</w:t>
            </w:r>
          </w:p>
        </w:tc>
        <w:tc>
          <w:tcPr>
            <w:tcW w:w="155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(64 584)</w:t>
            </w:r>
          </w:p>
        </w:tc>
        <w:tc>
          <w:tcPr>
            <w:tcW w:w="14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(67 230)</w:t>
            </w:r>
          </w:p>
        </w:tc>
      </w:tr>
      <w:tr>
        <w:trPr>
          <w:trHeight w:hRule="exact" w:val="255"/>
        </w:trPr>
        <w:tc>
          <w:tcPr>
            <w:tcW w:w="558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p>
        </w:tc>
        <w:tc>
          <w:tcPr>
            <w:tcW w:w="113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p>
        </w:tc>
        <w:tc>
          <w:tcPr>
            <w:tcW w:w="155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(109 167)</w:t>
            </w:r>
          </w:p>
        </w:tc>
        <w:tc>
          <w:tcPr>
            <w:tcW w:w="14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(97 033)</w:t>
            </w:r>
          </w:p>
        </w:tc>
      </w:tr>
      <w:tr>
        <w:trPr>
          <w:trHeight w:hRule="exact" w:val="255"/>
        </w:trPr>
        <w:tc>
          <w:tcPr>
            <w:tcW w:w="5589" w:type="dxa"/>
            <w:tcBorders>
              <w:top w:val="nil"/>
              <w:left w:val="nil"/>
              <w:bottom w:val="nil"/>
              <w:right w:val="nil"/>
              <w:tl2br w:val="nil"/>
              <w:tr2bl w:val="nil"/>
            </w:tcBorders>
            <w:shd w:val="solid" w:color="CCE1EA" w:fill="FFFFFF"/>
            <w:tcMar>
              <w:left w:w="60" w:type="dxa"/>
              <w:right w:w="60" w:type="dxa"/>
            </w:tcMar>
            <w:vAlign w:val="center"/>
          </w:tcPr>
          <w:p>
            <w:pPr>
              <w:pStyle w:val="DMETW19858BIPBS"/>
              <w:rPr>
                <w:rFonts w:ascii="Verdana" w:eastAsia="Verdana" w:hAnsi="Verdana" w:cs="Verdana"/>
                <w:b/>
                <w:noProof/>
                <w:color w:val="000000"/>
                <w:sz w:val="18"/>
              </w:rPr>
            </w:pPr>
            <w:r>
              <w:rPr>
                <w:rFonts w:ascii="Verdana" w:hAnsi="Verdana"/>
                <w:b/>
                <w:noProof/>
                <w:color w:val="000000"/>
                <w:sz w:val="18"/>
              </w:rPr>
              <w:t>ОБЩО ПАСИВИ</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center"/>
              <w:rPr>
                <w:rFonts w:ascii="Verdana" w:eastAsia="Verdana" w:hAnsi="Verdana" w:cs="Verdana"/>
                <w:noProof/>
                <w:color w:val="000000"/>
                <w:sz w:val="18"/>
              </w:rPr>
            </w:pPr>
          </w:p>
        </w:tc>
        <w:tc>
          <w:tcPr>
            <w:tcW w:w="1559"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(313 464)</w:t>
            </w:r>
          </w:p>
        </w:tc>
        <w:tc>
          <w:tcPr>
            <w:tcW w:w="1476"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(251 470)</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noProof/>
                <w:color w:val="000000"/>
                <w:sz w:val="18"/>
              </w:rPr>
            </w:pP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noProof/>
                <w:color w:val="000000"/>
                <w:sz w:val="18"/>
                <w:lang w:bidi="en-GB"/>
              </w:rPr>
            </w:pPr>
          </w:p>
        </w:tc>
      </w:tr>
      <w:tr>
        <w:trPr>
          <w:trHeight w:hRule="exact" w:val="255"/>
        </w:trPr>
        <w:tc>
          <w:tcPr>
            <w:tcW w:w="5589" w:type="dxa"/>
            <w:tcBorders>
              <w:top w:val="nil"/>
              <w:left w:val="nil"/>
              <w:bottom w:val="nil"/>
              <w:right w:val="nil"/>
              <w:tl2br w:val="nil"/>
              <w:tr2bl w:val="nil"/>
            </w:tcBorders>
            <w:shd w:val="solid" w:color="CCE1EA" w:fill="FFFFFF"/>
            <w:tcMar>
              <w:left w:w="60" w:type="dxa"/>
              <w:right w:w="60" w:type="dxa"/>
            </w:tcMar>
            <w:vAlign w:val="center"/>
          </w:tcPr>
          <w:p>
            <w:pPr>
              <w:pStyle w:val="DMETW19858BIPBS"/>
              <w:rPr>
                <w:rFonts w:ascii="Verdana" w:eastAsia="Verdana" w:hAnsi="Verdana" w:cs="Verdana"/>
                <w:b/>
                <w:noProof/>
                <w:color w:val="000000"/>
                <w:sz w:val="18"/>
              </w:rPr>
            </w:pPr>
            <w:r>
              <w:rPr>
                <w:rFonts w:ascii="Verdana" w:hAnsi="Verdana"/>
                <w:b/>
                <w:noProof/>
                <w:color w:val="000000"/>
                <w:sz w:val="18"/>
              </w:rPr>
              <w:t>НЕТНИ АКТИВИ</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center"/>
              <w:rPr>
                <w:rFonts w:ascii="Verdana" w:eastAsia="Verdana" w:hAnsi="Verdana" w:cs="Verdana"/>
                <w:noProof/>
                <w:color w:val="000000"/>
                <w:sz w:val="18"/>
              </w:rPr>
            </w:pPr>
          </w:p>
        </w:tc>
        <w:tc>
          <w:tcPr>
            <w:tcW w:w="1559"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(33 418)</w:t>
            </w:r>
          </w:p>
        </w:tc>
        <w:tc>
          <w:tcPr>
            <w:tcW w:w="1476"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(72 523)</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noProof/>
                <w:color w:val="000000"/>
                <w:sz w:val="18"/>
              </w:rPr>
            </w:pP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rPr>
            </w:pP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b/>
                <w:noProof/>
                <w:color w:val="000000"/>
                <w:sz w:val="18"/>
                <w:lang w:bidi="en-GB"/>
              </w:rPr>
            </w:pP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Резерви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2.14</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5 062</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5 037</w:t>
            </w:r>
          </w:p>
        </w:tc>
      </w:tr>
      <w:tr>
        <w:trPr>
          <w:trHeight w:hRule="exact" w:val="255"/>
        </w:trPr>
        <w:tc>
          <w:tcPr>
            <w:tcW w:w="5589" w:type="dxa"/>
            <w:tcBorders>
              <w:top w:val="nil"/>
              <w:left w:val="nil"/>
              <w:bottom w:val="nil"/>
              <w:right w:val="nil"/>
              <w:tl2br w:val="nil"/>
              <w:tr2bl w:val="nil"/>
            </w:tcBorders>
            <w:shd w:val="clear" w:color="auto" w:fill="auto"/>
            <w:tcMar>
              <w:left w:w="60" w:type="dxa"/>
              <w:right w:w="60" w:type="dxa"/>
            </w:tcMar>
            <w:vAlign w:val="center"/>
          </w:tcPr>
          <w:p>
            <w:pPr>
              <w:pStyle w:val="DMETW19858BIPBS"/>
              <w:rPr>
                <w:rFonts w:ascii="Verdana" w:eastAsia="Verdana" w:hAnsi="Verdana" w:cs="Verdana"/>
                <w:i/>
                <w:noProof/>
                <w:color w:val="000000"/>
                <w:sz w:val="18"/>
              </w:rPr>
            </w:pPr>
            <w:r>
              <w:rPr>
                <w:rFonts w:ascii="Verdana" w:hAnsi="Verdana"/>
                <w:i/>
                <w:noProof/>
                <w:color w:val="000000"/>
                <w:sz w:val="18"/>
              </w:rPr>
              <w:t>Суми, които трябва да бъдат поискани от държавите членки*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center"/>
              <w:rPr>
                <w:rFonts w:ascii="Verdana" w:eastAsia="Verdana" w:hAnsi="Verdana" w:cs="Verdana"/>
                <w:i/>
                <w:noProof/>
                <w:color w:val="000000"/>
                <w:sz w:val="18"/>
              </w:rPr>
            </w:pPr>
            <w:r>
              <w:rPr>
                <w:rFonts w:ascii="Verdana" w:hAnsi="Verdana"/>
                <w:i/>
                <w:noProof/>
                <w:color w:val="000000"/>
                <w:sz w:val="18"/>
              </w:rPr>
              <w:t>2.15</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(38 480)</w:t>
            </w:r>
          </w:p>
        </w:tc>
        <w:tc>
          <w:tcPr>
            <w:tcW w:w="1476" w:type="dxa"/>
            <w:tcBorders>
              <w:top w:val="nil"/>
              <w:left w:val="nil"/>
              <w:bottom w:val="nil"/>
              <w:right w:val="nil"/>
              <w:tl2br w:val="nil"/>
              <w:tr2bl w:val="nil"/>
            </w:tcBorders>
            <w:shd w:val="clear" w:color="auto" w:fill="auto"/>
            <w:tcMar>
              <w:left w:w="60" w:type="dxa"/>
              <w:right w:w="60" w:type="dxa"/>
            </w:tcMar>
            <w:vAlign w:val="center"/>
          </w:tcPr>
          <w:p>
            <w:pPr>
              <w:pStyle w:val="DMETW19858BIPBS"/>
              <w:jc w:val="right"/>
              <w:rPr>
                <w:rFonts w:ascii="Verdana" w:eastAsia="Verdana" w:hAnsi="Verdana" w:cs="Verdana"/>
                <w:i/>
                <w:noProof/>
                <w:color w:val="000000"/>
                <w:sz w:val="18"/>
              </w:rPr>
            </w:pPr>
            <w:r>
              <w:rPr>
                <w:rFonts w:ascii="Verdana" w:hAnsi="Verdana"/>
                <w:i/>
                <w:noProof/>
                <w:color w:val="000000"/>
                <w:sz w:val="18"/>
              </w:rPr>
              <w:t>(77 560)</w:t>
            </w:r>
          </w:p>
        </w:tc>
      </w:tr>
      <w:tr>
        <w:trPr>
          <w:trHeight w:hRule="exact" w:val="255"/>
        </w:trPr>
        <w:tc>
          <w:tcPr>
            <w:tcW w:w="5589" w:type="dxa"/>
            <w:tcBorders>
              <w:top w:val="nil"/>
              <w:left w:val="nil"/>
              <w:bottom w:val="nil"/>
              <w:right w:val="nil"/>
              <w:tl2br w:val="nil"/>
              <w:tr2bl w:val="nil"/>
            </w:tcBorders>
            <w:shd w:val="solid" w:color="CCE1EA" w:fill="FFFFFF"/>
            <w:tcMar>
              <w:left w:w="60" w:type="dxa"/>
              <w:right w:w="60" w:type="dxa"/>
            </w:tcMar>
            <w:vAlign w:val="center"/>
          </w:tcPr>
          <w:p>
            <w:pPr>
              <w:pStyle w:val="DMETW19858BIPBS"/>
              <w:rPr>
                <w:rFonts w:ascii="Verdana" w:eastAsia="Verdana" w:hAnsi="Verdana" w:cs="Verdana"/>
                <w:b/>
                <w:noProof/>
                <w:color w:val="000000"/>
                <w:sz w:val="18"/>
              </w:rPr>
            </w:pPr>
            <w:r>
              <w:rPr>
                <w:rFonts w:ascii="Verdana" w:hAnsi="Verdana"/>
                <w:b/>
                <w:noProof/>
                <w:color w:val="000000"/>
                <w:sz w:val="18"/>
              </w:rPr>
              <w:t>НЕТНИ АКТИВИ</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center"/>
              <w:rPr>
                <w:rFonts w:ascii="Verdana" w:eastAsia="Verdana" w:hAnsi="Verdana" w:cs="Verdana"/>
                <w:noProof/>
                <w:color w:val="000000"/>
                <w:sz w:val="18"/>
              </w:rPr>
            </w:pPr>
          </w:p>
        </w:tc>
        <w:tc>
          <w:tcPr>
            <w:tcW w:w="1559"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(33 418)</w:t>
            </w:r>
          </w:p>
        </w:tc>
        <w:tc>
          <w:tcPr>
            <w:tcW w:w="1476" w:type="dxa"/>
            <w:tcBorders>
              <w:top w:val="nil"/>
              <w:left w:val="nil"/>
              <w:bottom w:val="nil"/>
              <w:right w:val="nil"/>
              <w:tl2br w:val="nil"/>
              <w:tr2bl w:val="nil"/>
            </w:tcBorders>
            <w:shd w:val="solid" w:color="CCE1EA" w:fill="FFFFFF"/>
            <w:tcMar>
              <w:left w:w="60" w:type="dxa"/>
              <w:right w:w="60" w:type="dxa"/>
            </w:tcMar>
            <w:vAlign w:val="center"/>
          </w:tcPr>
          <w:p>
            <w:pPr>
              <w:pStyle w:val="DMETW19858BIPBS"/>
              <w:jc w:val="right"/>
              <w:rPr>
                <w:rFonts w:ascii="Verdana" w:eastAsia="Verdana" w:hAnsi="Verdana" w:cs="Verdana"/>
                <w:b/>
                <w:noProof/>
                <w:color w:val="000000"/>
                <w:sz w:val="18"/>
              </w:rPr>
            </w:pPr>
            <w:r>
              <w:rPr>
                <w:rFonts w:ascii="Verdana" w:hAnsi="Verdana"/>
                <w:b/>
                <w:noProof/>
                <w:color w:val="000000"/>
                <w:sz w:val="18"/>
              </w:rPr>
              <w:t>(72 523)</w:t>
            </w:r>
          </w:p>
        </w:tc>
      </w:tr>
    </w:tbl>
    <w:p>
      <w:pPr>
        <w:pStyle w:val="Textstand-alone"/>
        <w:tabs>
          <w:tab w:val="left" w:pos="284"/>
        </w:tabs>
        <w:spacing w:before="60"/>
        <w:ind w:left="284" w:hanging="284"/>
        <w:rPr>
          <w:i/>
          <w:sz w:val="14"/>
        </w:rPr>
      </w:pPr>
      <w:r>
        <w:rPr>
          <w:i/>
          <w:sz w:val="14"/>
        </w:rPr>
        <w:t>*</w:t>
      </w:r>
      <w:r>
        <w:rPr>
          <w:i/>
          <w:sz w:val="14"/>
        </w:rPr>
        <w:tab/>
        <w:t>На 18 декември 2020 г. Европейският парламент прие бюджет, който предвижда плащането на краткосрочните задължения на Съюза от собствените ресурси, които държавите членки ще съберат или които ще бъдат поискани от тях през 2021 г. Освен това съгласно член 83 от Правилника за длъжностните лица (Регламент № 259/68 на Съвета от 29 февруари 1968 г. съгласно неговото изменение) държавите членки съвместно гарантират пенсионните задължения.</w:t>
      </w:r>
    </w:p>
    <w:p>
      <w:pPr>
        <w:pStyle w:val="Textstand-alone"/>
        <w:rPr>
          <w:i/>
        </w:rPr>
        <w:sectPr>
          <w:headerReference w:type="even" r:id="rId86"/>
          <w:headerReference w:type="default" r:id="rId87"/>
          <w:footerReference w:type="even" r:id="rId88"/>
          <w:footerReference w:type="default" r:id="rId89"/>
          <w:headerReference w:type="first" r:id="rId90"/>
          <w:footerReference w:type="first" r:id="rId91"/>
          <w:pgSz w:w="11906" w:h="16838"/>
          <w:pgMar w:top="1134" w:right="1134" w:bottom="1134" w:left="1134" w:header="709" w:footer="709" w:gutter="0"/>
          <w:cols w:space="708"/>
          <w:docGrid w:linePitch="360"/>
        </w:sectPr>
      </w:pPr>
      <w:r>
        <w:rPr>
          <w:i/>
        </w:rPr>
        <w:t xml:space="preserve"> </w:t>
      </w:r>
      <w:bookmarkEnd w:id="61"/>
    </w:p>
    <w:p>
      <w:pPr>
        <w:pStyle w:val="HEADERTITLE1"/>
        <w:spacing w:after="0"/>
      </w:pPr>
      <w:bookmarkStart w:id="63" w:name="_Toc75518068"/>
      <w:bookmarkStart w:id="64" w:name="_Toc75518104"/>
      <w:bookmarkStart w:id="65" w:name="_DMBM_19809"/>
      <w:r>
        <w:t>ОТЧЕТ ЗА ФИНАНСОВИЯ РЕЗУЛТАТ</w:t>
      </w:r>
      <w:bookmarkEnd w:id="63"/>
      <w:bookmarkEnd w:id="64"/>
    </w:p>
    <w:p>
      <w:pPr>
        <w:pStyle w:val="DGTextstand-alone"/>
        <w:spacing w:after="0"/>
      </w:pPr>
      <w:r>
        <w:t xml:space="preserve">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5"/>
        <w:gridCol w:w="846"/>
        <w:gridCol w:w="1743"/>
        <w:gridCol w:w="1444"/>
      </w:tblGrid>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FFFFFF"/>
                <w:sz w:val="16"/>
              </w:rPr>
            </w:pPr>
            <w:bookmarkStart w:id="66" w:name="DOC_TBL00002_1_1"/>
            <w:bookmarkEnd w:id="66"/>
          </w:p>
        </w:tc>
        <w:tc>
          <w:tcPr>
            <w:tcW w:w="846" w:type="dxa"/>
            <w:tcBorders>
              <w:top w:val="nil"/>
              <w:left w:val="nil"/>
              <w:bottom w:val="nil"/>
              <w:right w:val="nil"/>
              <w:tl2br w:val="nil"/>
              <w:tr2bl w:val="nil"/>
            </w:tcBorders>
            <w:shd w:val="clear" w:color="auto" w:fill="auto"/>
            <w:tcMar>
              <w:left w:w="60" w:type="dxa"/>
              <w:right w:w="60" w:type="dxa"/>
            </w:tcMar>
            <w:vAlign w:val="bottom"/>
          </w:tcPr>
          <w:p>
            <w:pPr>
              <w:pStyle w:val="DMETW19872BIPSOFP"/>
              <w:rPr>
                <w:rFonts w:ascii="Arial" w:eastAsia="Arial" w:hAnsi="Arial" w:cs="Arial"/>
                <w:noProof/>
                <w:color w:val="000000"/>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rPr>
                <w:rFonts w:ascii="Arial" w:eastAsia="Arial" w:hAnsi="Arial" w:cs="Arial"/>
                <w:noProof/>
                <w:color w:val="000000"/>
              </w:rPr>
            </w:pP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725" w:type="dxa"/>
            <w:tcBorders>
              <w:top w:val="nil"/>
              <w:left w:val="nil"/>
              <w:bottom w:val="nil"/>
              <w:right w:val="nil"/>
              <w:tl2br w:val="nil"/>
              <w:tr2bl w:val="nil"/>
            </w:tcBorders>
            <w:shd w:val="solid" w:color="016794" w:fill="FFFFFF"/>
            <w:tcMar>
              <w:left w:w="60" w:type="dxa"/>
              <w:right w:w="60" w:type="dxa"/>
            </w:tcMar>
            <w:vAlign w:val="center"/>
          </w:tcPr>
          <w:p>
            <w:pPr>
              <w:pStyle w:val="DMETW19872BIPSOFP"/>
              <w:rPr>
                <w:rFonts w:ascii="Verdana" w:eastAsia="Verdana" w:hAnsi="Verdana" w:cs="Verdana"/>
                <w:noProof/>
                <w:color w:val="FFFFFF"/>
              </w:rPr>
            </w:pPr>
          </w:p>
        </w:tc>
        <w:tc>
          <w:tcPr>
            <w:tcW w:w="846" w:type="dxa"/>
            <w:tcBorders>
              <w:top w:val="nil"/>
              <w:left w:val="nil"/>
              <w:bottom w:val="nil"/>
              <w:right w:val="nil"/>
              <w:tl2br w:val="nil"/>
              <w:tr2bl w:val="nil"/>
            </w:tcBorders>
            <w:shd w:val="solid" w:color="016794" w:fill="FFFFFF"/>
            <w:tcMar>
              <w:left w:w="60" w:type="dxa"/>
              <w:right w:w="60" w:type="dxa"/>
            </w:tcMar>
            <w:vAlign w:val="center"/>
          </w:tcPr>
          <w:p>
            <w:pPr>
              <w:pStyle w:val="DMETW19872BIPSOFP"/>
              <w:jc w:val="center"/>
              <w:rPr>
                <w:rFonts w:ascii="Verdana" w:eastAsia="Verdana" w:hAnsi="Verdana" w:cs="Verdana"/>
                <w:noProof/>
                <w:color w:val="FFFFFF"/>
              </w:rPr>
            </w:pPr>
            <w:r>
              <w:rPr>
                <w:rFonts w:ascii="Verdana" w:hAnsi="Verdana"/>
                <w:noProof/>
                <w:color w:val="FFFFFF"/>
              </w:rPr>
              <w:t>Бележка</w:t>
            </w:r>
          </w:p>
        </w:tc>
        <w:tc>
          <w:tcPr>
            <w:tcW w:w="1743" w:type="dxa"/>
            <w:tcBorders>
              <w:top w:val="nil"/>
              <w:left w:val="nil"/>
              <w:bottom w:val="nil"/>
              <w:right w:val="nil"/>
              <w:tl2br w:val="nil"/>
              <w:tr2bl w:val="nil"/>
            </w:tcBorders>
            <w:shd w:val="solid" w:color="016794" w:fill="FFFFFF"/>
            <w:tcMar>
              <w:left w:w="60" w:type="dxa"/>
              <w:right w:w="60" w:type="dxa"/>
            </w:tcMar>
            <w:vAlign w:val="center"/>
          </w:tcPr>
          <w:p>
            <w:pPr>
              <w:pStyle w:val="DMETW19872BIPSOFP"/>
              <w:jc w:val="right"/>
              <w:rPr>
                <w:rFonts w:ascii="Verdana" w:eastAsia="Verdana" w:hAnsi="Verdana" w:cs="Verdana"/>
                <w:noProof/>
                <w:color w:val="FFFFFF"/>
              </w:rPr>
            </w:pPr>
            <w:r>
              <w:rPr>
                <w:rFonts w:ascii="Verdana" w:hAnsi="Verdana"/>
                <w:noProof/>
                <w:color w:val="FFFFFF"/>
              </w:rPr>
              <w:t>2020 г.</w:t>
            </w:r>
          </w:p>
        </w:tc>
        <w:tc>
          <w:tcPr>
            <w:tcW w:w="1444" w:type="dxa"/>
            <w:tcBorders>
              <w:top w:val="nil"/>
              <w:left w:val="nil"/>
              <w:bottom w:val="nil"/>
              <w:right w:val="nil"/>
              <w:tl2br w:val="nil"/>
              <w:tr2bl w:val="nil"/>
            </w:tcBorders>
            <w:shd w:val="solid" w:color="016794" w:fill="FFFFFF"/>
            <w:tcMar>
              <w:left w:w="60" w:type="dxa"/>
              <w:right w:w="60" w:type="dxa"/>
            </w:tcMar>
            <w:vAlign w:val="center"/>
          </w:tcPr>
          <w:p>
            <w:pPr>
              <w:pStyle w:val="DMETW19872BIPSOFP"/>
              <w:jc w:val="right"/>
              <w:rPr>
                <w:rFonts w:ascii="Verdana" w:eastAsia="Verdana" w:hAnsi="Verdana" w:cs="Verdana"/>
                <w:noProof/>
                <w:color w:val="FFFFFF"/>
              </w:rPr>
            </w:pPr>
            <w:r>
              <w:rPr>
                <w:rFonts w:ascii="Verdana" w:hAnsi="Verdana"/>
                <w:noProof/>
                <w:color w:val="FFFFFF"/>
              </w:rPr>
              <w:t xml:space="preserve">2019 г.     </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b/>
                <w:noProof/>
                <w:color w:val="000000"/>
                <w:sz w:val="18"/>
              </w:rPr>
            </w:pPr>
            <w:r>
              <w:rPr>
                <w:rFonts w:ascii="Verdana" w:hAnsi="Verdana"/>
                <w:b/>
                <w:noProof/>
                <w:color w:val="000000"/>
                <w:sz w:val="18"/>
              </w:rPr>
              <w:t>ПРИХОДИ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b/>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Arial" w:eastAsia="Arial" w:hAnsi="Arial" w:cs="Arial"/>
                <w:noProof/>
                <w:color w:val="000000"/>
              </w:rPr>
            </w:pP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Arial" w:eastAsia="Arial" w:hAnsi="Arial" w:cs="Arial"/>
                <w:noProof/>
                <w:color w:val="000000"/>
                <w:lang w:bidi="en-GB"/>
              </w:rPr>
            </w:pP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b/>
                <w:noProof/>
                <w:color w:val="000000"/>
                <w:sz w:val="18"/>
              </w:rPr>
            </w:pPr>
            <w:r>
              <w:rPr>
                <w:rFonts w:ascii="Verdana" w:hAnsi="Verdana"/>
                <w:b/>
                <w:noProof/>
                <w:color w:val="000000"/>
                <w:sz w:val="18"/>
              </w:rPr>
              <w:t>Приходи от операции без размяна</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lang w:bidi="en-GB"/>
              </w:rPr>
            </w:pP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Ресурси от БНД</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3.1</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125 393</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108 820</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Традиционни собствени ресурси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3.2</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19 559</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21 235</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Ресурси от ДДС</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3.3</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17 858</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18 128</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Глоби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3.4</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 xml:space="preserve"> 452</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4 291</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Събиране на разходи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3.5</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1 355</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2 627</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Споразумение за оттеглянето на Обединеното кралство</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3.6</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47 456</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72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Други</w:t>
            </w:r>
          </w:p>
        </w:tc>
        <w:tc>
          <w:tcPr>
            <w:tcW w:w="84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3.7</w:t>
            </w:r>
          </w:p>
        </w:tc>
        <w:tc>
          <w:tcPr>
            <w:tcW w:w="174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7 116</w:t>
            </w:r>
          </w:p>
        </w:tc>
        <w:tc>
          <w:tcPr>
            <w:tcW w:w="1444"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2 072</w:t>
            </w:r>
          </w:p>
        </w:tc>
      </w:tr>
      <w:tr>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b/>
                <w:noProof/>
                <w:color w:val="000000"/>
                <w:sz w:val="18"/>
              </w:rPr>
            </w:pPr>
            <w:r>
              <w:rPr>
                <w:rFonts w:ascii="Verdana" w:hAnsi="Verdana"/>
                <w:b/>
                <w:noProof/>
                <w:color w:val="000000"/>
                <w:sz w:val="18"/>
              </w:rPr>
              <w:t>219 190</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b/>
                <w:noProof/>
                <w:color w:val="000000"/>
                <w:sz w:val="18"/>
              </w:rPr>
            </w:pPr>
            <w:r>
              <w:rPr>
                <w:rFonts w:ascii="Verdana" w:hAnsi="Verdana"/>
                <w:b/>
                <w:noProof/>
                <w:color w:val="000000"/>
                <w:sz w:val="18"/>
              </w:rPr>
              <w:t>157 174</w:t>
            </w:r>
          </w:p>
        </w:tc>
      </w:tr>
      <w:tr>
        <w:trPr>
          <w:trHeight w:val="255"/>
        </w:trPr>
        <w:tc>
          <w:tcPr>
            <w:tcW w:w="572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b/>
                <w:noProof/>
                <w:color w:val="000000"/>
                <w:sz w:val="18"/>
              </w:rPr>
            </w:pPr>
            <w:r>
              <w:rPr>
                <w:rFonts w:ascii="Verdana" w:hAnsi="Verdana"/>
                <w:b/>
                <w:noProof/>
                <w:color w:val="000000"/>
                <w:sz w:val="18"/>
              </w:rPr>
              <w:t>Приходи от операции с размяна</w:t>
            </w:r>
          </w:p>
        </w:tc>
        <w:tc>
          <w:tcPr>
            <w:tcW w:w="84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p>
        </w:tc>
        <w:tc>
          <w:tcPr>
            <w:tcW w:w="1743"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p>
        </w:tc>
        <w:tc>
          <w:tcPr>
            <w:tcW w:w="144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lang w:bidi="en-GB"/>
              </w:rPr>
            </w:pP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Финансови приходи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3.8</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3 434</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1 817</w:t>
            </w:r>
          </w:p>
        </w:tc>
      </w:tr>
      <w:tr>
        <w:trPr>
          <w:trHeight w:val="255"/>
        </w:trPr>
        <w:tc>
          <w:tcPr>
            <w:tcW w:w="572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Други</w:t>
            </w:r>
          </w:p>
        </w:tc>
        <w:tc>
          <w:tcPr>
            <w:tcW w:w="84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3.9</w:t>
            </w:r>
          </w:p>
        </w:tc>
        <w:tc>
          <w:tcPr>
            <w:tcW w:w="174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1 404</w:t>
            </w:r>
          </w:p>
        </w:tc>
        <w:tc>
          <w:tcPr>
            <w:tcW w:w="1444"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1 298</w:t>
            </w:r>
          </w:p>
        </w:tc>
      </w:tr>
      <w:tr>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b/>
                <w:noProof/>
                <w:color w:val="000000"/>
                <w:sz w:val="18"/>
              </w:rPr>
            </w:pPr>
            <w:r>
              <w:rPr>
                <w:rFonts w:ascii="Verdana" w:hAnsi="Verdana"/>
                <w:b/>
                <w:noProof/>
                <w:color w:val="000000"/>
                <w:sz w:val="18"/>
              </w:rPr>
              <w:t>4 838</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b/>
                <w:noProof/>
                <w:color w:val="000000"/>
                <w:sz w:val="18"/>
              </w:rPr>
            </w:pPr>
            <w:r>
              <w:rPr>
                <w:rFonts w:ascii="Verdana" w:hAnsi="Verdana"/>
                <w:b/>
                <w:noProof/>
                <w:color w:val="000000"/>
                <w:sz w:val="18"/>
              </w:rPr>
              <w:t>3 116</w:t>
            </w:r>
          </w:p>
        </w:tc>
      </w:tr>
      <w:tr>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b/>
                <w:noProof/>
                <w:color w:val="000000"/>
                <w:sz w:val="18"/>
              </w:rPr>
            </w:pPr>
            <w:r>
              <w:rPr>
                <w:rFonts w:ascii="Verdana" w:hAnsi="Verdana"/>
                <w:b/>
                <w:noProof/>
                <w:color w:val="000000"/>
                <w:sz w:val="18"/>
              </w:rPr>
              <w:t>Общо приходи</w:t>
            </w: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b/>
                <w:noProof/>
                <w:color w:val="000000"/>
                <w:sz w:val="18"/>
              </w:rPr>
            </w:pPr>
            <w:r>
              <w:rPr>
                <w:rFonts w:ascii="Verdana" w:hAnsi="Verdana"/>
                <w:b/>
                <w:noProof/>
                <w:color w:val="000000"/>
                <w:sz w:val="18"/>
              </w:rPr>
              <w:t>224 028</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b/>
                <w:noProof/>
                <w:color w:val="000000"/>
                <w:sz w:val="18"/>
              </w:rPr>
            </w:pPr>
            <w:r>
              <w:rPr>
                <w:rFonts w:ascii="Verdana" w:hAnsi="Verdana"/>
                <w:b/>
                <w:noProof/>
                <w:color w:val="000000"/>
                <w:sz w:val="18"/>
              </w:rPr>
              <w:t>160 289</w:t>
            </w:r>
          </w:p>
        </w:tc>
      </w:tr>
      <w:tr>
        <w:trPr>
          <w:trHeight w:val="255"/>
        </w:trPr>
        <w:tc>
          <w:tcPr>
            <w:tcW w:w="572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b/>
                <w:noProof/>
                <w:color w:val="000000"/>
                <w:sz w:val="18"/>
              </w:rPr>
            </w:pPr>
            <w:r>
              <w:rPr>
                <w:rFonts w:ascii="Verdana" w:hAnsi="Verdana"/>
                <w:b/>
                <w:noProof/>
                <w:color w:val="000000"/>
                <w:sz w:val="18"/>
              </w:rPr>
              <w:t>РАЗХОДИ</w:t>
            </w:r>
          </w:p>
        </w:tc>
        <w:tc>
          <w:tcPr>
            <w:tcW w:w="84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p>
        </w:tc>
        <w:tc>
          <w:tcPr>
            <w:tcW w:w="1743"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b/>
                <w:noProof/>
                <w:color w:val="000000"/>
                <w:sz w:val="18"/>
              </w:rPr>
            </w:pPr>
          </w:p>
        </w:tc>
        <w:tc>
          <w:tcPr>
            <w:tcW w:w="144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b/>
                <w:noProof/>
                <w:color w:val="000000"/>
                <w:sz w:val="18"/>
                <w:lang w:bidi="en-GB"/>
              </w:rPr>
            </w:pP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Изпълнени от държавите членки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3.10</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lang w:bidi="en-GB"/>
              </w:rPr>
            </w:pP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 xml:space="preserve">     Европейски фонд за гарантиране на земеделието</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(40 461)</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(43 951)</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 xml:space="preserve">     Европейски земеделски фонд за развитие на селските райони и</w:t>
            </w:r>
          </w:p>
          <w:p>
            <w:pPr>
              <w:pStyle w:val="DMETW19872BIPSOFP"/>
              <w:rPr>
                <w:rFonts w:ascii="Verdana" w:eastAsia="Verdana" w:hAnsi="Verdana" w:cs="Verdana"/>
                <w:i/>
                <w:noProof/>
                <w:color w:val="000000"/>
                <w:sz w:val="18"/>
              </w:rPr>
            </w:pPr>
            <w:r>
              <w:rPr>
                <w:rFonts w:ascii="Verdana" w:hAnsi="Verdana"/>
                <w:i/>
                <w:noProof/>
                <w:color w:val="000000"/>
                <w:sz w:val="18"/>
              </w:rPr>
              <w:t xml:space="preserve">     други инструменти за развитие на селските райони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b/>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right"/>
              <w:rPr>
                <w:rFonts w:ascii="Verdana" w:eastAsia="Verdana" w:hAnsi="Verdana" w:cs="Verdana"/>
                <w:i/>
                <w:noProof/>
                <w:color w:val="000000"/>
                <w:sz w:val="18"/>
              </w:rPr>
            </w:pPr>
            <w:r>
              <w:rPr>
                <w:rFonts w:ascii="Verdana" w:hAnsi="Verdana"/>
                <w:i/>
                <w:noProof/>
                <w:color w:val="000000"/>
                <w:sz w:val="18"/>
              </w:rPr>
              <w:t>(14 467)</w:t>
            </w:r>
          </w:p>
        </w:tc>
        <w:tc>
          <w:tcPr>
            <w:tcW w:w="1444"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right"/>
              <w:rPr>
                <w:rFonts w:ascii="Verdana" w:eastAsia="Verdana" w:hAnsi="Verdana" w:cs="Verdana"/>
                <w:i/>
                <w:noProof/>
                <w:color w:val="000000"/>
                <w:sz w:val="18"/>
              </w:rPr>
            </w:pPr>
            <w:r>
              <w:rPr>
                <w:rFonts w:ascii="Verdana" w:hAnsi="Verdana"/>
                <w:i/>
                <w:noProof/>
                <w:color w:val="000000"/>
                <w:sz w:val="18"/>
              </w:rPr>
              <w:t>(13 541)</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 xml:space="preserve">     Европейски фонд за регионално развитие и Кохезионен фонд</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right"/>
              <w:rPr>
                <w:rFonts w:ascii="Verdana" w:eastAsia="Verdana" w:hAnsi="Verdana" w:cs="Verdana"/>
                <w:i/>
                <w:noProof/>
                <w:color w:val="000000"/>
                <w:sz w:val="18"/>
              </w:rPr>
            </w:pPr>
            <w:r>
              <w:rPr>
                <w:rFonts w:ascii="Verdana" w:hAnsi="Verdana"/>
                <w:i/>
                <w:noProof/>
                <w:color w:val="000000"/>
                <w:sz w:val="18"/>
              </w:rPr>
              <w:t>(41 118)</w:t>
            </w:r>
          </w:p>
        </w:tc>
        <w:tc>
          <w:tcPr>
            <w:tcW w:w="1444"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right"/>
              <w:rPr>
                <w:rFonts w:ascii="Verdana" w:eastAsia="Verdana" w:hAnsi="Verdana" w:cs="Verdana"/>
                <w:i/>
                <w:noProof/>
                <w:color w:val="000000"/>
                <w:sz w:val="18"/>
              </w:rPr>
            </w:pPr>
            <w:r>
              <w:rPr>
                <w:rFonts w:ascii="Verdana" w:hAnsi="Verdana"/>
                <w:i/>
                <w:noProof/>
                <w:color w:val="000000"/>
                <w:sz w:val="18"/>
              </w:rPr>
              <w:t>(35 178)</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 xml:space="preserve">     Европейски социален фонд</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(13 677)</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(11 218)</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 xml:space="preserve">     Други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(2 701)</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(2 608)</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Изпълнени от Комисията, изпълнителните агенции и доверителните фондове</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3.11</w:t>
            </w:r>
          </w:p>
        </w:tc>
        <w:tc>
          <w:tcPr>
            <w:tcW w:w="1743"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right"/>
              <w:rPr>
                <w:rFonts w:ascii="Verdana" w:eastAsia="Verdana" w:hAnsi="Verdana" w:cs="Verdana"/>
                <w:i/>
                <w:noProof/>
                <w:color w:val="000000"/>
                <w:sz w:val="18"/>
              </w:rPr>
            </w:pPr>
            <w:r>
              <w:rPr>
                <w:rFonts w:ascii="Verdana" w:hAnsi="Verdana"/>
                <w:i/>
                <w:noProof/>
                <w:color w:val="000000"/>
                <w:sz w:val="18"/>
              </w:rPr>
              <w:t>(22 094)</w:t>
            </w:r>
          </w:p>
        </w:tc>
        <w:tc>
          <w:tcPr>
            <w:tcW w:w="1444"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right"/>
              <w:rPr>
                <w:rFonts w:ascii="Verdana" w:eastAsia="Verdana" w:hAnsi="Verdana" w:cs="Verdana"/>
                <w:i/>
                <w:noProof/>
                <w:color w:val="000000"/>
                <w:sz w:val="18"/>
              </w:rPr>
            </w:pPr>
            <w:r>
              <w:rPr>
                <w:rFonts w:ascii="Verdana" w:hAnsi="Verdana"/>
                <w:i/>
                <w:noProof/>
                <w:color w:val="000000"/>
                <w:sz w:val="18"/>
              </w:rPr>
              <w:t>(18 942)</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Изпълнени от други агенции и органи на ЕС</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3.12</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(3 530)</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(3 131)</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Изпълнени от трети държави и международни организации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3.12</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(4 178)</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(4 085)</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Изпълнени от други субекти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3.12</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(3 257)</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(2 875)</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Разходи за персонал и за пенсии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3.13</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(11 995)</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(11 613)</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Финансови разходи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3.14</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(2 188)</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(1 491)</w:t>
            </w:r>
          </w:p>
        </w:tc>
      </w:tr>
      <w:tr>
        <w:trPr>
          <w:trHeight w:val="255"/>
        </w:trPr>
        <w:tc>
          <w:tcPr>
            <w:tcW w:w="572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i/>
                <w:noProof/>
                <w:color w:val="000000"/>
                <w:sz w:val="18"/>
              </w:rPr>
            </w:pPr>
            <w:r>
              <w:rPr>
                <w:rFonts w:ascii="Verdana" w:hAnsi="Verdana"/>
                <w:i/>
                <w:noProof/>
                <w:color w:val="000000"/>
                <w:sz w:val="18"/>
              </w:rPr>
              <w:t>Други разходи</w:t>
            </w:r>
          </w:p>
        </w:tc>
        <w:tc>
          <w:tcPr>
            <w:tcW w:w="84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i/>
                <w:noProof/>
                <w:color w:val="000000"/>
                <w:sz w:val="18"/>
              </w:rPr>
            </w:pPr>
            <w:r>
              <w:rPr>
                <w:rFonts w:ascii="Verdana" w:hAnsi="Verdana"/>
                <w:i/>
                <w:noProof/>
                <w:color w:val="000000"/>
                <w:sz w:val="18"/>
              </w:rPr>
              <w:t>3.15</w:t>
            </w:r>
          </w:p>
        </w:tc>
        <w:tc>
          <w:tcPr>
            <w:tcW w:w="174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(6 946)</w:t>
            </w:r>
          </w:p>
        </w:tc>
        <w:tc>
          <w:tcPr>
            <w:tcW w:w="1444"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i/>
                <w:noProof/>
                <w:color w:val="000000"/>
                <w:sz w:val="18"/>
              </w:rPr>
            </w:pPr>
            <w:r>
              <w:rPr>
                <w:rFonts w:ascii="Verdana" w:hAnsi="Verdana"/>
                <w:i/>
                <w:noProof/>
                <w:color w:val="000000"/>
                <w:sz w:val="18"/>
              </w:rPr>
              <w:t>(6 862)</w:t>
            </w:r>
          </w:p>
        </w:tc>
      </w:tr>
      <w:tr>
        <w:trPr>
          <w:trHeight w:val="255"/>
        </w:trPr>
        <w:tc>
          <w:tcPr>
            <w:tcW w:w="572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2BIPSOFP"/>
              <w:rPr>
                <w:rFonts w:ascii="Verdana" w:eastAsia="Verdana" w:hAnsi="Verdana" w:cs="Verdana"/>
                <w:b/>
                <w:noProof/>
                <w:color w:val="000000"/>
                <w:sz w:val="18"/>
              </w:rPr>
            </w:pPr>
            <w:r>
              <w:rPr>
                <w:rFonts w:ascii="Verdana" w:hAnsi="Verdana"/>
                <w:b/>
                <w:noProof/>
                <w:color w:val="000000"/>
                <w:sz w:val="18"/>
              </w:rPr>
              <w:t>Общо разходи</w:t>
            </w:r>
          </w:p>
        </w:tc>
        <w:tc>
          <w:tcPr>
            <w:tcW w:w="84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2BIPSOFP"/>
              <w:jc w:val="center"/>
              <w:rPr>
                <w:rFonts w:ascii="Verdana" w:eastAsia="Verdana" w:hAnsi="Verdana" w:cs="Verdana"/>
                <w:noProof/>
                <w:color w:val="000000"/>
                <w:sz w:val="18"/>
              </w:rPr>
            </w:pPr>
          </w:p>
        </w:tc>
        <w:tc>
          <w:tcPr>
            <w:tcW w:w="1743"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b/>
                <w:noProof/>
                <w:color w:val="000000"/>
                <w:sz w:val="18"/>
              </w:rPr>
            </w:pPr>
            <w:r>
              <w:rPr>
                <w:rFonts w:ascii="Verdana" w:hAnsi="Verdana"/>
                <w:b/>
                <w:noProof/>
                <w:color w:val="000000"/>
                <w:sz w:val="18"/>
              </w:rPr>
              <w:t>(166 612)</w:t>
            </w:r>
          </w:p>
        </w:tc>
        <w:tc>
          <w:tcPr>
            <w:tcW w:w="144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2BIPSOFP"/>
              <w:jc w:val="right"/>
              <w:rPr>
                <w:rFonts w:ascii="Verdana" w:eastAsia="Verdana" w:hAnsi="Verdana" w:cs="Verdana"/>
                <w:b/>
                <w:noProof/>
                <w:color w:val="000000"/>
                <w:sz w:val="18"/>
              </w:rPr>
            </w:pPr>
            <w:r>
              <w:rPr>
                <w:rFonts w:ascii="Verdana" w:hAnsi="Verdana"/>
                <w:b/>
                <w:noProof/>
                <w:color w:val="000000"/>
                <w:sz w:val="18"/>
              </w:rPr>
              <w:t>(155 493)</w:t>
            </w:r>
          </w:p>
        </w:tc>
      </w:tr>
      <w:tr>
        <w:trPr>
          <w:trHeight w:val="255"/>
        </w:trPr>
        <w:tc>
          <w:tcPr>
            <w:tcW w:w="5725" w:type="dxa"/>
            <w:tcBorders>
              <w:top w:val="nil"/>
              <w:left w:val="nil"/>
              <w:bottom w:val="nil"/>
              <w:right w:val="nil"/>
              <w:tl2br w:val="nil"/>
              <w:tr2bl w:val="nil"/>
            </w:tcBorders>
            <w:shd w:val="solid" w:color="CCE1EA" w:fill="FFFFFF"/>
            <w:tcMar>
              <w:left w:w="60" w:type="dxa"/>
              <w:right w:w="60" w:type="dxa"/>
            </w:tcMar>
            <w:vAlign w:val="center"/>
          </w:tcPr>
          <w:p>
            <w:pPr>
              <w:pStyle w:val="DMETW19872BIPSOFP"/>
              <w:rPr>
                <w:rFonts w:ascii="Verdana" w:eastAsia="Verdana" w:hAnsi="Verdana" w:cs="Verdana"/>
                <w:b/>
                <w:noProof/>
                <w:color w:val="000000"/>
                <w:sz w:val="18"/>
              </w:rPr>
            </w:pPr>
            <w:r>
              <w:rPr>
                <w:rFonts w:ascii="Verdana" w:hAnsi="Verdana"/>
                <w:b/>
                <w:noProof/>
                <w:color w:val="000000"/>
                <w:sz w:val="18"/>
              </w:rPr>
              <w:t>ФИНАНСОВ РЕЗУЛТАТ ЗА ГОДИНАТА</w:t>
            </w:r>
          </w:p>
        </w:tc>
        <w:tc>
          <w:tcPr>
            <w:tcW w:w="846" w:type="dxa"/>
            <w:tcBorders>
              <w:top w:val="nil"/>
              <w:left w:val="nil"/>
              <w:bottom w:val="nil"/>
              <w:right w:val="nil"/>
              <w:tl2br w:val="nil"/>
              <w:tr2bl w:val="nil"/>
            </w:tcBorders>
            <w:shd w:val="solid" w:color="CCE1EA" w:fill="FFFFFF"/>
            <w:tcMar>
              <w:left w:w="60" w:type="dxa"/>
              <w:right w:w="60" w:type="dxa"/>
            </w:tcMar>
            <w:vAlign w:val="center"/>
          </w:tcPr>
          <w:p>
            <w:pPr>
              <w:pStyle w:val="DMETW19872BIPSOFP"/>
              <w:jc w:val="center"/>
              <w:rPr>
                <w:rFonts w:ascii="Verdana" w:eastAsia="Verdana" w:hAnsi="Verdana" w:cs="Verdana"/>
                <w:noProof/>
                <w:color w:val="000000"/>
                <w:sz w:val="18"/>
              </w:rPr>
            </w:pPr>
          </w:p>
        </w:tc>
        <w:tc>
          <w:tcPr>
            <w:tcW w:w="1743" w:type="dxa"/>
            <w:tcBorders>
              <w:top w:val="nil"/>
              <w:left w:val="nil"/>
              <w:bottom w:val="nil"/>
              <w:right w:val="nil"/>
              <w:tl2br w:val="nil"/>
              <w:tr2bl w:val="nil"/>
            </w:tcBorders>
            <w:shd w:val="solid" w:color="CCE1EA" w:fill="FFFFFF"/>
            <w:tcMar>
              <w:left w:w="60" w:type="dxa"/>
              <w:right w:w="60" w:type="dxa"/>
            </w:tcMar>
            <w:vAlign w:val="bottom"/>
          </w:tcPr>
          <w:p>
            <w:pPr>
              <w:pStyle w:val="DMETW19872BIPSOFP"/>
              <w:jc w:val="right"/>
              <w:rPr>
                <w:rFonts w:ascii="Verdana" w:eastAsia="Verdana" w:hAnsi="Verdana" w:cs="Verdana"/>
                <w:b/>
                <w:noProof/>
                <w:color w:val="000000"/>
                <w:sz w:val="18"/>
              </w:rPr>
            </w:pPr>
            <w:r>
              <w:rPr>
                <w:rFonts w:ascii="Verdana" w:hAnsi="Verdana"/>
                <w:b/>
                <w:noProof/>
                <w:color w:val="000000"/>
                <w:sz w:val="18"/>
              </w:rPr>
              <w:t>57 416</w:t>
            </w:r>
          </w:p>
        </w:tc>
        <w:tc>
          <w:tcPr>
            <w:tcW w:w="1444" w:type="dxa"/>
            <w:tcBorders>
              <w:top w:val="nil"/>
              <w:left w:val="nil"/>
              <w:bottom w:val="nil"/>
              <w:right w:val="nil"/>
              <w:tl2br w:val="nil"/>
              <w:tr2bl w:val="nil"/>
            </w:tcBorders>
            <w:shd w:val="solid" w:color="CCE1EA" w:fill="FFFFFF"/>
            <w:tcMar>
              <w:left w:w="60" w:type="dxa"/>
              <w:right w:w="60" w:type="dxa"/>
            </w:tcMar>
            <w:vAlign w:val="bottom"/>
          </w:tcPr>
          <w:p>
            <w:pPr>
              <w:pStyle w:val="DMETW19872BIPSOFP"/>
              <w:jc w:val="right"/>
              <w:rPr>
                <w:rFonts w:ascii="Verdana" w:eastAsia="Verdana" w:hAnsi="Verdana" w:cs="Verdana"/>
                <w:b/>
                <w:noProof/>
                <w:color w:val="000000"/>
                <w:sz w:val="18"/>
              </w:rPr>
            </w:pPr>
            <w:r>
              <w:rPr>
                <w:rFonts w:ascii="Verdana" w:hAnsi="Verdana"/>
                <w:b/>
                <w:noProof/>
                <w:color w:val="000000"/>
                <w:sz w:val="18"/>
              </w:rPr>
              <w:t>4 796</w:t>
            </w:r>
          </w:p>
        </w:tc>
      </w:tr>
    </w:tbl>
    <w:p>
      <w:pPr>
        <w:pStyle w:val="Textstand-alone"/>
        <w:rPr>
          <w:lang w:bidi="en-GB"/>
        </w:rPr>
      </w:pPr>
    </w:p>
    <w:p>
      <w:pPr>
        <w:pStyle w:val="Text9pItalicLeft3p"/>
        <w:sectPr>
          <w:headerReference w:type="even" r:id="rId92"/>
          <w:headerReference w:type="default" r:id="rId93"/>
          <w:footerReference w:type="even" r:id="rId94"/>
          <w:footerReference w:type="default" r:id="rId95"/>
          <w:headerReference w:type="first" r:id="rId96"/>
          <w:footerReference w:type="first" r:id="rId97"/>
          <w:pgSz w:w="11906" w:h="16838"/>
          <w:pgMar w:top="1134" w:right="1134" w:bottom="1134" w:left="1134" w:header="709" w:footer="709" w:gutter="0"/>
          <w:cols w:space="708"/>
          <w:docGrid w:linePitch="360"/>
        </w:sectPr>
      </w:pPr>
      <w:r>
        <w:t xml:space="preserve"> </w:t>
      </w:r>
      <w:bookmarkEnd w:id="65"/>
    </w:p>
    <w:p>
      <w:pPr>
        <w:pStyle w:val="HEADERTITLE1"/>
      </w:pPr>
      <w:bookmarkStart w:id="67" w:name="_Toc75518069"/>
      <w:bookmarkStart w:id="68" w:name="_Toc75518105"/>
      <w:bookmarkStart w:id="69" w:name="_DMBM_19836"/>
      <w:r>
        <w:t>ОТЧЕТ ЗА ПАРИЧНИТЕ ПОТОЦИ</w:t>
      </w:r>
      <w:bookmarkEnd w:id="67"/>
      <w:bookmarkEnd w:id="68"/>
    </w:p>
    <w:p>
      <w:pPr>
        <w:pStyle w:val="DGTextstand-alone"/>
        <w:spacing w:after="0"/>
      </w:pPr>
      <w:r>
        <w:t xml:space="preserve">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86"/>
        <w:gridCol w:w="1536"/>
        <w:gridCol w:w="1536"/>
      </w:tblGrid>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FFFFFF"/>
                <w:sz w:val="16"/>
              </w:rPr>
            </w:pPr>
            <w:bookmarkStart w:id="70" w:name="DOC_TBL00003_1_1"/>
            <w:bookmarkEnd w:id="70"/>
          </w:p>
        </w:tc>
        <w:tc>
          <w:tcPr>
            <w:tcW w:w="1536" w:type="dxa"/>
            <w:tcBorders>
              <w:top w:val="nil"/>
              <w:left w:val="nil"/>
              <w:bottom w:val="nil"/>
              <w:right w:val="nil"/>
              <w:tl2br w:val="nil"/>
              <w:tr2bl w:val="nil"/>
            </w:tcBorders>
            <w:shd w:val="clear" w:color="auto" w:fill="auto"/>
            <w:tcMar>
              <w:left w:w="60" w:type="dxa"/>
              <w:right w:w="60" w:type="dxa"/>
            </w:tcMar>
            <w:vAlign w:val="bottom"/>
          </w:tcPr>
          <w:p>
            <w:pPr>
              <w:pStyle w:val="DMETW19873BIPCF"/>
              <w:rPr>
                <w:rFonts w:ascii="Arial" w:eastAsia="Arial" w:hAnsi="Arial" w:cs="Arial"/>
                <w:noProof/>
                <w:color w:val="000000"/>
              </w:rPr>
            </w:pPr>
          </w:p>
        </w:tc>
        <w:tc>
          <w:tcPr>
            <w:tcW w:w="1536" w:type="dxa"/>
            <w:tcBorders>
              <w:top w:val="nil"/>
              <w:left w:val="nil"/>
              <w:bottom w:val="nil"/>
              <w:right w:val="nil"/>
              <w:tl2br w:val="nil"/>
              <w:tr2bl w:val="nil"/>
            </w:tcBorders>
            <w:shd w:val="clear" w:color="auto" w:fill="auto"/>
            <w:tcMar>
              <w:left w:w="60" w:type="dxa"/>
              <w:right w:w="60" w:type="dxa"/>
            </w:tcMar>
            <w:vAlign w:val="bottom"/>
          </w:tcPr>
          <w:p>
            <w:pPr>
              <w:pStyle w:val="DMETW19873BIPCF"/>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686" w:type="dxa"/>
            <w:tcBorders>
              <w:top w:val="nil"/>
              <w:left w:val="nil"/>
              <w:bottom w:val="nil"/>
              <w:right w:val="nil"/>
              <w:tl2br w:val="nil"/>
              <w:tr2bl w:val="nil"/>
            </w:tcBorders>
            <w:shd w:val="solid" w:color="016794" w:fill="FFFFFF"/>
            <w:tcMar>
              <w:left w:w="60" w:type="dxa"/>
              <w:right w:w="60" w:type="dxa"/>
            </w:tcMar>
            <w:vAlign w:val="center"/>
          </w:tcPr>
          <w:p>
            <w:pPr>
              <w:pStyle w:val="DMETW19873BIPCF"/>
              <w:rPr>
                <w:rFonts w:ascii="Verdana" w:eastAsia="Verdana" w:hAnsi="Verdana" w:cs="Verdana"/>
                <w:noProof/>
                <w:color w:val="FFFFFF"/>
              </w:rPr>
            </w:pPr>
          </w:p>
        </w:tc>
        <w:tc>
          <w:tcPr>
            <w:tcW w:w="1536" w:type="dxa"/>
            <w:tcBorders>
              <w:top w:val="nil"/>
              <w:left w:val="nil"/>
              <w:bottom w:val="nil"/>
              <w:right w:val="nil"/>
              <w:tl2br w:val="nil"/>
              <w:tr2bl w:val="nil"/>
            </w:tcBorders>
            <w:shd w:val="solid" w:color="016794" w:fill="FFFFFF"/>
            <w:tcMar>
              <w:left w:w="60" w:type="dxa"/>
              <w:right w:w="60" w:type="dxa"/>
            </w:tcMar>
            <w:vAlign w:val="center"/>
          </w:tcPr>
          <w:p>
            <w:pPr>
              <w:pStyle w:val="DMETW19873BIPCF"/>
              <w:jc w:val="right"/>
              <w:rPr>
                <w:rFonts w:ascii="Verdana" w:eastAsia="Verdana" w:hAnsi="Verdana" w:cs="Verdana"/>
                <w:noProof/>
                <w:color w:val="FFFFFF"/>
              </w:rPr>
            </w:pPr>
            <w:r>
              <w:rPr>
                <w:rFonts w:ascii="Verdana" w:hAnsi="Verdana"/>
                <w:noProof/>
                <w:color w:val="FFFFFF"/>
              </w:rPr>
              <w:t>2020 г.</w:t>
            </w:r>
          </w:p>
        </w:tc>
        <w:tc>
          <w:tcPr>
            <w:tcW w:w="1536" w:type="dxa"/>
            <w:tcBorders>
              <w:top w:val="nil"/>
              <w:left w:val="nil"/>
              <w:bottom w:val="nil"/>
              <w:right w:val="nil"/>
              <w:tl2br w:val="nil"/>
              <w:tr2bl w:val="nil"/>
            </w:tcBorders>
            <w:shd w:val="solid" w:color="016794" w:fill="FFFFFF"/>
            <w:tcMar>
              <w:left w:w="60" w:type="dxa"/>
              <w:right w:w="60" w:type="dxa"/>
            </w:tcMar>
            <w:vAlign w:val="center"/>
          </w:tcPr>
          <w:p>
            <w:pPr>
              <w:pStyle w:val="DMETW19873BIPCF"/>
              <w:jc w:val="right"/>
              <w:rPr>
                <w:rFonts w:ascii="Verdana" w:eastAsia="Verdana" w:hAnsi="Verdana" w:cs="Verdana"/>
                <w:noProof/>
                <w:color w:val="FFFFFF"/>
              </w:rPr>
            </w:pPr>
            <w:r>
              <w:rPr>
                <w:rFonts w:ascii="Verdana" w:hAnsi="Verdana"/>
                <w:noProof/>
                <w:color w:val="FFFFFF"/>
              </w:rPr>
              <w:t>2019 г.</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Финансов резултат за годината</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57 416</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4 796</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b/>
                <w:noProof/>
                <w:color w:val="000000"/>
                <w:sz w:val="18"/>
              </w:rPr>
            </w:pPr>
            <w:r>
              <w:rPr>
                <w:rFonts w:ascii="Verdana" w:hAnsi="Verdana"/>
                <w:b/>
                <w:noProof/>
                <w:color w:val="000000"/>
                <w:sz w:val="18"/>
              </w:rPr>
              <w:t>Оперативни дейности</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lang w:bidi="en-GB"/>
              </w:rPr>
            </w:pP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Амортизация на дълготрайни финансови активи</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113</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107</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Амортизация</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1 047</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1 022</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заемите</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(40 624)</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1 255</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предварителното финансиране</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(11 301)</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(1 472)</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вземанията по операции с размяна и на средствата, подлежащи на събиране, по операции без размяна</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(50 519)</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691</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материалните запаси</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(12)</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5</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задължението, свързано с пенсиите и другите доходи на наети лица</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18 360</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17 203</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провизиите</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581</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693</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финансовите пасиви</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40 531</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(1 389)</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задълженията</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5 166</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(4 985)</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начислените разходи и приходите за бъдещи периоди</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(2 645)</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4 041</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Бюджетен излишък от предходната година, взет като непаричен приход</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(3 218)</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(1 803)</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Преоценка на задължението, свързано с доходите на наети лица (непарично движение, което не е включено в отчета за финансовия резултат)</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(15 155)</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(14 164)</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Други непарични движения</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63</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111</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b/>
                <w:noProof/>
                <w:color w:val="000000"/>
                <w:sz w:val="18"/>
              </w:rPr>
            </w:pPr>
            <w:r>
              <w:rPr>
                <w:rFonts w:ascii="Verdana" w:hAnsi="Verdana"/>
                <w:b/>
                <w:noProof/>
                <w:color w:val="000000"/>
                <w:sz w:val="18"/>
              </w:rPr>
              <w:t>Инвестиционни дейности</w:t>
            </w:r>
          </w:p>
        </w:tc>
        <w:tc>
          <w:tcPr>
            <w:tcW w:w="1536" w:type="dxa"/>
            <w:tcBorders>
              <w:top w:val="nil"/>
              <w:left w:val="nil"/>
              <w:bottom w:val="nil"/>
              <w:right w:val="nil"/>
              <w:tl2br w:val="nil"/>
              <w:tr2bl w:val="nil"/>
            </w:tcBorders>
            <w:shd w:val="clear" w:color="auto" w:fill="auto"/>
            <w:tcMar>
              <w:left w:w="60" w:type="dxa"/>
              <w:right w:w="60" w:type="dxa"/>
            </w:tcMar>
            <w:vAlign w:val="bottom"/>
          </w:tcPr>
          <w:p>
            <w:pPr>
              <w:pStyle w:val="DMETW19873BIPCF"/>
              <w:jc w:val="right"/>
              <w:rPr>
                <w:rFonts w:cs="Calibri"/>
                <w:noProof/>
                <w:color w:val="000000"/>
              </w:rPr>
            </w:pP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lang w:bidi="en-GB"/>
              </w:rPr>
            </w:pP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 xml:space="preserve">(Увеличение)/намаление на нематериалните активи и на имотите, машините и съоръженията </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(1 566)</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(1 392)</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инвестициите, отчетени посредством метода на собствения капитал</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3</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финансовите активи, обявени за продажба</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(1 180)</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(2 964)</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(Увеличение)/намаление на финансовите активи по справедлива стойност чрез излишъка или дефицита</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(62)</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 xml:space="preserve"> (121)</w:t>
            </w:r>
          </w:p>
        </w:tc>
      </w:tr>
      <w:tr>
        <w:trPr>
          <w:trHeight w:val="255"/>
        </w:trPr>
        <w:tc>
          <w:tcPr>
            <w:tcW w:w="6686" w:type="dxa"/>
            <w:tcBorders>
              <w:top w:val="nil"/>
              <w:left w:val="nil"/>
              <w:bottom w:val="nil"/>
              <w:right w:val="nil"/>
              <w:tl2br w:val="nil"/>
              <w:tr2bl w:val="nil"/>
            </w:tcBorders>
            <w:shd w:val="solid" w:color="CCE1EA" w:fill="FFFFFF"/>
            <w:tcMar>
              <w:left w:w="60" w:type="dxa"/>
              <w:right w:w="60" w:type="dxa"/>
            </w:tcMar>
            <w:vAlign w:val="center"/>
          </w:tcPr>
          <w:p>
            <w:pPr>
              <w:pStyle w:val="DMETW19873BIPCF"/>
              <w:rPr>
                <w:rFonts w:ascii="Verdana" w:eastAsia="Verdana" w:hAnsi="Verdana" w:cs="Verdana"/>
                <w:b/>
                <w:noProof/>
                <w:color w:val="000000"/>
                <w:sz w:val="18"/>
              </w:rPr>
            </w:pPr>
            <w:r>
              <w:rPr>
                <w:rFonts w:ascii="Verdana" w:hAnsi="Verdana"/>
                <w:b/>
                <w:noProof/>
                <w:color w:val="000000"/>
                <w:sz w:val="18"/>
              </w:rPr>
              <w:t>НЕТНИ ПАРИЧНИ ПОТОЦИ</w:t>
            </w:r>
          </w:p>
        </w:tc>
        <w:tc>
          <w:tcPr>
            <w:tcW w:w="1536" w:type="dxa"/>
            <w:tcBorders>
              <w:top w:val="nil"/>
              <w:left w:val="nil"/>
              <w:bottom w:val="nil"/>
              <w:right w:val="nil"/>
              <w:tl2br w:val="nil"/>
              <w:tr2bl w:val="nil"/>
            </w:tcBorders>
            <w:shd w:val="solid" w:color="CCE1EA" w:fill="FFFFFF"/>
            <w:tcMar>
              <w:left w:w="60" w:type="dxa"/>
              <w:right w:w="60" w:type="dxa"/>
            </w:tcMar>
            <w:vAlign w:val="center"/>
          </w:tcPr>
          <w:p>
            <w:pPr>
              <w:pStyle w:val="DMETW19873BIPCF"/>
              <w:jc w:val="right"/>
              <w:rPr>
                <w:rFonts w:ascii="Verdana" w:eastAsia="Verdana" w:hAnsi="Verdana" w:cs="Verdana"/>
                <w:b/>
                <w:noProof/>
                <w:color w:val="000000"/>
                <w:sz w:val="18"/>
              </w:rPr>
            </w:pPr>
            <w:r>
              <w:rPr>
                <w:rFonts w:ascii="Verdana" w:hAnsi="Verdana"/>
                <w:b/>
                <w:noProof/>
                <w:color w:val="000000"/>
                <w:sz w:val="18"/>
              </w:rPr>
              <w:t>(3 004)</w:t>
            </w:r>
          </w:p>
        </w:tc>
        <w:tc>
          <w:tcPr>
            <w:tcW w:w="1536" w:type="dxa"/>
            <w:tcBorders>
              <w:top w:val="nil"/>
              <w:left w:val="nil"/>
              <w:bottom w:val="nil"/>
              <w:right w:val="nil"/>
              <w:tl2br w:val="nil"/>
              <w:tr2bl w:val="nil"/>
            </w:tcBorders>
            <w:shd w:val="solid" w:color="CCE1EA" w:fill="FFFFFF"/>
            <w:tcMar>
              <w:left w:w="60" w:type="dxa"/>
              <w:right w:w="60" w:type="dxa"/>
            </w:tcMar>
            <w:vAlign w:val="center"/>
          </w:tcPr>
          <w:p>
            <w:pPr>
              <w:pStyle w:val="DMETW19873BIPCF"/>
              <w:jc w:val="right"/>
              <w:rPr>
                <w:rFonts w:ascii="Verdana" w:eastAsia="Verdana" w:hAnsi="Verdana" w:cs="Verdana"/>
                <w:b/>
                <w:noProof/>
                <w:color w:val="000000"/>
                <w:sz w:val="18"/>
              </w:rPr>
            </w:pPr>
            <w:r>
              <w:rPr>
                <w:rFonts w:ascii="Verdana" w:hAnsi="Verdana"/>
                <w:b/>
                <w:noProof/>
                <w:color w:val="000000"/>
                <w:sz w:val="18"/>
              </w:rPr>
              <w:t>1 633</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Arial" w:eastAsia="Arial" w:hAnsi="Arial" w:cs="Arial"/>
                <w:noProof/>
                <w:color w:val="000000"/>
              </w:rPr>
            </w:pP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Arial" w:eastAsia="Arial" w:hAnsi="Arial" w:cs="Arial"/>
                <w:noProof/>
                <w:color w:val="000000"/>
              </w:rPr>
            </w:pP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Arial" w:eastAsia="Arial" w:hAnsi="Arial" w:cs="Arial"/>
                <w:noProof/>
                <w:color w:val="000000"/>
                <w:lang w:bidi="en-GB"/>
              </w:rPr>
            </w:pP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Нетно увеличение/(намаление) на парите и паричните еквиваленти</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(3 004)</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1 633</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Пари и парични еквиваленти в началото на годината</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19 745</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18 113</w:t>
            </w:r>
          </w:p>
        </w:tc>
      </w:tr>
      <w:tr>
        <w:trPr>
          <w:trHeight w:val="255"/>
        </w:trPr>
        <w:tc>
          <w:tcPr>
            <w:tcW w:w="6686" w:type="dxa"/>
            <w:tcBorders>
              <w:top w:val="nil"/>
              <w:left w:val="nil"/>
              <w:bottom w:val="nil"/>
              <w:right w:val="nil"/>
              <w:tl2br w:val="nil"/>
              <w:tr2bl w:val="nil"/>
            </w:tcBorders>
            <w:shd w:val="clear" w:color="auto" w:fill="auto"/>
            <w:tcMar>
              <w:left w:w="60" w:type="dxa"/>
              <w:right w:w="60" w:type="dxa"/>
            </w:tcMar>
            <w:vAlign w:val="center"/>
          </w:tcPr>
          <w:p>
            <w:pPr>
              <w:pStyle w:val="DMETW19873BIPCF"/>
              <w:rPr>
                <w:rFonts w:ascii="Verdana" w:eastAsia="Verdana" w:hAnsi="Verdana" w:cs="Verdana"/>
                <w:i/>
                <w:noProof/>
                <w:color w:val="000000"/>
                <w:sz w:val="18"/>
              </w:rPr>
            </w:pPr>
            <w:r>
              <w:rPr>
                <w:rFonts w:ascii="Verdana" w:hAnsi="Verdana"/>
                <w:i/>
                <w:noProof/>
                <w:color w:val="000000"/>
                <w:sz w:val="18"/>
              </w:rPr>
              <w:t>Пари и парични еквиваленти в края на годината</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16 742</w:t>
            </w:r>
          </w:p>
        </w:tc>
        <w:tc>
          <w:tcPr>
            <w:tcW w:w="1536" w:type="dxa"/>
            <w:tcBorders>
              <w:top w:val="nil"/>
              <w:left w:val="nil"/>
              <w:bottom w:val="nil"/>
              <w:right w:val="nil"/>
              <w:tl2br w:val="nil"/>
              <w:tr2bl w:val="nil"/>
            </w:tcBorders>
            <w:shd w:val="clear" w:color="auto" w:fill="auto"/>
            <w:tcMar>
              <w:left w:w="60" w:type="dxa"/>
              <w:right w:w="60" w:type="dxa"/>
            </w:tcMar>
            <w:vAlign w:val="center"/>
          </w:tcPr>
          <w:p>
            <w:pPr>
              <w:pStyle w:val="DMETW19873BIPCF"/>
              <w:jc w:val="right"/>
              <w:rPr>
                <w:rFonts w:ascii="Verdana" w:eastAsia="Verdana" w:hAnsi="Verdana" w:cs="Verdana"/>
                <w:i/>
                <w:noProof/>
                <w:color w:val="000000"/>
                <w:sz w:val="18"/>
              </w:rPr>
            </w:pPr>
            <w:r>
              <w:rPr>
                <w:rFonts w:ascii="Verdana" w:hAnsi="Verdana"/>
                <w:i/>
                <w:noProof/>
                <w:color w:val="000000"/>
                <w:sz w:val="18"/>
              </w:rPr>
              <w:t>19 745</w:t>
            </w:r>
          </w:p>
        </w:tc>
      </w:tr>
      <w:bookmarkEnd w:id="69"/>
    </w:tbl>
    <w:p>
      <w:pPr>
        <w:pStyle w:val="HEADERTITLE1"/>
        <w:rPr>
          <w:lang w:val="fr-BE" w:bidi="en-GB"/>
        </w:rPr>
        <w:sectPr>
          <w:headerReference w:type="even" r:id="rId98"/>
          <w:headerReference w:type="default" r:id="rId99"/>
          <w:footerReference w:type="even" r:id="rId100"/>
          <w:footerReference w:type="default" r:id="rId101"/>
          <w:headerReference w:type="first" r:id="rId102"/>
          <w:footerReference w:type="first" r:id="rId103"/>
          <w:pgSz w:w="11906" w:h="16838"/>
          <w:pgMar w:top="1134" w:right="1134" w:bottom="1134" w:left="1134" w:header="709" w:footer="709" w:gutter="0"/>
          <w:cols w:space="708"/>
          <w:docGrid w:linePitch="360"/>
        </w:sectPr>
      </w:pPr>
    </w:p>
    <w:p>
      <w:pPr>
        <w:pStyle w:val="HEADERTITLE1"/>
        <w:spacing w:after="0"/>
      </w:pPr>
      <w:bookmarkStart w:id="71" w:name="_Toc75518070"/>
      <w:bookmarkStart w:id="72" w:name="_Toc75518106"/>
      <w:bookmarkStart w:id="73" w:name="_DMBM_19801"/>
      <w:r>
        <w:t>ОТЧЕТ ЗА ПРОМЕНИТЕ В НЕТНИТЕ АКТИВИ</w:t>
      </w:r>
      <w:bookmarkEnd w:id="71"/>
      <w:bookmarkEnd w:id="72"/>
    </w:p>
    <w:p>
      <w:pPr>
        <w:pStyle w:val="DGTextstand-alone"/>
        <w:spacing w:after="0"/>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96"/>
        <w:gridCol w:w="4177"/>
        <w:gridCol w:w="1841"/>
        <w:gridCol w:w="1841"/>
        <w:gridCol w:w="1841"/>
      </w:tblGrid>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Arial" w:eastAsia="Arial" w:hAnsi="Arial" w:cs="Arial"/>
                <w:noProof/>
                <w:color w:val="000000"/>
              </w:rPr>
            </w:pPr>
            <w:bookmarkStart w:id="74" w:name="DOC_TBL00004_1_1"/>
            <w:bookmarkEnd w:id="74"/>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746" w:type="dxa"/>
            <w:tcBorders>
              <w:top w:val="nil"/>
              <w:left w:val="nil"/>
              <w:bottom w:val="nil"/>
              <w:right w:val="nil"/>
              <w:tl2br w:val="nil"/>
              <w:tr2bl w:val="nil"/>
            </w:tcBorders>
            <w:shd w:val="solid" w:color="016794" w:fill="FFFFFF"/>
            <w:tcMar>
              <w:left w:w="60" w:type="dxa"/>
              <w:right w:w="60" w:type="dxa"/>
            </w:tcMar>
            <w:vAlign w:val="center"/>
          </w:tcPr>
          <w:p>
            <w:pPr>
              <w:pStyle w:val="DMETW19849BIPSCNA"/>
              <w:jc w:val="center"/>
              <w:rPr>
                <w:rFonts w:ascii="Verdana" w:eastAsia="Verdana" w:hAnsi="Verdana" w:cs="Verdana"/>
                <w:noProof/>
                <w:color w:val="FFFFFF"/>
                <w:sz w:val="18"/>
              </w:rPr>
            </w:pPr>
          </w:p>
        </w:tc>
        <w:tc>
          <w:tcPr>
            <w:tcW w:w="4220" w:type="dxa"/>
            <w:tcBorders>
              <w:top w:val="nil"/>
              <w:left w:val="nil"/>
              <w:bottom w:val="nil"/>
              <w:right w:val="nil"/>
              <w:tl2br w:val="nil"/>
              <w:tr2bl w:val="nil"/>
            </w:tcBorders>
            <w:shd w:val="solid" w:color="016794" w:fill="FFFFFF"/>
            <w:tcMar>
              <w:left w:w="60" w:type="dxa"/>
              <w:right w:w="60" w:type="dxa"/>
            </w:tcMar>
            <w:vAlign w:val="center"/>
          </w:tcPr>
          <w:p>
            <w:pPr>
              <w:pStyle w:val="DMETW19849BIPSCNA"/>
              <w:jc w:val="right"/>
              <w:rPr>
                <w:rFonts w:ascii="Verdana" w:eastAsia="Verdana" w:hAnsi="Verdana" w:cs="Verdana"/>
                <w:noProof/>
                <w:color w:val="FFFFFF"/>
                <w:sz w:val="18"/>
              </w:rPr>
            </w:pPr>
            <w:r>
              <w:rPr>
                <w:rFonts w:ascii="Verdana" w:hAnsi="Verdana"/>
                <w:noProof/>
                <w:color w:val="FFFFFF"/>
                <w:sz w:val="18"/>
              </w:rPr>
              <w:t>Суми, които трябва да бъдат поискани от държавите членки  Натрупан излишък/(дефицит)</w:t>
            </w:r>
          </w:p>
        </w:tc>
        <w:tc>
          <w:tcPr>
            <w:tcW w:w="1859" w:type="dxa"/>
            <w:tcBorders>
              <w:top w:val="nil"/>
              <w:left w:val="nil"/>
              <w:bottom w:val="nil"/>
              <w:right w:val="nil"/>
              <w:tl2br w:val="nil"/>
              <w:tr2bl w:val="nil"/>
            </w:tcBorders>
            <w:shd w:val="solid" w:color="016794" w:fill="FFFFFF"/>
            <w:tcMar>
              <w:left w:w="60" w:type="dxa"/>
              <w:right w:w="60" w:type="dxa"/>
            </w:tcMar>
            <w:vAlign w:val="center"/>
          </w:tcPr>
          <w:p>
            <w:pPr>
              <w:pStyle w:val="DMETW19849BIPSCNA"/>
              <w:jc w:val="right"/>
              <w:rPr>
                <w:rFonts w:ascii="Verdana" w:eastAsia="Verdana" w:hAnsi="Verdana" w:cs="Verdana"/>
                <w:noProof/>
                <w:color w:val="FFFFFF"/>
                <w:sz w:val="18"/>
              </w:rPr>
            </w:pPr>
            <w:r>
              <w:rPr>
                <w:rFonts w:ascii="Verdana" w:hAnsi="Verdana"/>
                <w:noProof/>
                <w:color w:val="FFFFFF"/>
                <w:sz w:val="18"/>
              </w:rPr>
              <w:t>Други резерви</w:t>
            </w:r>
          </w:p>
        </w:tc>
        <w:tc>
          <w:tcPr>
            <w:tcW w:w="1859" w:type="dxa"/>
            <w:tcBorders>
              <w:top w:val="nil"/>
              <w:left w:val="nil"/>
              <w:bottom w:val="nil"/>
              <w:right w:val="nil"/>
              <w:tl2br w:val="nil"/>
              <w:tr2bl w:val="nil"/>
            </w:tcBorders>
            <w:shd w:val="solid" w:color="016794" w:fill="FFFFFF"/>
            <w:tcMar>
              <w:left w:w="60" w:type="dxa"/>
              <w:right w:w="60" w:type="dxa"/>
            </w:tcMar>
            <w:vAlign w:val="center"/>
          </w:tcPr>
          <w:p>
            <w:pPr>
              <w:pStyle w:val="DMETW19849BIPSCNA"/>
              <w:jc w:val="right"/>
              <w:rPr>
                <w:rFonts w:ascii="Verdana" w:eastAsia="Verdana" w:hAnsi="Verdana" w:cs="Verdana"/>
                <w:noProof/>
                <w:color w:val="FFFFFF"/>
                <w:sz w:val="18"/>
              </w:rPr>
            </w:pPr>
            <w:r>
              <w:rPr>
                <w:rFonts w:ascii="Verdana" w:hAnsi="Verdana"/>
                <w:noProof/>
                <w:color w:val="FFFFFF"/>
                <w:sz w:val="18"/>
              </w:rPr>
              <w:t>Резерв по справедлива стойност</w:t>
            </w:r>
          </w:p>
        </w:tc>
        <w:tc>
          <w:tcPr>
            <w:tcW w:w="1859" w:type="dxa"/>
            <w:tcBorders>
              <w:top w:val="nil"/>
              <w:left w:val="nil"/>
              <w:bottom w:val="nil"/>
              <w:right w:val="nil"/>
              <w:tl2br w:val="nil"/>
              <w:tr2bl w:val="nil"/>
            </w:tcBorders>
            <w:shd w:val="solid" w:color="016794" w:fill="FFFFFF"/>
            <w:tcMar>
              <w:left w:w="60" w:type="dxa"/>
              <w:right w:w="60" w:type="dxa"/>
            </w:tcMar>
            <w:vAlign w:val="center"/>
          </w:tcPr>
          <w:p>
            <w:pPr>
              <w:pStyle w:val="DMETW19849BIPSCNA"/>
              <w:jc w:val="right"/>
              <w:rPr>
                <w:rFonts w:ascii="Verdana" w:eastAsia="Verdana" w:hAnsi="Verdana" w:cs="Verdana"/>
                <w:noProof/>
                <w:color w:val="FFFFFF"/>
                <w:sz w:val="18"/>
              </w:rPr>
            </w:pPr>
            <w:r>
              <w:rPr>
                <w:rFonts w:ascii="Verdana" w:hAnsi="Verdana"/>
                <w:noProof/>
                <w:color w:val="FFFFFF"/>
                <w:sz w:val="18"/>
              </w:rPr>
              <w:t xml:space="preserve">Нетни активи </w:t>
            </w:r>
          </w:p>
        </w:tc>
      </w:tr>
      <w:tr>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pPr>
              <w:pStyle w:val="DMETW19849BIPSCNA"/>
              <w:rPr>
                <w:rFonts w:ascii="Verdana" w:eastAsia="Verdana" w:hAnsi="Verdana" w:cs="Verdana"/>
                <w:b/>
                <w:noProof/>
                <w:color w:val="000000"/>
                <w:sz w:val="18"/>
              </w:rPr>
            </w:pPr>
            <w:r>
              <w:rPr>
                <w:rFonts w:ascii="Verdana" w:hAnsi="Verdana"/>
                <w:b/>
                <w:noProof/>
                <w:color w:val="000000"/>
                <w:sz w:val="18"/>
              </w:rPr>
              <w:t>САЛДО КЪМ 31.12.2018 г.</w:t>
            </w:r>
          </w:p>
        </w:tc>
        <w:tc>
          <w:tcPr>
            <w:tcW w:w="4220"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(66 424)</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4 730</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 xml:space="preserve"> 231</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(61 464)</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Движение на резерва на Гаранционния фонд</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(21)</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21</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Движения на справедливата стойност</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160</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160</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Преоценки на задълженията, свързани с доходите на наети лица</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(14 164)</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(14 164)</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Други</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56</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(105)</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(49)</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Бюджетен резултат за 2018 г., предоставен на държавите членки</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(1 803)</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(1 803)</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Финансов резултат за годината</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4 796</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4 796</w:t>
            </w:r>
          </w:p>
        </w:tc>
      </w:tr>
      <w:tr>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pPr>
              <w:pStyle w:val="DMETW19849BIPSCNA"/>
              <w:rPr>
                <w:rFonts w:ascii="Verdana" w:eastAsia="Verdana" w:hAnsi="Verdana" w:cs="Verdana"/>
                <w:b/>
                <w:noProof/>
                <w:color w:val="000000"/>
                <w:sz w:val="18"/>
              </w:rPr>
            </w:pPr>
            <w:r>
              <w:rPr>
                <w:rFonts w:ascii="Verdana" w:hAnsi="Verdana"/>
                <w:b/>
                <w:noProof/>
                <w:color w:val="000000"/>
                <w:sz w:val="18"/>
              </w:rPr>
              <w:t>САЛДО КЪМ 31.12.2019 г.</w:t>
            </w:r>
          </w:p>
        </w:tc>
        <w:tc>
          <w:tcPr>
            <w:tcW w:w="4220"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(77 560)</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4 646</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 xml:space="preserve"> 391</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(72 523)</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Движение на резерва на Гаранционния фонд</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(173)</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173</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Движения на справедливата стойност</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105</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105</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Преоценки на задълженията, свързани с доходите на наети лица</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(15 155)</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(15 155)</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Други</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210</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(252)</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 xml:space="preserve"> (42)</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Бюджетен резултат за 2019 г., предоставен на държавите членки</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(3 218)</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(3 218)</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9849BIPSCNA"/>
              <w:rPr>
                <w:rFonts w:ascii="Verdana" w:eastAsia="Verdana" w:hAnsi="Verdana" w:cs="Verdana"/>
                <w:i/>
                <w:noProof/>
                <w:color w:val="000000"/>
                <w:sz w:val="18"/>
              </w:rPr>
            </w:pPr>
            <w:r>
              <w:rPr>
                <w:rFonts w:ascii="Verdana" w:hAnsi="Verdana"/>
                <w:i/>
                <w:noProof/>
                <w:color w:val="000000"/>
                <w:sz w:val="18"/>
              </w:rPr>
              <w:t>Финансов резултат за годината</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57 416</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9849BIPSCNA"/>
              <w:jc w:val="right"/>
              <w:rPr>
                <w:rFonts w:ascii="Verdana" w:eastAsia="Verdana" w:hAnsi="Verdana" w:cs="Verdana"/>
                <w:i/>
                <w:noProof/>
                <w:color w:val="000000"/>
                <w:sz w:val="18"/>
              </w:rPr>
            </w:pPr>
            <w:r>
              <w:rPr>
                <w:rFonts w:ascii="Verdana" w:hAnsi="Verdana"/>
                <w:i/>
                <w:noProof/>
                <w:color w:val="000000"/>
                <w:sz w:val="18"/>
              </w:rPr>
              <w:t>57 416</w:t>
            </w:r>
          </w:p>
        </w:tc>
      </w:tr>
      <w:tr>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pPr>
              <w:pStyle w:val="DMETW19849BIPSCNA"/>
              <w:rPr>
                <w:rFonts w:ascii="Verdana" w:eastAsia="Verdana" w:hAnsi="Verdana" w:cs="Verdana"/>
                <w:b/>
                <w:noProof/>
                <w:color w:val="000000"/>
                <w:sz w:val="18"/>
              </w:rPr>
            </w:pPr>
            <w:r>
              <w:rPr>
                <w:rFonts w:ascii="Verdana" w:hAnsi="Verdana"/>
                <w:b/>
                <w:noProof/>
                <w:color w:val="000000"/>
                <w:sz w:val="18"/>
              </w:rPr>
              <w:t>САЛДО КЪМ 31.12.2020 г.</w:t>
            </w:r>
          </w:p>
        </w:tc>
        <w:tc>
          <w:tcPr>
            <w:tcW w:w="4220"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(38 480)</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4 566</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 xml:space="preserve"> 496</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9849BIPSCNA"/>
              <w:jc w:val="right"/>
              <w:rPr>
                <w:rFonts w:ascii="Verdana" w:eastAsia="Verdana" w:hAnsi="Verdana" w:cs="Verdana"/>
                <w:b/>
                <w:noProof/>
                <w:color w:val="000000"/>
                <w:sz w:val="18"/>
              </w:rPr>
            </w:pPr>
            <w:r>
              <w:rPr>
                <w:rFonts w:ascii="Verdana" w:hAnsi="Verdana"/>
                <w:b/>
                <w:noProof/>
                <w:color w:val="000000"/>
                <w:sz w:val="18"/>
              </w:rPr>
              <w:t>(33 418)</w:t>
            </w:r>
          </w:p>
        </w:tc>
      </w:tr>
    </w:tbl>
    <w:p>
      <w:pPr>
        <w:pStyle w:val="HEADERTITLE1"/>
        <w:spacing w:after="0"/>
        <w:rPr>
          <w:lang w:bidi="en-GB"/>
        </w:rPr>
      </w:pPr>
    </w:p>
    <w:p>
      <w:pPr>
        <w:pStyle w:val="DGTextstand-alone"/>
      </w:pPr>
      <w:r>
        <w:t xml:space="preserve"> </w:t>
      </w:r>
    </w:p>
    <w:p>
      <w:pPr>
        <w:pStyle w:val="DGTextstand-alone"/>
      </w:pPr>
      <w:r>
        <w:t xml:space="preserve"> </w:t>
      </w:r>
    </w:p>
    <w:bookmarkEnd w:id="73"/>
    <w:p>
      <w:pPr>
        <w:pStyle w:val="DGTextstand-alone"/>
        <w:sectPr>
          <w:headerReference w:type="even" r:id="rId104"/>
          <w:headerReference w:type="default" r:id="rId105"/>
          <w:footerReference w:type="even" r:id="rId106"/>
          <w:footerReference w:type="default" r:id="rId107"/>
          <w:headerReference w:type="first" r:id="rId108"/>
          <w:footerReference w:type="first" r:id="rId109"/>
          <w:pgSz w:w="16838" w:h="11906" w:orient="landscape"/>
          <w:pgMar w:top="1134" w:right="1134" w:bottom="1134" w:left="1134" w:header="708" w:footer="708" w:gutter="0"/>
          <w:cols w:space="708"/>
          <w:docGrid w:linePitch="360"/>
        </w:sectPr>
      </w:pPr>
    </w:p>
    <w:p>
      <w:pPr>
        <w:pStyle w:val="DGTextstand-alone"/>
      </w:pPr>
      <w:bookmarkStart w:id="75" w:name="_DMBM_19799"/>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HEADERTITLE1"/>
        <w:rPr>
          <w:rFonts w:eastAsia="Calibri"/>
          <w:sz w:val="40"/>
          <w:szCs w:val="40"/>
        </w:rPr>
      </w:pPr>
      <w:bookmarkStart w:id="76" w:name="_Toc75518071"/>
      <w:bookmarkStart w:id="77" w:name="_Toc75518107"/>
      <w:r>
        <w:rPr>
          <w:sz w:val="40"/>
          <w:szCs w:val="40"/>
        </w:rPr>
        <w:t>БЕЛЕЖКИ КЪМ ФИНАНСОВИТЕ ОТЧЕТИ</w:t>
      </w:r>
      <w:bookmarkEnd w:id="76"/>
      <w:bookmarkEnd w:id="77"/>
    </w:p>
    <w:p>
      <w:pPr>
        <w:pStyle w:val="DGTextstand-alone"/>
        <w:rPr>
          <w:lang w:val="en-IE"/>
        </w:rPr>
      </w:pPr>
    </w:p>
    <w:p>
      <w:pPr>
        <w:pStyle w:val="DGTextstand-alone"/>
        <w:rPr>
          <w:lang w:val="en-IE"/>
        </w:rPr>
      </w:pPr>
    </w:p>
    <w:p>
      <w:pPr>
        <w:pStyle w:val="DGTextstand-alone"/>
        <w:rPr>
          <w:lang w:val="en-IE"/>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p>
    <w:p>
      <w:pPr>
        <w:pStyle w:val="TOPHEADERNOTE"/>
        <w:jc w:val="both"/>
        <w:rPr>
          <w:noProof/>
        </w:rPr>
      </w:pPr>
      <w:r>
        <w:rPr>
          <w:noProof/>
        </w:rPr>
        <w:t>Следва да се отбележи, че в таблиците, които следват, сумите, отнасящи се до Обединеното кралство, все още са посочени в позицията „Държави членки“, тъй като, въпреки че Обединеното кралство напусна Съюза на 1 февруари 2020 г., по време на преходния период до 31 декември 2020 г. то продължи да има финансови отношения със Съюза, еквивалентни на тези на държава членка.</w:t>
      </w:r>
    </w:p>
    <w:bookmarkEnd w:id="75"/>
    <w:p>
      <w:pPr>
        <w:pStyle w:val="TOPHEADERNOTE"/>
        <w:jc w:val="both"/>
        <w:rPr>
          <w:noProof/>
        </w:rPr>
        <w:sectPr>
          <w:headerReference w:type="even" r:id="rId110"/>
          <w:headerReference w:type="default" r:id="rId111"/>
          <w:footerReference w:type="even" r:id="rId112"/>
          <w:footerReference w:type="default" r:id="rId113"/>
          <w:headerReference w:type="first" r:id="rId114"/>
          <w:footerReference w:type="first" r:id="rId115"/>
          <w:pgSz w:w="11906" w:h="16838"/>
          <w:pgMar w:top="1134" w:right="1134" w:bottom="1134" w:left="1134" w:header="709" w:footer="709" w:gutter="0"/>
          <w:cols w:space="708"/>
          <w:docGrid w:linePitch="360"/>
        </w:sectPr>
      </w:pPr>
    </w:p>
    <w:p>
      <w:pPr>
        <w:pStyle w:val="HEADER1NOTES"/>
        <w:rPr>
          <w:noProof/>
        </w:rPr>
      </w:pPr>
      <w:bookmarkStart w:id="78" w:name="_Toc75518108"/>
      <w:bookmarkStart w:id="79" w:name="_DMBM_19899"/>
      <w:r>
        <w:rPr>
          <w:noProof/>
        </w:rPr>
        <w:t>ВАЖНИ СЧЕТОВОДНИ ПОЛИТИКИ</w:t>
      </w:r>
      <w:bookmarkEnd w:id="78"/>
    </w:p>
    <w:p>
      <w:pPr>
        <w:pStyle w:val="HEADER2NOTES"/>
        <w:rPr>
          <w:noProof/>
        </w:rPr>
      </w:pPr>
      <w:r>
        <w:rPr>
          <w:noProof/>
        </w:rPr>
        <w:t>ПРАВНО ОСНОВАНИЕ И ПРАВИЛА ЗА СЧЕТОВОДНА ОТЧЕТНОСТ</w:t>
      </w:r>
    </w:p>
    <w:p>
      <w:pPr>
        <w:pStyle w:val="DGTextstand-alone"/>
      </w:pPr>
      <w:r>
        <w:t>Счетоводството на ЕС се води в съответствие с Регламент (ЕС, Евратом) 2018/1046 на Европейския парламент и на Съвета от 18 юли 2018 г.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 (ОВ L 193, 30.7.2018 г., стр. 1), наричан по-нататък „Финансовият регламент“ (ФР).</w:t>
      </w:r>
    </w:p>
    <w:p>
      <w:pPr>
        <w:pStyle w:val="DGTextstand-alone"/>
      </w:pPr>
      <w:r>
        <w:t>В съответствие с член 80 от Финансовия регламент ЕС изготвя своите финансови отчети въз основа на правилата за счетоводна отчетност на базата на текущо начисляване, които се основават на международните счетоводни стандарти за публичния сектор (МССПС). Тези счетоводни правила, приети от счетоводителя на Комисията, трябва да се прилагат от всички институции и органи на ЕС, попадащи в обхвата на консолидацията, за да се гарантира вътрешната съгласуваност на консолидираните отчети на ЕС.</w:t>
      </w:r>
    </w:p>
    <w:p>
      <w:pPr>
        <w:pStyle w:val="HEADER5"/>
        <w:rPr>
          <w:noProof/>
        </w:rPr>
      </w:pPr>
      <w:r>
        <w:rPr>
          <w:noProof/>
        </w:rPr>
        <w:t>Прилагане на нови и на изменени счетоводни правила на Европейския съюз (СПЕС)</w:t>
      </w:r>
    </w:p>
    <w:p>
      <w:pPr>
        <w:pStyle w:val="DGTextstand-alone"/>
        <w:rPr>
          <w:u w:val="single"/>
        </w:rPr>
      </w:pPr>
      <w:r>
        <w:rPr>
          <w:u w:val="single"/>
        </w:rPr>
        <w:t>Нови СПЕС, които са в сила за годишните периоди, започващи на или след 1 януари 2020 г.</w:t>
      </w:r>
    </w:p>
    <w:p>
      <w:pPr>
        <w:pStyle w:val="DGTextstand-alone"/>
      </w:pPr>
      <w:r>
        <w:t>Няма нови СПЕС, които да са влезли в сила за годишните периоди, започващи на или след 1 януари 2020 г.</w:t>
      </w:r>
    </w:p>
    <w:p>
      <w:pPr>
        <w:pStyle w:val="DGTextstand-alone"/>
        <w:rPr>
          <w:u w:val="single"/>
        </w:rPr>
      </w:pPr>
      <w:r>
        <w:rPr>
          <w:u w:val="single"/>
        </w:rPr>
        <w:t>Нови СПЕС, които са приети, но все още не са влезли в сила към 31 декември 2020 г.</w:t>
      </w:r>
    </w:p>
    <w:p>
      <w:pPr>
        <w:pStyle w:val="DGTextstand-alone"/>
      </w:pPr>
      <w:r>
        <w:t>На 17 декември 2020 г. счетоводителят на Европейската комисия прие преразгледаното СПЕС 11 „Финансови инструменти“, което е в сила за отчетните периоди, започващи на или след 1 януари 2021 г. Преразгледаното СПЕС 11 бе актуализирано в съответствие с новия МССПС 41 „Финансови инструменти“ и определя принципите за финансово отчитане на финансовите активи и финансовите пасиви, държани от субектите от ЕС.</w:t>
      </w:r>
    </w:p>
    <w:p>
      <w:pPr>
        <w:pStyle w:val="DGTextstand-alone"/>
      </w:pPr>
      <w:r>
        <w:t xml:space="preserve">Основните промени и очакваното им отражение върху отчетите на ЕС за 2021 г. са следните:  </w:t>
      </w:r>
    </w:p>
    <w:p>
      <w:pPr>
        <w:pStyle w:val="DGTextstand-alone"/>
        <w:rPr>
          <w:i/>
        </w:rPr>
      </w:pPr>
      <w:r>
        <w:rPr>
          <w:i/>
        </w:rPr>
        <w:t>Нови принципи за класификация и оценяване на финансовите активи</w:t>
      </w:r>
    </w:p>
    <w:p>
      <w:pPr>
        <w:pStyle w:val="DGTextstand-alone"/>
      </w:pPr>
      <w:r>
        <w:t>Преразгледаното СПЕС 11 въвежда основан на принципите подход към класификацията на финансовите активи, който се основава на два критерия: модела на управление, който субектът прилага за управлението на финансовите си активи, и договорните характеристики на паричните потоци на тези активи. В зависимост от тези критерии финансовите активи се класифицират в категориите финансови активи по амортизирана стойност (AC), финансови активи по справедлива стойност чрез нетните активи/собствения капитал (ССНА) или финансови активи по справедлива стойност чрез излишъка и дефицита (ССИД).</w:t>
      </w:r>
    </w:p>
    <w:p>
      <w:pPr>
        <w:pStyle w:val="DGTextstand-alone"/>
      </w:pPr>
      <w:r>
        <w:t xml:space="preserve">Финансовите активи с договорни условия, които представляват единствено главница и лихви, се класифицират или като AC (ако финансовият актив се държи в рамките на модел на управление, чиято цел е да се държат финансови активи с цел събиране на договорни парични потоци), или като ССНА (ако финансовият актив се държи в рамките на модел на управление, чиято цел се постига както чрез събиране на договорни парични потоци, така и чрез продажба на финансови активи). Финансовите активи, които не отговарят на критериите, за да бъдат класифицирани като AC или ССНА, по-конкретно финансовите активи, за които договорните парични потоци не представляват единствено главница и лихви или които се държат в рамките на други модели на управление, се класифицират като ССИД.  </w:t>
      </w:r>
    </w:p>
    <w:p>
      <w:pPr>
        <w:pStyle w:val="DGTextstand-alone"/>
      </w:pPr>
      <w:r>
        <w:t>В съответствие с тези принципи в годишните отчети на ЕС за 2021 г. всички капиталови инвестиции, които понастоящем са класифицирани като „обявени за продажба“, ще бъдат прекласифицирани като ССИД. Очаква се и дълговите ценни книжа да бъдат прекласифицирани като ССИД, като се има предвид, че ЕС управлява тези портфейли от активи и оценява резултатите им на база справедлива стойност. Съответният резерв по справедлива стойност ще бъде предоставен на нетните активи.</w:t>
      </w:r>
    </w:p>
    <w:p>
      <w:pPr>
        <w:pStyle w:val="DGTextstand-alone"/>
        <w:rPr>
          <w:i/>
        </w:rPr>
      </w:pPr>
      <w:r>
        <w:rPr>
          <w:i/>
        </w:rPr>
        <w:t>Нов модел на обезценка</w:t>
      </w:r>
    </w:p>
    <w:p>
      <w:pPr>
        <w:pStyle w:val="DGTextstand-alone"/>
      </w:pPr>
      <w:r>
        <w:t>Докато настоящият модел на обезценка се основава на възникналите загуби, преразгледаното СПЕС 11 въвежда ориентиран към бъдещето модел на обезценка, основан на очакваните кредитни загуби, като се вземат предвид всички възможни случаи на неизпълнение и всички кредитни подобрения, които са неразделна част от договорните условия. Що се отнася до приложимия времеви хоризонт, прилага се поетапен подход: докато няма значително увеличение на кредитния риск, провизиите за обезценка се оценяват в размер, равен на очакваната кредитна загуба за 12 месеца (етап 1). При значително увеличение на кредитния риск (етап 2) и за финансовите активи с кредитна обезценка провизиите за обезценка са равни на очакваната кредитна загуба през целия живот. Новият модел на обезценка се прилага за всички финансови активи, оценени по AC или по ССНА, кредитните ангажименти и договорите за финансова гаранция.</w:t>
      </w:r>
    </w:p>
    <w:p>
      <w:pPr>
        <w:pStyle w:val="DGTextstand-alone"/>
      </w:pPr>
      <w:r>
        <w:t>Очаква се новият ориентиран към бъдещето модел на обезценка да доведе до признаване на допълнителни провизии за обезценка в годишните отчети на ЕС за 2021 г., по-специално във връзка със заемите за финансова помощ, предоставени на партньорски държави по програмата за МФП и програмата на Евратом.</w:t>
      </w:r>
    </w:p>
    <w:p>
      <w:pPr>
        <w:pStyle w:val="DGTextstand-alone"/>
        <w:rPr>
          <w:i/>
        </w:rPr>
      </w:pPr>
      <w:r>
        <w:rPr>
          <w:i/>
        </w:rPr>
        <w:t>Отчитане на финансовите гаранции</w:t>
      </w:r>
    </w:p>
    <w:p>
      <w:pPr>
        <w:pStyle w:val="DGTextstand-alone"/>
      </w:pPr>
      <w:r>
        <w:t>Съгласно настоящото СПЕС 11 повечето финансови гаранции — по-специално тези, предоставени без възнаграждение или срещу номинално възнаграждение — се отчитат в съответствие с принципите на СПЕС 10 „Провизии, условни пасиви и условни активи“, поради което или се признават като провизии, или се оповестяват като условни пасиви в зависимост от вероятността от загуба.</w:t>
      </w:r>
    </w:p>
    <w:p>
      <w:pPr>
        <w:pStyle w:val="DGTextstand-alone"/>
      </w:pPr>
      <w:r>
        <w:t>Според преразгледаното СПЕС 11 счетоводните изисквания за финансовите гаранции трябва да се прилагат за всички договори за финансова гаранция, които първоначално следва да бъдат признати или по справедлива стойност, или по очакваната кредитна загуба през целия живот, ако справедливата стойност не може да бъде определена по надежден начин. При последващо оценяване договорите за финансова гаранция следва да се оценяват по по-високата от следните стойности: i) размера на провизиите за загуби и ii) първоначално признатия размер минус, когато е уместно, натрупаната амортизация, призната в съответствие с принципите на СПЕС 4 „Приходи от операции с размяна“.</w:t>
      </w:r>
    </w:p>
    <w:p>
      <w:pPr>
        <w:pStyle w:val="DGTextstand-alone"/>
      </w:pPr>
      <w:r>
        <w:t>Вследствие на това в отчетите на ЕС за 2021 г. се очаква съществуващите договори за финансова гаранция да бъдат прекласифицирани от финансови провизии в категориите задължение по финансови гаранции и да бъдат преоценени на по-високата от следните стойности: очакваната кредитна загуба през целия живот и — ако е приложимо — сумата, първоначално призната като провизии минус натрупаната амортизация. Очаква се тази промяна да доведе до увеличаване на финансовите пасиви в счетоводния баланс, по-специално във връзка с гаранциите, предоставени на групата на ЕИБ в рамките на мандата за външно кредитиране.</w:t>
      </w:r>
    </w:p>
    <w:p>
      <w:pPr>
        <w:pStyle w:val="DGTextstand-alone"/>
      </w:pPr>
      <w:r>
        <w:t>Новите изисквания се прилагат със задна дата и при спазване на специфичните преходни разпоредби в преразгледаното СПЕС 11. По-специално не се изисква преизчисляване на сравнителните данни. Следователно въздействието на преоценките ще бъде признато в нетните активи към началната дата на прилагане на преразгледаното СПЕС 11.</w:t>
      </w:r>
    </w:p>
    <w:p>
      <w:pPr>
        <w:pStyle w:val="HEADER2NOTES"/>
        <w:keepNext/>
        <w:rPr>
          <w:noProof/>
        </w:rPr>
      </w:pPr>
      <w:r>
        <w:rPr>
          <w:noProof/>
        </w:rPr>
        <w:t>СЧЕТОВОДНИ ПРИНЦИПИ</w:t>
      </w:r>
    </w:p>
    <w:p>
      <w:pPr>
        <w:pStyle w:val="DGTextstand-alone"/>
      </w:pPr>
      <w:r>
        <w:t>Целта на финансовите отчети е да се предостави информация за финансовото състояние, резултатите и паричните потоци на даден субект, която е полезна за широк кръг ползватели. За ЕС като публичноправен субект целите по-конкретно са да бъде предоставена информация, полезна при вземането на решения, и да бъде показана отчетността на субекта за ресурсите, които са му поверени. Настоящият документ е съставен с оглед на тези цели.</w:t>
      </w:r>
    </w:p>
    <w:p>
      <w:pPr>
        <w:pStyle w:val="DGTextstand-alone"/>
      </w:pPr>
      <w:r>
        <w:t>Общите съображения (или счетоводни принципи), които трябва да бъдат съблюдавани при съставянето на финансовите отчети, са посочени в счетоводно правило 1 „Финансови отчети“ на ЕС и са същите като описаните в МССПС 1: честно представяне, текущо начисляване, действащо предприятие, последователно представяне, същественост, агрегиране, прихващане и сравнителна информация.</w:t>
      </w:r>
    </w:p>
    <w:p>
      <w:pPr>
        <w:pStyle w:val="DGTextstand-alone"/>
      </w:pPr>
      <w:r>
        <w:t>Качествените характеристики на финансовото отчитане са релевантност, достоверно представяне (надеждност), разбираемост, навременност, сравнимост и проверимост.</w:t>
      </w:r>
    </w:p>
    <w:p>
      <w:pPr>
        <w:pStyle w:val="HEADER2NOTES"/>
        <w:rPr>
          <w:noProof/>
        </w:rPr>
      </w:pPr>
      <w:r>
        <w:rPr>
          <w:noProof/>
        </w:rPr>
        <w:t>КОНСОЛИДАЦИЯ</w:t>
      </w:r>
    </w:p>
    <w:p>
      <w:pPr>
        <w:pStyle w:val="HEADER5"/>
        <w:rPr>
          <w:b/>
          <w:noProof/>
        </w:rPr>
      </w:pPr>
      <w:r>
        <w:rPr>
          <w:noProof/>
        </w:rPr>
        <w:t>Обхват на консолидацията</w:t>
      </w:r>
    </w:p>
    <w:p>
      <w:pPr>
        <w:pStyle w:val="DGTextstand-alone"/>
      </w:pPr>
      <w:r>
        <w:t>Консолидираните финансови отчети на ЕС включват всички важни контролирани субекти, съвместни договорености и асоциирани предприятия. Пълният списък на субектите, попадащи в обхвата на консолидацията, който понастоящем включва 52 контролирани субекта и 1 асоциирано предприятие, може да бъде намерен в бележка </w:t>
      </w:r>
      <w:r>
        <w:rPr>
          <w:b/>
        </w:rPr>
        <w:t>9</w:t>
      </w:r>
      <w:r>
        <w:t>. Сред контролираните субекти са институциите на ЕС (включително Комисията, но без Европейската централна банка) и агенциите на ЕС (с изключение на тези от общата външна политика и политика на сигурност). Европейската общност за въглища и стомана в ликвидация (EОВС в ликв-я) също се счита за контролиран субект. Европейският инвестиционен фонд (ЕИФ) е единственото асоциирано предприятие в ЕС.</w:t>
      </w:r>
    </w:p>
    <w:p>
      <w:pPr>
        <w:pStyle w:val="DGTextstand-alone"/>
      </w:pPr>
      <w:r>
        <w:t>Субектите, които попадат в обхвата на консолидацията, но са несъществени за консолидираните финансови отчети на ЕС като цяло, не е необходимо да бъдат консолидирани или отчетени чрез метода на собствения капитал, когато това ще доведе до прекомерни времеви или финансови разходи за ЕС. Тези субекти се наричат „несъществени субекти“ и са посочени отделно в бележка </w:t>
      </w:r>
      <w:r>
        <w:rPr>
          <w:b/>
        </w:rPr>
        <w:t>9</w:t>
      </w:r>
      <w:r>
        <w:t>. През 2020 г. като несъществени субекти бяха определени 8 субекта.</w:t>
      </w:r>
    </w:p>
    <w:p>
      <w:pPr>
        <w:pStyle w:val="HEADER5"/>
        <w:rPr>
          <w:b/>
          <w:noProof/>
        </w:rPr>
      </w:pPr>
      <w:r>
        <w:rPr>
          <w:noProof/>
        </w:rPr>
        <w:t>Контролирани субекти</w:t>
      </w:r>
    </w:p>
    <w:p>
      <w:pPr>
        <w:pStyle w:val="DGTextstand-alone"/>
        <w:spacing w:after="0"/>
      </w:pPr>
      <w:r>
        <w:t>За да бъде определен обхватът на консолидацията, се прилага концепцията за контрол. Контролирани субекти са субектите, при които ЕС е изложен на различни ползи или има право на различни ползи от своето участие и има способността да повлияе на естеството и размера на тези ползи чрез властта си над другия субект. Тази власт трябва да е упражняема в настоящия момент и да е свързана със съответните дейности на предприятието. Контролираните субекти се консолидират изцяло. Консолидирането започва на първата дата, на която има наличие на контрол, и приключва, когато такъв контрол вече не съществува.</w:t>
      </w:r>
    </w:p>
    <w:p>
      <w:pPr>
        <w:pStyle w:val="DGTextstand-alone"/>
      </w:pPr>
      <w:r>
        <w:t>Най-често използваните показатели за контрол в рамките на ЕС са: създаване на субекта с учредителни договори или вторично законодателство, финансиране на субекта от бюджета на ЕС, наличие на право на глас в ръководните органи, одит от Европейската сметна палата и освобождаване от отговорност във връзка с изпълнението на бюджета от Европейския парламент. Прави се индивидуална оценка на всеки субект, за да се прецени дали един или всички от изброените по-горе критерии са достатъчни, за да се породи контрол.</w:t>
      </w:r>
    </w:p>
    <w:p>
      <w:pPr>
        <w:pStyle w:val="DGTextstand-alone"/>
        <w:rPr>
          <w:spacing w:val="-6"/>
        </w:rPr>
      </w:pPr>
      <w:r>
        <w:rPr>
          <w:spacing w:val="-6"/>
        </w:rPr>
        <w:t>Всички съществени операции и салда между контролирани субекти на ЕС са изключени, докато нереализираните печалби и загуби от такива операции не са съществени и поради това не са изключени.</w:t>
      </w:r>
    </w:p>
    <w:p>
      <w:pPr>
        <w:pStyle w:val="HEADER5"/>
        <w:rPr>
          <w:b/>
          <w:noProof/>
        </w:rPr>
      </w:pPr>
      <w:r>
        <w:rPr>
          <w:noProof/>
        </w:rPr>
        <w:t>Съвместни договорености</w:t>
      </w:r>
    </w:p>
    <w:p>
      <w:pPr>
        <w:pStyle w:val="DGTextstand-alone"/>
      </w:pPr>
      <w:r>
        <w:t>Съвместната договореност e споразумение, върху което ЕС и една или повече страни упражняват съвместен контрол. Съвместният контрол е договореното споделяне на контрола върху дадена договореност посредством обвързваща договореност, който съществува само когато за вземането на решения, свързани със съответните дейности, се изисква единодушното съгласие на страните, които споделят контрола. Съвместните споразумения могат да бъдат съвместни предприятия или съвместни дейности. Съвместното предприятие представлява съвместна договореност, която е структуриранa чрез отделен механизъм и при която страните, които притежават съвместен контрол върху договореността, имат права върху нетните активи на договореността. Участията в съвместни предприятия се отчитат по метода на собствения капитал (вж. бележка </w:t>
      </w:r>
      <w:r>
        <w:rPr>
          <w:b/>
        </w:rPr>
        <w:t>1.5.4</w:t>
      </w:r>
      <w:r>
        <w:t>). Съвместната дейност представлява съвместна договореност, при която страните, които притежават съвместен контрол върху договореностите, имат права върху активите и задължения по отношение на пасивите на договореността. Участията в съвместни дейности се отчитат чрез признаване във финансовите отчети на ЕС на неговите активи и пасиви, приходи и разходи, както и на неговия дял от съвместно държаните или възникнали активи, пасиви, приходи и разходи.</w:t>
      </w:r>
    </w:p>
    <w:p>
      <w:pPr>
        <w:pStyle w:val="HEADER5"/>
        <w:rPr>
          <w:b/>
          <w:noProof/>
        </w:rPr>
      </w:pPr>
      <w:r>
        <w:rPr>
          <w:noProof/>
        </w:rPr>
        <w:t>Асоциирани предприятия</w:t>
      </w:r>
    </w:p>
    <w:p>
      <w:pPr>
        <w:pStyle w:val="DGTextstand-alone"/>
      </w:pPr>
      <w:r>
        <w:t>Асоциираните предприятия са субекти, върху които ЕС има, пряко или непряко, значително влияние, но не и изключителен или съвместен контрол. Приема се, че съществува значително влияние, ако ЕС държи пряко или непряко 20 % или повече от правата на глас. Участията в асоциирани предприятия се отчитат по метода на собствения капитал (вж. бележка </w:t>
      </w:r>
      <w:r>
        <w:rPr>
          <w:b/>
        </w:rPr>
        <w:t>1.5.4</w:t>
      </w:r>
      <w:r>
        <w:t>).</w:t>
      </w:r>
    </w:p>
    <w:p>
      <w:pPr>
        <w:pStyle w:val="HEADER5"/>
        <w:rPr>
          <w:b/>
          <w:noProof/>
        </w:rPr>
      </w:pPr>
      <w:r>
        <w:rPr>
          <w:noProof/>
        </w:rPr>
        <w:t>Неконсолидирани субекти, чиито средства се управляват от Комисията</w:t>
      </w:r>
    </w:p>
    <w:p>
      <w:pPr>
        <w:pStyle w:val="DGTextstand-alone"/>
      </w:pPr>
      <w:r>
        <w:t>Средствата на общата здравноосигурителна схема за служителите на ЕС, на Европейския фонд за развитие и на Гаранционния фонд за участниците се управляват от Комисията от името на тези субекти. Тъй като обаче тези субекти не се контролират от ЕС, те не се консолидират в неговите финансови отчети.</w:t>
      </w:r>
    </w:p>
    <w:p>
      <w:pPr>
        <w:pStyle w:val="HEADER2NOTES"/>
        <w:rPr>
          <w:noProof/>
        </w:rPr>
      </w:pPr>
      <w:r>
        <w:rPr>
          <w:noProof/>
        </w:rPr>
        <w:t>БАЗА ЗА ИЗГОТВЯНЕТО</w:t>
      </w:r>
    </w:p>
    <w:p>
      <w:pPr>
        <w:pStyle w:val="DGTextstand-alone"/>
      </w:pPr>
      <w:r>
        <w:t>Финансовите отчети се представят ежегодно. Счетоводната година започва на 1 януари и приключва на 31 декември.</w:t>
      </w:r>
    </w:p>
    <w:p>
      <w:pPr>
        <w:pStyle w:val="HEADER3NOTES"/>
        <w:rPr>
          <w:noProof/>
        </w:rPr>
      </w:pPr>
      <w:r>
        <w:rPr>
          <w:noProof/>
        </w:rPr>
        <w:t>Валута и база за конвертиране</w:t>
      </w:r>
    </w:p>
    <w:p>
      <w:pPr>
        <w:pStyle w:val="HEADER5"/>
        <w:rPr>
          <w:b/>
          <w:noProof/>
        </w:rPr>
      </w:pPr>
      <w:r>
        <w:rPr>
          <w:noProof/>
        </w:rPr>
        <w:t>Работна и отчетна валута</w:t>
      </w:r>
    </w:p>
    <w:p>
      <w:pPr>
        <w:pStyle w:val="DGTextstand-alone"/>
      </w:pPr>
      <w:r>
        <w:t>Освен когато е посочено друго, финансовите отчети са представени в милиони евро — работната валута на ЕС.</w:t>
      </w:r>
    </w:p>
    <w:p>
      <w:pPr>
        <w:pStyle w:val="HEADER5"/>
        <w:rPr>
          <w:b/>
          <w:noProof/>
        </w:rPr>
      </w:pPr>
      <w:r>
        <w:rPr>
          <w:noProof/>
        </w:rPr>
        <w:t>Операции и салда</w:t>
      </w:r>
    </w:p>
    <w:p>
      <w:pPr>
        <w:pStyle w:val="DGTextstand-alone"/>
        <w:spacing w:after="0"/>
      </w:pPr>
      <w:r>
        <w:t>Операциите в чуждестранна валута се конвертират в евро, като се използва обменният курс, преобладаващ към датaтa на операциите. Печалбите и загубите от курсови разлики, произтичащи от уреждането на операции в чуждестранна валута и от повторното конвертиране на паричните активи и пасиви в чуждестранна валута по обменните курсове в края на годината, се признават в отчета за финансовия резултат. Разликите от конвертиране за непаричните финансови инструменти, класифицирани като финансови активи, обявени за продажба, се включват в резерва по справедлива стойност.</w:t>
      </w:r>
    </w:p>
    <w:p>
      <w:pPr>
        <w:pStyle w:val="DGTextstand-alone"/>
      </w:pPr>
      <w:r>
        <w:t>Различни методи за конвертиране се прилагат за имотите, машините и съоръженията и за нематериалните активи, които запазват стойността си в евро при курса, който се е прилагал към датата, на която са закупени.</w:t>
      </w:r>
    </w:p>
    <w:p>
      <w:pPr>
        <w:pStyle w:val="DGTextstand-alone"/>
      </w:pPr>
      <w:r>
        <w:t>Салдата в края на годината на паричните активи и пасиви в чуждестранна валута се конвертират в евро въз основа на обменните курсове на Европейската централна банка, прилагани на 31 декември:</w:t>
      </w:r>
    </w:p>
    <w:p>
      <w:pPr>
        <w:pStyle w:val="HEADER5"/>
        <w:rPr>
          <w:noProof/>
        </w:rPr>
      </w:pPr>
      <w:r>
        <w:rPr>
          <w:noProof/>
        </w:rPr>
        <w:t>Обменни курсове спрямо еврото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1862"/>
        <w:gridCol w:w="1964"/>
        <w:gridCol w:w="1309"/>
        <w:gridCol w:w="1657"/>
        <w:gridCol w:w="1657"/>
      </w:tblGrid>
      <w:tr>
        <w:trPr>
          <w:trHeight w:val="255"/>
        </w:trPr>
        <w:tc>
          <w:tcPr>
            <w:tcW w:w="1309" w:type="dxa"/>
            <w:tcBorders>
              <w:top w:val="nil"/>
              <w:left w:val="nil"/>
              <w:bottom w:val="nil"/>
              <w:right w:val="nil"/>
              <w:tl2br w:val="nil"/>
              <w:tr2bl w:val="nil"/>
            </w:tcBorders>
            <w:shd w:val="solid" w:color="016794" w:fill="FFFFFF"/>
            <w:tcMar>
              <w:left w:w="60" w:type="dxa"/>
              <w:right w:w="60" w:type="dxa"/>
            </w:tcMar>
            <w:vAlign w:val="center"/>
          </w:tcPr>
          <w:p>
            <w:pPr>
              <w:pStyle w:val="DMETW19837BIPCURR"/>
              <w:keepNext/>
              <w:rPr>
                <w:rFonts w:ascii="Verdana" w:eastAsia="Verdana" w:hAnsi="Verdana" w:cs="Verdana"/>
                <w:noProof/>
                <w:color w:val="FFFFFF"/>
              </w:rPr>
            </w:pPr>
            <w:bookmarkStart w:id="80" w:name="DOC_TBL00005_1_1"/>
            <w:bookmarkEnd w:id="80"/>
            <w:r>
              <w:rPr>
                <w:rFonts w:ascii="Verdana" w:hAnsi="Verdana"/>
                <w:noProof/>
                <w:color w:val="FFFFFF"/>
              </w:rPr>
              <w:t>Валута</w:t>
            </w:r>
          </w:p>
        </w:tc>
        <w:tc>
          <w:tcPr>
            <w:tcW w:w="1862" w:type="dxa"/>
            <w:tcBorders>
              <w:top w:val="nil"/>
              <w:left w:val="nil"/>
              <w:bottom w:val="nil"/>
              <w:right w:val="nil"/>
              <w:tl2br w:val="nil"/>
              <w:tr2bl w:val="nil"/>
            </w:tcBorders>
            <w:shd w:val="solid" w:color="016794" w:fill="FFFFFF"/>
            <w:tcMar>
              <w:left w:w="60" w:type="dxa"/>
              <w:right w:w="60" w:type="dxa"/>
            </w:tcMar>
            <w:vAlign w:val="center"/>
          </w:tcPr>
          <w:p>
            <w:pPr>
              <w:pStyle w:val="DMETW19837BIPCURR"/>
              <w:keepNext/>
              <w:jc w:val="right"/>
              <w:rPr>
                <w:rFonts w:ascii="Verdana" w:eastAsia="Verdana" w:hAnsi="Verdana" w:cs="Verdana"/>
                <w:noProof/>
                <w:color w:val="FFFFFF"/>
              </w:rPr>
            </w:pPr>
            <w:r>
              <w:rPr>
                <w:rFonts w:ascii="Verdana" w:hAnsi="Verdana"/>
                <w:noProof/>
                <w:color w:val="FFFFFF"/>
              </w:rPr>
              <w:t>31.12.2020 г.</w:t>
            </w:r>
          </w:p>
        </w:tc>
        <w:tc>
          <w:tcPr>
            <w:tcW w:w="1964" w:type="dxa"/>
            <w:tcBorders>
              <w:top w:val="nil"/>
              <w:left w:val="nil"/>
              <w:bottom w:val="nil"/>
              <w:right w:val="nil"/>
              <w:tl2br w:val="nil"/>
              <w:tr2bl w:val="nil"/>
            </w:tcBorders>
            <w:shd w:val="solid" w:color="016794" w:fill="FFFFFF"/>
            <w:tcMar>
              <w:left w:w="60" w:type="dxa"/>
              <w:right w:w="60" w:type="dxa"/>
            </w:tcMar>
            <w:vAlign w:val="center"/>
          </w:tcPr>
          <w:p>
            <w:pPr>
              <w:pStyle w:val="DMETW19837BIPCURR"/>
              <w:keepNext/>
              <w:jc w:val="right"/>
              <w:rPr>
                <w:rFonts w:ascii="Verdana" w:eastAsia="Verdana" w:hAnsi="Verdana" w:cs="Verdana"/>
                <w:noProof/>
                <w:color w:val="FFFFFF"/>
              </w:rPr>
            </w:pPr>
            <w:r>
              <w:rPr>
                <w:rFonts w:ascii="Verdana" w:hAnsi="Verdana"/>
                <w:noProof/>
                <w:color w:val="FFFFFF"/>
              </w:rPr>
              <w:t>31.12.2019 г.</w:t>
            </w:r>
          </w:p>
        </w:tc>
        <w:tc>
          <w:tcPr>
            <w:tcW w:w="1309" w:type="dxa"/>
            <w:tcBorders>
              <w:top w:val="nil"/>
              <w:left w:val="nil"/>
              <w:bottom w:val="nil"/>
              <w:right w:val="nil"/>
              <w:tl2br w:val="nil"/>
              <w:tr2bl w:val="nil"/>
            </w:tcBorders>
            <w:shd w:val="solid" w:color="016794" w:fill="FFFFFF"/>
            <w:tcMar>
              <w:left w:w="60" w:type="dxa"/>
              <w:right w:w="60" w:type="dxa"/>
            </w:tcMar>
            <w:vAlign w:val="center"/>
          </w:tcPr>
          <w:p>
            <w:pPr>
              <w:pStyle w:val="DMETW19837BIPCURR"/>
              <w:keepNext/>
              <w:rPr>
                <w:rFonts w:ascii="Verdana" w:eastAsia="Verdana" w:hAnsi="Verdana" w:cs="Verdana"/>
                <w:noProof/>
                <w:color w:val="FFFFFF"/>
              </w:rPr>
            </w:pPr>
            <w:r>
              <w:rPr>
                <w:rFonts w:ascii="Verdana" w:hAnsi="Verdana"/>
                <w:noProof/>
                <w:color w:val="FFFFFF"/>
              </w:rPr>
              <w:t>Валута</w:t>
            </w:r>
          </w:p>
        </w:tc>
        <w:tc>
          <w:tcPr>
            <w:tcW w:w="1657" w:type="dxa"/>
            <w:tcBorders>
              <w:top w:val="nil"/>
              <w:left w:val="nil"/>
              <w:bottom w:val="nil"/>
              <w:right w:val="nil"/>
              <w:tl2br w:val="nil"/>
              <w:tr2bl w:val="nil"/>
            </w:tcBorders>
            <w:shd w:val="solid" w:color="016794" w:fill="FFFFFF"/>
            <w:tcMar>
              <w:left w:w="60" w:type="dxa"/>
              <w:right w:w="60" w:type="dxa"/>
            </w:tcMar>
            <w:vAlign w:val="center"/>
          </w:tcPr>
          <w:p>
            <w:pPr>
              <w:pStyle w:val="DMETW19837BIPCURR"/>
              <w:keepNext/>
              <w:jc w:val="right"/>
              <w:rPr>
                <w:rFonts w:ascii="Verdana" w:eastAsia="Verdana" w:hAnsi="Verdana" w:cs="Verdana"/>
                <w:noProof/>
                <w:color w:val="FFFFFF"/>
              </w:rPr>
            </w:pPr>
            <w:r>
              <w:rPr>
                <w:rFonts w:ascii="Verdana" w:hAnsi="Verdana"/>
                <w:noProof/>
                <w:color w:val="FFFFFF"/>
              </w:rPr>
              <w:t>31.12.2020 г.</w:t>
            </w:r>
          </w:p>
        </w:tc>
        <w:tc>
          <w:tcPr>
            <w:tcW w:w="1657" w:type="dxa"/>
            <w:tcBorders>
              <w:top w:val="nil"/>
              <w:left w:val="nil"/>
              <w:bottom w:val="nil"/>
              <w:right w:val="nil"/>
              <w:tl2br w:val="nil"/>
              <w:tr2bl w:val="nil"/>
            </w:tcBorders>
            <w:shd w:val="solid" w:color="016794" w:fill="FFFFFF"/>
            <w:tcMar>
              <w:left w:w="60" w:type="dxa"/>
              <w:right w:w="60" w:type="dxa"/>
            </w:tcMar>
            <w:vAlign w:val="center"/>
          </w:tcPr>
          <w:p>
            <w:pPr>
              <w:pStyle w:val="DMETW19837BIPCURR"/>
              <w:keepNext/>
              <w:jc w:val="right"/>
              <w:rPr>
                <w:rFonts w:ascii="Verdana" w:eastAsia="Verdana" w:hAnsi="Verdana" w:cs="Verdana"/>
                <w:noProof/>
                <w:color w:val="FFFFFF"/>
              </w:rPr>
            </w:pPr>
            <w:r>
              <w:rPr>
                <w:rFonts w:ascii="Verdana" w:hAnsi="Verdana"/>
                <w:noProof/>
                <w:color w:val="FFFFFF"/>
              </w:rPr>
              <w:t>31.12.2019 г.</w:t>
            </w:r>
          </w:p>
        </w:tc>
      </w:tr>
      <w:tr>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BGN</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1,9558</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1,9558</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PLN</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4,5597</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4,2568</w:t>
            </w:r>
          </w:p>
        </w:tc>
      </w:tr>
      <w:tr>
        <w:trPr>
          <w:trHeight w:val="255"/>
        </w:trPr>
        <w:tc>
          <w:tcPr>
            <w:tcW w:w="1309"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CZK</w:t>
            </w:r>
          </w:p>
        </w:tc>
        <w:tc>
          <w:tcPr>
            <w:tcW w:w="186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26,2420</w:t>
            </w:r>
          </w:p>
        </w:tc>
        <w:tc>
          <w:tcPr>
            <w:tcW w:w="1964"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25,4080</w:t>
            </w:r>
          </w:p>
        </w:tc>
        <w:tc>
          <w:tcPr>
            <w:tcW w:w="1309"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RON</w:t>
            </w:r>
          </w:p>
        </w:tc>
        <w:tc>
          <w:tcPr>
            <w:tcW w:w="165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4,8683</w:t>
            </w:r>
          </w:p>
        </w:tc>
        <w:tc>
          <w:tcPr>
            <w:tcW w:w="165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4,783</w:t>
            </w:r>
          </w:p>
        </w:tc>
      </w:tr>
      <w:tr>
        <w:trPr>
          <w:trHeight w:val="255"/>
        </w:trPr>
        <w:tc>
          <w:tcPr>
            <w:tcW w:w="1309"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DKK</w:t>
            </w:r>
          </w:p>
        </w:tc>
        <w:tc>
          <w:tcPr>
            <w:tcW w:w="186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7,4409</w:t>
            </w:r>
          </w:p>
        </w:tc>
        <w:tc>
          <w:tcPr>
            <w:tcW w:w="1964"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7,4715</w:t>
            </w:r>
          </w:p>
        </w:tc>
        <w:tc>
          <w:tcPr>
            <w:tcW w:w="1309"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SEK</w:t>
            </w:r>
          </w:p>
        </w:tc>
        <w:tc>
          <w:tcPr>
            <w:tcW w:w="165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10,0343</w:t>
            </w:r>
          </w:p>
        </w:tc>
        <w:tc>
          <w:tcPr>
            <w:tcW w:w="165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10,4468</w:t>
            </w:r>
          </w:p>
        </w:tc>
      </w:tr>
      <w:tr>
        <w:trPr>
          <w:trHeight w:val="255"/>
        </w:trPr>
        <w:tc>
          <w:tcPr>
            <w:tcW w:w="1309"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GBP</w:t>
            </w:r>
          </w:p>
        </w:tc>
        <w:tc>
          <w:tcPr>
            <w:tcW w:w="186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0,8990</w:t>
            </w:r>
          </w:p>
        </w:tc>
        <w:tc>
          <w:tcPr>
            <w:tcW w:w="1964"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0,8508</w:t>
            </w:r>
          </w:p>
        </w:tc>
        <w:tc>
          <w:tcPr>
            <w:tcW w:w="1309"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CHF</w:t>
            </w:r>
          </w:p>
        </w:tc>
        <w:tc>
          <w:tcPr>
            <w:tcW w:w="165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1,0802</w:t>
            </w:r>
          </w:p>
        </w:tc>
        <w:tc>
          <w:tcPr>
            <w:tcW w:w="165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1,0854</w:t>
            </w:r>
          </w:p>
        </w:tc>
      </w:tr>
      <w:tr>
        <w:trPr>
          <w:trHeight w:val="255"/>
        </w:trPr>
        <w:tc>
          <w:tcPr>
            <w:tcW w:w="1309"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HRK</w:t>
            </w:r>
          </w:p>
        </w:tc>
        <w:tc>
          <w:tcPr>
            <w:tcW w:w="186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7,5519</w:t>
            </w:r>
          </w:p>
        </w:tc>
        <w:tc>
          <w:tcPr>
            <w:tcW w:w="1964"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7,4395</w:t>
            </w:r>
          </w:p>
        </w:tc>
        <w:tc>
          <w:tcPr>
            <w:tcW w:w="1309"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JPY</w:t>
            </w:r>
          </w:p>
        </w:tc>
        <w:tc>
          <w:tcPr>
            <w:tcW w:w="165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126,4900</w:t>
            </w:r>
          </w:p>
        </w:tc>
        <w:tc>
          <w:tcPr>
            <w:tcW w:w="165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121,9400</w:t>
            </w:r>
          </w:p>
        </w:tc>
      </w:tr>
      <w:tr>
        <w:trPr>
          <w:trHeight w:val="255"/>
        </w:trPr>
        <w:tc>
          <w:tcPr>
            <w:tcW w:w="1309"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HUF</w:t>
            </w:r>
          </w:p>
        </w:tc>
        <w:tc>
          <w:tcPr>
            <w:tcW w:w="186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363,8900</w:t>
            </w:r>
          </w:p>
        </w:tc>
        <w:tc>
          <w:tcPr>
            <w:tcW w:w="1964"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330,5300</w:t>
            </w:r>
          </w:p>
        </w:tc>
        <w:tc>
          <w:tcPr>
            <w:tcW w:w="1309"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CURR"/>
              <w:keepNext/>
              <w:rPr>
                <w:rFonts w:ascii="Verdana" w:eastAsia="Verdana" w:hAnsi="Verdana" w:cs="Verdana"/>
                <w:b/>
                <w:noProof/>
                <w:color w:val="000000"/>
                <w:sz w:val="18"/>
              </w:rPr>
            </w:pPr>
            <w:r>
              <w:rPr>
                <w:rFonts w:ascii="Verdana" w:hAnsi="Verdana"/>
                <w:b/>
                <w:noProof/>
                <w:color w:val="000000"/>
                <w:sz w:val="18"/>
              </w:rPr>
              <w:t>USD</w:t>
            </w:r>
          </w:p>
        </w:tc>
        <w:tc>
          <w:tcPr>
            <w:tcW w:w="165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b/>
                <w:noProof/>
                <w:color w:val="000000"/>
                <w:sz w:val="18"/>
              </w:rPr>
            </w:pPr>
            <w:r>
              <w:rPr>
                <w:rFonts w:ascii="Verdana" w:hAnsi="Verdana"/>
                <w:b/>
                <w:noProof/>
                <w:color w:val="000000"/>
                <w:sz w:val="18"/>
              </w:rPr>
              <w:t>1,2271</w:t>
            </w:r>
          </w:p>
        </w:tc>
        <w:tc>
          <w:tcPr>
            <w:tcW w:w="1657"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bottom"/>
          </w:tcPr>
          <w:p>
            <w:pPr>
              <w:pStyle w:val="DMETW19837BIPCURR"/>
              <w:keepNext/>
              <w:jc w:val="right"/>
              <w:rPr>
                <w:rFonts w:ascii="Verdana" w:eastAsia="Verdana" w:hAnsi="Verdana" w:cs="Verdana"/>
                <w:i/>
                <w:noProof/>
                <w:color w:val="000000"/>
                <w:sz w:val="18"/>
              </w:rPr>
            </w:pPr>
            <w:r>
              <w:rPr>
                <w:rFonts w:ascii="Verdana" w:hAnsi="Verdana"/>
                <w:i/>
                <w:noProof/>
                <w:color w:val="000000"/>
                <w:sz w:val="18"/>
              </w:rPr>
              <w:t>1,1234</w:t>
            </w:r>
          </w:p>
        </w:tc>
      </w:tr>
    </w:tbl>
    <w:p>
      <w:pPr>
        <w:pStyle w:val="HEADER3NOTES"/>
        <w:keepNext/>
        <w:rPr>
          <w:noProof/>
        </w:rPr>
      </w:pPr>
      <w:r>
        <w:rPr>
          <w:noProof/>
        </w:rPr>
        <w:t>Използване на приблизителни оценки</w:t>
      </w:r>
    </w:p>
    <w:p>
      <w:pPr>
        <w:pStyle w:val="DGTextstand-alone"/>
      </w:pPr>
      <w:r>
        <w:t>В съответствие с МССПС и общоприетите счетоводни принципи финансовите отчети по необходимост включват суми, основани на приблизителни оценки и предположения на ръководителите, основаващи се на най-надеждната налична информация. Съществените приблизителни оценки включват, без да са ограничени до това: сумите за задълженията, свързани с доходите на наети лица, финансовия риск по вземанията и сумите, оповестени в бележките във връзка с финансовите инструменти, начислените приходи и разходи, провизиите, степента на обезценка на нематериалните активи и на имотите, машините и съоръженията, нетната реализируема стойност на материалните запаси, условните активи и условните пасиви. Действителните резултати могат да се различават от тези приблизителни оценки. Промените в приблизителните оценки се отразяват през периода, в който те стават известни, ако промяната засяга само периода, или се отразяват през този период и бъдещи периоди, ако промяната засяга и този период, и бъдещи периоди.</w:t>
      </w:r>
    </w:p>
    <w:p>
      <w:pPr>
        <w:pStyle w:val="HEADER2NOTES"/>
        <w:rPr>
          <w:noProof/>
        </w:rPr>
      </w:pPr>
      <w:r>
        <w:rPr>
          <w:noProof/>
        </w:rPr>
        <w:t>СЧЕТОВОДЕН БАЛАНС</w:t>
      </w:r>
    </w:p>
    <w:p>
      <w:pPr>
        <w:pStyle w:val="HEADER3NOTES"/>
        <w:rPr>
          <w:noProof/>
        </w:rPr>
      </w:pPr>
      <w:r>
        <w:rPr>
          <w:noProof/>
        </w:rPr>
        <w:t>Нематериални активи</w:t>
      </w:r>
    </w:p>
    <w:p>
      <w:pPr>
        <w:pStyle w:val="DGTextstand-alone"/>
      </w:pPr>
      <w:r>
        <w:t>Нематериалният актив е разграничим непаричен актив без физическа субстанция. Даден актив е разграничим, ако е или отделим (т.е. може да бъде отделен или разделен от субекта, напр. чрез продажба, прехвърляне, лицензиране, отдаване под наем или размяна, самостоятелно или заедно със съответен договор, разграничим актив или пасив, независимо дали субектът възнамерява да направи това), или произтича от обвързващи договорености (включително права от договори или други законни права), независимо дали тези права са прехвърляеми или отделими от субекта или от други права и задължения).</w:t>
      </w:r>
    </w:p>
    <w:p>
      <w:pPr>
        <w:pStyle w:val="DGTextstand-alone"/>
      </w:pPr>
      <w:r>
        <w:t>Придобитите нематериални активи се посочват по историческа стойност минус натрупаната амортизация и загубите от обезценка. Вътрешно разработените нематериални активи се капитализират, когато съответните критерии на правилата за счетоводна отчетност на ЕС бъдат изпълнени и разходите са свързани единствено с етапа на разработка на актива. Капитализируемите разходи включват всички разходи, които могат директно да се припишат и които са необходими за създаването, произвеждането и подготвянето на актива за работа по предвидения от ръководството начин. Разходите, свързани с научноизследователски дейности, некапитализируемите разходи по разработката и разходите за поддръжка се признават като разходи в момента на възникването си.</w:t>
      </w:r>
    </w:p>
    <w:p>
      <w:pPr>
        <w:pStyle w:val="DGTextstand-alone"/>
      </w:pPr>
      <w:r>
        <w:t>Нематериалните активи се амортизират по линейния метод през очаквания си полезен живот (от 3 до 11 години). Очакваният полезен живот на нематериалните активи зависи от специфичния им икономически живот или от правния им живот, който се определя от споразумение.</w:t>
      </w:r>
    </w:p>
    <w:p>
      <w:pPr>
        <w:pStyle w:val="HEADER3NOTES"/>
        <w:rPr>
          <w:noProof/>
        </w:rPr>
      </w:pPr>
      <w:r>
        <w:rPr>
          <w:noProof/>
        </w:rPr>
        <w:t>Имоти, машини и съоръжения</w:t>
      </w:r>
    </w:p>
    <w:p>
      <w:pPr>
        <w:pStyle w:val="DGTextstand-alone"/>
      </w:pPr>
      <w:r>
        <w:t>Всички имоти, машини и съоръжения се посочват по историческа стойност минус натрупаната амортизация и загубите от обезценка. Стойността включва разходите, които могат директно да се припишат на придобиването, създаването или прехвърлянето на актива.</w:t>
      </w:r>
    </w:p>
    <w:p>
      <w:pPr>
        <w:pStyle w:val="DGTextstand-alone"/>
        <w:spacing w:after="0"/>
      </w:pPr>
      <w:r>
        <w:t>Последващите разходи се включват в балансовата стойност на актива или се признават като отделен актив, както е уместно, единствено когато е вероятно бъдещите икономически ползи или потенциалът за предоставяне на услуга, свързани с актива, да са по посока на ЕС и стойността на актива може да бъде надеждно оценена. Разходите за ремонт и поддръжка се включват в отчета за финансовия резултат през финансовия период, през който са били извършени.</w:t>
      </w:r>
    </w:p>
    <w:p>
      <w:pPr>
        <w:pStyle w:val="DGTextstand-alone"/>
      </w:pPr>
      <w:r>
        <w:t>Земята не се амортизира, тъй като се счита, че има безкраен полезен живот. Активите в процес на изграждане не се амортизират, тъй като тези активи все още не са на разположение за употреба. Амортизацията на другите активи се изчислява чрез линейния метод, за да бъде разпределена тяхната стойност минус остатъчната им стойност през очаквания им полезен живот, както следва:</w:t>
      </w:r>
    </w:p>
    <w:tbl>
      <w:tblPr>
        <w:tblW w:w="5000"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5196"/>
      </w:tblGrid>
      <w:tr>
        <w:trPr>
          <w:trHeight w:hRule="exact" w:val="255"/>
        </w:trPr>
        <w:tc>
          <w:tcPr>
            <w:tcW w:w="4562" w:type="dxa"/>
            <w:tcBorders>
              <w:top w:val="nil"/>
              <w:left w:val="nil"/>
              <w:bottom w:val="nil"/>
              <w:right w:val="nil"/>
              <w:tl2br w:val="nil"/>
              <w:tr2bl w:val="nil"/>
            </w:tcBorders>
            <w:shd w:val="solid" w:color="016794" w:fill="FFFFFF"/>
            <w:tcMar>
              <w:left w:w="60" w:type="dxa"/>
              <w:right w:w="60" w:type="dxa"/>
            </w:tcMar>
            <w:vAlign w:val="center"/>
          </w:tcPr>
          <w:p>
            <w:pPr>
              <w:pStyle w:val="DMETW19837BIPDR"/>
              <w:rPr>
                <w:rFonts w:ascii="Verdana" w:eastAsia="Verdana" w:hAnsi="Verdana" w:cs="Verdana"/>
                <w:noProof/>
                <w:color w:val="FFFFFF"/>
              </w:rPr>
            </w:pPr>
            <w:bookmarkStart w:id="81" w:name="DOC_TBL00006_1_1"/>
            <w:bookmarkEnd w:id="81"/>
            <w:r>
              <w:rPr>
                <w:rFonts w:ascii="Verdana" w:hAnsi="Verdana"/>
                <w:noProof/>
                <w:color w:val="FFFFFF"/>
              </w:rPr>
              <w:t>Вид актив</w:t>
            </w:r>
          </w:p>
        </w:tc>
        <w:tc>
          <w:tcPr>
            <w:tcW w:w="5196" w:type="dxa"/>
            <w:tcBorders>
              <w:top w:val="nil"/>
              <w:left w:val="nil"/>
              <w:bottom w:val="nil"/>
              <w:right w:val="nil"/>
              <w:tl2br w:val="nil"/>
              <w:tr2bl w:val="nil"/>
            </w:tcBorders>
            <w:shd w:val="solid" w:color="016794" w:fill="FFFFFF"/>
            <w:tcMar>
              <w:left w:w="60" w:type="dxa"/>
              <w:right w:w="60" w:type="dxa"/>
            </w:tcMar>
            <w:vAlign w:val="center"/>
          </w:tcPr>
          <w:p>
            <w:pPr>
              <w:pStyle w:val="DMETW19837BIPDR"/>
              <w:jc w:val="center"/>
              <w:rPr>
                <w:rFonts w:ascii="Verdana" w:eastAsia="Verdana" w:hAnsi="Verdana" w:cs="Verdana"/>
                <w:noProof/>
                <w:color w:val="FFFFFF"/>
              </w:rPr>
            </w:pPr>
            <w:r>
              <w:rPr>
                <w:rFonts w:ascii="Verdana" w:hAnsi="Verdana"/>
                <w:noProof/>
                <w:color w:val="FFFFFF"/>
              </w:rPr>
              <w:t>Норма на линейна амортизация</w:t>
            </w:r>
          </w:p>
        </w:tc>
      </w:tr>
      <w:tr>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837BIPDR"/>
              <w:rPr>
                <w:rFonts w:ascii="Verdana" w:eastAsia="Verdana" w:hAnsi="Verdana" w:cs="Verdana"/>
                <w:i/>
                <w:noProof/>
                <w:color w:val="000000"/>
                <w:sz w:val="18"/>
              </w:rPr>
            </w:pPr>
            <w:r>
              <w:rPr>
                <w:rFonts w:ascii="Verdana" w:hAnsi="Verdana"/>
                <w:i/>
                <w:noProof/>
                <w:color w:val="000000"/>
                <w:sz w:val="18"/>
              </w:rPr>
              <w:t>Сгради</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837BIPDR"/>
              <w:jc w:val="center"/>
              <w:rPr>
                <w:rFonts w:ascii="Verdana" w:eastAsia="Verdana" w:hAnsi="Verdana" w:cs="Verdana"/>
                <w:i/>
                <w:noProof/>
                <w:color w:val="000000"/>
                <w:sz w:val="18"/>
              </w:rPr>
            </w:pPr>
            <w:r>
              <w:rPr>
                <w:rFonts w:ascii="Verdana" w:hAnsi="Verdana"/>
                <w:i/>
                <w:noProof/>
                <w:color w:val="000000"/>
                <w:sz w:val="18"/>
              </w:rPr>
              <w:t>от 4 % до 10 %</w:t>
            </w:r>
          </w:p>
        </w:tc>
      </w:tr>
      <w:tr>
        <w:trPr>
          <w:trHeight w:hRule="exact" w:val="255"/>
        </w:trPr>
        <w:tc>
          <w:tcPr>
            <w:tcW w:w="456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DR"/>
              <w:rPr>
                <w:rFonts w:ascii="Verdana" w:eastAsia="Verdana" w:hAnsi="Verdana" w:cs="Verdana"/>
                <w:i/>
                <w:noProof/>
                <w:color w:val="000000"/>
                <w:sz w:val="18"/>
              </w:rPr>
            </w:pPr>
            <w:r>
              <w:rPr>
                <w:rFonts w:ascii="Verdana" w:hAnsi="Verdana"/>
                <w:i/>
                <w:noProof/>
                <w:color w:val="000000"/>
                <w:sz w:val="18"/>
              </w:rPr>
              <w:t>Космически активи</w:t>
            </w:r>
          </w:p>
        </w:tc>
        <w:tc>
          <w:tcPr>
            <w:tcW w:w="5196"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DR"/>
              <w:jc w:val="center"/>
              <w:rPr>
                <w:rFonts w:ascii="Verdana" w:eastAsia="Verdana" w:hAnsi="Verdana" w:cs="Verdana"/>
                <w:i/>
                <w:noProof/>
                <w:color w:val="000000"/>
                <w:sz w:val="18"/>
              </w:rPr>
            </w:pPr>
            <w:r>
              <w:rPr>
                <w:rFonts w:ascii="Verdana" w:hAnsi="Verdana"/>
                <w:i/>
                <w:noProof/>
                <w:color w:val="000000"/>
                <w:sz w:val="18"/>
              </w:rPr>
              <w:t>от 8 % до 25 %</w:t>
            </w:r>
          </w:p>
        </w:tc>
      </w:tr>
      <w:tr>
        <w:trPr>
          <w:trHeight w:hRule="exact" w:val="255"/>
        </w:trPr>
        <w:tc>
          <w:tcPr>
            <w:tcW w:w="456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DR"/>
              <w:rPr>
                <w:rFonts w:ascii="Verdana" w:eastAsia="Verdana" w:hAnsi="Verdana" w:cs="Verdana"/>
                <w:i/>
                <w:noProof/>
                <w:color w:val="000000"/>
                <w:sz w:val="18"/>
              </w:rPr>
            </w:pPr>
            <w:r>
              <w:rPr>
                <w:rFonts w:ascii="Verdana" w:hAnsi="Verdana"/>
                <w:i/>
                <w:noProof/>
                <w:color w:val="000000"/>
                <w:sz w:val="18"/>
              </w:rPr>
              <w:t>Машини и съоръжения</w:t>
            </w:r>
          </w:p>
        </w:tc>
        <w:tc>
          <w:tcPr>
            <w:tcW w:w="5196"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DR"/>
              <w:jc w:val="center"/>
              <w:rPr>
                <w:rFonts w:ascii="Verdana" w:eastAsia="Verdana" w:hAnsi="Verdana" w:cs="Verdana"/>
                <w:i/>
                <w:noProof/>
                <w:color w:val="000000"/>
                <w:sz w:val="18"/>
              </w:rPr>
            </w:pPr>
            <w:r>
              <w:rPr>
                <w:rFonts w:ascii="Verdana" w:hAnsi="Verdana"/>
                <w:i/>
                <w:noProof/>
                <w:color w:val="000000"/>
                <w:sz w:val="18"/>
              </w:rPr>
              <w:t>от 10 % до 25 %</w:t>
            </w:r>
          </w:p>
        </w:tc>
      </w:tr>
      <w:tr>
        <w:trPr>
          <w:trHeight w:hRule="exact" w:val="255"/>
        </w:trPr>
        <w:tc>
          <w:tcPr>
            <w:tcW w:w="456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DR"/>
              <w:rPr>
                <w:rFonts w:ascii="Verdana" w:eastAsia="Verdana" w:hAnsi="Verdana" w:cs="Verdana"/>
                <w:i/>
                <w:noProof/>
                <w:color w:val="000000"/>
                <w:sz w:val="18"/>
              </w:rPr>
            </w:pPr>
            <w:r>
              <w:rPr>
                <w:rFonts w:ascii="Verdana" w:hAnsi="Verdana"/>
                <w:i/>
                <w:noProof/>
                <w:color w:val="000000"/>
                <w:sz w:val="18"/>
              </w:rPr>
              <w:t>Обзавеждане и превозни средства</w:t>
            </w:r>
          </w:p>
        </w:tc>
        <w:tc>
          <w:tcPr>
            <w:tcW w:w="5196"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DR"/>
              <w:jc w:val="center"/>
              <w:rPr>
                <w:rFonts w:ascii="Verdana" w:eastAsia="Verdana" w:hAnsi="Verdana" w:cs="Verdana"/>
                <w:i/>
                <w:noProof/>
                <w:color w:val="000000"/>
                <w:sz w:val="18"/>
              </w:rPr>
            </w:pPr>
            <w:r>
              <w:rPr>
                <w:rFonts w:ascii="Verdana" w:hAnsi="Verdana"/>
                <w:i/>
                <w:noProof/>
                <w:color w:val="000000"/>
                <w:sz w:val="18"/>
              </w:rPr>
              <w:t>от 10 % до 25 %</w:t>
            </w:r>
          </w:p>
        </w:tc>
      </w:tr>
      <w:tr>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837BIPDR"/>
              <w:rPr>
                <w:rFonts w:ascii="Verdana" w:eastAsia="Verdana" w:hAnsi="Verdana" w:cs="Verdana"/>
                <w:i/>
                <w:noProof/>
                <w:color w:val="000000"/>
                <w:sz w:val="18"/>
              </w:rPr>
            </w:pPr>
            <w:r>
              <w:rPr>
                <w:rFonts w:ascii="Verdana" w:hAnsi="Verdana"/>
                <w:i/>
                <w:noProof/>
                <w:color w:val="000000"/>
                <w:sz w:val="18"/>
              </w:rPr>
              <w:t>Компютърен хардуер</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837BIPDR"/>
              <w:jc w:val="center"/>
              <w:rPr>
                <w:rFonts w:ascii="Verdana" w:eastAsia="Verdana" w:hAnsi="Verdana" w:cs="Verdana"/>
                <w:i/>
                <w:noProof/>
                <w:color w:val="000000"/>
                <w:sz w:val="18"/>
              </w:rPr>
            </w:pPr>
            <w:r>
              <w:rPr>
                <w:rFonts w:ascii="Verdana" w:hAnsi="Verdana"/>
                <w:i/>
                <w:noProof/>
                <w:color w:val="000000"/>
                <w:sz w:val="18"/>
              </w:rPr>
              <w:t>от 25 % до 33 %</w:t>
            </w:r>
          </w:p>
        </w:tc>
      </w:tr>
      <w:tr>
        <w:trPr>
          <w:trHeight w:hRule="exact" w:val="255"/>
        </w:trPr>
        <w:tc>
          <w:tcPr>
            <w:tcW w:w="456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DR"/>
              <w:rPr>
                <w:rFonts w:ascii="Verdana" w:eastAsia="Verdana" w:hAnsi="Verdana" w:cs="Verdana"/>
                <w:i/>
                <w:noProof/>
                <w:color w:val="000000"/>
                <w:sz w:val="18"/>
              </w:rPr>
            </w:pPr>
            <w:r>
              <w:rPr>
                <w:rFonts w:ascii="Verdana" w:hAnsi="Verdana"/>
                <w:i/>
                <w:noProof/>
                <w:color w:val="000000"/>
                <w:sz w:val="18"/>
              </w:rPr>
              <w:t>Други</w:t>
            </w:r>
          </w:p>
        </w:tc>
        <w:tc>
          <w:tcPr>
            <w:tcW w:w="5196"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37BIPDR"/>
              <w:jc w:val="center"/>
              <w:rPr>
                <w:rFonts w:ascii="Verdana" w:eastAsia="Verdana" w:hAnsi="Verdana" w:cs="Verdana"/>
                <w:i/>
                <w:noProof/>
                <w:color w:val="000000"/>
                <w:sz w:val="18"/>
              </w:rPr>
            </w:pPr>
            <w:r>
              <w:rPr>
                <w:rFonts w:ascii="Verdana" w:hAnsi="Verdana"/>
                <w:i/>
                <w:noProof/>
                <w:color w:val="000000"/>
                <w:sz w:val="18"/>
              </w:rPr>
              <w:t>от 10 % до 33 %</w:t>
            </w:r>
          </w:p>
        </w:tc>
      </w:tr>
    </w:tbl>
    <w:p>
      <w:pPr>
        <w:pStyle w:val="DGTextstand-alone"/>
      </w:pPr>
      <w:r>
        <w:t>Печалбите и загубите от намаленията на активи се определят чрез сравняване на приходите минус разходите по продажбата с балансовата стойност на актива, от който институцията се освобождава, и се включват в отчета за финансовия резултат.</w:t>
      </w:r>
    </w:p>
    <w:p>
      <w:pPr>
        <w:pStyle w:val="HEADER5"/>
        <w:keepNext/>
        <w:rPr>
          <w:b/>
          <w:noProof/>
        </w:rPr>
      </w:pPr>
      <w:r>
        <w:rPr>
          <w:noProof/>
        </w:rPr>
        <w:t>Лизинг</w:t>
      </w:r>
    </w:p>
    <w:p>
      <w:pPr>
        <w:pStyle w:val="DGTextstand-alone"/>
      </w:pPr>
      <w:r>
        <w:t>Лизингът е споразумение, по силата на което лизингодателят предоставя на лизингополучателя — срещу еднократно плащане или серия от плащания — правото да използва актив за договорен срок. Лизингите се класифицират като финансови лизинги или като оперативни лизинги.</w:t>
      </w:r>
    </w:p>
    <w:p>
      <w:pPr>
        <w:pStyle w:val="DGTextstand-alone"/>
      </w:pPr>
      <w:r>
        <w:t xml:space="preserve">Финансовите лизинги представляват лизинги, при които по същество всички рискове и ползи, произтичащи от собствеността, се прехвърлят на лизингополучателя. При сключване на финансов лизинг като лизингополучател активите, придобити съгласно финансовия лизинг, се признават като активи, а свързаните с тях лизингови задължения се признават като пасиви, считано от началото на срока на лизинга. Активите и пасивите се признават в размер, равен на справедливата стойност на наетата собственост или, ако е по-ниска, настоящата стойност на минималните лизингови плащания, всяка от които е определена в началото на лизинга. През срока на лизинга активите, държани чрез финансов лизинг, се амортизират през по-краткия от следните периоди — полезния живот на актива и срока на лизинга. Минималните лизингови плащания се разпределят между финансовия разход (лихвата) и намаляването на оставащия пасив (главницата). Финансовият разход се разпределя за всеки период по време на срока на лизинга така, че да се получи постоянна периодична лихва за оставащата част от пасива, който се представя като текущ/нетекущ, в зависимост от случая. Условните наеми се начисляват като разход през периода, в който са извършени. </w:t>
      </w:r>
    </w:p>
    <w:p>
      <w:pPr>
        <w:pStyle w:val="DGTextstand-alone"/>
      </w:pPr>
      <w:r>
        <w:t>Оперативният лизинг е лизинг, различен от финансовия, т.е. лизинг, при който лизингодателят запазва по същество всички рискове и ползи, произтичащи от собствеността върху даден актив. При сключване на оперативен лизинг като лизингополучател плащанията по оперативния лизинг се признават като разход в отчета за финансовия резултат по линейния метод през срока на лизинга, като в отчета за финансовото състояние не се посочват нито лизингов актив, нито лизингов пасив.</w:t>
      </w:r>
    </w:p>
    <w:p>
      <w:pPr>
        <w:pStyle w:val="HEADER3NOTES"/>
        <w:rPr>
          <w:noProof/>
        </w:rPr>
      </w:pPr>
      <w:r>
        <w:rPr>
          <w:noProof/>
        </w:rPr>
        <w:t>Обезценка на нефинансови активи</w:t>
      </w:r>
    </w:p>
    <w:p>
      <w:pPr>
        <w:pStyle w:val="DGTextstand-alone"/>
      </w:pPr>
      <w:r>
        <w:t>Обезценката представлява загуба на бъдещи икономически ползи или потенциал за услуга на даден актив, в допълнение към систематичното признаване на загубата на бъдещи икономически ползи или потенциал за услуга на актива чрез амортизация (ако е приложимо). Активите, имащи безкраен полезен живот, не подлежат на амортизация и се проверяват всяка година за обезценка. Активите, които подлежат на амортизация, се проверяват за обезценка, когато към отчетната дата има признаци, че даден актив може да се е обезценил. Загуба от обезценка се признава за сумата, с която балансовата стойност на актива надвишава възстановимата му стойност (на ползване). Възстановимата стойност (на ползване) е по-високата от следните две стойности — справедливата стойност на актива, намалена с разходите по продажбата му, и стойността му в употреба.</w:t>
      </w:r>
    </w:p>
    <w:p>
      <w:pPr>
        <w:pStyle w:val="DGTextstand-alone"/>
      </w:pPr>
      <w:r>
        <w:t>Остатъчната стойност и полезният живот на нематериалните активи и на имотите, машините и съоръженията се преразглеждат и ако е необходимо, се коригират поне веднъж годишно. Ако основанията за обезценки, признати през предходни години, вече не са валидни, загубите от обезценка съответно се сторнират.</w:t>
      </w:r>
    </w:p>
    <w:p>
      <w:pPr>
        <w:pStyle w:val="HEADER3NOTES"/>
        <w:rPr>
          <w:noProof/>
        </w:rPr>
      </w:pPr>
      <w:r>
        <w:rPr>
          <w:noProof/>
        </w:rPr>
        <w:t>Инвестиции, отчетени по метода на собствения капитал</w:t>
      </w:r>
    </w:p>
    <w:p>
      <w:pPr>
        <w:pStyle w:val="HEADER5"/>
        <w:rPr>
          <w:b/>
          <w:noProof/>
        </w:rPr>
      </w:pPr>
      <w:r>
        <w:rPr>
          <w:noProof/>
        </w:rPr>
        <w:t>Участия в асоциирани предприятия и в съвместни предприятия</w:t>
      </w:r>
    </w:p>
    <w:p>
      <w:pPr>
        <w:pStyle w:val="DGTextstand-alone"/>
      </w:pPr>
      <w:r>
        <w:t>Инвестициите, отчетени по метода на собствения капитал, първоначално се признават по себестойност, като първоначалната балансова стойност впоследствие се увеличава или намалява, за да се признаят допълнителните приноси, делът на ЕС от излишъка или дефицита на предприятието, в което е инвестирано, обезценките и дивидентите. Първоначалният разход заедно с всички движения дава балансовата стойност на инвестицията във финансовите отчети към датата на счетоводния баланс. Делът на ЕС от излишъка или дефицита на предприятието, в което е инвестирано, се признава в отчета за финансовия резултат, а делът му от движенията на собствения капитал на предприятието, в което е инвестирано, се признава в резервите при нетните активи. Доходите, получени от инвестицията, намаляват балансовата стойност на актива.</w:t>
      </w:r>
    </w:p>
    <w:p>
      <w:pPr>
        <w:pStyle w:val="DGTextstand-alone"/>
      </w:pPr>
      <w:r>
        <w:t>Ако делът на ЕС от дефицита на инвестиция, отчитана по метода на собствения капитал, е равен на дела му от инвестицията или превишава този дял, ЕС спира да признава дела си от следващите загуби („непризнати загуби“). След като делът на ЕС бъде намален до нула, допълнителните загуби се отчитат и се признава пасив само до размера, за който ЕС има правно или конструктивно задължение или е извършил плащания от името на субекта.</w:t>
      </w:r>
    </w:p>
    <w:p>
      <w:pPr>
        <w:pStyle w:val="DGTextstand-alone"/>
      </w:pPr>
      <w:r>
        <w:t>Ако има признаци за обезценка, трябва да се направи намаление до по-ниската възстановима стойност. Възстановимата стойност се определя, както е описано в бележка </w:t>
      </w:r>
      <w:r>
        <w:rPr>
          <w:b/>
          <w:bCs/>
        </w:rPr>
        <w:t>1.5.3</w:t>
      </w:r>
      <w:r>
        <w:t>. Ако след време причината за обезценката спре да бъде валидна, загубата от обезценка се сторнира до балансовата стойност, която щеше да бъде определена, ако не беше призната загуба от обезценка.</w:t>
      </w:r>
    </w:p>
    <w:p>
      <w:pPr>
        <w:pStyle w:val="DGTextstand-alone"/>
      </w:pPr>
      <w:r>
        <w:t>В случаите, когато ЕС държи 20 % или повече от фонд за инвестиционен капитал, той не се стреми да упражнява значително влияние. Поради това тези фондове се третират като финансови инструменти и се категоризират като финансови активи, обявени за продажба.</w:t>
      </w:r>
    </w:p>
    <w:p>
      <w:pPr>
        <w:pStyle w:val="DGTextstand-alone"/>
      </w:pPr>
      <w:r>
        <w:t>Асоциираните и съвместните предприятия, класифицирани като несъществени субекти (вж. бележка </w:t>
      </w:r>
      <w:r>
        <w:rPr>
          <w:b/>
        </w:rPr>
        <w:t>1.3</w:t>
      </w:r>
      <w:r>
        <w:t xml:space="preserve">), не се отчитат по метода на собствения капитал. Приносът на ЕС към тези субекти се отчита като разход за периода. </w:t>
      </w:r>
    </w:p>
    <w:p>
      <w:pPr>
        <w:pStyle w:val="HEADER3NOTES"/>
        <w:keepNext/>
        <w:rPr>
          <w:noProof/>
        </w:rPr>
      </w:pPr>
      <w:r>
        <w:rPr>
          <w:noProof/>
        </w:rPr>
        <w:t>Финансови активи</w:t>
      </w:r>
    </w:p>
    <w:p>
      <w:pPr>
        <w:pStyle w:val="HEADER5"/>
        <w:rPr>
          <w:b/>
          <w:noProof/>
        </w:rPr>
      </w:pPr>
      <w:r>
        <w:rPr>
          <w:noProof/>
        </w:rPr>
        <w:t>Класификация</w:t>
      </w:r>
    </w:p>
    <w:p>
      <w:pPr>
        <w:pStyle w:val="DGTextstand-alone"/>
      </w:pPr>
      <w:r>
        <w:t>ЕС класифицира финансовите си активи в категориите „финансови активи по справедлива стойност чрез излишъка или дефицита“, „заеми и вземания“, „инвестиции, държани до падеж“ и „финансови активи, обявени за продажба“. Класификацията на финансовите инструменти се определя при първоначалното им признаване и се преоценява към датата на всеки счетоводен баланс.</w:t>
      </w:r>
    </w:p>
    <w:p>
      <w:pPr>
        <w:pStyle w:val="TextSubtitlenumberingRCItalic"/>
        <w:ind w:left="284"/>
        <w:rPr>
          <w:noProof/>
        </w:rPr>
      </w:pPr>
      <w:r>
        <w:rPr>
          <w:noProof/>
        </w:rPr>
        <w:t>Финансови активи по справедлива стойност чрез излишъка или дефицита</w:t>
      </w:r>
    </w:p>
    <w:p>
      <w:pPr>
        <w:pStyle w:val="DGTextstand-alone"/>
      </w:pPr>
      <w:r>
        <w:t>Финансов актив се класифицира в категорията „справедлива стойност чрез излишъка или дефицита“, ако е придобит главно с цел да бъде продаден в краткосрочен план или ако е посочен като такъв от субекта. Деривативите също се посочват в тази категория. Активите в тази категория се класифицират като текущи активи, ако се очаква да бъдат реализирани в срок от 12 месеца от датата на счетоводния баланс.</w:t>
      </w:r>
    </w:p>
    <w:p>
      <w:pPr>
        <w:pStyle w:val="TextSubtitlenumberingRCItalic"/>
        <w:keepNext/>
        <w:ind w:left="357" w:hanging="357"/>
        <w:rPr>
          <w:noProof/>
        </w:rPr>
      </w:pPr>
      <w:r>
        <w:rPr>
          <w:noProof/>
        </w:rPr>
        <w:t>Заеми и вземания</w:t>
      </w:r>
    </w:p>
    <w:p>
      <w:pPr>
        <w:pStyle w:val="DGTextstand-alone"/>
      </w:pPr>
      <w:r>
        <w:t>Заемите и вземанията са недеривативни финансови активи с фиксирани или определими плащания, които не се котират на активен пазар. Те възникват, когато ЕС предоставя пари, стоки или услуги пряко на длъжник без намерение да търгува с вземането или когато ЕС встъпва в правата на първоначалния заемодател след плащане, направено от ЕС по договор за гаранция. Плащанията, които стават дължими в срок от 12 месеца от датата на счетоводния баланс, се класифицират като текущи активи. Плащанията, които стават дължими след 12 месеца от датата на счетоводния баланс, се класифицират като нетекущи активи. Заемите и вземанията включват срочните депозити с първоначален срок от над три месеца.</w:t>
      </w:r>
    </w:p>
    <w:p>
      <w:pPr>
        <w:pStyle w:val="DGTextstand-alone"/>
      </w:pPr>
    </w:p>
    <w:p>
      <w:pPr>
        <w:pStyle w:val="TextSubtitlenumberingRCItalic"/>
        <w:ind w:left="357" w:hanging="357"/>
        <w:rPr>
          <w:noProof/>
        </w:rPr>
      </w:pPr>
      <w:r>
        <w:rPr>
          <w:noProof/>
        </w:rPr>
        <w:t>Инвестиции, държани до падеж</w:t>
      </w:r>
    </w:p>
    <w:p>
      <w:pPr>
        <w:pStyle w:val="DGTextstand-alone"/>
      </w:pPr>
      <w:r>
        <w:t xml:space="preserve">Инвестициите, държани до падеж, представляват недеривативни финансови активи с фиксирани или определими плащания и фиксиран падеж, които ЕС има категоричното намерение и възможност да държи до падеж. През тази финансова година ЕС не държа инвестиции в тази категория. </w:t>
      </w:r>
    </w:p>
    <w:p>
      <w:pPr>
        <w:pStyle w:val="TextSubtitlenumberingRCItalic"/>
        <w:ind w:left="357" w:hanging="357"/>
        <w:rPr>
          <w:noProof/>
        </w:rPr>
      </w:pPr>
      <w:r>
        <w:rPr>
          <w:noProof/>
        </w:rPr>
        <w:t>Финансови активи, обявени за продажба</w:t>
      </w:r>
    </w:p>
    <w:p>
      <w:pPr>
        <w:pStyle w:val="DGTextstand-alone"/>
      </w:pPr>
      <w:r>
        <w:t>Обявените за продажба финансови активи са недеривативни инструменти, които или се посочват в тази категория, или не се класифицират в никоя от другите категории. Те се класифицират или като текущи, или като нетекущи активи в зависимост от периода от време, през който ЕС очаква да ги държи. Инвестициите в субекти, които не са консолидирани и не се отчитат по метода на собствения капитал, и другите инвестиции от капиталов вид (напр. операциите с рисков капитал), също се класифицират като финансови активи, обявени за продажба.</w:t>
      </w:r>
    </w:p>
    <w:p>
      <w:pPr>
        <w:pStyle w:val="HEADER5"/>
        <w:rPr>
          <w:b/>
          <w:noProof/>
        </w:rPr>
      </w:pPr>
      <w:r>
        <w:rPr>
          <w:noProof/>
        </w:rPr>
        <w:t>Първоначално признаване и оценяване</w:t>
      </w:r>
    </w:p>
    <w:p>
      <w:pPr>
        <w:pStyle w:val="DGTextstand-alone"/>
      </w:pPr>
      <w:r>
        <w:t>Покупките и продажбите на финансови активи, класифицирани като „по справедлива стойност чрез излишъка или дефицита“, „държани до падеж“ или „обявени за продажба“, се признават на тяхната дата на търгуване — датата, на която ЕС поема задължение да закупи или продаде актива. Паричните еквиваленти и заемите се признават, когато паричните средства бъдат вложени във финансова институция или отпуснати на заемополучателите. Финансовите инструменти първоначално се признават по справедлива стойност. Трансакционните разходи за всички финансови активи, които не са отчетени по справедлива стойност чрез излишъка или дефицита, се добавят към справедливата стойност при първоначалното признаване. Финансовите активи, отчетени по справедлива стойност чрез излишъка или дефицита, първоначално се признават по справедлива стойност, а трансакционните разходи се вписват като разход в отчета за финансовия резултат.</w:t>
      </w:r>
    </w:p>
    <w:p>
      <w:pPr>
        <w:pStyle w:val="DGTextstand-alone"/>
      </w:pPr>
      <w:r>
        <w:t>Справедливата стойност на финансов актив при първоначалното признаване обикновено е цената на сделката (т.е. справедливата стойност на полученото възнаграждение), освен ако справедливата стойност на този инструмент се доказва чрез сравняване с други наблюдаеми текущи пазарни сделки със същия инструмент или въз основа на техника за оценяване, чиито променливи включват само данни от наблюдаеми пазари (напр. при някои договори за деривативи). Въпреки това, когато бъде отпуснат дългосрочен безлихвен заем или дългосрочен заем, чиято лихва е под пазарните условия, неговата справедлива стойност може да бъде оценена като настоящата стойност на всички бъдещи парични постъпления, дисконтирани посредством преобладаващия пазарен лихвен процент за подобен инструмент с подобен кредитен рейтинг.</w:t>
      </w:r>
    </w:p>
    <w:p>
      <w:pPr>
        <w:pStyle w:val="DGTextstand-alone"/>
      </w:pPr>
      <w:r>
        <w:t>Отпуснатите заеми се оценяват по номиналната им стойност, която се счита за справедливата стойност на заема. Обяснението за това е следното:</w:t>
      </w:r>
    </w:p>
    <w:p>
      <w:pPr>
        <w:pStyle w:val="DGTextstand-alone"/>
        <w:numPr>
          <w:ilvl w:val="0"/>
          <w:numId w:val="22"/>
        </w:numPr>
        <w:pBdr>
          <w:top w:val="nil"/>
          <w:left w:val="nil"/>
          <w:bottom w:val="nil"/>
          <w:right w:val="nil"/>
          <w:between w:val="nil"/>
          <w:bar w:val="nil"/>
        </w:pBdr>
      </w:pPr>
      <w:r>
        <w:t>„Пазарната среда“ за отпускане на заеми от ЕС е много специфична и различна от капиталовия пазар, използван за емитиране на корпоративни или държавни облигации. Тъй като заемодателите на тези пазари имат възможността да изберат алтернативни инвестиции, тази възможност се отчита в пазарните цени. Тази възможност за алтернативни инвестиции обаче не съществува за ЕС, който няма право да инвестира пари на капиталовите пазари. Той само взема средства назаем с цел отпускане на заеми при същия лихвен процент. Това означава, че за взетите назаем суми ЕС не разполага с алтернативен вариант за отпускане на заеми или за инвестиране. Ето защо не съществува алтернативен разход и следователно не съществува база за сравнение с пазарните проценти. Всъщност самата операция на ЕС по отпускане на заем представлява пазарът. По същество, тъй като алтернативният разход „вариант“ не важи, пазарната цена не отразява справедливо същността на операциите на ЕС по отпускане на заеми. Поради това не е подходящо справедливата стойност на отпускането на заеми от страна на ЕС да се определя с упоменаване на корпоративни или държавни облигации.</w:t>
      </w:r>
    </w:p>
    <w:p>
      <w:pPr>
        <w:pStyle w:val="DGTextstand-alone"/>
        <w:numPr>
          <w:ilvl w:val="0"/>
          <w:numId w:val="22"/>
        </w:numPr>
        <w:pBdr>
          <w:top w:val="nil"/>
          <w:left w:val="nil"/>
          <w:bottom w:val="nil"/>
          <w:right w:val="nil"/>
          <w:between w:val="nil"/>
          <w:bar w:val="nil"/>
        </w:pBdr>
      </w:pPr>
      <w:r>
        <w:t>Освен това, тъй като няма активен пазар или подобни операции, с които да се направи сравнение, лихвеният процент, който ЕС трябва да използва за определяне на справедливата стойност на своите операции по отпускане на заеми в рамките на ЕМФС, за подпомагане на ПБ и други такива заеми, следва да бъде дължимият лихвен процент.</w:t>
      </w:r>
    </w:p>
    <w:p>
      <w:pPr>
        <w:pStyle w:val="DGTextstand-alone"/>
        <w:numPr>
          <w:ilvl w:val="0"/>
          <w:numId w:val="22"/>
        </w:numPr>
        <w:pBdr>
          <w:top w:val="nil"/>
          <w:left w:val="nil"/>
          <w:bottom w:val="nil"/>
          <w:right w:val="nil"/>
          <w:between w:val="nil"/>
          <w:bar w:val="nil"/>
        </w:pBdr>
      </w:pPr>
      <w:r>
        <w:t>Освен това за тези заеми има компенсиращи ефекти между отпуснатите и получените заеми поради техния реципрочен характер („бек-ту-бек“). Поради това ефективната лихва за отпуснатия заем е равна на ефективната лихва за свързаните с него получени заеми. Трансакционните разходи, направени от ЕС и след това начислени на бенефициера на заема, се признават направо в отчета за финансовия резултат.</w:t>
      </w:r>
    </w:p>
    <w:p>
      <w:pPr>
        <w:pStyle w:val="DGTextstand-alone"/>
      </w:pPr>
      <w:r>
        <w:t>Финансовите инструменти се отписват, когато правата за получаване на парични потоци от инвестициите са изтекли или ЕС по същество е прехвърлил всички рискове и ползи от собствеността на друга страна.</w:t>
      </w:r>
    </w:p>
    <w:p>
      <w:pPr>
        <w:pStyle w:val="HEADER5"/>
        <w:rPr>
          <w:noProof/>
        </w:rPr>
      </w:pPr>
      <w:r>
        <w:rPr>
          <w:noProof/>
        </w:rPr>
        <w:t>Последващо оценяване</w:t>
      </w:r>
    </w:p>
    <w:p>
      <w:pPr>
        <w:pStyle w:val="DGTextstand-alone"/>
        <w:pBdr>
          <w:top w:val="nil"/>
          <w:left w:val="nil"/>
          <w:bottom w:val="nil"/>
          <w:right w:val="nil"/>
          <w:between w:val="nil"/>
          <w:bar w:val="nil"/>
        </w:pBdr>
        <w:ind w:left="720" w:hanging="360"/>
      </w:pPr>
      <w:r>
        <w:t>а)</w:t>
      </w:r>
      <w:r>
        <w:tab/>
        <w:t>Финансовите активи, отчетени по справедлива стойност чрез излишъка или дефицита, впоследствие се отчитат по справедлива стойност. Печалбите и загубите, възникващи от промени в справедливата стойност на категорията „финансови инструменти по справедлива стойност чрез излишъка или дефицита“, се включват в отчета за финансовия резултат през периода, в който възникват.</w:t>
      </w:r>
    </w:p>
    <w:p>
      <w:pPr>
        <w:pStyle w:val="DGTextstand-alone"/>
        <w:pBdr>
          <w:top w:val="nil"/>
          <w:left w:val="nil"/>
          <w:bottom w:val="nil"/>
          <w:right w:val="nil"/>
          <w:between w:val="nil"/>
          <w:bar w:val="nil"/>
        </w:pBdr>
        <w:ind w:left="720" w:hanging="360"/>
      </w:pPr>
      <w:r>
        <w:t>б)</w:t>
      </w:r>
      <w:r>
        <w:tab/>
        <w:t>Заемите и вземанията се отчитат по амортизирана стойност чрез метода на ефективната лихва. В случай на заеми, отпуснати от заемни средства, същата ефективна лихва се прилага както за отпуснатите, така и за получените заеми, тъй като тези отпуснати заеми имат характеристиките на операции от вида „бек-ту-бек“ (back-to-back) и разликите между условията за отпускане и получаване на заем и между размера на отпуснатите и получените заеми не са съществени. Трансакционните разходи, направени от ЕС и след това начислени на бенефициера на заема, се признават направо в отчета за финансовия резултат.</w:t>
      </w:r>
    </w:p>
    <w:p>
      <w:pPr>
        <w:pStyle w:val="DGTextstand-alone"/>
        <w:pBdr>
          <w:top w:val="nil"/>
          <w:left w:val="nil"/>
          <w:bottom w:val="nil"/>
          <w:right w:val="nil"/>
          <w:between w:val="nil"/>
          <w:bar w:val="nil"/>
        </w:pBdr>
        <w:ind w:left="720" w:hanging="360"/>
      </w:pPr>
      <w:r>
        <w:t>в)</w:t>
      </w:r>
      <w:r>
        <w:tab/>
        <w:t>Активите, държани до падеж, се отчитат по амортизирана стойност чрез метода на ефективната лихва. Понастоящем ЕС не държи инвестиции, държани до падеж.</w:t>
      </w:r>
    </w:p>
    <w:p>
      <w:pPr>
        <w:pStyle w:val="DGTextstand-alone"/>
        <w:pBdr>
          <w:top w:val="nil"/>
          <w:left w:val="nil"/>
          <w:bottom w:val="nil"/>
          <w:right w:val="nil"/>
          <w:between w:val="nil"/>
          <w:bar w:val="nil"/>
        </w:pBdr>
        <w:ind w:left="720" w:hanging="360"/>
      </w:pPr>
      <w:r>
        <w:t>г)</w:t>
      </w:r>
      <w:r>
        <w:tab/>
        <w:t>Финансовите активи, обявени за продажба, впоследствие се отчитат по справедлива стойност. Печалбите и загубите, възникващи от промени в справедливата стойност на финансовите активи, обявени за продажба, се признават в резерва по справедлива стойност, с изключение на разликите от конвертиране на паричните активи, които се признават в отчета за финансовия резултат. Когато активи, класифицирани като финансови активи, обявени за продажба, бъдат отписани или се обезценят, кумулативните корекции на справедливата стойност, които преди са били признати в резерва по справедлива стойност, се признават в отчета за финансовия резултат. Лихвата по финансовите активи, обявени за продажба, изчислена по метода на ефективната лихва, се признава в отчета за финансовия резултат. Дивидентите от капиталови инструменти, обявени за продажба, се признават, когато бъде установено правото на ЕС да получи плащането.</w:t>
      </w:r>
    </w:p>
    <w:p>
      <w:pPr>
        <w:pStyle w:val="DGTextstand-alone"/>
      </w:pPr>
      <w:r>
        <w:t xml:space="preserve">Справедливата стойност на инвестициите, котирани на активни пазари, се основава на текущите цени „купува“. Ако пазарът за даден финансов актив не е активен (и за нерегистрирани на борсата ценни книжа и извънборсови деривативи), ЕС определя справедлива стойност с помощта на техники за оценяване. Те включват използването на скорошни операции между несвързани страни, отнасяне към други инструменти, които по същество са същите, анализ на дисконтирания паричен поток, модели на ценообразуване на опции и други техники за оценяване, обикновено използвани от участниците на пазара. </w:t>
      </w:r>
    </w:p>
    <w:p>
      <w:pPr>
        <w:pStyle w:val="DGTextstand-alone"/>
      </w:pPr>
      <w:r>
        <w:t>Инвестициите във фондове за рисков капитал, които са класифицирани като финансови активи, обявени за продажба, и които нямат котирана пазарна цена на активен пазар, се оценяват по нетната стойност на активите, която може да им бъде приписана и която се счита за еквивалент на справедливата им стойност.</w:t>
      </w:r>
    </w:p>
    <w:p>
      <w:pPr>
        <w:pStyle w:val="DGTextstand-alone"/>
      </w:pPr>
      <w:r>
        <w:t>Когато справедливата стойност на инвестициите в капиталови инструменти, които нямат посочена пазарна цена на активен пазар, не може да бъде оценена по надежден начин, тези инвестиции се оценяват по себестойност минус загубите от обезценка.</w:t>
      </w:r>
    </w:p>
    <w:p>
      <w:pPr>
        <w:pStyle w:val="HEADER5"/>
        <w:rPr>
          <w:b/>
          <w:noProof/>
        </w:rPr>
      </w:pPr>
      <w:r>
        <w:rPr>
          <w:noProof/>
        </w:rPr>
        <w:t>Обезценка на финансови активи</w:t>
      </w:r>
    </w:p>
    <w:p>
      <w:pPr>
        <w:pStyle w:val="DGTextstand-alone"/>
      </w:pPr>
      <w:r>
        <w:t>Финансов актив се е обезценил и се признава загуба, ако и само тогава, когато съществува обективно доказателство за обезценка в резултат на едно или повече събития, настъпили след първоначалното признаване на актива, и това събитие (или събития), което води до загуба, има измеримо по надежден начин въздействие върху очакваните бъдещи парични потоци по финансовия актив. Към датата на всяко отчитане ЕС преценява дали има обективни доказателства, че даден финансов актив се е обезценил.</w:t>
      </w:r>
    </w:p>
    <w:p>
      <w:pPr>
        <w:pStyle w:val="TextSubtitleItalicnumberinglettera"/>
        <w:numPr>
          <w:ilvl w:val="0"/>
          <w:numId w:val="0"/>
        </w:numPr>
        <w:rPr>
          <w:noProof/>
        </w:rPr>
      </w:pPr>
      <w:r>
        <w:rPr>
          <w:noProof/>
        </w:rPr>
        <w:t>а)</w:t>
      </w:r>
      <w:r>
        <w:rPr>
          <w:noProof/>
        </w:rPr>
        <w:tab/>
        <w:t>Активи, отчетени по амортизирана стойност</w:t>
      </w:r>
    </w:p>
    <w:p>
      <w:pPr>
        <w:pStyle w:val="DGTextstand-alone"/>
      </w:pPr>
      <w:r>
        <w:t>Ако има обективно доказателство, че е възникнала загуба от обезценка по заеми и вземания или по инвестиции, държани до падеж, които са отчетени по амортизирана стойност, размерът на загубата се оценява като разликата между балансовата стойност на актива и настоящата стойност на очакваните бъдещи парични потоци (като се изключват бъдещите кредитни загуби, които не са възникнали), дисконтирани по първоначалния ефективен лихвен процент на финансовия актив. Балансовата стойност на актива се намалява и стойността на загубата се признава в отчета за финансовия резултат. Ако заем или инвестиция, държана до падеж, има променлив лихвен процент, дисконтовият процент за оценяване на всяка загуба от обезценка е текущият ефективен лихвен процент, определен съгласно договора. Изчисляването на настоящата стойност на очакваните бъдещи парични потоци по обезпечен финансов актив отразява паричните потоци, които могат да произтекат от конфискацията, минус разходите по придобиването и продажбата на обезпечението, без значение дали конфискацията е вероятна или не. Ако в следващ период размерът на загубата от обезценка намалее и намалението може обективно да бъде свързано със събитие, настъпило след като обезценката е била призната, признатата преди това загуба от обезценка се сторнира чрез отчета за финансовия резултат.</w:t>
      </w:r>
    </w:p>
    <w:p>
      <w:pPr>
        <w:pStyle w:val="TextSubtitleItalicnumberinglettera"/>
        <w:numPr>
          <w:ilvl w:val="0"/>
          <w:numId w:val="0"/>
        </w:numPr>
        <w:rPr>
          <w:noProof/>
        </w:rPr>
      </w:pPr>
      <w:r>
        <w:rPr>
          <w:noProof/>
        </w:rPr>
        <w:t>б)</w:t>
      </w:r>
      <w:r>
        <w:rPr>
          <w:noProof/>
        </w:rPr>
        <w:tab/>
        <w:t>Активи, отчетени по справедлива стойност</w:t>
      </w:r>
    </w:p>
    <w:p>
      <w:pPr>
        <w:pStyle w:val="DGTextstand-alone"/>
      </w:pPr>
      <w:r>
        <w:t>В случай на капиталови инвестиции, класифицирани като финансови активи, обявени за продажба, при определяне на това дали ценните книжа са се обезценили се взема предвид значителният или постоянен (продължителен) спад в справедливата стойност на ценната книга под нейната себестойност. Ако съществува такова доказателство за финансови активи, обявени за продажба, кумулативната загуба — оценявана като разликата между цената на придобиване и текущата справедлива стойност, минус загубите от обезценка по този финансов актив, вече признати в отчета за финансовия резултат — се отстранява от резервите и се признава в отчета за финансовия резултат. Признатите в отчета за финансовия резултат загуби от обезценка на капиталовите инструменти не се сторнират чрез отчета за финансовия резултат. Ако през следващ период справедливата стойност на дългов инструмент, класифициран като финансов актив, обявен за продажба, нарасне и нарастването може обективно да бъде свързано със събитие, настъпило след признаването на загубата от обезценка, загубата от обезценка се сторнира чрез отчета за финансовия резултат.</w:t>
      </w:r>
    </w:p>
    <w:p>
      <w:pPr>
        <w:pStyle w:val="HEADER3NOTES"/>
        <w:rPr>
          <w:noProof/>
        </w:rPr>
      </w:pPr>
      <w:r>
        <w:rPr>
          <w:noProof/>
        </w:rPr>
        <w:t>Материални запаси</w:t>
      </w:r>
    </w:p>
    <w:p>
      <w:pPr>
        <w:pStyle w:val="DGTextstand-alone"/>
        <w:spacing w:after="0"/>
      </w:pPr>
      <w:r>
        <w:t>Материалните запаси се посочват по по-ниската от следните две стойности — себестойността и нетната реализируема стойност. Себестойността се определя посредством метода първа входяща, първа изходяща (FIFO). Себестойността на завършените стоки и на започнатата работа включва суровините, прекия труд, другите разходи, които могат директно да им се припишат, и свързаните с производството режийни разходи (въз основа на обичайния работен капацитет). Нетната реализируема стойност е очакваната продажна цена в нормалния ход на дейността минус разходите по завършване и продажба. Когато материалните запаси са държани за дистрибуция без разход или при номинален разход, те се оценяват по по-ниската от следните две стойности — себестойността и текущата възстановителна стойност. Текущата възстановителна стойност е разходът, който ЕС би направил, за да придобие актива на отчетната дата.</w:t>
      </w:r>
    </w:p>
    <w:p>
      <w:pPr>
        <w:pStyle w:val="HEADER3NOTES"/>
        <w:rPr>
          <w:noProof/>
        </w:rPr>
      </w:pPr>
      <w:r>
        <w:rPr>
          <w:noProof/>
        </w:rPr>
        <w:t>Суми по предварително финансиране</w:t>
      </w:r>
    </w:p>
    <w:p>
      <w:pPr>
        <w:pStyle w:val="DGTextstand-alone"/>
      </w:pPr>
      <w:r>
        <w:t xml:space="preserve">Предварителното финансиране е плащане, предназначено да осигури на бенефициера паричен аванс, т.е. налични средства. То може да се раздели на няколко плащания в продължение на период от време, определен в конкретния договор, решение, споразумение или основен правен акт. Наличните средства, или авансът, се използват за целта, за която са осигурени, през периода, определен в споразумението, или се връщат. Ако бенефициерът не направи допустими разходи, той е длъжен да върне предварителното финансиране на ЕС. Тъй като ЕС запазва контрола върху предварителното финансиране и има право да му бъде върната недопустимата част, сумата се представя като актив. </w:t>
      </w:r>
    </w:p>
    <w:p>
      <w:pPr>
        <w:pStyle w:val="DGTextstand-alone"/>
      </w:pPr>
      <w:r>
        <w:t>Първоначално предварителното финансиране се признава в счетоводния баланс, когато средствата бъдат прехвърлени на получателя. То се оценява по стойността на даденото възнаграждение. През следващите периоди предварителното финансиране се оценява по стойността, първоначално призната в счетоводния баланс, минус допустимите разходи (включително прогнозните суми, когато е необходимо), направени през периода.</w:t>
      </w:r>
    </w:p>
    <w:p>
      <w:pPr>
        <w:pStyle w:val="DGTextstand-alone"/>
      </w:pPr>
      <w:r>
        <w:t>Лихвата по предварителното финансиране се признава в момента на начисляването ѝ в съответствие с разпоредбите на съответното споразумение. В края на годината се прави приблизителна оценка на начислените приходи от лихви въз основа на най-надеждната информация и тази оценка се включва в счетоводния баланс.</w:t>
      </w:r>
    </w:p>
    <w:p>
      <w:pPr>
        <w:pStyle w:val="DGTextstand-alone"/>
      </w:pPr>
      <w:r>
        <w:t>Другите авансови средства, предоставени на държавите членки, които произхождат от възстановяването от страна на ЕС на суми, платени авансово от държавите членки на техните бенефициери (включително финансовите инструменти под режим споделено управление), се признават като активи и се представят в позицията за предварителното финансиране. Другите авансови средства, предоставени на държавите членки, впоследствие се оценяват по стойността, първоначално призната в счетоводния баланс, минус най-точната оценка на допустимите разходи, направени от крайните бенефициери, изчислена въз основа на разумни предположения, които могат да бъдат подкрепени.</w:t>
      </w:r>
    </w:p>
    <w:p>
      <w:pPr>
        <w:pStyle w:val="DGTextstand-alone"/>
      </w:pPr>
      <w:r>
        <w:t>Средствата, отпуснати за доверителните фондове на ЕС, които не са консолидирани в Европейската комисия, или за други неконсолидирани субекти, се класифицират като предварително финансиране, тъй като целта им е да осигурят налични средства на доверителния фонд, за да може той да финансира конкретни действия, които са определени в целите на доверителния фонд. Средствата от ЕС за доверителните фондове се оценяват по първоначалната стойност на финансовия принос на ЕС минус допустимите разходи, включително прогнозните суми, когато е необходимо, направени от доверителния фонд през отчетния период и отнесени към финансовия принос на ЕС съгласно съответното споразумение.</w:t>
      </w:r>
    </w:p>
    <w:p>
      <w:pPr>
        <w:pStyle w:val="HEADER3NOTES"/>
        <w:rPr>
          <w:noProof/>
        </w:rPr>
      </w:pPr>
      <w:r>
        <w:rPr>
          <w:noProof/>
        </w:rPr>
        <w:t>Вземания по операции с размяна и средства, подлежащи на събиране, по операции без размяна</w:t>
      </w:r>
    </w:p>
    <w:p>
      <w:pPr>
        <w:pStyle w:val="DGTextstand-alone"/>
      </w:pPr>
      <w:r>
        <w:t>Съгласно счетоводните правила на ЕС операциите с размяна и операциите без размяна се представят отделно. За да се разграничат двете категории, терминът „вземания“ е запазен за операциите с размяна, а за операциите без размяна, т.е. когато ЕС получава стойност от друг субект, без да дава директно приблизително същата стойност в замяна, се използва терминът „средства, подлежащи на събиране“ (напр. средствата, които държавите членки трябва да предоставят във връзка със собствените ресурси).</w:t>
      </w:r>
    </w:p>
    <w:p>
      <w:pPr>
        <w:pStyle w:val="DGTextstand-alone"/>
      </w:pPr>
      <w:r>
        <w:t>Вземанията от операции с размяна отговарят на определението за финансови инструменти и поради това се класифицират като заеми и вземания и се оценяват по съответния начин (вж. бележка </w:t>
      </w:r>
      <w:r>
        <w:rPr>
          <w:b/>
        </w:rPr>
        <w:t>1.5.5</w:t>
      </w:r>
      <w:r>
        <w:t>). Оповестените данни в бележките за финансовите инструменти във връзка с вземанията от операции с размяна включват начислените приходи и разходите за бъдещи периоди от операции с размяна, тъй като те не са съществени. Прави се общо намаление въз основа на опит от миналото за неизпълнените нареждания за събиране на вземания, които не подлежат на специфично намаление.</w:t>
      </w:r>
    </w:p>
    <w:p>
      <w:pPr>
        <w:pStyle w:val="DGTextstand-alone"/>
        <w:spacing w:after="0"/>
      </w:pPr>
      <w:r>
        <w:t>Средствата, подлежащи на събиране, от операции без размяна се отчитат по справедлива стойност към датата на придобиване (коригирана с лихвите и глобите) минус намалението за обезценка. Намаление за обезценка на средствата, подлежащи на събиране, от операции без размяна се установява, когато има обективно доказателство, че ЕС няма да може да събере всички дължими суми в съответствие с първоначалните срокове, предвидени за средствата, подлежащи на събиране, от операции без размяна. Размерът на намалението е разликата между балансовата стойност на актива и възстановимата стойност. Стойността на намалението се признава в отчета за финансовия резултат. Прави се и общо намаление, въз основа на опит от миналото, за неизпълнените нареждания за събиране на вземания, които не подлежат на специфично намаление. Вж. бележка </w:t>
      </w:r>
      <w:r>
        <w:rPr>
          <w:b/>
        </w:rPr>
        <w:t>1.5.14</w:t>
      </w:r>
      <w:r>
        <w:t xml:space="preserve"> относно третирането на начислените приходи към края на годината. Сумите, посочени и оповестени като средства, подлежащи на събиране, от операции без размяна, не са финансови инструменти, тъй като не са следствие от договор, който ще доведе до финансово задължение или капиталов инструмент. При все това, когато е целесъобразно, в бележките към финансовите отчети средствата, подлежащи на събиране, от операции без размяна са оповестени заедно с вземанията от операции с размяна.</w:t>
      </w:r>
    </w:p>
    <w:p>
      <w:pPr>
        <w:pStyle w:val="HEADER3NOTES"/>
        <w:rPr>
          <w:noProof/>
        </w:rPr>
      </w:pPr>
      <w:r>
        <w:rPr>
          <w:noProof/>
        </w:rPr>
        <w:t>Пари и парични еквиваленти</w:t>
      </w:r>
    </w:p>
    <w:p>
      <w:pPr>
        <w:pStyle w:val="DGTextstand-alone"/>
      </w:pPr>
      <w:r>
        <w:t>Парите и паричните еквиваленти представляват финансови инструменти и включват парите в брой, депозитите по разплащателни или краткосрочни спестовни сметки в банки и другите краткосрочни високоликвидни инвестиции с първоначален срок от три месеца или под три месеца.</w:t>
      </w:r>
    </w:p>
    <w:p>
      <w:pPr>
        <w:pStyle w:val="HEADER3NOTES"/>
        <w:rPr>
          <w:noProof/>
        </w:rPr>
      </w:pPr>
      <w:r>
        <w:rPr>
          <w:noProof/>
        </w:rPr>
        <w:t>Доходи на наети лица</w:t>
      </w:r>
    </w:p>
    <w:p>
      <w:pPr>
        <w:pStyle w:val="DGTextstand-alone"/>
      </w:pPr>
      <w:r>
        <w:t>ЕС предоставя на служителите набор от доходи (възнаграждения и социална сигурност). За счетоводни цели те трябва да бъдат класифицирани като краткосрочни доходи и доходи след напускане.</w:t>
      </w:r>
    </w:p>
    <w:p>
      <w:pPr>
        <w:pStyle w:val="HEADER5"/>
        <w:rPr>
          <w:b/>
          <w:noProof/>
        </w:rPr>
      </w:pPr>
      <w:r>
        <w:rPr>
          <w:noProof/>
        </w:rPr>
        <w:t>Краткосрочни доходи на наети лица</w:t>
      </w:r>
    </w:p>
    <w:p>
      <w:pPr>
        <w:pStyle w:val="DGTextstand-alone"/>
      </w:pPr>
      <w:r>
        <w:t>Краткосрочните доходи на наети лица са доходите, които трябва да бъдат изплатени, преди да са изтекли дванадесет месеца след края на отчетния период, през който служителите са предоставили услугата. Такива доходи са например заплатите, годишният отпуск и платените отпуски по болест, както и други краткосрочни надбавки. Краткосрочните доходи на наети лица се признават като разход, когато свързаната с тях услуга бъде предоставена. Задължение за сумата, която се очаква да бъде платена, се признава, ако ЕС има настоящо правно или конструктивно задължение да плати в резултат на минала услуга, предоставена от служителя, и задължението може надеждно да бъде оценено.</w:t>
      </w:r>
    </w:p>
    <w:p>
      <w:pPr>
        <w:pStyle w:val="HEADER5"/>
        <w:rPr>
          <w:b/>
          <w:noProof/>
        </w:rPr>
      </w:pPr>
      <w:r>
        <w:rPr>
          <w:noProof/>
        </w:rPr>
        <w:t>Доходи след напускане</w:t>
      </w:r>
    </w:p>
    <w:p>
      <w:pPr>
        <w:pStyle w:val="DGTextstand-alone"/>
      </w:pPr>
      <w:r>
        <w:t>ЕС предоставя на служителите редица доходи след напускане, които включват пенсии за прослужено време, за инвалидност и за преживяло лице, предоставяни по линия на пенсионноосигурителната схема на европейските длъжностни лица (ПСЕДЛ), както и медицинска застраховка, предоставяна по линия на общата здравноосигурителна схема (ОЗОС) (вж. бележка </w:t>
      </w:r>
      <w:r>
        <w:rPr>
          <w:b/>
        </w:rPr>
        <w:t>2.9</w:t>
      </w:r>
      <w:r>
        <w:t>). Тези доходи се предоставят по линия на единен план — макар и разделен на две схеми — и трябва да се третират по сходен начин, за да се представи честно положението и да се отрази икономическата реалност:</w:t>
      </w:r>
    </w:p>
    <w:p>
      <w:pPr>
        <w:pStyle w:val="DGTextstand-alone"/>
        <w:numPr>
          <w:ilvl w:val="0"/>
          <w:numId w:val="24"/>
        </w:numPr>
        <w:pBdr>
          <w:top w:val="nil"/>
          <w:left w:val="nil"/>
          <w:bottom w:val="nil"/>
          <w:right w:val="nil"/>
          <w:between w:val="nil"/>
          <w:bar w:val="nil"/>
        </w:pBdr>
      </w:pPr>
      <w:r>
        <w:t>Пенсионноосигурителна схема на европейските длъжностни лица (ПСЕДЛ): Доходите, предоставяни по тази теоретично финансирана</w:t>
      </w:r>
      <w:r>
        <w:rPr>
          <w:rStyle w:val="FootnoteReference"/>
        </w:rPr>
        <w:footnoteReference w:id="13"/>
      </w:r>
      <w:r>
        <w:t xml:space="preserve"> схема, са свързани със старшинството, наличието на инвалидност и факта, че лице е преживяло смъртта на друго лице, както и със семейните надбавки, смъртта преди пенсиониране на служителите, които работят или са работили в институциите, агенциите и други </w:t>
      </w:r>
    </w:p>
    <w:p>
      <w:pPr>
        <w:pStyle w:val="DGTextstand-alone"/>
        <w:ind w:left="720"/>
      </w:pPr>
      <w:r>
        <w:t xml:space="preserve">органи на ЕС или са лица, преживели починали длъжностни лица или пенсионери. Една трета от очакваната стойност на тези доходи се финансира чрез удръжки от заплатите на служителите. </w:t>
      </w:r>
    </w:p>
    <w:p>
      <w:pPr>
        <w:pStyle w:val="DGTextstand-alone"/>
        <w:numPr>
          <w:ilvl w:val="0"/>
          <w:numId w:val="24"/>
        </w:numPr>
        <w:pBdr>
          <w:top w:val="nil"/>
          <w:left w:val="nil"/>
          <w:bottom w:val="nil"/>
          <w:right w:val="nil"/>
          <w:between w:val="nil"/>
          <w:bar w:val="nil"/>
        </w:pBdr>
      </w:pPr>
      <w:r>
        <w:t>Обща здравноосигурителна схема (ОЗОС): По тази схема ЕС предоставя здравно осигуряване за служителите на Европейската комисия, институциите, агенциите и други органи на ЕС чрез възстановяване на медицинските разходи. Доходите, изплащани на „неактивните лица“ в тази схема (т.е. пенсионери, сираци и т.н.), се класифицират като доходи след напускане.</w:t>
      </w:r>
    </w:p>
    <w:p>
      <w:pPr>
        <w:pStyle w:val="DGTextstand-alone"/>
      </w:pPr>
      <w:r>
        <w:t xml:space="preserve">ЕС предоставя също доходи след напускане на членовете на институциите на ЕС посредством отделни пенсионноосигурителни схеми. Те са посочени в позицията „Други схеми за доходи след пенсиониране“. По тези схеми ЕС предоставя пенсионни доходи на членовете на Комисията, Съда и Общия съд, Сметната палата, Съвета, Европейския парламент, Омбудсмана, Надзорния орган по защита на данните и Съда на публичната служба. ЕС предоставя здравно осигуряване на членовете на институциите на ЕС чрез ОЗОС. </w:t>
      </w:r>
    </w:p>
    <w:p>
      <w:pPr>
        <w:pStyle w:val="DGTextstand-alone"/>
      </w:pPr>
      <w:r>
        <w:t>Упоменатите по-горе доходи след напускане представляват задължения на ЕС за изплащане на дефинирани доходи и се изчисляват към всяка отчетна дата чрез оценяване на размера на бъдещите доходи, които служителите са спечелили през текущия и предходните периоди, като тази сума се дисконтира и се приспада справедливата стойност на активите на плана. Задължението за изплащане на дефинирани доходи се изчислява ежегодно, като се използва кредитният метод на прогнозираните единици. Настоящата стойност на задължението за изплащане на дефинирани доходи се определя чрез дисконтиране на очакваните бъдещи изходящи парични потоци, като се използват лихвени проценти на държавни облигации във валутата, в която ще се изплащат доходите, и които имат падежни срокове, приблизително отговарящи на сроковете на съответното пенсионно задължение.</w:t>
      </w:r>
    </w:p>
    <w:p>
      <w:pPr>
        <w:pStyle w:val="DGTextstand-alone"/>
      </w:pPr>
      <w:r>
        <w:t xml:space="preserve">Доходите след напускане, предоставяни на служителите на ЕС, са включени в единен план, обхващащ както пенсионноосигурителна схема (ПСЕДЛ), така и здравноосигурителна схема (ОЗОС), като правото на осигуряване по ОЗОС зависи от това дали е придобито право на осигуряване по ПСЕДЛ. Съгласно условията на този единен план, както е посочено в Правилника за персонала, някои права, като например правото на отложена и намалена пенсия по ПСЕДЛ, се придобиват след 10 години трудов стаж. При все това правата, придобити по единния план чрез последващия трудов стаж на служителя, са съществено по-високи от първоначалните права, както е видно от следващите ежегодно начислявани пенсионни права. </w:t>
      </w:r>
    </w:p>
    <w:p>
      <w:pPr>
        <w:pStyle w:val="DGTextstand-alone"/>
      </w:pPr>
      <w:r>
        <w:t>Поради това, за да се онагледи икономическата същност на операцията, изисквана от свързаната с достоверното представяне качествена характеристика на финансовото отчитане, съгласно СПЕС 1 и концептуалната рамка на МССПС, направените разходи за трудов стаж се начисляват по линейния метод през прогнозния период на активна служба на служителя, т.е. периода от датата, от която трудовият стаж на служителя води за първи път до доходи по плана (независимо от това дали доходите зависят от допълнителен трудов стаж), до датата, на която следващият трудов стаж на служителя не води до допълнителни доходи със съществен размер по плана, с изключение на следващите повишения на заплатата. Този подход се прилага последователно по отношение на доходите, предвидени в единния план.</w:t>
      </w:r>
    </w:p>
    <w:p>
      <w:pPr>
        <w:pStyle w:val="DGTextstand-alone"/>
      </w:pPr>
      <w:r>
        <w:t xml:space="preserve">Преоценките на нетното задължение за изплащане на дефинирани доходи включват актюерските печалби и загуби и възвръщаемостта на активите на плана и се признават незабавно в нетните активи. </w:t>
      </w:r>
    </w:p>
    <w:p>
      <w:pPr>
        <w:pStyle w:val="DGTextstand-alone"/>
      </w:pPr>
      <w:r>
        <w:t>ЕС признава нетните разходи за (приходи от) лихви и други разходи, свързани с плановете за дефинирани доходи, в отчета за финансовия резултат в позицията „Разходи за персонал и за пенсии“.</w:t>
      </w:r>
    </w:p>
    <w:p>
      <w:pPr>
        <w:pStyle w:val="DGTextstand-alone"/>
      </w:pPr>
      <w:r>
        <w:t>Когато предоставяните доходи бъдат променени или намалени, произтичащата от това промяна на доходите, отнасяща се до минал трудов стаж, или печалбата или загубата от намалението се признават незабавно в отчета за финансовия резултат. Печалбите и загубите от уреждането на задължението се признават при неговото извършване. Разходите за минал трудов стаж се признават незабавно в отчета за финансовия резултат, освен когато промените зависят от това служителите да останат на служба за определен период от време.</w:t>
      </w:r>
    </w:p>
    <w:p>
      <w:pPr>
        <w:pStyle w:val="HEADER3NOTES"/>
        <w:rPr>
          <w:noProof/>
        </w:rPr>
      </w:pPr>
      <w:r>
        <w:rPr>
          <w:noProof/>
        </w:rPr>
        <w:t>Провизии</w:t>
      </w:r>
    </w:p>
    <w:p>
      <w:pPr>
        <w:pStyle w:val="DGTextstand-alone"/>
      </w:pPr>
      <w:r>
        <w:t>Провизиите се признават, когато ЕС има настоящо правно или конструктивно задължение към трети страни в резултат на минали събития, когато е по-вероятно да е необходим изходящ поток от ресурси за уреждане на задължението и когато сумата може да бъде надеждно оценена. Провизии не се признават за бъдещи оперативни загуби. Размерът на провизията е най-точната оценка на разходите, които се очаква да бъдат необходими за погасяване на настоящото задължение към отчетната дата. Когато провизията включва голям брой позиции, задължението се оценява, като бъдат претеглени всички възможни резултати чрез свързаните с тях вероятности (метод на очакваната стойност).</w:t>
      </w:r>
    </w:p>
    <w:p>
      <w:pPr>
        <w:pStyle w:val="DGTextstand-alone"/>
      </w:pPr>
      <w:r>
        <w:t>Провизиите за обременяващи договори се оценяват по настоящата стойност на по-ниския от следните два вида разходи: очакваните разходи за прекратяване на договора и очакваните нетни разходи за продължаване на изпълнението му.</w:t>
      </w:r>
    </w:p>
    <w:p>
      <w:pPr>
        <w:pStyle w:val="HEADER3NOTES"/>
        <w:rPr>
          <w:noProof/>
        </w:rPr>
      </w:pPr>
      <w:r>
        <w:rPr>
          <w:noProof/>
        </w:rPr>
        <w:t>Финансови пасиви</w:t>
      </w:r>
    </w:p>
    <w:p>
      <w:pPr>
        <w:pStyle w:val="DGTextstand-alone"/>
      </w:pPr>
      <w:r>
        <w:t>Финансовите пасиви се класифицират като финансови пасиви по справедлива стойност чрез излишъка или дефицита, като финансови пасиви, отчетени по амортизирана стойност, или като задължения по финансови гаранции.</w:t>
      </w:r>
    </w:p>
    <w:p>
      <w:pPr>
        <w:pStyle w:val="DGTextstand-alone"/>
      </w:pPr>
      <w:r>
        <w:t>Получените заеми се състоят от заеми от кредитни институции и дългове, удостоверени със сертификати. Те се признават първоначално по справедлива стойност, която представлява постъпленията от тяхното отпускане (справедливата стойност на полученото възнаграждение) след приспадане на направените трансакционни разходи, а впоследствие се отчитат по амортизирана стойност, като се използва методът на ефективната лихва. Всяка разлика между постъпленията, от които са приспаднати трансакционните разходи, и погасителната стойност се признава в отчета за финансовия резултат през срока на получените заеми, като се използва методът на ефективната лихва. В случай на заеми, отпуснати от заемни средства, методът на ефективната лихва не може да се прилага за отпуснатите заеми и за получените заеми по съображения за същественост. Трансакционните разходи, направени от ЕС и след това начислени на бенефициера на заема, се признават направо в отчета за финансовия резултат.</w:t>
      </w:r>
    </w:p>
    <w:p>
      <w:pPr>
        <w:pStyle w:val="DGTextstand-alone"/>
      </w:pPr>
      <w:r>
        <w:t>Финансовите пасиви, категоризирани по справедлива стойност чрез излишъка или дефицита, включват деривативите, когато справедливата стойност е отрицателна. Те следват същата счетоводна обработка като финансовите активи по справедлива стойност чрез излишъка или дефицита (вж. бележка </w:t>
      </w:r>
      <w:r>
        <w:rPr>
          <w:b/>
        </w:rPr>
        <w:t>1.5.5</w:t>
      </w:r>
      <w:r>
        <w:t xml:space="preserve">). </w:t>
      </w:r>
    </w:p>
    <w:p>
      <w:pPr>
        <w:pStyle w:val="DGTextstand-alone"/>
        <w:rPr>
          <w:spacing w:val="-6"/>
        </w:rPr>
      </w:pPr>
      <w:r>
        <w:rPr>
          <w:spacing w:val="-6"/>
        </w:rPr>
        <w:t>Задълженията по финансови гаранции първоначално се признават по справедлива стойност, която представлява получената премия. Впоследствие задълженията по финансови гаранции се оценяват по по-високата от следните две стойности — най-добрата прогноза за разходите, които се очаква да бъдат необходими за уреждане на задължението по финансови гаранции, и първоначално признатата стойност минус, когато е уместно, натрупаната амортизация. ЕС признава задължение по финансова гаранция, когато получава възнаграждение за предоставянето на гаранцията, т.е. при пазарни условия, или когато справедливата стойност на гаранцията може да бъде оценена по надежден начин. Ако не съществува активен пазар за пряко еквивалентен договор за гаранция, ЕС оповестява дадената гаранция като условен пасив (вж. бележка </w:t>
      </w:r>
      <w:r>
        <w:rPr>
          <w:b/>
          <w:spacing w:val="-6"/>
        </w:rPr>
        <w:t>1.7.2</w:t>
      </w:r>
      <w:r>
        <w:rPr>
          <w:spacing w:val="-6"/>
        </w:rPr>
        <w:t>) или — когато е по-вероятно да е необходим изходящ поток от ресурси за уреждане на задължението — ЕС признава провизия (вж. бележка </w:t>
      </w:r>
      <w:r>
        <w:rPr>
          <w:b/>
          <w:spacing w:val="-6"/>
        </w:rPr>
        <w:t>1.5.11</w:t>
      </w:r>
      <w:r>
        <w:rPr>
          <w:spacing w:val="-6"/>
        </w:rPr>
        <w:t>).</w:t>
      </w:r>
    </w:p>
    <w:p>
      <w:pPr>
        <w:pStyle w:val="DGTextstand-alone"/>
      </w:pPr>
      <w:r>
        <w:t xml:space="preserve">Финансовите пасиви се класифицират като нетекущи пасиви, освен когато падежът настъпва по-малко от 12 месеца след датата на счетоводния баланс. </w:t>
      </w:r>
    </w:p>
    <w:p>
      <w:pPr>
        <w:pStyle w:val="DGTextstand-alone"/>
      </w:pPr>
      <w:r>
        <w:t>Доверителните фондове на ЕС, които се считат за част от оперативните дейности на Комисията (т.е. доверителните фондове „Мадад“ и „Колумбия“), се отчитат в отчетите на Комисията и след това се консолидират в годишните отчети на ЕС. По тази причина средствата от други донори, предназначени за доверителните фондове на ЕС, отговарят при определени условия на критериите за приходи от операции без размяна и се представят като финансови задължения, докато условията, свързани с прехвърляните средства, бъдат изпълнени, т.е. докато доверителният фонд извърши допустими разходи. Доверителният фонд трябва да финансира конкретни проекти и да върне оставащите средства при приключването на дейността си. Към датата на счетоводния баланс задълженията по оставащите вноски се оценяват по стойността на получените вноски минус разходите, направени от доверителния фонд, включително прогнозните суми, когато е необходимо. За целите на отчитането нетните разходи се отнасят към вноските на други донори пропорционално на стойността на платените нетни вноски към 31 декември. Това отнасяне на вноските е само ориентировъчно. Когато дейността на доверителния фонд бъде прекратена, реалното разпределение на оставащите средства ще бъде определено от управителния съвет на доверителния фонд.</w:t>
      </w:r>
    </w:p>
    <w:p>
      <w:pPr>
        <w:pStyle w:val="HEADER3NOTES"/>
        <w:rPr>
          <w:noProof/>
        </w:rPr>
      </w:pPr>
      <w:r>
        <w:rPr>
          <w:noProof/>
        </w:rPr>
        <w:t>Задължения</w:t>
      </w:r>
    </w:p>
    <w:p>
      <w:pPr>
        <w:pStyle w:val="DGTextstand-alone"/>
      </w:pPr>
      <w:r>
        <w:t>Значителна част от задълженията на ЕС представляват неплатени декларации за направени разходи от бенефициери на безвъзмездни средства или на друго финансиране от ЕС (операции без размяна). Те се записват като задължения в размер на исканата сума при получаване на декларацията за разходи. След проверка и приемане на допустимите разходи задълженията се оценяват по допустимата стойност.</w:t>
      </w:r>
    </w:p>
    <w:p>
      <w:pPr>
        <w:pStyle w:val="DGTextstand-alone"/>
      </w:pPr>
      <w:r>
        <w:t>Задълженията, възникващи от закупуването на стоки и услуги, се признават при получаването на фактурата за първоначалната сума и съответните допустими разходи се вписват в сметките, когато доставките или услугите бъдат извършени и приети от ЕС.</w:t>
      </w:r>
    </w:p>
    <w:p>
      <w:pPr>
        <w:pStyle w:val="HEADER3NOTES"/>
        <w:keepNext/>
        <w:rPr>
          <w:noProof/>
        </w:rPr>
      </w:pPr>
      <w:r>
        <w:rPr>
          <w:noProof/>
        </w:rPr>
        <w:t>Начислени приходи и разходи и приходи и разходи за бъдещи периоди</w:t>
      </w:r>
    </w:p>
    <w:p>
      <w:pPr>
        <w:pStyle w:val="DGTextstand-alone"/>
      </w:pPr>
      <w:r>
        <w:t>Операциите и събитията се признават във финансовите отчети през периода, за който се отнасят. В края на годината, ако все още не е издадена фактура, но услугата е предоставена, доставките са извършени от ЕС или съществува договорно споразумение (напр. чрез позоваване на договор), във финансовите отчети се признава начислен приход. Освен това в края на годината, ако е издадена фактура, но услугите все още не са предоставени или стоките не са доставени, приходът се отсрочва и признава през следващия отчетен период.</w:t>
      </w:r>
    </w:p>
    <w:p>
      <w:pPr>
        <w:pStyle w:val="DGTextstand-alone"/>
      </w:pPr>
      <w:r>
        <w:t>Разходите също се отчитат през периода, за който се отнасят. В края на отчетния период начислените разходи се признават въз основа на очакван размер на задължението за прехвърляне за периода. Изчисляването на начислените разходи се прави в съответствие с подробни оперативни и практически насоки, издадени от Комисията и насочени към гарантиране на това, че финансовите отчети дават вярна представа за икономическите и другите явления, които се предполага, че представляват. Аналогично, ако е направено предварително плащане за услуги или стоки, които все още не са получени, разходът се отсрочва и се признава през следващия отчетен период.</w:t>
      </w:r>
    </w:p>
    <w:p>
      <w:pPr>
        <w:pStyle w:val="HEADER2NOTES"/>
        <w:rPr>
          <w:noProof/>
        </w:rPr>
      </w:pPr>
      <w:r>
        <w:rPr>
          <w:noProof/>
        </w:rPr>
        <w:t>ОТЧЕТ ЗА ФИНАНСОВИЯ РЕЗУЛТАТ</w:t>
      </w:r>
    </w:p>
    <w:p>
      <w:pPr>
        <w:pStyle w:val="HEADER3NOTES"/>
        <w:rPr>
          <w:noProof/>
        </w:rPr>
      </w:pPr>
      <w:r>
        <w:rPr>
          <w:noProof/>
        </w:rPr>
        <w:t>Приходи</w:t>
      </w:r>
    </w:p>
    <w:p>
      <w:pPr>
        <w:pStyle w:val="HEADER5"/>
        <w:rPr>
          <w:b/>
          <w:noProof/>
        </w:rPr>
      </w:pPr>
      <w:r>
        <w:rPr>
          <w:noProof/>
        </w:rPr>
        <w:t>ПРИХОДИ ОТ ОПЕРАЦИИ БЕЗ РАЗМЯНА</w:t>
      </w:r>
    </w:p>
    <w:p>
      <w:pPr>
        <w:pStyle w:val="DGTextstand-alone"/>
      </w:pPr>
      <w:r>
        <w:t>По-голямата част от приходите на ЕС са от операции без размяна, както следва:</w:t>
      </w:r>
    </w:p>
    <w:p>
      <w:pPr>
        <w:pStyle w:val="HEADER5"/>
        <w:rPr>
          <w:b/>
          <w:noProof/>
        </w:rPr>
      </w:pPr>
      <w:r>
        <w:rPr>
          <w:noProof/>
        </w:rPr>
        <w:t>Ресурси на база БНД и ресурси от ДДС</w:t>
      </w:r>
    </w:p>
    <w:p>
      <w:pPr>
        <w:pStyle w:val="DGTextstand-alone"/>
      </w:pPr>
      <w:r>
        <w:t>Приходите се признават за периода, за който Комисията изпрати покана за внасяне на средства до държавите членки, с която изисква те да внесат своята вноска. Те се оценяват по своя „поискан размер“. Тъй като ресурсите от ДДС и от БНД се основават на приблизителни оценки на данните за съответната бюджетна година, те могат да бъдат променяни при настъпването на промени до публикуването на окончателните данни от държавите членки. Резултатът от промяна на приблизителна оценка се включва при определянето на нетния излишък или дефицит за периода, през който е настъпила промяната.</w:t>
      </w:r>
    </w:p>
    <w:p>
      <w:pPr>
        <w:pStyle w:val="HEADER5"/>
        <w:rPr>
          <w:b/>
          <w:noProof/>
        </w:rPr>
      </w:pPr>
      <w:r>
        <w:rPr>
          <w:noProof/>
        </w:rPr>
        <w:t>Традиционни собствени ресурси</w:t>
      </w:r>
    </w:p>
    <w:p>
      <w:pPr>
        <w:pStyle w:val="DGTextstand-alone"/>
      </w:pPr>
      <w:r>
        <w:t>Средствата, подлежащи на събиране, от операции без размяна и свързаните с тях приходи се признават, когато бъдат получени изпратените от държавите членки съответни месечни отчети „A“ (включително събраните мита и дължимите суми, които са обезпечени и не са оспорени). Към отчетната дата събраните от държавите членки приходи за периода, които все още не са платени на Комисията, се оценяват и признават като начислени приходи. Тримесечните отчети „Б“ (включително митата, които не са събрани и не са обезпечени, както и обезпечените суми, които са оспорени от длъжника), изпратени от държавите членки, се признават като приход, като от тях се изваждат разходите по събирането, на които държавите имат право. Освен това се признава намаление на стойността в размер на очакваните несъбрани суми.</w:t>
      </w:r>
    </w:p>
    <w:p>
      <w:pPr>
        <w:pStyle w:val="HEADER5"/>
        <w:rPr>
          <w:b/>
          <w:noProof/>
        </w:rPr>
      </w:pPr>
      <w:r>
        <w:rPr>
          <w:noProof/>
        </w:rPr>
        <w:t>Глоби</w:t>
      </w:r>
    </w:p>
    <w:p>
      <w:pPr>
        <w:pStyle w:val="DGTextstand-alone"/>
      </w:pPr>
      <w:r>
        <w:t>Приходите от глоби се признават, когато решението на ЕС за налагане на глоба бъде взето и адресатът бъде официално уведомен за него. След решението за налагане на глоба предприятията разполагат с два месеца от датата на уведомлението:</w:t>
      </w:r>
    </w:p>
    <w:p>
      <w:pPr>
        <w:pStyle w:val="DGTextstand-alone"/>
        <w:pBdr>
          <w:top w:val="nil"/>
          <w:left w:val="nil"/>
          <w:bottom w:val="nil"/>
          <w:right w:val="nil"/>
          <w:between w:val="nil"/>
          <w:bar w:val="nil"/>
        </w:pBdr>
        <w:ind w:left="717" w:hanging="360"/>
      </w:pPr>
      <w:r>
        <w:t>а)</w:t>
      </w:r>
      <w:r>
        <w:tab/>
        <w:t>или да приемат решението, в който случай те трябва да платят глобата в посочения срок и сумата се събира от ЕС окончателно; или</w:t>
      </w:r>
    </w:p>
    <w:p>
      <w:pPr>
        <w:pStyle w:val="DGTextstand-alone"/>
        <w:pBdr>
          <w:top w:val="nil"/>
          <w:left w:val="nil"/>
          <w:bottom w:val="nil"/>
          <w:right w:val="nil"/>
          <w:between w:val="nil"/>
          <w:bar w:val="nil"/>
        </w:pBdr>
        <w:tabs>
          <w:tab w:val="left" w:pos="709"/>
        </w:tabs>
        <w:ind w:left="357"/>
      </w:pPr>
      <w:r>
        <w:t>б)</w:t>
      </w:r>
      <w:r>
        <w:tab/>
        <w:t xml:space="preserve">да не приемат решението, в който случай те го обжалват съгласно правото на ЕС. </w:t>
      </w:r>
    </w:p>
    <w:p>
      <w:pPr>
        <w:pStyle w:val="DGTextstand-alone"/>
      </w:pPr>
      <w:r>
        <w:t>Дори когато глобата бъде обжалвана, тя трябва да бъде платена в определения тримесечен срок, тъй като обжалването няма суспензивно действие (член 278 от ДФЕС). Получените средства се използват за изчистване на подлежащата на събиране сума. Ако счетоводителят на Комисията даде съгласието си обаче, вместо да плати глобата предприятието може да представи банкова гаранция за съответната сума. В този случай глобата остава подлежаща на събиране сума. Ако не бъдат получени нито пари, нито гаранция и има съмнения по отношение на платежоспособността на предприятието, се признава намаление на стойността на вземането.</w:t>
      </w:r>
    </w:p>
    <w:p>
      <w:pPr>
        <w:pStyle w:val="DGTextstand-alone"/>
      </w:pPr>
      <w:r>
        <w:t>Ако предприятието обжалва решението и вече е платило глобата условно, сумата се оповестява като условен пасив или, ако изглежда вероятно, че Общият съд може да не се произнесе в полза на ЕС, се признава провизия, за да се покрие този риск. Ако вместо това е предоставена гаранция, оставащата сума, която подлежи на събиране, се намалява.</w:t>
      </w:r>
    </w:p>
    <w:p>
      <w:pPr>
        <w:pStyle w:val="DGTextstand-alone"/>
      </w:pPr>
      <w:r>
        <w:t>Натрупаната лихва, получена от Комисията по банковите сметки, в които се депозират получаваните плащания, се признава като приход и всеки условен пасив се увеличава в съответната степен.</w:t>
      </w:r>
    </w:p>
    <w:p>
      <w:pPr>
        <w:pStyle w:val="DGTextstand-alone"/>
      </w:pPr>
      <w:r>
        <w:t>От 2010 г. всички условно платени глоби се управляват от Комисията в специално създаден за целта фонд (BUFI) и се инвестират във финансови инструменти.</w:t>
      </w:r>
    </w:p>
    <w:p>
      <w:pPr>
        <w:pStyle w:val="HEADER5"/>
        <w:rPr>
          <w:b/>
          <w:noProof/>
        </w:rPr>
      </w:pPr>
      <w:r>
        <w:rPr>
          <w:noProof/>
        </w:rPr>
        <w:t>ПРИХОДИ ОТ ОПЕРАЦИИ С РАЗМЯНА</w:t>
      </w:r>
    </w:p>
    <w:p>
      <w:pPr>
        <w:pStyle w:val="DGTextstand-alone"/>
      </w:pPr>
      <w:r>
        <w:t>Приходите от продажбата на стоки и услуги се признават, когато значителните рискове и ползи от собствеността върху стоките се прехвърлят на купувача. Приходите, свързани със сделка, включваща предоставянето на услуги, се признават в зависимост от етапа на завършеност на сделката към отчетната дата.</w:t>
      </w:r>
    </w:p>
    <w:p>
      <w:pPr>
        <w:pStyle w:val="HEADER5"/>
        <w:rPr>
          <w:b/>
          <w:noProof/>
        </w:rPr>
      </w:pPr>
      <w:r>
        <w:rPr>
          <w:noProof/>
        </w:rPr>
        <w:t>Приходи и разходи от лихви</w:t>
      </w:r>
    </w:p>
    <w:p>
      <w:pPr>
        <w:pStyle w:val="DGTextstand-alone"/>
      </w:pPr>
      <w:r>
        <w:t>Приходите и разходите от лихви се признават в отчета за финансовия резултат посредством метода на ефективната лихва. Това е метод за изчисляване на амортизираната стойност на финансов актив или пасив и за разпределяне на лихвените приходи или разходи през съответния период. При изчисляване на ефективния лихвен процент ЕС оценява приблизително паричните потоци, като взема предвид всички договорни условия на финансовия инструмент (например възможностите за предплащане), но не взема предвид бъдещите кредитни загуби. Изчислението включва всички такси и лихвени пунктове, платени или получени между страните по договора и които са неразделна част от ефективния лихвен процент, трансакционните разходи и всички други премии или намаления.</w:t>
      </w:r>
    </w:p>
    <w:p>
      <w:pPr>
        <w:pStyle w:val="DGTextstand-alone"/>
      </w:pPr>
      <w:r>
        <w:t>Когато даден финансов актив или група от подобни финансови активи бъдат намалени в резултат на загуба от обезценка, приходите от лихви се признават посредством лихвения процент, използван за дисконтиране на бъдещите парични потоци за целите на оценяването на загубата от обезценка.</w:t>
      </w:r>
    </w:p>
    <w:p>
      <w:pPr>
        <w:pStyle w:val="HEADER5"/>
        <w:rPr>
          <w:b/>
          <w:noProof/>
        </w:rPr>
      </w:pPr>
      <w:r>
        <w:rPr>
          <w:noProof/>
        </w:rPr>
        <w:t>Приходи от дивиденти</w:t>
      </w:r>
    </w:p>
    <w:p>
      <w:pPr>
        <w:pStyle w:val="DGTextstand-alone"/>
      </w:pPr>
      <w:r>
        <w:t>Приходите от дивиденти и от сходни доходи се признават, когато бъде установено правото за получаване на плащането.</w:t>
      </w:r>
    </w:p>
    <w:p>
      <w:pPr>
        <w:pStyle w:val="HEADER3NOTES"/>
        <w:rPr>
          <w:noProof/>
        </w:rPr>
      </w:pPr>
      <w:r>
        <w:rPr>
          <w:noProof/>
        </w:rPr>
        <w:t>Разходи</w:t>
      </w:r>
    </w:p>
    <w:p>
      <w:pPr>
        <w:pStyle w:val="DGTextstand-alone"/>
      </w:pPr>
      <w:r>
        <w:t>Разходите от операции без размяна представляват основната част от разходите на ЕС. Те се отнасят до трансферите към бенефициери и могат да бъдат три вида: вземания, трансфери по споразумения и дискреционни безвъзмездни средства, вноски и дарения.</w:t>
      </w:r>
    </w:p>
    <w:p>
      <w:pPr>
        <w:pStyle w:val="DGTextstand-alone"/>
      </w:pPr>
      <w:r>
        <w:t>Трансферите се признават като разходи през периода, през който са настъпили събитията, пораждащи трансфера, при условие че естеството на трансфера се допуска от нормативната уредба (Финансовия регламент, Правилника за персонала или друг регламент) или е подписано споразумение, разрешаващо трансфера, бенефициерът е изпълнил всички критерии за допустимост и може да бъде направена разумна приблизителна оценка на сумата.</w:t>
      </w:r>
    </w:p>
    <w:p>
      <w:pPr>
        <w:pStyle w:val="DGTextstand-alone"/>
      </w:pPr>
      <w:r>
        <w:t>Когато бъде получено искане за плащане или декларация за направени разходи, които изпълняват критериите за признаване, те се признават като разход в размер на допустимата сума. В края на годината направените допустими разходи, които се дължат на бенефициерите, но които все още не са съобщени, се оценяват и записват като начислени разходи.</w:t>
      </w:r>
    </w:p>
    <w:p>
      <w:pPr>
        <w:pStyle w:val="DGTextstand-alone"/>
      </w:pPr>
      <w:r>
        <w:t>Разходите от операции с размяна, възникващи от закупуването на стоки и услуги, се признават, когато доставките бъдат извършени и приети от ЕС. Те се оценяват по първоначална им фактурна стойност. Освен това към датата на счетоводния баланс разходите, свързани с предоставената през периода услуга, за която все още не е получена или приета фактура, се оценяват и се признават в отчета за финансовия резултат.</w:t>
      </w:r>
    </w:p>
    <w:p>
      <w:pPr>
        <w:pStyle w:val="HEADER2NOTES"/>
        <w:keepNext/>
        <w:rPr>
          <w:noProof/>
        </w:rPr>
      </w:pPr>
      <w:r>
        <w:rPr>
          <w:noProof/>
        </w:rPr>
        <w:t>УСЛОВНИ АКТИВИ И ПАСИВИ</w:t>
      </w:r>
    </w:p>
    <w:p>
      <w:pPr>
        <w:pStyle w:val="HEADER3NOTES"/>
        <w:keepNext/>
        <w:rPr>
          <w:noProof/>
        </w:rPr>
      </w:pPr>
      <w:r>
        <w:rPr>
          <w:noProof/>
        </w:rPr>
        <w:t>Условни активи</w:t>
      </w:r>
    </w:p>
    <w:p>
      <w:pPr>
        <w:pStyle w:val="DGTextstand-alone"/>
      </w:pPr>
      <w:r>
        <w:t>Условен актив е възможен актив, който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ЕС. Условен актив се оповестява, когато е вероятна появата на входящ поток от икономически ползи или на потенциал за предоставяне на услуга.</w:t>
      </w:r>
    </w:p>
    <w:p>
      <w:pPr>
        <w:pStyle w:val="HEADER3NOTES"/>
        <w:rPr>
          <w:noProof/>
        </w:rPr>
      </w:pPr>
      <w:r>
        <w:rPr>
          <w:noProof/>
        </w:rPr>
        <w:t>Условни пасиви</w:t>
      </w:r>
    </w:p>
    <w:p>
      <w:pPr>
        <w:pStyle w:val="DGTextstand-alone"/>
      </w:pPr>
      <w:r>
        <w:t>Условното задължение представлява възможно задължение, произтичащо от минали събития и чието съществуване ще бъде потвърдено само от настъпването или ненастъпването на едно или повече несигурни бъдещи събития, които не могат да бъдат изцяло контролирани от ЕС, или настоящо задължение, което произтича от минали събития, но не е признато или тъй като не е вероятно да бъде нужен изходящ поток от ресурси, съдържащи икономически ползи или потенциал за услуга, за да бъде погасено задължението, или в редките случаи, когато размерът на задължението не може да бъде оценен достатъчно надеждно. Условен пасив се оповестява, освен когато възможността за поява на изходящ поток от ресурси, съдържащи икономически ползи или потенциал за предоставяне на услуга, е малка.</w:t>
      </w:r>
    </w:p>
    <w:p>
      <w:pPr>
        <w:pStyle w:val="HEADER2NOTES"/>
        <w:rPr>
          <w:noProof/>
        </w:rPr>
      </w:pPr>
      <w:r>
        <w:rPr>
          <w:noProof/>
        </w:rPr>
        <w:t>ОТЧЕТ ЗА ПАРИЧНИТЕ ПОТОЦИ</w:t>
      </w:r>
    </w:p>
    <w:p>
      <w:pPr>
        <w:pStyle w:val="DGTextstand-alone"/>
      </w:pPr>
      <w:r>
        <w:t>Информацията за паричните потоци се използва, за да се осигури база за оценка на способността на ЕС да генерира пари и парични еквиваленти и нуждите му, свързани с използването на тези парични потоци.</w:t>
      </w:r>
    </w:p>
    <w:p>
      <w:pPr>
        <w:pStyle w:val="DGTextstand-alone"/>
      </w:pPr>
      <w:r>
        <w:t>При изготвянето на отчета за паричните потоци се използва косвеният метод. Това означава, че финансовият резултат за финансовата година се коригира с ефекта от операциите, извършвани по безналичен начин, отсрочените или начислените минали или бъдещи оперативни касови приходи или плащания и приходите или разходите, свързани с инвестирането на парични потоци.</w:t>
      </w:r>
    </w:p>
    <w:p>
      <w:pPr>
        <w:pStyle w:val="DGTextstand-alone"/>
      </w:pPr>
      <w:r>
        <w:t>Паричните потоци, произтичащи от операции в чуждестранна валута, се отчитат във валутата, използвана за счетоводството на ЕС (евро), като към сумата в чуждестранна валута се прилага обменният курс на еврото към чуждестранната валута към датата на паричния поток.</w:t>
      </w:r>
    </w:p>
    <w:p>
      <w:pPr>
        <w:pStyle w:val="DGTextstand-alone"/>
      </w:pPr>
      <w:r>
        <w:t>Отчетът за паричните потоци съдържа паричните потоци през периода, класифицирани по оперативни и инвестиционни дейности (ЕС не извършва дейности по финансиране).</w:t>
      </w:r>
    </w:p>
    <w:p>
      <w:pPr>
        <w:pStyle w:val="DGTextstand-alone"/>
      </w:pPr>
      <w:r>
        <w:t xml:space="preserve">Оперативни дейности са дейностите на ЕС, които не са инвестиционни дейности. Това са по-голямата част от извършваните дейности. Заемите, отпуснати на бенефициери (и когато е приложимо, свързаните с тях получени заеми), не се считат за инвестиционни дейности (или дейности по финансиране), тъй като са част от общите цели и следователно са ежедневни операции на ЕС. </w:t>
      </w:r>
    </w:p>
    <w:p>
      <w:pPr>
        <w:pStyle w:val="DGTextstand-alone"/>
      </w:pPr>
      <w:r>
        <w:t>Инвестиционни дейности са придобиването на нематериални активи и имоти, машини и съоръжения и други инвестиции, които не са включени в паричните еквиваленти, и освобождаването от тях. Инвестиционните дейности не включват заемите, отпуснати на бенефициери. Целта е да бъдат показани реалните инвестиции на ЕС.</w:t>
      </w:r>
    </w:p>
    <w:bookmarkEnd w:id="79"/>
    <w:p>
      <w:pPr>
        <w:pStyle w:val="DGTextstand-alone"/>
        <w:sectPr>
          <w:headerReference w:type="even" r:id="rId116"/>
          <w:headerReference w:type="default" r:id="rId117"/>
          <w:footerReference w:type="even" r:id="rId118"/>
          <w:footerReference w:type="default" r:id="rId119"/>
          <w:headerReference w:type="first" r:id="rId120"/>
          <w:footerReference w:type="first" r:id="rId121"/>
          <w:pgSz w:w="11906" w:h="16838"/>
          <w:pgMar w:top="1134" w:right="1134" w:bottom="1134" w:left="1134" w:header="709" w:footer="709" w:gutter="0"/>
          <w:cols w:space="708"/>
          <w:docGrid w:linePitch="360"/>
        </w:sectPr>
      </w:pPr>
    </w:p>
    <w:p>
      <w:pPr>
        <w:pStyle w:val="HEADER1NOTES"/>
        <w:spacing w:after="120"/>
        <w:rPr>
          <w:noProof/>
        </w:rPr>
      </w:pPr>
      <w:bookmarkStart w:id="82" w:name="_Toc75518109"/>
      <w:bookmarkStart w:id="83" w:name="_DMBM_19847"/>
      <w:r>
        <w:rPr>
          <w:noProof/>
        </w:rPr>
        <w:t>БЕЛЕЖКИ КЪМ СЧЕТОВОДНИЯ БАЛАНС</w:t>
      </w:r>
      <w:bookmarkEnd w:id="82"/>
    </w:p>
    <w:bookmarkEnd w:id="83"/>
    <w:p>
      <w:pPr>
        <w:pStyle w:val="HEADER1NOTES"/>
        <w:numPr>
          <w:ilvl w:val="0"/>
          <w:numId w:val="0"/>
        </w:numPr>
        <w:spacing w:after="0"/>
        <w:rPr>
          <w:noProof/>
          <w:lang w:val="fr-BE"/>
        </w:rPr>
        <w:sectPr>
          <w:headerReference w:type="even" r:id="rId122"/>
          <w:headerReference w:type="default" r:id="rId123"/>
          <w:footerReference w:type="even" r:id="rId124"/>
          <w:footerReference w:type="default" r:id="rId125"/>
          <w:headerReference w:type="first" r:id="rId126"/>
          <w:footerReference w:type="first" r:id="rId127"/>
          <w:pgSz w:w="11906" w:h="16838"/>
          <w:pgMar w:top="1134" w:right="1134" w:bottom="1134" w:left="1134" w:header="709" w:footer="709" w:gutter="0"/>
          <w:cols w:space="708"/>
          <w:docGrid w:linePitch="360"/>
        </w:sectPr>
      </w:pPr>
    </w:p>
    <w:p>
      <w:pPr>
        <w:pStyle w:val="HEADERTABLE"/>
        <w:spacing w:after="120"/>
        <w:rPr>
          <w:noProof/>
        </w:rPr>
      </w:pPr>
      <w:bookmarkStart w:id="84" w:name="_DMBM_19795"/>
      <w:r>
        <w:rPr>
          <w:noProof/>
        </w:rPr>
        <w:t>АКТИВИ</w:t>
      </w:r>
    </w:p>
    <w:p>
      <w:pPr>
        <w:pStyle w:val="Textstand-alone"/>
        <w:spacing w:before="0" w:after="0"/>
        <w:sectPr>
          <w:headerReference w:type="even" r:id="rId128"/>
          <w:headerReference w:type="default" r:id="rId129"/>
          <w:footerReference w:type="even" r:id="rId130"/>
          <w:footerReference w:type="default" r:id="rId131"/>
          <w:headerReference w:type="first" r:id="rId132"/>
          <w:footerReference w:type="first" r:id="rId133"/>
          <w:type w:val="continuous"/>
          <w:pgSz w:w="11906" w:h="16838"/>
          <w:pgMar w:top="1134" w:right="1134" w:bottom="1134" w:left="1134" w:header="709" w:footer="709" w:gutter="0"/>
          <w:cols w:space="708"/>
          <w:docGrid w:linePitch="360"/>
        </w:sectPr>
      </w:pPr>
      <w:r>
        <w:t xml:space="preserve"> </w:t>
      </w:r>
      <w:bookmarkEnd w:id="84"/>
    </w:p>
    <w:p>
      <w:pPr>
        <w:pStyle w:val="HEADER2NOTES"/>
        <w:spacing w:before="0" w:after="120"/>
        <w:rPr>
          <w:noProof/>
        </w:rPr>
      </w:pPr>
      <w:bookmarkStart w:id="85" w:name="_DMBM_19821"/>
      <w:r>
        <w:rPr>
          <w:noProof/>
        </w:rPr>
        <w:t>НЕМАТЕРИАЛНИ АКТИВИ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2"/>
        <w:gridCol w:w="2686"/>
      </w:tblGrid>
      <w:tr>
        <w:trPr>
          <w:trHeight w:val="255"/>
        </w:trPr>
        <w:tc>
          <w:tcPr>
            <w:tcW w:w="7072" w:type="dxa"/>
            <w:tcBorders>
              <w:top w:val="nil"/>
              <w:left w:val="nil"/>
              <w:bottom w:val="nil"/>
              <w:right w:val="nil"/>
              <w:tl2br w:val="nil"/>
              <w:tr2bl w:val="nil"/>
            </w:tcBorders>
            <w:shd w:val="clear" w:color="auto" w:fill="auto"/>
            <w:tcMar>
              <w:left w:w="60" w:type="dxa"/>
              <w:right w:w="60" w:type="dxa"/>
            </w:tcMar>
            <w:vAlign w:val="bottom"/>
          </w:tcPr>
          <w:p>
            <w:pPr>
              <w:pStyle w:val="DMETW19850BIPINFA"/>
              <w:rPr>
                <w:rFonts w:ascii="Arial" w:eastAsia="Arial" w:hAnsi="Arial" w:cs="Arial"/>
                <w:noProof/>
                <w:color w:val="000000"/>
                <w:sz w:val="16"/>
              </w:rPr>
            </w:pPr>
            <w:bookmarkStart w:id="86" w:name="DOC_TBL00007_1_1"/>
            <w:bookmarkEnd w:id="86"/>
          </w:p>
        </w:tc>
        <w:tc>
          <w:tcPr>
            <w:tcW w:w="2686" w:type="dxa"/>
            <w:tcBorders>
              <w:top w:val="nil"/>
              <w:left w:val="nil"/>
              <w:bottom w:val="nil"/>
              <w:right w:val="nil"/>
              <w:tl2br w:val="nil"/>
              <w:tr2bl w:val="nil"/>
            </w:tcBorders>
            <w:shd w:val="clear" w:color="auto" w:fill="auto"/>
            <w:tcMar>
              <w:left w:w="60" w:type="dxa"/>
              <w:right w:w="60" w:type="dxa"/>
            </w:tcMar>
            <w:vAlign w:val="bottom"/>
          </w:tcPr>
          <w:p>
            <w:pPr>
              <w:pStyle w:val="DMETW19850BIPINF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7072" w:type="dxa"/>
            <w:tcBorders>
              <w:top w:val="nil"/>
              <w:left w:val="nil"/>
              <w:bottom w:val="nil"/>
              <w:right w:val="nil"/>
              <w:tl2br w:val="nil"/>
              <w:tr2bl w:val="nil"/>
            </w:tcBorders>
            <w:shd w:val="solid" w:color="016794" w:fill="FFFFFF"/>
            <w:tcMar>
              <w:left w:w="60" w:type="dxa"/>
              <w:right w:w="60" w:type="dxa"/>
            </w:tcMar>
            <w:vAlign w:val="center"/>
          </w:tcPr>
          <w:p>
            <w:pPr>
              <w:pStyle w:val="DMETW19850BIPINFA"/>
              <w:jc w:val="right"/>
              <w:rPr>
                <w:rFonts w:ascii="Verdana" w:eastAsia="Verdana" w:hAnsi="Verdana" w:cs="Verdana"/>
                <w:noProof/>
                <w:color w:val="FFFFFF"/>
                <w:sz w:val="16"/>
              </w:rPr>
            </w:pPr>
          </w:p>
        </w:tc>
        <w:tc>
          <w:tcPr>
            <w:tcW w:w="2686" w:type="dxa"/>
            <w:tcBorders>
              <w:top w:val="nil"/>
              <w:left w:val="nil"/>
              <w:bottom w:val="nil"/>
              <w:right w:val="nil"/>
              <w:tl2br w:val="nil"/>
              <w:tr2bl w:val="nil"/>
            </w:tcBorders>
            <w:shd w:val="solid" w:color="016794" w:fill="FFFFFF"/>
            <w:tcMar>
              <w:left w:w="60" w:type="dxa"/>
              <w:right w:w="60" w:type="dxa"/>
            </w:tcMar>
            <w:vAlign w:val="center"/>
          </w:tcPr>
          <w:p>
            <w:pPr>
              <w:pStyle w:val="DMETW19850BIPINFA"/>
              <w:jc w:val="right"/>
              <w:rPr>
                <w:rFonts w:ascii="Verdana" w:eastAsia="Verdana" w:hAnsi="Verdana" w:cs="Verdana"/>
                <w:noProof/>
                <w:color w:val="FFFFFF"/>
                <w:sz w:val="16"/>
                <w:lang w:bidi="en-GB"/>
              </w:rPr>
            </w:pP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Брутна балансова стойност към 31.12.2019 г.</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1 230</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Новопридобити активи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 xml:space="preserve"> 216</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Намаления на активи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 xml:space="preserve"> (39)</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Трансфер между категориите активи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0</w:t>
            </w:r>
          </w:p>
        </w:tc>
      </w:tr>
      <w:tr>
        <w:trPr>
          <w:trHeight w:val="255"/>
        </w:trPr>
        <w:tc>
          <w:tcPr>
            <w:tcW w:w="707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Други промени</w:t>
            </w:r>
          </w:p>
        </w:tc>
        <w:tc>
          <w:tcPr>
            <w:tcW w:w="268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7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b/>
                <w:noProof/>
                <w:color w:val="000000"/>
                <w:sz w:val="18"/>
              </w:rPr>
            </w:pPr>
            <w:r>
              <w:rPr>
                <w:rFonts w:ascii="Verdana" w:hAnsi="Verdana"/>
                <w:b/>
                <w:noProof/>
                <w:color w:val="000000"/>
                <w:sz w:val="18"/>
              </w:rPr>
              <w:t>Брутна балансова стойност към 31.12.2020 г.</w:t>
            </w:r>
          </w:p>
        </w:tc>
        <w:tc>
          <w:tcPr>
            <w:tcW w:w="26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b/>
                <w:noProof/>
                <w:color w:val="000000"/>
                <w:sz w:val="18"/>
              </w:rPr>
            </w:pPr>
            <w:r>
              <w:rPr>
                <w:rFonts w:ascii="Verdana" w:hAnsi="Verdana"/>
                <w:b/>
                <w:noProof/>
                <w:color w:val="000000"/>
                <w:sz w:val="18"/>
              </w:rPr>
              <w:t>1 409</w:t>
            </w:r>
          </w:p>
        </w:tc>
      </w:tr>
      <w:tr>
        <w:trPr>
          <w:trHeight w:val="255"/>
        </w:trPr>
        <w:tc>
          <w:tcPr>
            <w:tcW w:w="70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Натрупана амортизация към 31.12.2019 г.</w:t>
            </w:r>
          </w:p>
        </w:tc>
        <w:tc>
          <w:tcPr>
            <w:tcW w:w="268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 xml:space="preserve"> (715)</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Амортизационен разход за годината</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 xml:space="preserve"> (113)</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Отменена амортизация</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0</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Намаления на активи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 xml:space="preserve"> 38</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Трансфер между категориите активи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0</w:t>
            </w:r>
          </w:p>
        </w:tc>
      </w:tr>
      <w:tr>
        <w:trPr>
          <w:trHeight w:val="255"/>
        </w:trPr>
        <w:tc>
          <w:tcPr>
            <w:tcW w:w="707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Други промени</w:t>
            </w:r>
          </w:p>
        </w:tc>
        <w:tc>
          <w:tcPr>
            <w:tcW w:w="268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0</w:t>
            </w:r>
          </w:p>
        </w:tc>
      </w:tr>
      <w:tr>
        <w:trPr>
          <w:trHeight w:val="255"/>
        </w:trPr>
        <w:tc>
          <w:tcPr>
            <w:tcW w:w="7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b/>
                <w:noProof/>
                <w:color w:val="000000"/>
                <w:sz w:val="18"/>
              </w:rPr>
            </w:pPr>
            <w:r>
              <w:rPr>
                <w:rFonts w:ascii="Verdana" w:hAnsi="Verdana"/>
                <w:b/>
                <w:noProof/>
                <w:color w:val="000000"/>
                <w:sz w:val="18"/>
              </w:rPr>
              <w:t>Натрупана амортизация към 31.12.2020 г.</w:t>
            </w:r>
          </w:p>
        </w:tc>
        <w:tc>
          <w:tcPr>
            <w:tcW w:w="26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b/>
                <w:noProof/>
                <w:color w:val="000000"/>
                <w:sz w:val="18"/>
              </w:rPr>
            </w:pPr>
            <w:r>
              <w:rPr>
                <w:rFonts w:ascii="Verdana" w:hAnsi="Verdana"/>
                <w:b/>
                <w:noProof/>
                <w:color w:val="000000"/>
                <w:sz w:val="18"/>
              </w:rPr>
              <w:t xml:space="preserve"> (789)</w:t>
            </w:r>
          </w:p>
        </w:tc>
      </w:tr>
      <w:tr>
        <w:trPr>
          <w:trHeight w:val="255"/>
        </w:trPr>
        <w:tc>
          <w:tcPr>
            <w:tcW w:w="707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INFA"/>
              <w:rPr>
                <w:rFonts w:ascii="Arial" w:eastAsia="Arial" w:hAnsi="Arial" w:cs="Arial"/>
                <w:noProof/>
                <w:color w:val="000000"/>
                <w:sz w:val="18"/>
              </w:rPr>
            </w:pPr>
          </w:p>
        </w:tc>
        <w:tc>
          <w:tcPr>
            <w:tcW w:w="268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INFA"/>
              <w:rPr>
                <w:rFonts w:ascii="Arial" w:eastAsia="Arial" w:hAnsi="Arial" w:cs="Arial"/>
                <w:noProof/>
                <w:color w:val="000000"/>
                <w:sz w:val="18"/>
                <w:lang w:bidi="en-GB"/>
              </w:rPr>
            </w:pPr>
          </w:p>
        </w:tc>
      </w:tr>
      <w:tr>
        <w:trPr>
          <w:trHeight w:val="255"/>
        </w:trPr>
        <w:tc>
          <w:tcPr>
            <w:tcW w:w="7072" w:type="dxa"/>
            <w:tcBorders>
              <w:top w:val="nil"/>
              <w:left w:val="nil"/>
              <w:bottom w:val="nil"/>
              <w:right w:val="nil"/>
              <w:tl2br w:val="nil"/>
              <w:tr2bl w:val="nil"/>
            </w:tcBorders>
            <w:shd w:val="solid" w:color="CCE1EA" w:fill="FFFFFF"/>
            <w:tcMar>
              <w:left w:w="60" w:type="dxa"/>
              <w:right w:w="60" w:type="dxa"/>
            </w:tcMar>
            <w:vAlign w:val="center"/>
          </w:tcPr>
          <w:p>
            <w:pPr>
              <w:pStyle w:val="DMETW19850BIPINFA"/>
              <w:rPr>
                <w:rFonts w:ascii="Verdana" w:eastAsia="Verdana" w:hAnsi="Verdana" w:cs="Verdana"/>
                <w:b/>
                <w:noProof/>
                <w:color w:val="000000"/>
                <w:sz w:val="18"/>
              </w:rPr>
            </w:pPr>
            <w:r>
              <w:rPr>
                <w:rFonts w:ascii="Verdana" w:hAnsi="Verdana"/>
                <w:b/>
                <w:noProof/>
                <w:color w:val="000000"/>
                <w:sz w:val="18"/>
              </w:rPr>
              <w:t>Нетна балансова стойност към 31.12.2020 г.</w:t>
            </w:r>
          </w:p>
        </w:tc>
        <w:tc>
          <w:tcPr>
            <w:tcW w:w="2686" w:type="dxa"/>
            <w:tcBorders>
              <w:top w:val="nil"/>
              <w:left w:val="nil"/>
              <w:bottom w:val="nil"/>
              <w:right w:val="nil"/>
              <w:tl2br w:val="nil"/>
              <w:tr2bl w:val="nil"/>
            </w:tcBorders>
            <w:shd w:val="solid" w:color="CCE1EA" w:fill="FFFFFF"/>
            <w:tcMar>
              <w:left w:w="60" w:type="dxa"/>
              <w:right w:w="60" w:type="dxa"/>
            </w:tcMar>
            <w:vAlign w:val="center"/>
          </w:tcPr>
          <w:p>
            <w:pPr>
              <w:pStyle w:val="DMETW19850BIPINFA"/>
              <w:jc w:val="right"/>
              <w:rPr>
                <w:rFonts w:ascii="Verdana" w:eastAsia="Verdana" w:hAnsi="Verdana" w:cs="Verdana"/>
                <w:b/>
                <w:noProof/>
                <w:color w:val="000000"/>
                <w:sz w:val="18"/>
              </w:rPr>
            </w:pPr>
            <w:r>
              <w:rPr>
                <w:rFonts w:ascii="Verdana" w:hAnsi="Verdana"/>
                <w:b/>
                <w:noProof/>
                <w:color w:val="000000"/>
                <w:sz w:val="18"/>
              </w:rPr>
              <w:t xml:space="preserve"> 620</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9850BIPINFA"/>
              <w:rPr>
                <w:rFonts w:ascii="Verdana" w:eastAsia="Verdana" w:hAnsi="Verdana" w:cs="Verdana"/>
                <w:i/>
                <w:noProof/>
                <w:color w:val="000000"/>
                <w:sz w:val="18"/>
              </w:rPr>
            </w:pPr>
            <w:r>
              <w:rPr>
                <w:rFonts w:ascii="Verdana" w:hAnsi="Verdana"/>
                <w:i/>
                <w:noProof/>
                <w:color w:val="000000"/>
                <w:sz w:val="18"/>
              </w:rPr>
              <w:t>Нетна балансова стойност към 31.12.2019 г.</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9850BIPINFA"/>
              <w:jc w:val="right"/>
              <w:rPr>
                <w:rFonts w:ascii="Verdana" w:eastAsia="Verdana" w:hAnsi="Verdana" w:cs="Verdana"/>
                <w:i/>
                <w:noProof/>
                <w:color w:val="000000"/>
                <w:sz w:val="18"/>
              </w:rPr>
            </w:pPr>
            <w:r>
              <w:rPr>
                <w:rFonts w:ascii="Verdana" w:hAnsi="Verdana"/>
                <w:i/>
                <w:noProof/>
                <w:color w:val="000000"/>
                <w:sz w:val="18"/>
              </w:rPr>
              <w:t xml:space="preserve"> 515</w:t>
            </w:r>
          </w:p>
        </w:tc>
      </w:tr>
    </w:tbl>
    <w:p>
      <w:pPr>
        <w:pStyle w:val="Textstand-alone"/>
        <w:spacing w:after="0"/>
      </w:pPr>
      <w:r>
        <w:t xml:space="preserve">Сумите по-горе се отнасят предимно до компютърния софтуер. </w:t>
      </w:r>
    </w:p>
    <w:p>
      <w:pPr>
        <w:pStyle w:val="HEADER2NOTES"/>
        <w:tabs>
          <w:tab w:val="clear" w:pos="907"/>
        </w:tabs>
        <w:jc w:val="both"/>
        <w:rPr>
          <w:noProof/>
        </w:rPr>
      </w:pPr>
      <w:r>
        <w:rPr>
          <w:noProof/>
        </w:rPr>
        <w:t>ИМОТИ, МАШИНИ И СЪОРЪЖЕНИЯ</w:t>
      </w:r>
    </w:p>
    <w:p>
      <w:pPr>
        <w:pStyle w:val="Textstand-alone"/>
        <w:rPr>
          <w:spacing w:val="-6"/>
        </w:rPr>
      </w:pPr>
      <w:r>
        <w:rPr>
          <w:spacing w:val="-6"/>
        </w:rPr>
        <w:t>Категорията на космическите активи обхваща оперативните дълготрайни активи, свързани с двете космически програми на ЕС: Глобалната навигационна спътникова система (ГНСС), т.е. „Галилео“ и Европейската геостационарна служба за навигационно покритие (EGNOS), и европейската програма за наблюдение на Земята „Коперник“. Активите на космическите системи, които все още не са пуснати в експлоатация, са включени в позицията „Активи в процес на изграждане“. Активите, свързани с космическите програми на ЕС, се изграждат с помощта на Европейската космическа агенция (ЕКА).</w:t>
      </w:r>
    </w:p>
    <w:p>
      <w:pPr>
        <w:pStyle w:val="Textstand-alone"/>
      </w:pPr>
      <w:r>
        <w:t>Що се отнася до „Галилео“, през 2020 г. не бяха пуснати в експлоатация нови спътници. Мрежата от спътници включва 26 спътника. След приспадане на натрупаната амортизация оперативните дълготрайни активи на „Галилео“, обхващащи както спътниците, така и наземното оборудване, бяха на стойност 2 145 милиона евро към 31 декември 2020 г. (2019 г.: 2 489 милиона евро). Оставащите активи в процес на изграждане са на обща стойност 1 872 милиона евро (2019 г.: 1 361 милиона евро). Разработването на системата „Галилео“ ще продължи, докато системата достигне пълния си оперативен капацитет. Когато бъде завършена, мрежата от спътници на „Галилео“ ще се състои от 30 спътника (включително 6 резервни спътника).</w:t>
      </w:r>
    </w:p>
    <w:p>
      <w:pPr>
        <w:pStyle w:val="Textstand-alone"/>
      </w:pPr>
      <w:r>
        <w:t>Що се отнася до „Коперник“, през 2020 г. не бяха пуснати в експлоатация нови спътници. Общата стойност на оперативните дълготрайни активи на „Коперник“ възлиза на 877 милиона евро (2019 г.: 1 153 милиона евро) след приспадане на натрупаната амортизация. Още 1 894 милиона евро, свързани със спътниците на „Коперник“, са признати като активи в процес на изграждане (2019 г.: 1 453 милиона евро). Това увеличение включва 266 милиона евро във връзка със спътника 6А, чиято собственост бе предоставена от ЕКА на 21 ноември 2020 г. — датата на изстрелване на спътника. Очаква се той да бъде обявен за пуснат в експлоатация след проверки, които ще бъдат извършени в средата на 2021 г.</w:t>
      </w:r>
    </w:p>
    <w:p>
      <w:pPr>
        <w:pStyle w:val="Textstand-alone"/>
      </w:pPr>
      <w:r>
        <w:t>Дълготрайните активи, свързани с наземната инфраструктура на EGNOS, на стойност 24 милиона евро (2019 г.: 37 милиона евро) също са включени в позицията за космическите активи. Освен това активите на EGNOS, които са в процес на изграждане, възлизат на 273 милиона евро (2019 г.: 238 милиона евро).</w:t>
      </w:r>
    </w:p>
    <w:bookmarkEnd w:id="85"/>
    <w:p>
      <w:pPr>
        <w:pStyle w:val="Textstand-alone"/>
        <w:spacing w:before="0" w:after="0"/>
        <w:sectPr>
          <w:headerReference w:type="even" r:id="rId134"/>
          <w:headerReference w:type="default" r:id="rId135"/>
          <w:footerReference w:type="even" r:id="rId136"/>
          <w:footerReference w:type="default" r:id="rId137"/>
          <w:headerReference w:type="first" r:id="rId138"/>
          <w:footerReference w:type="first" r:id="rId139"/>
          <w:type w:val="continuous"/>
          <w:pgSz w:w="11906" w:h="16838"/>
          <w:pgMar w:top="1134" w:right="1134" w:bottom="1134" w:left="1134" w:header="709" w:footer="709" w:gutter="0"/>
          <w:cols w:space="708"/>
          <w:docGrid w:linePitch="360"/>
        </w:sectPr>
      </w:pPr>
    </w:p>
    <w:p>
      <w:pPr>
        <w:pStyle w:val="HEADERTABLE"/>
        <w:rPr>
          <w:noProof/>
        </w:rPr>
      </w:pPr>
      <w:bookmarkStart w:id="87" w:name="_DMBM_21606"/>
      <w:r>
        <w:rPr>
          <w:noProof/>
        </w:rPr>
        <w:t>Имоти, машини и съоръжения</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26"/>
        <w:gridCol w:w="1093"/>
        <w:gridCol w:w="1093"/>
        <w:gridCol w:w="1094"/>
        <w:gridCol w:w="1256"/>
        <w:gridCol w:w="945"/>
        <w:gridCol w:w="945"/>
        <w:gridCol w:w="945"/>
        <w:gridCol w:w="1376"/>
        <w:gridCol w:w="1119"/>
      </w:tblGrid>
      <w:tr>
        <w:trPr>
          <w:trHeight w:val="255"/>
        </w:trPr>
        <w:tc>
          <w:tcPr>
            <w:tcW w:w="3826" w:type="dxa"/>
            <w:tcBorders>
              <w:top w:val="nil"/>
              <w:left w:val="nil"/>
              <w:bottom w:val="nil"/>
              <w:right w:val="nil"/>
              <w:tl2br w:val="nil"/>
              <w:tr2bl w:val="nil"/>
            </w:tcBorders>
            <w:shd w:val="clear" w:color="auto" w:fill="auto"/>
            <w:tcMar>
              <w:left w:w="60" w:type="dxa"/>
              <w:right w:w="60" w:type="dxa"/>
            </w:tcMar>
            <w:vAlign w:val="bottom"/>
          </w:tcPr>
          <w:p>
            <w:pPr>
              <w:pStyle w:val="DMETW19850BIPEUPPE"/>
              <w:rPr>
                <w:rFonts w:ascii="Arial" w:eastAsia="Arial" w:hAnsi="Arial" w:cs="Arial"/>
                <w:noProof/>
                <w:color w:val="000000"/>
              </w:rPr>
            </w:pPr>
            <w:bookmarkStart w:id="88" w:name="DOC_TBL00008_1_1"/>
            <w:bookmarkEnd w:id="88"/>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cs="Calibri"/>
                <w:noProof/>
                <w:color w:val="000000"/>
              </w:rPr>
            </w:pP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cs="Calibri"/>
                <w:noProof/>
                <w:color w:val="000000"/>
              </w:rPr>
            </w:pPr>
          </w:p>
        </w:tc>
        <w:tc>
          <w:tcPr>
            <w:tcW w:w="1094"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cs="Calibri"/>
                <w:noProof/>
                <w:color w:val="000000"/>
              </w:rPr>
            </w:pPr>
          </w:p>
        </w:tc>
        <w:tc>
          <w:tcPr>
            <w:tcW w:w="1256"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cs="Calibri"/>
                <w:noProof/>
                <w:color w:val="000000"/>
              </w:rPr>
            </w:pP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cs="Calibri"/>
                <w:noProof/>
                <w:color w:val="000000"/>
              </w:rPr>
            </w:pP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cs="Calibri"/>
                <w:noProof/>
                <w:color w:val="000000"/>
              </w:rPr>
            </w:pP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cs="Calibri"/>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cs="Calibri"/>
                <w:noProof/>
                <w:color w:val="000000"/>
              </w:rPr>
            </w:pPr>
          </w:p>
        </w:tc>
        <w:tc>
          <w:tcPr>
            <w:tcW w:w="1119" w:type="dxa"/>
            <w:tcBorders>
              <w:top w:val="nil"/>
              <w:left w:val="nil"/>
              <w:bottom w:val="nil"/>
              <w:right w:val="nil"/>
              <w:tl2br w:val="nil"/>
              <w:tr2bl w:val="nil"/>
            </w:tcBorders>
            <w:shd w:val="clear" w:color="auto" w:fill="auto"/>
            <w:tcMar>
              <w:left w:w="60" w:type="dxa"/>
              <w:right w:w="60" w:type="dxa"/>
            </w:tcMar>
            <w:vAlign w:val="bottom"/>
          </w:tcPr>
          <w:p>
            <w:pPr>
              <w:pStyle w:val="DMETW19850BIPEUPP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826" w:type="dxa"/>
            <w:tcBorders>
              <w:top w:val="nil"/>
              <w:left w:val="nil"/>
              <w:bottom w:val="nil"/>
              <w:right w:val="nil"/>
              <w:tl2br w:val="nil"/>
              <w:tr2bl w:val="nil"/>
            </w:tcBorders>
            <w:shd w:val="solid" w:color="016794" w:fill="FFFFFF"/>
            <w:tcMar>
              <w:left w:w="60" w:type="dxa"/>
              <w:right w:w="60" w:type="dxa"/>
            </w:tcMar>
            <w:vAlign w:val="center"/>
          </w:tcPr>
          <w:p>
            <w:pPr>
              <w:pStyle w:val="DMETW19850BIPEUPPE"/>
              <w:jc w:val="right"/>
              <w:rPr>
                <w:rFonts w:ascii="Verdana" w:eastAsia="Verdana" w:hAnsi="Verdana" w:cs="Verdana"/>
                <w:noProof/>
                <w:color w:val="FFFFFF"/>
                <w:sz w:val="16"/>
              </w:rPr>
            </w:pPr>
          </w:p>
        </w:tc>
        <w:tc>
          <w:tcPr>
            <w:tcW w:w="1093" w:type="dxa"/>
            <w:tcBorders>
              <w:top w:val="nil"/>
              <w:left w:val="nil"/>
              <w:bottom w:val="nil"/>
              <w:right w:val="nil"/>
              <w:tl2br w:val="nil"/>
              <w:tr2bl w:val="nil"/>
            </w:tcBorders>
            <w:shd w:val="solid" w:color="016794" w:fill="FFFFFF"/>
            <w:tcMar>
              <w:left w:w="60" w:type="dxa"/>
              <w:right w:w="60" w:type="dxa"/>
            </w:tcMar>
            <w:vAlign w:val="center"/>
          </w:tcPr>
          <w:p>
            <w:pPr>
              <w:pStyle w:val="DMETW19850BIPEUPPE"/>
              <w:jc w:val="right"/>
              <w:rPr>
                <w:rFonts w:ascii="Verdana" w:eastAsia="Verdana" w:hAnsi="Verdana" w:cs="Verdana"/>
                <w:noProof/>
                <w:color w:val="FFFFFF"/>
                <w:sz w:val="16"/>
              </w:rPr>
            </w:pPr>
            <w:r>
              <w:rPr>
                <w:rFonts w:ascii="Verdana" w:hAnsi="Verdana"/>
                <w:noProof/>
                <w:color w:val="FFFFFF"/>
                <w:sz w:val="16"/>
              </w:rPr>
              <w:t>Земя и сгради</w:t>
            </w:r>
          </w:p>
        </w:tc>
        <w:tc>
          <w:tcPr>
            <w:tcW w:w="1093" w:type="dxa"/>
            <w:tcBorders>
              <w:top w:val="nil"/>
              <w:left w:val="nil"/>
              <w:bottom w:val="nil"/>
              <w:right w:val="nil"/>
              <w:tl2br w:val="nil"/>
              <w:tr2bl w:val="nil"/>
            </w:tcBorders>
            <w:shd w:val="solid" w:color="016794" w:fill="FFFFFF"/>
            <w:tcMar>
              <w:left w:w="60" w:type="dxa"/>
              <w:right w:w="60" w:type="dxa"/>
            </w:tcMar>
            <w:vAlign w:val="center"/>
          </w:tcPr>
          <w:p>
            <w:pPr>
              <w:pStyle w:val="DMETW19850BIPEUPPE"/>
              <w:jc w:val="right"/>
              <w:rPr>
                <w:rFonts w:ascii="Verdana" w:eastAsia="Verdana" w:hAnsi="Verdana" w:cs="Verdana"/>
                <w:noProof/>
                <w:color w:val="FFFFFF"/>
                <w:sz w:val="16"/>
              </w:rPr>
            </w:pPr>
            <w:r>
              <w:rPr>
                <w:rFonts w:ascii="Verdana" w:hAnsi="Verdana"/>
                <w:noProof/>
                <w:color w:val="FFFFFF"/>
                <w:sz w:val="16"/>
              </w:rPr>
              <w:t>Космически активи</w:t>
            </w:r>
          </w:p>
        </w:tc>
        <w:tc>
          <w:tcPr>
            <w:tcW w:w="1094" w:type="dxa"/>
            <w:tcBorders>
              <w:top w:val="nil"/>
              <w:left w:val="nil"/>
              <w:bottom w:val="nil"/>
              <w:right w:val="nil"/>
              <w:tl2br w:val="nil"/>
              <w:tr2bl w:val="nil"/>
            </w:tcBorders>
            <w:shd w:val="solid" w:color="016794" w:fill="FFFFFF"/>
            <w:tcMar>
              <w:left w:w="60" w:type="dxa"/>
              <w:right w:w="60" w:type="dxa"/>
            </w:tcMar>
            <w:vAlign w:val="center"/>
          </w:tcPr>
          <w:p>
            <w:pPr>
              <w:pStyle w:val="DMETW19850BIPEUPPE"/>
              <w:jc w:val="right"/>
              <w:rPr>
                <w:rFonts w:ascii="Verdana" w:eastAsia="Verdana" w:hAnsi="Verdana" w:cs="Verdana"/>
                <w:noProof/>
                <w:color w:val="FFFFFF"/>
                <w:sz w:val="16"/>
              </w:rPr>
            </w:pPr>
            <w:r>
              <w:rPr>
                <w:rFonts w:ascii="Verdana" w:hAnsi="Verdana"/>
                <w:noProof/>
                <w:color w:val="FFFFFF"/>
                <w:sz w:val="16"/>
              </w:rPr>
              <w:t>Машини и съоръжения</w:t>
            </w:r>
          </w:p>
        </w:tc>
        <w:tc>
          <w:tcPr>
            <w:tcW w:w="1256" w:type="dxa"/>
            <w:tcBorders>
              <w:top w:val="nil"/>
              <w:left w:val="nil"/>
              <w:bottom w:val="nil"/>
              <w:right w:val="nil"/>
              <w:tl2br w:val="nil"/>
              <w:tr2bl w:val="nil"/>
            </w:tcBorders>
            <w:shd w:val="solid" w:color="016794" w:fill="FFFFFF"/>
            <w:tcMar>
              <w:left w:w="60" w:type="dxa"/>
              <w:right w:w="60" w:type="dxa"/>
            </w:tcMar>
            <w:vAlign w:val="center"/>
          </w:tcPr>
          <w:p>
            <w:pPr>
              <w:pStyle w:val="DMETW19850BIPEUPPE"/>
              <w:jc w:val="right"/>
              <w:rPr>
                <w:rFonts w:ascii="Verdana" w:eastAsia="Verdana" w:hAnsi="Verdana" w:cs="Verdana"/>
                <w:noProof/>
                <w:color w:val="FFFFFF"/>
                <w:sz w:val="16"/>
              </w:rPr>
            </w:pPr>
            <w:r>
              <w:rPr>
                <w:rFonts w:ascii="Verdana" w:hAnsi="Verdana"/>
                <w:noProof/>
                <w:color w:val="FFFFFF"/>
                <w:sz w:val="16"/>
              </w:rPr>
              <w:t>Обзавеждане и превозни средства</w:t>
            </w:r>
          </w:p>
        </w:tc>
        <w:tc>
          <w:tcPr>
            <w:tcW w:w="945" w:type="dxa"/>
            <w:tcBorders>
              <w:top w:val="nil"/>
              <w:left w:val="nil"/>
              <w:bottom w:val="nil"/>
              <w:right w:val="nil"/>
              <w:tl2br w:val="nil"/>
              <w:tr2bl w:val="nil"/>
            </w:tcBorders>
            <w:shd w:val="solid" w:color="016794" w:fill="FFFFFF"/>
            <w:tcMar>
              <w:left w:w="60" w:type="dxa"/>
              <w:right w:w="60" w:type="dxa"/>
            </w:tcMar>
            <w:vAlign w:val="center"/>
          </w:tcPr>
          <w:p>
            <w:pPr>
              <w:pStyle w:val="DMETW19850BIPEUPPE"/>
              <w:jc w:val="right"/>
              <w:rPr>
                <w:rFonts w:ascii="Verdana" w:eastAsia="Verdana" w:hAnsi="Verdana" w:cs="Verdana"/>
                <w:noProof/>
                <w:color w:val="FFFFFF"/>
                <w:sz w:val="16"/>
              </w:rPr>
            </w:pPr>
            <w:r>
              <w:rPr>
                <w:rFonts w:ascii="Verdana" w:hAnsi="Verdana"/>
                <w:noProof/>
                <w:color w:val="FFFFFF"/>
                <w:sz w:val="16"/>
              </w:rPr>
              <w:t>Компютърен хардуер</w:t>
            </w:r>
          </w:p>
        </w:tc>
        <w:tc>
          <w:tcPr>
            <w:tcW w:w="945" w:type="dxa"/>
            <w:tcBorders>
              <w:top w:val="nil"/>
              <w:left w:val="nil"/>
              <w:bottom w:val="nil"/>
              <w:right w:val="nil"/>
              <w:tl2br w:val="nil"/>
              <w:tr2bl w:val="nil"/>
            </w:tcBorders>
            <w:shd w:val="solid" w:color="016794" w:fill="FFFFFF"/>
            <w:tcMar>
              <w:left w:w="60" w:type="dxa"/>
              <w:right w:w="60" w:type="dxa"/>
            </w:tcMar>
            <w:vAlign w:val="center"/>
          </w:tcPr>
          <w:p>
            <w:pPr>
              <w:pStyle w:val="DMETW19850BIPEUPPE"/>
              <w:jc w:val="right"/>
              <w:rPr>
                <w:rFonts w:ascii="Verdana" w:eastAsia="Verdana" w:hAnsi="Verdana" w:cs="Verdana"/>
                <w:noProof/>
                <w:color w:val="FFFFFF"/>
                <w:sz w:val="16"/>
              </w:rPr>
            </w:pPr>
            <w:r>
              <w:rPr>
                <w:rFonts w:ascii="Verdana" w:hAnsi="Verdana"/>
                <w:noProof/>
                <w:color w:val="FFFFFF"/>
                <w:sz w:val="16"/>
              </w:rPr>
              <w:t>Други</w:t>
            </w:r>
          </w:p>
        </w:tc>
        <w:tc>
          <w:tcPr>
            <w:tcW w:w="945" w:type="dxa"/>
            <w:tcBorders>
              <w:top w:val="nil"/>
              <w:left w:val="nil"/>
              <w:bottom w:val="nil"/>
              <w:right w:val="nil"/>
              <w:tl2br w:val="nil"/>
              <w:tr2bl w:val="nil"/>
            </w:tcBorders>
            <w:shd w:val="solid" w:color="016794" w:fill="FFFFFF"/>
            <w:tcMar>
              <w:left w:w="60" w:type="dxa"/>
              <w:right w:w="60" w:type="dxa"/>
            </w:tcMar>
            <w:vAlign w:val="center"/>
          </w:tcPr>
          <w:p>
            <w:pPr>
              <w:pStyle w:val="DMETW19850BIPEUPPE"/>
              <w:jc w:val="right"/>
              <w:rPr>
                <w:rFonts w:ascii="Verdana" w:eastAsia="Verdana" w:hAnsi="Verdana" w:cs="Verdana"/>
                <w:noProof/>
                <w:color w:val="FFFFFF"/>
                <w:sz w:val="16"/>
              </w:rPr>
            </w:pPr>
            <w:r>
              <w:rPr>
                <w:rFonts w:ascii="Verdana" w:hAnsi="Verdana"/>
                <w:noProof/>
                <w:color w:val="FFFFFF"/>
                <w:sz w:val="16"/>
              </w:rPr>
              <w:t>Финансови лизинги</w:t>
            </w:r>
          </w:p>
        </w:tc>
        <w:tc>
          <w:tcPr>
            <w:tcW w:w="1376" w:type="dxa"/>
            <w:tcBorders>
              <w:top w:val="nil"/>
              <w:left w:val="nil"/>
              <w:bottom w:val="nil"/>
              <w:right w:val="nil"/>
              <w:tl2br w:val="nil"/>
              <w:tr2bl w:val="nil"/>
            </w:tcBorders>
            <w:shd w:val="solid" w:color="016794" w:fill="FFFFFF"/>
            <w:tcMar>
              <w:left w:w="60" w:type="dxa"/>
              <w:right w:w="60" w:type="dxa"/>
            </w:tcMar>
            <w:vAlign w:val="center"/>
          </w:tcPr>
          <w:p>
            <w:pPr>
              <w:pStyle w:val="DMETW19850BIPEUPPE"/>
              <w:jc w:val="right"/>
              <w:rPr>
                <w:rFonts w:ascii="Verdana" w:eastAsia="Verdana" w:hAnsi="Verdana" w:cs="Verdana"/>
                <w:noProof/>
                <w:color w:val="FFFFFF"/>
                <w:sz w:val="16"/>
              </w:rPr>
            </w:pPr>
            <w:r>
              <w:rPr>
                <w:rFonts w:ascii="Verdana" w:hAnsi="Verdana"/>
                <w:noProof/>
                <w:color w:val="FFFFFF"/>
                <w:sz w:val="16"/>
              </w:rPr>
              <w:t xml:space="preserve"> Активи в процес на изграждане</w:t>
            </w:r>
          </w:p>
        </w:tc>
        <w:tc>
          <w:tcPr>
            <w:tcW w:w="1119" w:type="dxa"/>
            <w:tcBorders>
              <w:top w:val="nil"/>
              <w:left w:val="nil"/>
              <w:bottom w:val="nil"/>
              <w:right w:val="nil"/>
              <w:tl2br w:val="nil"/>
              <w:tr2bl w:val="nil"/>
            </w:tcBorders>
            <w:shd w:val="solid" w:color="016794" w:fill="FFFFFF"/>
            <w:tcMar>
              <w:left w:w="60" w:type="dxa"/>
              <w:right w:w="60" w:type="dxa"/>
            </w:tcMar>
            <w:vAlign w:val="center"/>
          </w:tcPr>
          <w:p>
            <w:pPr>
              <w:pStyle w:val="DMETW19850BIPEUPPE"/>
              <w:jc w:val="right"/>
              <w:rPr>
                <w:rFonts w:ascii="Verdana" w:eastAsia="Verdana" w:hAnsi="Verdana" w:cs="Verdana"/>
                <w:noProof/>
                <w:color w:val="FFFFFF"/>
                <w:sz w:val="16"/>
              </w:rPr>
            </w:pPr>
            <w:r>
              <w:rPr>
                <w:rFonts w:ascii="Verdana" w:hAnsi="Verdana"/>
                <w:noProof/>
                <w:color w:val="FFFFFF"/>
                <w:sz w:val="16"/>
              </w:rPr>
              <w:t>Общо</w:t>
            </w:r>
          </w:p>
        </w:tc>
      </w:tr>
      <w:tr>
        <w:trPr>
          <w:trHeight w:val="255"/>
        </w:trPr>
        <w:tc>
          <w:tcPr>
            <w:tcW w:w="3826"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Брутна балансова стойност към 31.12.2019 г.</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5 895</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5 680</w:t>
            </w:r>
          </w:p>
        </w:tc>
        <w:tc>
          <w:tcPr>
            <w:tcW w:w="1094"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542</w:t>
            </w:r>
          </w:p>
        </w:tc>
        <w:tc>
          <w:tcPr>
            <w:tcW w:w="125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259</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644</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325</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2 638</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3 653</w:t>
            </w:r>
          </w:p>
        </w:tc>
        <w:tc>
          <w:tcPr>
            <w:tcW w:w="1119"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19 635</w:t>
            </w:r>
          </w:p>
        </w:tc>
      </w:tr>
      <w:tr>
        <w:trPr>
          <w:trHeight w:val="255"/>
        </w:trPr>
        <w:tc>
          <w:tcPr>
            <w:tcW w:w="3826"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Новопридобити активи</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15</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6</w:t>
            </w:r>
          </w:p>
        </w:tc>
        <w:tc>
          <w:tcPr>
            <w:tcW w:w="1094"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27</w:t>
            </w:r>
          </w:p>
        </w:tc>
        <w:tc>
          <w:tcPr>
            <w:tcW w:w="125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13</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123</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12</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18</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1 155</w:t>
            </w:r>
          </w:p>
        </w:tc>
        <w:tc>
          <w:tcPr>
            <w:tcW w:w="1119"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1 369</w:t>
            </w:r>
          </w:p>
        </w:tc>
      </w:tr>
      <w:tr>
        <w:trPr>
          <w:trHeight w:val="255"/>
        </w:trPr>
        <w:tc>
          <w:tcPr>
            <w:tcW w:w="3826"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Намаления на активи</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(16)</w:t>
            </w:r>
          </w:p>
        </w:tc>
        <w:tc>
          <w:tcPr>
            <w:tcW w:w="1094"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(16)</w:t>
            </w:r>
          </w:p>
        </w:tc>
        <w:tc>
          <w:tcPr>
            <w:tcW w:w="125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(6)</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(45)</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(20)</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w:t>
            </w:r>
          </w:p>
        </w:tc>
        <w:tc>
          <w:tcPr>
            <w:tcW w:w="1119"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(106)</w:t>
            </w:r>
          </w:p>
        </w:tc>
      </w:tr>
      <w:tr>
        <w:trPr>
          <w:trHeight w:val="255"/>
        </w:trPr>
        <w:tc>
          <w:tcPr>
            <w:tcW w:w="3826"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Трансфер между категориите активи</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26</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w:t>
            </w:r>
          </w:p>
        </w:tc>
        <w:tc>
          <w:tcPr>
            <w:tcW w:w="1094"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3</w:t>
            </w:r>
          </w:p>
        </w:tc>
        <w:tc>
          <w:tcPr>
            <w:tcW w:w="125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5</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14</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(3)</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(52)</w:t>
            </w:r>
          </w:p>
        </w:tc>
        <w:tc>
          <w:tcPr>
            <w:tcW w:w="1119"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r>
      <w:tr>
        <w:trPr>
          <w:trHeight w:val="255"/>
        </w:trPr>
        <w:tc>
          <w:tcPr>
            <w:tcW w:w="382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Други промени</w:t>
            </w:r>
          </w:p>
        </w:tc>
        <w:tc>
          <w:tcPr>
            <w:tcW w:w="109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(11)</w:t>
            </w:r>
          </w:p>
        </w:tc>
        <w:tc>
          <w:tcPr>
            <w:tcW w:w="109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w:t>
            </w:r>
          </w:p>
        </w:tc>
        <w:tc>
          <w:tcPr>
            <w:tcW w:w="109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(10)</w:t>
            </w:r>
          </w:p>
        </w:tc>
        <w:tc>
          <w:tcPr>
            <w:tcW w:w="125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4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4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4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(8)</w:t>
            </w:r>
          </w:p>
        </w:tc>
        <w:tc>
          <w:tcPr>
            <w:tcW w:w="11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(29)</w:t>
            </w:r>
          </w:p>
        </w:tc>
      </w:tr>
      <w:tr>
        <w:trPr>
          <w:trHeight w:val="255"/>
        </w:trPr>
        <w:tc>
          <w:tcPr>
            <w:tcW w:w="3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b/>
                <w:noProof/>
                <w:color w:val="000000"/>
                <w:sz w:val="16"/>
              </w:rPr>
            </w:pPr>
            <w:r>
              <w:rPr>
                <w:rFonts w:ascii="Verdana" w:hAnsi="Verdana"/>
                <w:b/>
                <w:noProof/>
                <w:color w:val="000000"/>
                <w:sz w:val="16"/>
              </w:rPr>
              <w:t>Брутна балансова стойност към 31.12.2020 г.</w:t>
            </w:r>
          </w:p>
        </w:tc>
        <w:tc>
          <w:tcPr>
            <w:tcW w:w="10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5 924</w:t>
            </w:r>
          </w:p>
        </w:tc>
        <w:tc>
          <w:tcPr>
            <w:tcW w:w="10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5 670</w:t>
            </w:r>
          </w:p>
        </w:tc>
        <w:tc>
          <w:tcPr>
            <w:tcW w:w="10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546</w:t>
            </w:r>
          </w:p>
        </w:tc>
        <w:tc>
          <w:tcPr>
            <w:tcW w:w="12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272</w:t>
            </w:r>
          </w:p>
        </w:tc>
        <w:tc>
          <w:tcPr>
            <w:tcW w:w="9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727</w:t>
            </w:r>
          </w:p>
        </w:tc>
        <w:tc>
          <w:tcPr>
            <w:tcW w:w="9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332</w:t>
            </w:r>
          </w:p>
        </w:tc>
        <w:tc>
          <w:tcPr>
            <w:tcW w:w="9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2 650</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4 748</w:t>
            </w:r>
          </w:p>
        </w:tc>
        <w:tc>
          <w:tcPr>
            <w:tcW w:w="11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20 868</w:t>
            </w:r>
          </w:p>
        </w:tc>
      </w:tr>
      <w:tr>
        <w:trPr>
          <w:trHeight w:val="255"/>
        </w:trPr>
        <w:tc>
          <w:tcPr>
            <w:tcW w:w="382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Натрупана амортизация към 31.12.2019 г.</w:t>
            </w:r>
          </w:p>
        </w:tc>
        <w:tc>
          <w:tcPr>
            <w:tcW w:w="109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(3 503)</w:t>
            </w:r>
          </w:p>
        </w:tc>
        <w:tc>
          <w:tcPr>
            <w:tcW w:w="109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(2 001)</w:t>
            </w:r>
          </w:p>
        </w:tc>
        <w:tc>
          <w:tcPr>
            <w:tcW w:w="109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(457)</w:t>
            </w:r>
          </w:p>
        </w:tc>
        <w:tc>
          <w:tcPr>
            <w:tcW w:w="125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(194)</w:t>
            </w:r>
          </w:p>
        </w:tc>
        <w:tc>
          <w:tcPr>
            <w:tcW w:w="94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(533)</w:t>
            </w:r>
          </w:p>
        </w:tc>
        <w:tc>
          <w:tcPr>
            <w:tcW w:w="94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(255)</w:t>
            </w:r>
          </w:p>
        </w:tc>
        <w:tc>
          <w:tcPr>
            <w:tcW w:w="94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(1 313)</w:t>
            </w: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p>
        </w:tc>
        <w:tc>
          <w:tcPr>
            <w:tcW w:w="111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(8 255)</w:t>
            </w:r>
          </w:p>
        </w:tc>
      </w:tr>
      <w:tr>
        <w:trPr>
          <w:trHeight w:val="255"/>
        </w:trPr>
        <w:tc>
          <w:tcPr>
            <w:tcW w:w="3826"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Амортизационен разход за годината</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(185)</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(635)</w:t>
            </w:r>
          </w:p>
        </w:tc>
        <w:tc>
          <w:tcPr>
            <w:tcW w:w="1094"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(33)</w:t>
            </w:r>
          </w:p>
        </w:tc>
        <w:tc>
          <w:tcPr>
            <w:tcW w:w="125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(15)</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(67)</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(23)</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(93)</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p>
        </w:tc>
        <w:tc>
          <w:tcPr>
            <w:tcW w:w="1119"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(1 051)</w:t>
            </w:r>
          </w:p>
        </w:tc>
      </w:tr>
      <w:tr>
        <w:trPr>
          <w:trHeight w:val="255"/>
        </w:trPr>
        <w:tc>
          <w:tcPr>
            <w:tcW w:w="3826"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Отменена амортизация</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w:t>
            </w:r>
          </w:p>
        </w:tc>
        <w:tc>
          <w:tcPr>
            <w:tcW w:w="1094"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w:t>
            </w:r>
          </w:p>
        </w:tc>
        <w:tc>
          <w:tcPr>
            <w:tcW w:w="125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p>
        </w:tc>
        <w:tc>
          <w:tcPr>
            <w:tcW w:w="1119"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r>
      <w:tr>
        <w:trPr>
          <w:trHeight w:val="255"/>
        </w:trPr>
        <w:tc>
          <w:tcPr>
            <w:tcW w:w="3826"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Намаления на активи</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10</w:t>
            </w:r>
          </w:p>
        </w:tc>
        <w:tc>
          <w:tcPr>
            <w:tcW w:w="1094"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16</w:t>
            </w:r>
          </w:p>
        </w:tc>
        <w:tc>
          <w:tcPr>
            <w:tcW w:w="125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6</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45</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20</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p>
        </w:tc>
        <w:tc>
          <w:tcPr>
            <w:tcW w:w="1119"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98</w:t>
            </w:r>
          </w:p>
        </w:tc>
      </w:tr>
      <w:tr>
        <w:trPr>
          <w:trHeight w:val="255"/>
        </w:trPr>
        <w:tc>
          <w:tcPr>
            <w:tcW w:w="3826"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Трансфер между категориите активи</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w:t>
            </w:r>
          </w:p>
        </w:tc>
        <w:tc>
          <w:tcPr>
            <w:tcW w:w="1094"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5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p>
        </w:tc>
        <w:tc>
          <w:tcPr>
            <w:tcW w:w="1119"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r>
      <w:tr>
        <w:trPr>
          <w:trHeight w:val="255"/>
        </w:trPr>
        <w:tc>
          <w:tcPr>
            <w:tcW w:w="382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Други промени</w:t>
            </w:r>
          </w:p>
        </w:tc>
        <w:tc>
          <w:tcPr>
            <w:tcW w:w="109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11</w:t>
            </w:r>
          </w:p>
        </w:tc>
        <w:tc>
          <w:tcPr>
            <w:tcW w:w="109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w:t>
            </w:r>
          </w:p>
        </w:tc>
        <w:tc>
          <w:tcPr>
            <w:tcW w:w="109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10</w:t>
            </w:r>
          </w:p>
        </w:tc>
        <w:tc>
          <w:tcPr>
            <w:tcW w:w="125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4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4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4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p>
        </w:tc>
        <w:tc>
          <w:tcPr>
            <w:tcW w:w="11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21</w:t>
            </w:r>
          </w:p>
        </w:tc>
      </w:tr>
      <w:tr>
        <w:trPr>
          <w:trHeight w:val="255"/>
        </w:trPr>
        <w:tc>
          <w:tcPr>
            <w:tcW w:w="3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b/>
                <w:noProof/>
                <w:color w:val="000000"/>
                <w:sz w:val="16"/>
              </w:rPr>
            </w:pPr>
            <w:r>
              <w:rPr>
                <w:rFonts w:ascii="Verdana" w:hAnsi="Verdana"/>
                <w:b/>
                <w:noProof/>
                <w:color w:val="000000"/>
                <w:sz w:val="16"/>
              </w:rPr>
              <w:t>Натрупана амортизация към 31.12.2020 г.</w:t>
            </w:r>
          </w:p>
        </w:tc>
        <w:tc>
          <w:tcPr>
            <w:tcW w:w="10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(3 676)</w:t>
            </w:r>
          </w:p>
        </w:tc>
        <w:tc>
          <w:tcPr>
            <w:tcW w:w="10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(2 625)</w:t>
            </w:r>
          </w:p>
        </w:tc>
        <w:tc>
          <w:tcPr>
            <w:tcW w:w="10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(465)</w:t>
            </w:r>
          </w:p>
        </w:tc>
        <w:tc>
          <w:tcPr>
            <w:tcW w:w="12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(203)</w:t>
            </w:r>
          </w:p>
        </w:tc>
        <w:tc>
          <w:tcPr>
            <w:tcW w:w="9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(557)</w:t>
            </w:r>
          </w:p>
        </w:tc>
        <w:tc>
          <w:tcPr>
            <w:tcW w:w="9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(259)</w:t>
            </w:r>
          </w:p>
        </w:tc>
        <w:tc>
          <w:tcPr>
            <w:tcW w:w="94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(1 402)</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p>
        </w:tc>
        <w:tc>
          <w:tcPr>
            <w:tcW w:w="11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(9 186)</w:t>
            </w:r>
          </w:p>
        </w:tc>
      </w:tr>
      <w:tr>
        <w:trPr>
          <w:trHeight w:val="255"/>
        </w:trPr>
        <w:tc>
          <w:tcPr>
            <w:tcW w:w="382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rPr>
                <w:rFonts w:ascii="Arial" w:eastAsia="Arial" w:hAnsi="Arial" w:cs="Arial"/>
                <w:noProof/>
                <w:color w:val="000000"/>
                <w:sz w:val="16"/>
              </w:rPr>
            </w:pPr>
          </w:p>
        </w:tc>
        <w:tc>
          <w:tcPr>
            <w:tcW w:w="109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rPr>
                <w:rFonts w:ascii="Arial" w:eastAsia="Arial" w:hAnsi="Arial" w:cs="Arial"/>
                <w:noProof/>
                <w:color w:val="000000"/>
                <w:sz w:val="16"/>
              </w:rPr>
            </w:pPr>
          </w:p>
        </w:tc>
        <w:tc>
          <w:tcPr>
            <w:tcW w:w="109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rPr>
                <w:rFonts w:ascii="Arial" w:eastAsia="Arial" w:hAnsi="Arial" w:cs="Arial"/>
                <w:noProof/>
                <w:color w:val="000000"/>
                <w:sz w:val="16"/>
              </w:rPr>
            </w:pPr>
          </w:p>
        </w:tc>
        <w:tc>
          <w:tcPr>
            <w:tcW w:w="109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rPr>
                <w:rFonts w:ascii="Arial" w:eastAsia="Arial" w:hAnsi="Arial" w:cs="Arial"/>
                <w:noProof/>
                <w:color w:val="000000"/>
                <w:sz w:val="16"/>
              </w:rPr>
            </w:pPr>
          </w:p>
        </w:tc>
        <w:tc>
          <w:tcPr>
            <w:tcW w:w="125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rPr>
                <w:rFonts w:ascii="Arial" w:eastAsia="Arial" w:hAnsi="Arial" w:cs="Arial"/>
                <w:noProof/>
                <w:color w:val="000000"/>
                <w:sz w:val="16"/>
              </w:rPr>
            </w:pPr>
          </w:p>
        </w:tc>
        <w:tc>
          <w:tcPr>
            <w:tcW w:w="94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rPr>
                <w:rFonts w:ascii="Arial" w:eastAsia="Arial" w:hAnsi="Arial" w:cs="Arial"/>
                <w:noProof/>
                <w:color w:val="000000"/>
                <w:sz w:val="16"/>
              </w:rPr>
            </w:pPr>
          </w:p>
        </w:tc>
        <w:tc>
          <w:tcPr>
            <w:tcW w:w="94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rPr>
                <w:rFonts w:ascii="Arial" w:eastAsia="Arial" w:hAnsi="Arial" w:cs="Arial"/>
                <w:noProof/>
                <w:color w:val="000000"/>
                <w:sz w:val="16"/>
              </w:rPr>
            </w:pPr>
          </w:p>
        </w:tc>
        <w:tc>
          <w:tcPr>
            <w:tcW w:w="94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rPr>
                <w:rFonts w:ascii="Arial" w:eastAsia="Arial" w:hAnsi="Arial" w:cs="Arial"/>
                <w:noProof/>
                <w:color w:val="000000"/>
                <w:sz w:val="16"/>
              </w:rPr>
            </w:pP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rPr>
                <w:rFonts w:ascii="Arial" w:eastAsia="Arial" w:hAnsi="Arial" w:cs="Arial"/>
                <w:noProof/>
                <w:color w:val="000000"/>
                <w:sz w:val="16"/>
              </w:rPr>
            </w:pPr>
          </w:p>
        </w:tc>
        <w:tc>
          <w:tcPr>
            <w:tcW w:w="111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50BIPEUPPE"/>
              <w:rPr>
                <w:rFonts w:ascii="Arial" w:eastAsia="Arial" w:hAnsi="Arial" w:cs="Arial"/>
                <w:noProof/>
                <w:color w:val="000000"/>
                <w:sz w:val="16"/>
                <w:lang w:bidi="en-GB"/>
              </w:rPr>
            </w:pPr>
          </w:p>
        </w:tc>
      </w:tr>
      <w:tr>
        <w:trPr>
          <w:trHeight w:val="255"/>
        </w:trPr>
        <w:tc>
          <w:tcPr>
            <w:tcW w:w="3826" w:type="dxa"/>
            <w:tcBorders>
              <w:top w:val="nil"/>
              <w:left w:val="nil"/>
              <w:bottom w:val="nil"/>
              <w:right w:val="nil"/>
              <w:tl2br w:val="nil"/>
              <w:tr2bl w:val="nil"/>
            </w:tcBorders>
            <w:shd w:val="solid" w:color="CCE1EA" w:fill="FFFFFF"/>
            <w:tcMar>
              <w:left w:w="60" w:type="dxa"/>
              <w:right w:w="60" w:type="dxa"/>
            </w:tcMar>
            <w:vAlign w:val="center"/>
          </w:tcPr>
          <w:p>
            <w:pPr>
              <w:pStyle w:val="DMETW19850BIPEUPPE"/>
              <w:rPr>
                <w:rFonts w:ascii="Verdana" w:eastAsia="Verdana" w:hAnsi="Verdana" w:cs="Verdana"/>
                <w:b/>
                <w:noProof/>
                <w:color w:val="000000"/>
                <w:sz w:val="16"/>
              </w:rPr>
            </w:pPr>
            <w:r>
              <w:rPr>
                <w:rFonts w:ascii="Verdana" w:hAnsi="Verdana"/>
                <w:b/>
                <w:noProof/>
                <w:color w:val="000000"/>
                <w:sz w:val="16"/>
              </w:rPr>
              <w:t>НЕТНА БАЛАНСОВА СТОЙНОСТ КЪМ 31.12.2020 г.</w:t>
            </w:r>
          </w:p>
        </w:tc>
        <w:tc>
          <w:tcPr>
            <w:tcW w:w="1093" w:type="dxa"/>
            <w:tcBorders>
              <w:top w:val="nil"/>
              <w:left w:val="nil"/>
              <w:bottom w:val="nil"/>
              <w:right w:val="nil"/>
              <w:tl2br w:val="nil"/>
              <w:tr2bl w:val="nil"/>
            </w:tcBorders>
            <w:shd w:val="solid" w:color="CCE1EA" w:fill="FFFFFF"/>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2 249</w:t>
            </w:r>
          </w:p>
        </w:tc>
        <w:tc>
          <w:tcPr>
            <w:tcW w:w="1093" w:type="dxa"/>
            <w:tcBorders>
              <w:top w:val="nil"/>
              <w:left w:val="nil"/>
              <w:bottom w:val="nil"/>
              <w:right w:val="nil"/>
              <w:tl2br w:val="nil"/>
              <w:tr2bl w:val="nil"/>
            </w:tcBorders>
            <w:shd w:val="solid" w:color="CCE1EA" w:fill="FFFFFF"/>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3 045</w:t>
            </w:r>
          </w:p>
        </w:tc>
        <w:tc>
          <w:tcPr>
            <w:tcW w:w="1094" w:type="dxa"/>
            <w:tcBorders>
              <w:top w:val="nil"/>
              <w:left w:val="nil"/>
              <w:bottom w:val="nil"/>
              <w:right w:val="nil"/>
              <w:tl2br w:val="nil"/>
              <w:tr2bl w:val="nil"/>
            </w:tcBorders>
            <w:shd w:val="solid" w:color="CCE1EA" w:fill="FFFFFF"/>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81</w:t>
            </w:r>
          </w:p>
        </w:tc>
        <w:tc>
          <w:tcPr>
            <w:tcW w:w="1256" w:type="dxa"/>
            <w:tcBorders>
              <w:top w:val="nil"/>
              <w:left w:val="nil"/>
              <w:bottom w:val="nil"/>
              <w:right w:val="nil"/>
              <w:tl2br w:val="nil"/>
              <w:tr2bl w:val="nil"/>
            </w:tcBorders>
            <w:shd w:val="solid" w:color="CCE1EA" w:fill="FFFFFF"/>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69</w:t>
            </w:r>
          </w:p>
        </w:tc>
        <w:tc>
          <w:tcPr>
            <w:tcW w:w="945" w:type="dxa"/>
            <w:tcBorders>
              <w:top w:val="nil"/>
              <w:left w:val="nil"/>
              <w:bottom w:val="nil"/>
              <w:right w:val="nil"/>
              <w:tl2br w:val="nil"/>
              <w:tr2bl w:val="nil"/>
            </w:tcBorders>
            <w:shd w:val="solid" w:color="CCE1EA" w:fill="FFFFFF"/>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170</w:t>
            </w:r>
          </w:p>
        </w:tc>
        <w:tc>
          <w:tcPr>
            <w:tcW w:w="945" w:type="dxa"/>
            <w:tcBorders>
              <w:top w:val="nil"/>
              <w:left w:val="nil"/>
              <w:bottom w:val="nil"/>
              <w:right w:val="nil"/>
              <w:tl2br w:val="nil"/>
              <w:tr2bl w:val="nil"/>
            </w:tcBorders>
            <w:shd w:val="solid" w:color="CCE1EA" w:fill="FFFFFF"/>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 xml:space="preserve"> 73</w:t>
            </w:r>
          </w:p>
        </w:tc>
        <w:tc>
          <w:tcPr>
            <w:tcW w:w="945" w:type="dxa"/>
            <w:tcBorders>
              <w:top w:val="nil"/>
              <w:left w:val="nil"/>
              <w:bottom w:val="nil"/>
              <w:right w:val="nil"/>
              <w:tl2br w:val="nil"/>
              <w:tr2bl w:val="nil"/>
            </w:tcBorders>
            <w:shd w:val="solid" w:color="CCE1EA" w:fill="FFFFFF"/>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1 248</w:t>
            </w:r>
          </w:p>
        </w:tc>
        <w:tc>
          <w:tcPr>
            <w:tcW w:w="1376" w:type="dxa"/>
            <w:tcBorders>
              <w:top w:val="nil"/>
              <w:left w:val="nil"/>
              <w:bottom w:val="nil"/>
              <w:right w:val="nil"/>
              <w:tl2br w:val="nil"/>
              <w:tr2bl w:val="nil"/>
            </w:tcBorders>
            <w:shd w:val="solid" w:color="CCE1EA" w:fill="FFFFFF"/>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4 748</w:t>
            </w:r>
          </w:p>
        </w:tc>
        <w:tc>
          <w:tcPr>
            <w:tcW w:w="1119" w:type="dxa"/>
            <w:tcBorders>
              <w:top w:val="nil"/>
              <w:left w:val="nil"/>
              <w:bottom w:val="nil"/>
              <w:right w:val="nil"/>
              <w:tl2br w:val="nil"/>
              <w:tr2bl w:val="nil"/>
            </w:tcBorders>
            <w:shd w:val="solid" w:color="CCE1EA" w:fill="FFFFFF"/>
            <w:tcMar>
              <w:left w:w="60" w:type="dxa"/>
              <w:right w:w="60" w:type="dxa"/>
            </w:tcMar>
            <w:vAlign w:val="center"/>
          </w:tcPr>
          <w:p>
            <w:pPr>
              <w:pStyle w:val="DMETW19850BIPEUPPE"/>
              <w:jc w:val="right"/>
              <w:rPr>
                <w:rFonts w:ascii="Verdana" w:eastAsia="Verdana" w:hAnsi="Verdana" w:cs="Verdana"/>
                <w:b/>
                <w:noProof/>
                <w:color w:val="000000"/>
                <w:sz w:val="16"/>
              </w:rPr>
            </w:pPr>
            <w:r>
              <w:rPr>
                <w:rFonts w:ascii="Verdana" w:hAnsi="Verdana"/>
                <w:b/>
                <w:noProof/>
                <w:color w:val="000000"/>
                <w:sz w:val="16"/>
              </w:rPr>
              <w:t>11 682</w:t>
            </w:r>
          </w:p>
        </w:tc>
      </w:tr>
      <w:tr>
        <w:trPr>
          <w:trHeight w:val="255"/>
        </w:trPr>
        <w:tc>
          <w:tcPr>
            <w:tcW w:w="3826" w:type="dxa"/>
            <w:tcBorders>
              <w:top w:val="nil"/>
              <w:left w:val="nil"/>
              <w:bottom w:val="nil"/>
              <w:right w:val="nil"/>
              <w:tl2br w:val="nil"/>
              <w:tr2bl w:val="nil"/>
            </w:tcBorders>
            <w:shd w:val="clear" w:color="auto" w:fill="auto"/>
            <w:tcMar>
              <w:left w:w="60" w:type="dxa"/>
              <w:right w:w="60" w:type="dxa"/>
            </w:tcMar>
            <w:vAlign w:val="center"/>
          </w:tcPr>
          <w:p>
            <w:pPr>
              <w:pStyle w:val="DMETW19850BIPEUPPE"/>
              <w:rPr>
                <w:rFonts w:ascii="Verdana" w:eastAsia="Verdana" w:hAnsi="Verdana" w:cs="Verdana"/>
                <w:i/>
                <w:noProof/>
                <w:color w:val="000000"/>
                <w:sz w:val="16"/>
              </w:rPr>
            </w:pPr>
            <w:r>
              <w:rPr>
                <w:rFonts w:ascii="Verdana" w:hAnsi="Verdana"/>
                <w:i/>
                <w:noProof/>
                <w:color w:val="000000"/>
                <w:sz w:val="16"/>
              </w:rPr>
              <w:t>НЕТНА БАЛАНСОВА СТОЙНОСТ КЪМ 31.12.2019 г.</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2 392</w:t>
            </w:r>
          </w:p>
        </w:tc>
        <w:tc>
          <w:tcPr>
            <w:tcW w:w="1093"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3 679</w:t>
            </w:r>
          </w:p>
        </w:tc>
        <w:tc>
          <w:tcPr>
            <w:tcW w:w="1094"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85</w:t>
            </w:r>
          </w:p>
        </w:tc>
        <w:tc>
          <w:tcPr>
            <w:tcW w:w="125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65</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110</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 xml:space="preserve"> 70</w:t>
            </w:r>
          </w:p>
        </w:tc>
        <w:tc>
          <w:tcPr>
            <w:tcW w:w="945"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1 325</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3 653</w:t>
            </w:r>
          </w:p>
        </w:tc>
        <w:tc>
          <w:tcPr>
            <w:tcW w:w="1119" w:type="dxa"/>
            <w:tcBorders>
              <w:top w:val="nil"/>
              <w:left w:val="nil"/>
              <w:bottom w:val="nil"/>
              <w:right w:val="nil"/>
              <w:tl2br w:val="nil"/>
              <w:tr2bl w:val="nil"/>
            </w:tcBorders>
            <w:shd w:val="clear" w:color="auto" w:fill="auto"/>
            <w:tcMar>
              <w:left w:w="60" w:type="dxa"/>
              <w:right w:w="60" w:type="dxa"/>
            </w:tcMar>
            <w:vAlign w:val="center"/>
          </w:tcPr>
          <w:p>
            <w:pPr>
              <w:pStyle w:val="DMETW19850BIPEUPPE"/>
              <w:jc w:val="right"/>
              <w:rPr>
                <w:rFonts w:ascii="Verdana" w:eastAsia="Verdana" w:hAnsi="Verdana" w:cs="Verdana"/>
                <w:i/>
                <w:noProof/>
                <w:color w:val="000000"/>
                <w:sz w:val="16"/>
              </w:rPr>
            </w:pPr>
            <w:r>
              <w:rPr>
                <w:rFonts w:ascii="Verdana" w:hAnsi="Verdana"/>
                <w:i/>
                <w:noProof/>
                <w:color w:val="000000"/>
                <w:sz w:val="16"/>
              </w:rPr>
              <w:t>11 380</w:t>
            </w:r>
          </w:p>
        </w:tc>
      </w:tr>
      <w:bookmarkEnd w:id="87"/>
    </w:tbl>
    <w:p>
      <w:pPr>
        <w:rPr>
          <w:noProof/>
        </w:rPr>
      </w:pPr>
    </w:p>
    <w:p>
      <w:pPr>
        <w:rPr>
          <w:noProof/>
        </w:rPr>
      </w:pPr>
    </w:p>
    <w:p>
      <w:pPr>
        <w:rPr>
          <w:noProof/>
        </w:rPr>
      </w:pPr>
    </w:p>
    <w:p>
      <w:pPr>
        <w:rPr>
          <w:noProof/>
        </w:rPr>
      </w:pPr>
    </w:p>
    <w:p>
      <w:pPr>
        <w:rPr>
          <w:noProof/>
        </w:rPr>
      </w:pPr>
    </w:p>
    <w:p>
      <w:pPr>
        <w:rPr>
          <w:noProof/>
        </w:rPr>
      </w:pPr>
    </w:p>
    <w:p>
      <w:pPr>
        <w:rPr>
          <w:noProof/>
        </w:rPr>
      </w:pPr>
    </w:p>
    <w:p>
      <w:pPr>
        <w:tabs>
          <w:tab w:val="left" w:pos="5322"/>
        </w:tabs>
        <w:rPr>
          <w:noProof/>
        </w:rPr>
      </w:pPr>
      <w:r>
        <w:rPr>
          <w:noProof/>
        </w:rPr>
        <w:tab/>
      </w:r>
    </w:p>
    <w:p>
      <w:pPr>
        <w:tabs>
          <w:tab w:val="left" w:pos="5322"/>
        </w:tabs>
        <w:rPr>
          <w:noProof/>
        </w:rPr>
        <w:sectPr>
          <w:headerReference w:type="even" r:id="rId140"/>
          <w:headerReference w:type="default" r:id="rId141"/>
          <w:footerReference w:type="even" r:id="rId142"/>
          <w:footerReference w:type="default" r:id="rId143"/>
          <w:headerReference w:type="first" r:id="rId144"/>
          <w:footerReference w:type="first" r:id="rId145"/>
          <w:pgSz w:w="15840" w:h="12240" w:orient="landscape"/>
          <w:pgMar w:top="1134" w:right="1134" w:bottom="1134" w:left="1134" w:header="708" w:footer="708" w:gutter="0"/>
          <w:cols w:space="708"/>
          <w:docGrid w:linePitch="360"/>
        </w:sectPr>
      </w:pPr>
      <w:r>
        <w:rPr>
          <w:noProof/>
        </w:rPr>
        <w:tab/>
      </w:r>
    </w:p>
    <w:p>
      <w:pPr>
        <w:pStyle w:val="HEADER2NOTES"/>
        <w:spacing w:before="0"/>
        <w:rPr>
          <w:noProof/>
        </w:rPr>
      </w:pPr>
      <w:bookmarkStart w:id="89" w:name="_DMBM_19796"/>
      <w:r>
        <w:rPr>
          <w:noProof/>
        </w:rPr>
        <w:t>ИНВЕСТИЦИИ, ОТЧЕТЕНИ ПОСРЕДСТВОМ МЕТОДА НА СОБСТВЕНИЯ КАПИТАЛ</w:t>
      </w:r>
    </w:p>
    <w:p>
      <w:pPr>
        <w:pStyle w:val="DGTextstand-alone"/>
      </w:pPr>
      <w:r>
        <w:t xml:space="preserve">Участието на ЕС, представляван от Комисията, в Европейския инвестиционен фонд (ЕИФ) се третира като асоциирано предприятие, като се използва методът на собствения капитал. ЕИФ е финансовата институция на ЕС, специализирана в предоставянето на рисков капитал и на гаранции на малките и средните предприятия (МСП). ЕИФ се намира в Люксембург и развива дейност като публично-частно партньорство. В него членуват Европейската инвестиционна банка (ЕИБ), ЕС и група от финансови институции. Към 31 декември 2020 г. ЕС притежаваше 29,7 % </w:t>
      </w:r>
      <w:bookmarkStart w:id="90" w:name="OLE_LINK1"/>
      <w:bookmarkStart w:id="91" w:name="OLE_LINK2"/>
      <w:r>
        <w:t>дялово участие</w:t>
      </w:r>
      <w:bookmarkEnd w:id="90"/>
      <w:bookmarkEnd w:id="91"/>
      <w:r>
        <w:t xml:space="preserve"> в ЕИФ (2019 г.: 29,7 %) и 29,7 % от правата на глас (2019 г.: 29,7 %). В съответствие със своя устав ЕИФ трябва да заделя поне 20 % от годишния си нетен резултат в нормативно предвиден резерв, докато общият размер на резерва достигне 10 % от записания капитал. Средствата в този резерв не могат да бъдат разпределяни.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40"/>
        <w:gridCol w:w="3418"/>
      </w:tblGrid>
      <w:tr>
        <w:trPr>
          <w:trHeight w:val="255"/>
        </w:trPr>
        <w:tc>
          <w:tcPr>
            <w:tcW w:w="6340" w:type="dxa"/>
            <w:tcBorders>
              <w:top w:val="nil"/>
              <w:left w:val="nil"/>
              <w:bottom w:val="nil"/>
              <w:right w:val="nil"/>
              <w:tl2br w:val="nil"/>
              <w:tr2bl w:val="nil"/>
            </w:tcBorders>
            <w:shd w:val="clear" w:color="auto" w:fill="auto"/>
            <w:tcMar>
              <w:left w:w="60" w:type="dxa"/>
              <w:right w:w="60" w:type="dxa"/>
            </w:tcMar>
            <w:vAlign w:val="bottom"/>
          </w:tcPr>
          <w:p>
            <w:pPr>
              <w:pStyle w:val="DMETW19561BIPPARTASS1"/>
              <w:rPr>
                <w:rFonts w:ascii="Arial" w:eastAsia="Arial" w:hAnsi="Arial" w:cs="Arial"/>
                <w:noProof/>
                <w:color w:val="000000"/>
                <w:sz w:val="16"/>
              </w:rPr>
            </w:pPr>
            <w:bookmarkStart w:id="92" w:name="DOC_TBL00009_1_1"/>
            <w:bookmarkEnd w:id="92"/>
          </w:p>
        </w:tc>
        <w:tc>
          <w:tcPr>
            <w:tcW w:w="3418" w:type="dxa"/>
            <w:tcBorders>
              <w:top w:val="nil"/>
              <w:left w:val="nil"/>
              <w:bottom w:val="nil"/>
              <w:right w:val="nil"/>
              <w:tl2br w:val="nil"/>
              <w:tr2bl w:val="nil"/>
            </w:tcBorders>
            <w:shd w:val="clear" w:color="auto" w:fill="auto"/>
            <w:tcMar>
              <w:left w:w="60" w:type="dxa"/>
              <w:right w:w="60" w:type="dxa"/>
            </w:tcMar>
            <w:vAlign w:val="bottom"/>
          </w:tcPr>
          <w:p>
            <w:pPr>
              <w:pStyle w:val="DMETW19561BIPPARTASS1"/>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340" w:type="dxa"/>
            <w:tcBorders>
              <w:top w:val="nil"/>
              <w:left w:val="nil"/>
              <w:bottom w:val="nil"/>
              <w:right w:val="nil"/>
              <w:tl2br w:val="nil"/>
              <w:tr2bl w:val="nil"/>
            </w:tcBorders>
            <w:shd w:val="solid" w:color="016794" w:fill="FFFFFF"/>
            <w:tcMar>
              <w:left w:w="60" w:type="dxa"/>
              <w:right w:w="60" w:type="dxa"/>
            </w:tcMar>
            <w:vAlign w:val="bottom"/>
          </w:tcPr>
          <w:p>
            <w:pPr>
              <w:pStyle w:val="DMETW19561BIPPARTASS1"/>
              <w:rPr>
                <w:rFonts w:ascii="Arial" w:eastAsia="Arial" w:hAnsi="Arial" w:cs="Arial"/>
                <w:noProof/>
                <w:color w:val="000000"/>
              </w:rPr>
            </w:pPr>
          </w:p>
        </w:tc>
        <w:tc>
          <w:tcPr>
            <w:tcW w:w="3418" w:type="dxa"/>
            <w:tcBorders>
              <w:top w:val="nil"/>
              <w:left w:val="nil"/>
              <w:bottom w:val="nil"/>
              <w:right w:val="nil"/>
              <w:tl2br w:val="nil"/>
              <w:tr2bl w:val="nil"/>
            </w:tcBorders>
            <w:shd w:val="solid" w:color="016794" w:fill="FFFFFF"/>
            <w:tcMar>
              <w:left w:w="60" w:type="dxa"/>
              <w:right w:w="60" w:type="dxa"/>
            </w:tcMar>
            <w:vAlign w:val="center"/>
          </w:tcPr>
          <w:p>
            <w:pPr>
              <w:pStyle w:val="DMETW19561BIPPARTASS1"/>
              <w:jc w:val="right"/>
              <w:rPr>
                <w:rFonts w:ascii="Verdana" w:eastAsia="Verdana" w:hAnsi="Verdana" w:cs="Verdana"/>
                <w:noProof/>
                <w:color w:val="FFFFFF"/>
              </w:rPr>
            </w:pPr>
            <w:r>
              <w:rPr>
                <w:rFonts w:ascii="Verdana" w:hAnsi="Verdana"/>
                <w:noProof/>
                <w:color w:val="FFFFFF"/>
              </w:rPr>
              <w:t>Европейски инвестиционен фонд</w:t>
            </w:r>
          </w:p>
        </w:tc>
      </w:tr>
      <w:tr>
        <w:trPr>
          <w:trHeight w:val="255"/>
        </w:trPr>
        <w:tc>
          <w:tcPr>
            <w:tcW w:w="6340" w:type="dxa"/>
            <w:tcBorders>
              <w:top w:val="nil"/>
              <w:left w:val="nil"/>
              <w:bottom w:val="nil"/>
              <w:right w:val="nil"/>
              <w:tl2br w:val="nil"/>
              <w:tr2bl w:val="nil"/>
            </w:tcBorders>
            <w:shd w:val="solid" w:color="CCE1EA" w:fill="FFFFFF"/>
            <w:tcMar>
              <w:left w:w="60" w:type="dxa"/>
              <w:right w:w="60" w:type="dxa"/>
            </w:tcMar>
            <w:vAlign w:val="center"/>
          </w:tcPr>
          <w:p>
            <w:pPr>
              <w:pStyle w:val="DMETW19561BIPPARTASS1"/>
              <w:rPr>
                <w:rFonts w:ascii="Verdana" w:eastAsia="Verdana" w:hAnsi="Verdana" w:cs="Verdana"/>
                <w:b/>
                <w:noProof/>
                <w:color w:val="000000"/>
                <w:sz w:val="18"/>
              </w:rPr>
            </w:pPr>
            <w:r>
              <w:rPr>
                <w:rFonts w:ascii="Verdana" w:hAnsi="Verdana"/>
                <w:b/>
                <w:noProof/>
                <w:color w:val="000000"/>
                <w:sz w:val="18"/>
              </w:rPr>
              <w:t>Участие към 31.12.2019 г.</w:t>
            </w:r>
          </w:p>
        </w:tc>
        <w:tc>
          <w:tcPr>
            <w:tcW w:w="3418" w:type="dxa"/>
            <w:tcBorders>
              <w:top w:val="nil"/>
              <w:left w:val="nil"/>
              <w:bottom w:val="nil"/>
              <w:right w:val="nil"/>
              <w:tl2br w:val="nil"/>
              <w:tr2bl w:val="nil"/>
            </w:tcBorders>
            <w:shd w:val="solid" w:color="CCE1EA" w:fill="FFFFFF"/>
            <w:tcMar>
              <w:left w:w="60" w:type="dxa"/>
              <w:right w:w="60" w:type="dxa"/>
            </w:tcMar>
            <w:vAlign w:val="bottom"/>
          </w:tcPr>
          <w:p>
            <w:pPr>
              <w:pStyle w:val="DMETW19561BIPPARTASS1"/>
              <w:jc w:val="right"/>
              <w:rPr>
                <w:rFonts w:ascii="Verdana" w:eastAsia="Verdana" w:hAnsi="Verdana" w:cs="Verdana"/>
                <w:b/>
                <w:noProof/>
                <w:color w:val="000000"/>
                <w:sz w:val="18"/>
              </w:rPr>
            </w:pPr>
            <w:r>
              <w:rPr>
                <w:rFonts w:ascii="Verdana" w:hAnsi="Verdana"/>
                <w:b/>
                <w:noProof/>
                <w:color w:val="000000"/>
                <w:sz w:val="18"/>
              </w:rPr>
              <w:t xml:space="preserve"> 591</w:t>
            </w:r>
          </w:p>
        </w:tc>
      </w:tr>
      <w:tr>
        <w:trPr>
          <w:trHeight w:val="255"/>
        </w:trPr>
        <w:tc>
          <w:tcPr>
            <w:tcW w:w="6340" w:type="dxa"/>
            <w:tcBorders>
              <w:top w:val="nil"/>
              <w:left w:val="nil"/>
              <w:bottom w:val="nil"/>
              <w:right w:val="nil"/>
              <w:tl2br w:val="nil"/>
              <w:tr2bl w:val="nil"/>
            </w:tcBorders>
            <w:shd w:val="clear" w:color="auto" w:fill="auto"/>
            <w:tcMar>
              <w:left w:w="60" w:type="dxa"/>
              <w:right w:w="60" w:type="dxa"/>
            </w:tcMar>
            <w:vAlign w:val="center"/>
          </w:tcPr>
          <w:p>
            <w:pPr>
              <w:pStyle w:val="DMETW19561BIPPARTASS1"/>
              <w:rPr>
                <w:rFonts w:ascii="Verdana" w:eastAsia="Verdana" w:hAnsi="Verdana" w:cs="Verdana"/>
                <w:i/>
                <w:noProof/>
                <w:color w:val="000000"/>
                <w:sz w:val="18"/>
              </w:rPr>
            </w:pPr>
            <w:r>
              <w:rPr>
                <w:rFonts w:ascii="Verdana" w:hAnsi="Verdana"/>
                <w:i/>
                <w:noProof/>
                <w:color w:val="000000"/>
                <w:sz w:val="18"/>
              </w:rPr>
              <w:t>Вноски</w:t>
            </w:r>
          </w:p>
        </w:tc>
        <w:tc>
          <w:tcPr>
            <w:tcW w:w="3418" w:type="dxa"/>
            <w:tcBorders>
              <w:top w:val="nil"/>
              <w:left w:val="nil"/>
              <w:bottom w:val="nil"/>
              <w:right w:val="nil"/>
              <w:tl2br w:val="nil"/>
              <w:tr2bl w:val="nil"/>
            </w:tcBorders>
            <w:shd w:val="clear" w:color="auto" w:fill="auto"/>
            <w:tcMar>
              <w:left w:w="60" w:type="dxa"/>
              <w:right w:w="60" w:type="dxa"/>
            </w:tcMar>
            <w:vAlign w:val="bottom"/>
          </w:tcPr>
          <w:p>
            <w:pPr>
              <w:pStyle w:val="DMETW19561BIPPARTASS1"/>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6340" w:type="dxa"/>
            <w:tcBorders>
              <w:top w:val="nil"/>
              <w:left w:val="nil"/>
              <w:bottom w:val="nil"/>
              <w:right w:val="nil"/>
              <w:tl2br w:val="nil"/>
              <w:tr2bl w:val="nil"/>
            </w:tcBorders>
            <w:shd w:val="clear" w:color="auto" w:fill="auto"/>
            <w:tcMar>
              <w:left w:w="60" w:type="dxa"/>
              <w:right w:w="60" w:type="dxa"/>
            </w:tcMar>
            <w:vAlign w:val="center"/>
          </w:tcPr>
          <w:p>
            <w:pPr>
              <w:pStyle w:val="DMETW19561BIPPARTASS1"/>
              <w:rPr>
                <w:rFonts w:ascii="Verdana" w:eastAsia="Verdana" w:hAnsi="Verdana" w:cs="Verdana"/>
                <w:i/>
                <w:noProof/>
                <w:color w:val="000000"/>
                <w:sz w:val="18"/>
              </w:rPr>
            </w:pPr>
            <w:r>
              <w:rPr>
                <w:rFonts w:ascii="Verdana" w:hAnsi="Verdana"/>
                <w:i/>
                <w:noProof/>
                <w:color w:val="000000"/>
                <w:sz w:val="18"/>
              </w:rPr>
              <w:t>Получени дивиденти</w:t>
            </w:r>
          </w:p>
        </w:tc>
        <w:tc>
          <w:tcPr>
            <w:tcW w:w="3418" w:type="dxa"/>
            <w:tcBorders>
              <w:top w:val="nil"/>
              <w:left w:val="nil"/>
              <w:bottom w:val="nil"/>
              <w:right w:val="nil"/>
              <w:tl2br w:val="nil"/>
              <w:tr2bl w:val="nil"/>
            </w:tcBorders>
            <w:shd w:val="clear" w:color="auto" w:fill="auto"/>
            <w:tcMar>
              <w:left w:w="60" w:type="dxa"/>
              <w:right w:w="60" w:type="dxa"/>
            </w:tcMar>
            <w:vAlign w:val="bottom"/>
          </w:tcPr>
          <w:p>
            <w:pPr>
              <w:pStyle w:val="DMETW19561BIPPARTASS1"/>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6340" w:type="dxa"/>
            <w:tcBorders>
              <w:top w:val="nil"/>
              <w:left w:val="nil"/>
              <w:bottom w:val="nil"/>
              <w:right w:val="nil"/>
              <w:tl2br w:val="nil"/>
              <w:tr2bl w:val="nil"/>
            </w:tcBorders>
            <w:shd w:val="clear" w:color="auto" w:fill="auto"/>
            <w:tcMar>
              <w:left w:w="60" w:type="dxa"/>
              <w:right w:w="60" w:type="dxa"/>
            </w:tcMar>
            <w:vAlign w:val="center"/>
          </w:tcPr>
          <w:p>
            <w:pPr>
              <w:pStyle w:val="DMETW19561BIPPARTASS1"/>
              <w:rPr>
                <w:rFonts w:ascii="Verdana" w:eastAsia="Verdana" w:hAnsi="Verdana" w:cs="Verdana"/>
                <w:i/>
                <w:noProof/>
                <w:color w:val="000000"/>
                <w:sz w:val="18"/>
              </w:rPr>
            </w:pPr>
            <w:r>
              <w:rPr>
                <w:rFonts w:ascii="Verdana" w:hAnsi="Verdana"/>
                <w:i/>
                <w:noProof/>
                <w:color w:val="000000"/>
                <w:sz w:val="18"/>
              </w:rPr>
              <w:t>Дял от нетния резултат</w:t>
            </w:r>
          </w:p>
        </w:tc>
        <w:tc>
          <w:tcPr>
            <w:tcW w:w="3418" w:type="dxa"/>
            <w:tcBorders>
              <w:top w:val="nil"/>
              <w:left w:val="nil"/>
              <w:bottom w:val="nil"/>
              <w:right w:val="nil"/>
              <w:tl2br w:val="nil"/>
              <w:tr2bl w:val="nil"/>
            </w:tcBorders>
            <w:shd w:val="clear" w:color="auto" w:fill="auto"/>
            <w:tcMar>
              <w:left w:w="60" w:type="dxa"/>
              <w:right w:w="60" w:type="dxa"/>
            </w:tcMar>
            <w:vAlign w:val="bottom"/>
          </w:tcPr>
          <w:p>
            <w:pPr>
              <w:pStyle w:val="DMETW19561BIPPARTASS1"/>
              <w:jc w:val="right"/>
              <w:rPr>
                <w:rFonts w:ascii="Verdana" w:eastAsia="Verdana" w:hAnsi="Verdana" w:cs="Verdana"/>
                <w:i/>
                <w:noProof/>
                <w:color w:val="000000"/>
                <w:sz w:val="18"/>
              </w:rPr>
            </w:pPr>
            <w:r>
              <w:rPr>
                <w:rFonts w:ascii="Verdana" w:hAnsi="Verdana"/>
                <w:i/>
                <w:noProof/>
                <w:color w:val="000000"/>
                <w:sz w:val="18"/>
              </w:rPr>
              <w:t xml:space="preserve"> 38</w:t>
            </w:r>
          </w:p>
        </w:tc>
      </w:tr>
      <w:tr>
        <w:trPr>
          <w:trHeight w:val="255"/>
        </w:trPr>
        <w:tc>
          <w:tcPr>
            <w:tcW w:w="6340" w:type="dxa"/>
            <w:tcBorders>
              <w:top w:val="nil"/>
              <w:left w:val="nil"/>
              <w:bottom w:val="nil"/>
              <w:right w:val="nil"/>
              <w:tl2br w:val="nil"/>
              <w:tr2bl w:val="nil"/>
            </w:tcBorders>
            <w:shd w:val="clear" w:color="auto" w:fill="auto"/>
            <w:tcMar>
              <w:left w:w="60" w:type="dxa"/>
              <w:right w:w="60" w:type="dxa"/>
            </w:tcMar>
            <w:vAlign w:val="center"/>
          </w:tcPr>
          <w:p>
            <w:pPr>
              <w:pStyle w:val="DMETW19561BIPPARTASS1"/>
              <w:rPr>
                <w:rFonts w:ascii="Verdana" w:eastAsia="Verdana" w:hAnsi="Verdana" w:cs="Verdana"/>
                <w:i/>
                <w:noProof/>
                <w:color w:val="000000"/>
                <w:sz w:val="18"/>
              </w:rPr>
            </w:pPr>
            <w:r>
              <w:rPr>
                <w:rFonts w:ascii="Verdana" w:hAnsi="Verdana"/>
                <w:i/>
                <w:noProof/>
                <w:color w:val="000000"/>
                <w:sz w:val="18"/>
              </w:rPr>
              <w:t>Дял от нетните активи</w:t>
            </w:r>
          </w:p>
        </w:tc>
        <w:tc>
          <w:tcPr>
            <w:tcW w:w="3418" w:type="dxa"/>
            <w:tcBorders>
              <w:top w:val="nil"/>
              <w:left w:val="nil"/>
              <w:bottom w:val="nil"/>
              <w:right w:val="nil"/>
              <w:tl2br w:val="nil"/>
              <w:tr2bl w:val="nil"/>
            </w:tcBorders>
            <w:shd w:val="clear" w:color="auto" w:fill="auto"/>
            <w:tcMar>
              <w:left w:w="60" w:type="dxa"/>
              <w:right w:w="60" w:type="dxa"/>
            </w:tcMar>
            <w:vAlign w:val="bottom"/>
          </w:tcPr>
          <w:p>
            <w:pPr>
              <w:pStyle w:val="DMETW19561BIPPARTASS1"/>
              <w:jc w:val="right"/>
              <w:rPr>
                <w:rFonts w:ascii="Verdana" w:eastAsia="Verdana" w:hAnsi="Verdana" w:cs="Verdana"/>
                <w:i/>
                <w:noProof/>
                <w:color w:val="000000"/>
                <w:sz w:val="18"/>
              </w:rPr>
            </w:pPr>
            <w:r>
              <w:rPr>
                <w:rFonts w:ascii="Verdana" w:hAnsi="Verdana"/>
                <w:i/>
                <w:noProof/>
                <w:color w:val="000000"/>
                <w:sz w:val="18"/>
              </w:rPr>
              <w:t xml:space="preserve"> (42)</w:t>
            </w:r>
          </w:p>
        </w:tc>
      </w:tr>
      <w:tr>
        <w:trPr>
          <w:trHeight w:val="255"/>
        </w:trPr>
        <w:tc>
          <w:tcPr>
            <w:tcW w:w="6340" w:type="dxa"/>
            <w:tcBorders>
              <w:top w:val="nil"/>
              <w:left w:val="nil"/>
              <w:bottom w:val="nil"/>
              <w:right w:val="nil"/>
              <w:tl2br w:val="nil"/>
              <w:tr2bl w:val="nil"/>
            </w:tcBorders>
            <w:shd w:val="solid" w:color="CCE1EA" w:fill="FFFFFF"/>
            <w:tcMar>
              <w:left w:w="60" w:type="dxa"/>
              <w:right w:w="60" w:type="dxa"/>
            </w:tcMar>
            <w:vAlign w:val="center"/>
          </w:tcPr>
          <w:p>
            <w:pPr>
              <w:pStyle w:val="DMETW19561BIPPARTASS1"/>
              <w:rPr>
                <w:rFonts w:ascii="Verdana" w:eastAsia="Verdana" w:hAnsi="Verdana" w:cs="Verdana"/>
                <w:b/>
                <w:noProof/>
                <w:color w:val="000000"/>
                <w:sz w:val="18"/>
              </w:rPr>
            </w:pPr>
            <w:r>
              <w:rPr>
                <w:rFonts w:ascii="Verdana" w:hAnsi="Verdana"/>
                <w:b/>
                <w:noProof/>
                <w:color w:val="000000"/>
                <w:sz w:val="18"/>
              </w:rPr>
              <w:t>Участие към 31.12.2020 г.</w:t>
            </w:r>
          </w:p>
        </w:tc>
        <w:tc>
          <w:tcPr>
            <w:tcW w:w="3418" w:type="dxa"/>
            <w:tcBorders>
              <w:top w:val="nil"/>
              <w:left w:val="nil"/>
              <w:bottom w:val="nil"/>
              <w:right w:val="nil"/>
              <w:tl2br w:val="nil"/>
              <w:tr2bl w:val="nil"/>
            </w:tcBorders>
            <w:shd w:val="solid" w:color="CCE1EA" w:fill="FFFFFF"/>
            <w:tcMar>
              <w:left w:w="60" w:type="dxa"/>
              <w:right w:w="60" w:type="dxa"/>
            </w:tcMar>
            <w:vAlign w:val="bottom"/>
          </w:tcPr>
          <w:p>
            <w:pPr>
              <w:pStyle w:val="DMETW19561BIPPARTASS1"/>
              <w:jc w:val="right"/>
              <w:rPr>
                <w:rFonts w:ascii="Verdana" w:eastAsia="Verdana" w:hAnsi="Verdana" w:cs="Verdana"/>
                <w:b/>
                <w:noProof/>
                <w:color w:val="000000"/>
                <w:sz w:val="18"/>
              </w:rPr>
            </w:pPr>
            <w:r>
              <w:rPr>
                <w:rFonts w:ascii="Verdana" w:hAnsi="Verdana"/>
                <w:b/>
                <w:noProof/>
                <w:color w:val="000000"/>
                <w:sz w:val="18"/>
              </w:rPr>
              <w:t xml:space="preserve"> 588</w:t>
            </w:r>
          </w:p>
        </w:tc>
      </w:tr>
    </w:tbl>
    <w:p>
      <w:pPr>
        <w:pStyle w:val="DGTextstand-alone"/>
      </w:pPr>
      <w:r>
        <w:t>Следните балансови стойности могат да се припишат на ЕС въз основа на процента на неговото участие: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pPr>
              <w:pStyle w:val="DMETW19561BIPPARTASS2"/>
              <w:rPr>
                <w:rFonts w:ascii="Arial" w:eastAsia="Arial" w:hAnsi="Arial" w:cs="Arial"/>
                <w:noProof/>
                <w:color w:val="000000"/>
                <w:sz w:val="16"/>
              </w:rPr>
            </w:pPr>
            <w:bookmarkStart w:id="93" w:name="DOC_TBL00010_1_1"/>
            <w:bookmarkEnd w:id="93"/>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Arial" w:eastAsia="Arial" w:hAnsi="Arial" w:cs="Arial"/>
                <w:i/>
                <w:noProof/>
                <w:color w:val="000000"/>
                <w:sz w:val="16"/>
              </w:rPr>
            </w:pPr>
            <w:r>
              <w:rPr>
                <w:rFonts w:ascii="Arial" w:hAnsi="Arial"/>
                <w:i/>
                <w:noProof/>
                <w:color w:val="000000"/>
                <w:sz w:val="16"/>
              </w:rPr>
              <w:t>милиони евро</w:t>
            </w:r>
          </w:p>
        </w:tc>
      </w:tr>
      <w:tr>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pPr>
              <w:pStyle w:val="DMETW19561BIPPARTASS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pPr>
              <w:pStyle w:val="DMETW19561BIPPARTASS2"/>
              <w:jc w:val="right"/>
              <w:rPr>
                <w:rFonts w:ascii="Verdana" w:eastAsia="Verdana" w:hAnsi="Verdana" w:cs="Verdana"/>
                <w:noProof/>
                <w:color w:val="FFFFFF"/>
              </w:rPr>
            </w:pPr>
            <w:r>
              <w:rPr>
                <w:rFonts w:ascii="Verdana" w:hAnsi="Verdana"/>
                <w:noProof/>
                <w:color w:val="FFFFFF"/>
              </w:rPr>
              <w:t>31.12.2020 г.</w:t>
            </w:r>
          </w:p>
        </w:tc>
        <w:tc>
          <w:tcPr>
            <w:tcW w:w="2787" w:type="dxa"/>
            <w:tcBorders>
              <w:top w:val="nil"/>
              <w:left w:val="nil"/>
              <w:bottom w:val="nil"/>
              <w:right w:val="nil"/>
              <w:tl2br w:val="nil"/>
              <w:tr2bl w:val="nil"/>
            </w:tcBorders>
            <w:shd w:val="solid" w:color="016794" w:fill="FFFFFF"/>
            <w:tcMar>
              <w:left w:w="60" w:type="dxa"/>
              <w:right w:w="60" w:type="dxa"/>
            </w:tcMar>
            <w:vAlign w:val="center"/>
          </w:tcPr>
          <w:p>
            <w:pPr>
              <w:pStyle w:val="DMETW19561BIPPARTASS2"/>
              <w:jc w:val="right"/>
              <w:rPr>
                <w:rFonts w:ascii="Verdana" w:eastAsia="Verdana" w:hAnsi="Verdana" w:cs="Verdana"/>
                <w:noProof/>
                <w:color w:val="FFFFFF"/>
              </w:rPr>
            </w:pPr>
            <w:r>
              <w:rPr>
                <w:rFonts w:ascii="Verdana" w:hAnsi="Verdana"/>
                <w:noProof/>
                <w:color w:val="FFFFFF"/>
              </w:rPr>
              <w:t>31.12.2019 г.</w:t>
            </w:r>
          </w:p>
        </w:tc>
      </w:tr>
      <w:tr>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pPr>
              <w:pStyle w:val="DMETW19561BIPPARTASS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pPr>
              <w:pStyle w:val="DMETW19561BIPPARTASS2"/>
              <w:jc w:val="right"/>
              <w:rPr>
                <w:rFonts w:ascii="Verdana" w:eastAsia="Verdana" w:hAnsi="Verdana" w:cs="Verdana"/>
                <w:noProof/>
                <w:color w:val="FFFFFF"/>
              </w:rPr>
            </w:pPr>
            <w:r>
              <w:rPr>
                <w:rFonts w:ascii="Verdana" w:hAnsi="Verdana"/>
                <w:noProof/>
                <w:color w:val="FFFFFF"/>
              </w:rPr>
              <w:t>Общо ЕИФ</w:t>
            </w:r>
          </w:p>
        </w:tc>
        <w:tc>
          <w:tcPr>
            <w:tcW w:w="2787" w:type="dxa"/>
            <w:tcBorders>
              <w:top w:val="nil"/>
              <w:left w:val="nil"/>
              <w:bottom w:val="nil"/>
              <w:right w:val="nil"/>
              <w:tl2br w:val="nil"/>
              <w:tr2bl w:val="nil"/>
            </w:tcBorders>
            <w:shd w:val="solid" w:color="016794" w:fill="FFFFFF"/>
            <w:tcMar>
              <w:left w:w="60" w:type="dxa"/>
              <w:right w:w="60" w:type="dxa"/>
            </w:tcMar>
            <w:vAlign w:val="center"/>
          </w:tcPr>
          <w:p>
            <w:pPr>
              <w:pStyle w:val="DMETW19561BIPPARTASS2"/>
              <w:jc w:val="right"/>
              <w:rPr>
                <w:rFonts w:ascii="Verdana" w:eastAsia="Verdana" w:hAnsi="Verdana" w:cs="Verdana"/>
                <w:noProof/>
                <w:color w:val="FFFFFF"/>
              </w:rPr>
            </w:pPr>
            <w:r>
              <w:rPr>
                <w:rFonts w:ascii="Verdana" w:hAnsi="Verdana"/>
                <w:noProof/>
                <w:color w:val="FFFFFF"/>
              </w:rPr>
              <w:t>Общо ЕИФ</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9561BIPPARTASS2"/>
              <w:rPr>
                <w:rFonts w:ascii="Verdana" w:eastAsia="Verdana" w:hAnsi="Verdana" w:cs="Verdana"/>
                <w:i/>
                <w:noProof/>
                <w:color w:val="000000"/>
                <w:sz w:val="18"/>
              </w:rPr>
            </w:pPr>
            <w:r>
              <w:rPr>
                <w:rFonts w:ascii="Verdana" w:hAnsi="Verdana"/>
                <w:i/>
                <w:noProof/>
                <w:color w:val="000000"/>
                <w:sz w:val="18"/>
              </w:rPr>
              <w:t>Активи</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Verdana" w:eastAsia="Verdana" w:hAnsi="Verdana" w:cs="Verdana"/>
                <w:i/>
                <w:noProof/>
                <w:color w:val="000000"/>
                <w:sz w:val="18"/>
              </w:rPr>
            </w:pPr>
            <w:r>
              <w:rPr>
                <w:rFonts w:ascii="Verdana" w:hAnsi="Verdana"/>
                <w:i/>
                <w:noProof/>
                <w:color w:val="000000"/>
                <w:sz w:val="18"/>
              </w:rPr>
              <w:t>3 256</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Verdana" w:eastAsia="Verdana" w:hAnsi="Verdana" w:cs="Verdana"/>
                <w:i/>
                <w:noProof/>
                <w:color w:val="000000"/>
                <w:sz w:val="18"/>
              </w:rPr>
            </w:pPr>
            <w:r>
              <w:rPr>
                <w:rFonts w:ascii="Verdana" w:hAnsi="Verdana"/>
                <w:i/>
                <w:noProof/>
                <w:color w:val="000000"/>
                <w:sz w:val="18"/>
              </w:rPr>
              <w:t>2 965</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9561BIPPARTASS2"/>
              <w:rPr>
                <w:rFonts w:ascii="Verdana" w:eastAsia="Verdana" w:hAnsi="Verdana" w:cs="Verdana"/>
                <w:i/>
                <w:noProof/>
                <w:color w:val="000000"/>
                <w:sz w:val="18"/>
              </w:rPr>
            </w:pPr>
            <w:r>
              <w:rPr>
                <w:rFonts w:ascii="Verdana" w:hAnsi="Verdana"/>
                <w:i/>
                <w:noProof/>
                <w:color w:val="000000"/>
                <w:sz w:val="18"/>
              </w:rPr>
              <w:t>Пасиви</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Verdana" w:eastAsia="Verdana" w:hAnsi="Verdana" w:cs="Verdana"/>
                <w:i/>
                <w:noProof/>
                <w:color w:val="000000"/>
                <w:sz w:val="18"/>
              </w:rPr>
            </w:pPr>
            <w:r>
              <w:rPr>
                <w:rFonts w:ascii="Verdana" w:hAnsi="Verdana"/>
                <w:i/>
                <w:noProof/>
                <w:color w:val="000000"/>
                <w:sz w:val="18"/>
              </w:rPr>
              <w:t>(1 277)</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Verdana" w:eastAsia="Verdana" w:hAnsi="Verdana" w:cs="Verdana"/>
                <w:i/>
                <w:noProof/>
                <w:color w:val="000000"/>
                <w:sz w:val="18"/>
              </w:rPr>
            </w:pPr>
            <w:r>
              <w:rPr>
                <w:rFonts w:ascii="Verdana" w:hAnsi="Verdana"/>
                <w:i/>
                <w:noProof/>
                <w:color w:val="000000"/>
                <w:sz w:val="18"/>
              </w:rPr>
              <w:t xml:space="preserve"> (975)</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9561BIPPARTASS2"/>
              <w:rPr>
                <w:rFonts w:ascii="Verdana" w:eastAsia="Verdana" w:hAnsi="Verdana" w:cs="Verdana"/>
                <w:i/>
                <w:noProof/>
                <w:color w:val="000000"/>
                <w:sz w:val="18"/>
              </w:rPr>
            </w:pPr>
            <w:r>
              <w:rPr>
                <w:rFonts w:ascii="Verdana" w:hAnsi="Verdana"/>
                <w:i/>
                <w:noProof/>
                <w:color w:val="000000"/>
                <w:sz w:val="18"/>
              </w:rPr>
              <w:t>Приходи</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Verdana" w:eastAsia="Verdana" w:hAnsi="Verdana" w:cs="Verdana"/>
                <w:i/>
                <w:noProof/>
                <w:color w:val="000000"/>
                <w:sz w:val="18"/>
              </w:rPr>
            </w:pPr>
            <w:r>
              <w:rPr>
                <w:rFonts w:ascii="Verdana" w:hAnsi="Verdana"/>
                <w:i/>
                <w:noProof/>
                <w:color w:val="000000"/>
                <w:sz w:val="18"/>
              </w:rPr>
              <w:t xml:space="preserve"> 322</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Verdana" w:eastAsia="Verdana" w:hAnsi="Verdana" w:cs="Verdana"/>
                <w:i/>
                <w:noProof/>
                <w:color w:val="000000"/>
                <w:sz w:val="18"/>
              </w:rPr>
            </w:pPr>
            <w:r>
              <w:rPr>
                <w:rFonts w:ascii="Verdana" w:hAnsi="Verdana"/>
                <w:i/>
                <w:noProof/>
                <w:color w:val="000000"/>
                <w:sz w:val="18"/>
              </w:rPr>
              <w:t xml:space="preserve"> 337</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9561BIPPARTASS2"/>
              <w:rPr>
                <w:rFonts w:ascii="Verdana" w:eastAsia="Verdana" w:hAnsi="Verdana" w:cs="Verdana"/>
                <w:i/>
                <w:noProof/>
                <w:color w:val="000000"/>
                <w:sz w:val="18"/>
              </w:rPr>
            </w:pPr>
            <w:r>
              <w:rPr>
                <w:rFonts w:ascii="Verdana" w:hAnsi="Verdana"/>
                <w:i/>
                <w:noProof/>
                <w:color w:val="000000"/>
                <w:sz w:val="18"/>
              </w:rPr>
              <w:t>Разходи</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Verdana" w:eastAsia="Verdana" w:hAnsi="Verdana" w:cs="Verdana"/>
                <w:i/>
                <w:noProof/>
                <w:color w:val="000000"/>
                <w:sz w:val="18"/>
              </w:rPr>
            </w:pPr>
            <w:r>
              <w:rPr>
                <w:rFonts w:ascii="Verdana" w:hAnsi="Verdana"/>
                <w:i/>
                <w:noProof/>
                <w:color w:val="000000"/>
                <w:sz w:val="18"/>
              </w:rPr>
              <w:t xml:space="preserve"> (194)</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Verdana" w:eastAsia="Verdana" w:hAnsi="Verdana" w:cs="Verdana"/>
                <w:i/>
                <w:noProof/>
                <w:color w:val="000000"/>
                <w:sz w:val="18"/>
              </w:rPr>
            </w:pPr>
            <w:r>
              <w:rPr>
                <w:rFonts w:ascii="Verdana" w:hAnsi="Verdana"/>
                <w:i/>
                <w:noProof/>
                <w:color w:val="000000"/>
                <w:sz w:val="18"/>
              </w:rPr>
              <w:t xml:space="preserve"> (161)</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9561BIPPARTASS2"/>
              <w:rPr>
                <w:rFonts w:ascii="Verdana" w:eastAsia="Verdana" w:hAnsi="Verdana" w:cs="Verdana"/>
                <w:i/>
                <w:noProof/>
                <w:color w:val="000000"/>
                <w:sz w:val="18"/>
              </w:rPr>
            </w:pPr>
            <w:r>
              <w:rPr>
                <w:rFonts w:ascii="Verdana" w:hAnsi="Verdana"/>
                <w:i/>
                <w:noProof/>
                <w:color w:val="000000"/>
                <w:sz w:val="18"/>
              </w:rPr>
              <w:t>Излишък/(дефицит)</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Verdana" w:eastAsia="Verdana" w:hAnsi="Verdana" w:cs="Verdana"/>
                <w:i/>
                <w:noProof/>
                <w:color w:val="000000"/>
                <w:sz w:val="18"/>
              </w:rPr>
            </w:pPr>
            <w:r>
              <w:rPr>
                <w:rFonts w:ascii="Verdana" w:hAnsi="Verdana"/>
                <w:i/>
                <w:noProof/>
                <w:color w:val="000000"/>
                <w:sz w:val="18"/>
              </w:rPr>
              <w:t xml:space="preserve"> 129</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9561BIPPARTASS2"/>
              <w:jc w:val="right"/>
              <w:rPr>
                <w:rFonts w:ascii="Verdana" w:eastAsia="Verdana" w:hAnsi="Verdana" w:cs="Verdana"/>
                <w:i/>
                <w:noProof/>
                <w:color w:val="000000"/>
                <w:sz w:val="18"/>
              </w:rPr>
            </w:pPr>
            <w:r>
              <w:rPr>
                <w:rFonts w:ascii="Verdana" w:hAnsi="Verdana"/>
                <w:i/>
                <w:noProof/>
                <w:color w:val="000000"/>
                <w:sz w:val="18"/>
              </w:rPr>
              <w:t xml:space="preserve"> 176</w:t>
            </w:r>
          </w:p>
        </w:tc>
      </w:tr>
    </w:tbl>
    <w:p>
      <w:pPr>
        <w:pStyle w:val="DGTextstand-alone"/>
      </w:pPr>
      <w:r>
        <w:t>Равнението на обобщената по-горе финансова информация с балансовата стойност на дяловото участие в ЕИФ е,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pPr>
              <w:pStyle w:val="DMETW19561BIPEIF2"/>
              <w:rPr>
                <w:rFonts w:ascii="Arial" w:eastAsia="Arial" w:hAnsi="Arial" w:cs="Arial"/>
                <w:noProof/>
                <w:color w:val="000000"/>
                <w:sz w:val="16"/>
              </w:rPr>
            </w:pPr>
            <w:bookmarkStart w:id="94" w:name="DOC_TBL00011_1_1"/>
            <w:bookmarkEnd w:id="94"/>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9561BIPEIF2"/>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9561BIPEIF2"/>
              <w:jc w:val="right"/>
              <w:rPr>
                <w:rFonts w:ascii="Arial" w:eastAsia="Arial" w:hAnsi="Arial" w:cs="Arial"/>
                <w:i/>
                <w:noProof/>
                <w:color w:val="000000"/>
                <w:sz w:val="16"/>
              </w:rPr>
            </w:pPr>
            <w:r>
              <w:rPr>
                <w:rFonts w:ascii="Arial" w:hAnsi="Arial"/>
                <w:i/>
                <w:noProof/>
                <w:color w:val="000000"/>
                <w:sz w:val="16"/>
              </w:rPr>
              <w:t>милиони евро</w:t>
            </w:r>
          </w:p>
        </w:tc>
      </w:tr>
      <w:tr>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pPr>
              <w:pStyle w:val="DMETW19561BIPEIF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pPr>
              <w:pStyle w:val="DMETW19561BIPEIF2"/>
              <w:jc w:val="right"/>
              <w:rPr>
                <w:rFonts w:ascii="Verdana" w:eastAsia="Verdana" w:hAnsi="Verdana" w:cs="Verdana"/>
                <w:noProof/>
                <w:color w:val="FFFFFF"/>
              </w:rPr>
            </w:pPr>
            <w:r>
              <w:rPr>
                <w:rFonts w:ascii="Verdana" w:hAnsi="Verdana"/>
                <w:noProof/>
                <w:color w:val="FFFFFF"/>
              </w:rPr>
              <w:t>31.12.2020 г.</w:t>
            </w:r>
          </w:p>
        </w:tc>
        <w:tc>
          <w:tcPr>
            <w:tcW w:w="2787" w:type="dxa"/>
            <w:tcBorders>
              <w:top w:val="nil"/>
              <w:left w:val="nil"/>
              <w:bottom w:val="nil"/>
              <w:right w:val="nil"/>
              <w:tl2br w:val="nil"/>
              <w:tr2bl w:val="nil"/>
            </w:tcBorders>
            <w:shd w:val="solid" w:color="016794" w:fill="FFFFFF"/>
            <w:tcMar>
              <w:left w:w="60" w:type="dxa"/>
              <w:right w:w="60" w:type="dxa"/>
            </w:tcMar>
            <w:vAlign w:val="center"/>
          </w:tcPr>
          <w:p>
            <w:pPr>
              <w:pStyle w:val="DMETW19561BIPEIF2"/>
              <w:jc w:val="right"/>
              <w:rPr>
                <w:rFonts w:ascii="Verdana" w:eastAsia="Verdana" w:hAnsi="Verdana" w:cs="Verdana"/>
                <w:noProof/>
                <w:color w:val="FFFFFF"/>
              </w:rPr>
            </w:pPr>
            <w:r>
              <w:rPr>
                <w:rFonts w:ascii="Verdana" w:hAnsi="Verdana"/>
                <w:noProof/>
                <w:color w:val="FFFFFF"/>
              </w:rPr>
              <w:t>31.12.2019 г.</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9561BIPEIF2"/>
              <w:rPr>
                <w:rFonts w:ascii="Verdana" w:eastAsia="Verdana" w:hAnsi="Verdana" w:cs="Verdana"/>
                <w:i/>
                <w:noProof/>
                <w:color w:val="000000"/>
                <w:sz w:val="18"/>
              </w:rPr>
            </w:pPr>
            <w:r>
              <w:rPr>
                <w:rFonts w:ascii="Verdana" w:hAnsi="Verdana"/>
                <w:i/>
                <w:noProof/>
                <w:color w:val="000000"/>
                <w:sz w:val="18"/>
              </w:rPr>
              <w:t>Нетни активи на асоциираното предприятие</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9561BIPEIF2"/>
              <w:jc w:val="right"/>
              <w:rPr>
                <w:rFonts w:ascii="Verdana" w:eastAsia="Verdana" w:hAnsi="Verdana" w:cs="Verdana"/>
                <w:i/>
                <w:noProof/>
                <w:color w:val="000000"/>
                <w:sz w:val="18"/>
              </w:rPr>
            </w:pPr>
            <w:r>
              <w:rPr>
                <w:rFonts w:ascii="Verdana" w:hAnsi="Verdana"/>
                <w:i/>
                <w:noProof/>
                <w:color w:val="000000"/>
                <w:sz w:val="18"/>
              </w:rPr>
              <w:t>1 979</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9561BIPEIF2"/>
              <w:jc w:val="right"/>
              <w:rPr>
                <w:rFonts w:ascii="Verdana" w:eastAsia="Verdana" w:hAnsi="Verdana" w:cs="Verdana"/>
                <w:i/>
                <w:noProof/>
                <w:color w:val="000000"/>
                <w:sz w:val="18"/>
              </w:rPr>
            </w:pPr>
            <w:r>
              <w:rPr>
                <w:rFonts w:ascii="Verdana" w:hAnsi="Verdana"/>
                <w:i/>
                <w:noProof/>
                <w:color w:val="000000"/>
                <w:sz w:val="18"/>
              </w:rPr>
              <w:t>1 990</w:t>
            </w:r>
          </w:p>
        </w:tc>
      </w:tr>
      <w:tr>
        <w:trPr>
          <w:trHeight w:val="255"/>
        </w:trPr>
        <w:tc>
          <w:tcPr>
            <w:tcW w:w="418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61BIPEIF2"/>
              <w:rPr>
                <w:rFonts w:ascii="Verdana" w:eastAsia="Verdana" w:hAnsi="Verdana" w:cs="Verdana"/>
                <w:b/>
                <w:noProof/>
                <w:color w:val="000000"/>
                <w:sz w:val="18"/>
              </w:rPr>
            </w:pPr>
            <w:r>
              <w:rPr>
                <w:rFonts w:ascii="Verdana" w:hAnsi="Verdana"/>
                <w:b/>
                <w:noProof/>
                <w:color w:val="000000"/>
                <w:sz w:val="18"/>
              </w:rPr>
              <w:t>Дялово участие на ЕС в ЕИФ</w:t>
            </w:r>
          </w:p>
        </w:tc>
        <w:tc>
          <w:tcPr>
            <w:tcW w:w="278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61BIPEIF2"/>
              <w:jc w:val="right"/>
              <w:rPr>
                <w:rFonts w:ascii="Verdana" w:eastAsia="Verdana" w:hAnsi="Verdana" w:cs="Verdana"/>
                <w:b/>
                <w:noProof/>
                <w:color w:val="000000"/>
                <w:sz w:val="18"/>
              </w:rPr>
            </w:pPr>
            <w:r>
              <w:rPr>
                <w:rFonts w:ascii="Verdana" w:hAnsi="Verdana"/>
                <w:b/>
                <w:noProof/>
                <w:color w:val="000000"/>
                <w:sz w:val="18"/>
              </w:rPr>
              <w:t>29,7 %</w:t>
            </w:r>
          </w:p>
        </w:tc>
        <w:tc>
          <w:tcPr>
            <w:tcW w:w="2787"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61BIPEIF2"/>
              <w:jc w:val="right"/>
              <w:rPr>
                <w:rFonts w:ascii="Verdana" w:eastAsia="Verdana" w:hAnsi="Verdana" w:cs="Verdana"/>
                <w:b/>
                <w:noProof/>
                <w:color w:val="000000"/>
                <w:sz w:val="18"/>
              </w:rPr>
            </w:pPr>
            <w:r>
              <w:rPr>
                <w:rFonts w:ascii="Verdana" w:hAnsi="Verdana"/>
                <w:b/>
                <w:noProof/>
                <w:color w:val="000000"/>
                <w:sz w:val="18"/>
              </w:rPr>
              <w:t>29,7 %</w:t>
            </w:r>
          </w:p>
        </w:tc>
      </w:tr>
      <w:tr>
        <w:trPr>
          <w:trHeight w:val="255"/>
        </w:trPr>
        <w:tc>
          <w:tcPr>
            <w:tcW w:w="41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61BIPEIF2"/>
              <w:rPr>
                <w:rFonts w:ascii="Verdana" w:eastAsia="Verdana" w:hAnsi="Verdana" w:cs="Verdana"/>
                <w:i/>
                <w:noProof/>
                <w:color w:val="000000"/>
                <w:sz w:val="18"/>
              </w:rPr>
            </w:pPr>
            <w:r>
              <w:rPr>
                <w:rFonts w:ascii="Verdana" w:hAnsi="Verdana"/>
                <w:i/>
                <w:noProof/>
                <w:color w:val="000000"/>
                <w:sz w:val="18"/>
              </w:rPr>
              <w:t>Балансова стойност</w:t>
            </w:r>
          </w:p>
        </w:tc>
        <w:tc>
          <w:tcPr>
            <w:tcW w:w="27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561BIPEIF2"/>
              <w:jc w:val="right"/>
              <w:rPr>
                <w:rFonts w:ascii="Verdana" w:eastAsia="Verdana" w:hAnsi="Verdana" w:cs="Verdana"/>
                <w:i/>
                <w:noProof/>
                <w:color w:val="000000"/>
                <w:sz w:val="18"/>
              </w:rPr>
            </w:pPr>
            <w:r>
              <w:rPr>
                <w:rFonts w:ascii="Verdana" w:hAnsi="Verdana"/>
                <w:i/>
                <w:noProof/>
                <w:color w:val="000000"/>
                <w:sz w:val="18"/>
              </w:rPr>
              <w:t xml:space="preserve"> 588</w:t>
            </w:r>
          </w:p>
        </w:tc>
        <w:tc>
          <w:tcPr>
            <w:tcW w:w="2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561BIPEIF2"/>
              <w:jc w:val="right"/>
              <w:rPr>
                <w:rFonts w:ascii="Verdana" w:eastAsia="Verdana" w:hAnsi="Verdana" w:cs="Verdana"/>
                <w:i/>
                <w:noProof/>
                <w:color w:val="000000"/>
                <w:sz w:val="18"/>
              </w:rPr>
            </w:pPr>
            <w:r>
              <w:rPr>
                <w:rFonts w:ascii="Verdana" w:hAnsi="Verdana"/>
                <w:i/>
                <w:noProof/>
                <w:color w:val="000000"/>
                <w:sz w:val="18"/>
              </w:rPr>
              <w:t xml:space="preserve"> 591</w:t>
            </w:r>
          </w:p>
        </w:tc>
      </w:tr>
    </w:tbl>
    <w:p>
      <w:pPr>
        <w:pStyle w:val="DGTextstand-alone"/>
      </w:pPr>
      <w:r>
        <w:t>ЕС, представляван от Комисията, е внесъл 20 % от записаните си акции в капитала на ЕИФ към 31 декември 2020 г., като непоисканата сума е,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pPr>
              <w:pStyle w:val="DMETW19561BIPEIF1"/>
              <w:rPr>
                <w:rFonts w:ascii="Arial" w:eastAsia="Arial" w:hAnsi="Arial" w:cs="Arial"/>
                <w:noProof/>
                <w:color w:val="000000"/>
                <w:sz w:val="16"/>
              </w:rPr>
            </w:pPr>
            <w:bookmarkStart w:id="95" w:name="DOC_TBL00012_1_1"/>
            <w:bookmarkEnd w:id="95"/>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9561BIPEIF1"/>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9561BIPEIF1"/>
              <w:jc w:val="right"/>
              <w:rPr>
                <w:rFonts w:ascii="Arial" w:eastAsia="Arial" w:hAnsi="Arial" w:cs="Arial"/>
                <w:i/>
                <w:noProof/>
                <w:color w:val="000000"/>
                <w:sz w:val="16"/>
              </w:rPr>
            </w:pPr>
            <w:r>
              <w:rPr>
                <w:rFonts w:ascii="Arial" w:hAnsi="Arial"/>
                <w:i/>
                <w:noProof/>
                <w:color w:val="000000"/>
                <w:sz w:val="16"/>
              </w:rPr>
              <w:t>милиони евро</w:t>
            </w:r>
          </w:p>
        </w:tc>
      </w:tr>
      <w:tr>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pPr>
              <w:pStyle w:val="DMETW19561BIPEIF1"/>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pPr>
              <w:pStyle w:val="DMETW19561BIPEIF1"/>
              <w:jc w:val="right"/>
              <w:rPr>
                <w:rFonts w:ascii="Verdana" w:eastAsia="Verdana" w:hAnsi="Verdana" w:cs="Verdana"/>
                <w:noProof/>
                <w:color w:val="FFFFFF"/>
              </w:rPr>
            </w:pPr>
            <w:r>
              <w:rPr>
                <w:rFonts w:ascii="Verdana" w:hAnsi="Verdana"/>
                <w:noProof/>
                <w:color w:val="FFFFFF"/>
              </w:rPr>
              <w:t>Общ размер на капитала на ЕИФ</w:t>
            </w:r>
          </w:p>
        </w:tc>
        <w:tc>
          <w:tcPr>
            <w:tcW w:w="2787" w:type="dxa"/>
            <w:tcBorders>
              <w:top w:val="nil"/>
              <w:left w:val="nil"/>
              <w:bottom w:val="nil"/>
              <w:right w:val="nil"/>
              <w:tl2br w:val="nil"/>
              <w:tr2bl w:val="nil"/>
            </w:tcBorders>
            <w:shd w:val="solid" w:color="016794" w:fill="FFFFFF"/>
            <w:tcMar>
              <w:left w:w="60" w:type="dxa"/>
              <w:right w:w="60" w:type="dxa"/>
            </w:tcMar>
            <w:vAlign w:val="center"/>
          </w:tcPr>
          <w:p>
            <w:pPr>
              <w:pStyle w:val="DMETW19561BIPEIF1"/>
              <w:jc w:val="right"/>
              <w:rPr>
                <w:rFonts w:ascii="Verdana" w:eastAsia="Verdana" w:hAnsi="Verdana" w:cs="Verdana"/>
                <w:noProof/>
                <w:color w:val="FFFFFF"/>
              </w:rPr>
            </w:pPr>
            <w:r>
              <w:rPr>
                <w:rFonts w:ascii="Verdana" w:hAnsi="Verdana"/>
                <w:noProof/>
                <w:color w:val="FFFFFF"/>
              </w:rPr>
              <w:t>Участие на ЕС</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9561BIPEIF1"/>
              <w:rPr>
                <w:rFonts w:ascii="Verdana" w:eastAsia="Verdana" w:hAnsi="Verdana" w:cs="Verdana"/>
                <w:i/>
                <w:noProof/>
                <w:color w:val="000000"/>
                <w:sz w:val="18"/>
              </w:rPr>
            </w:pPr>
            <w:r>
              <w:rPr>
                <w:rFonts w:ascii="Verdana" w:hAnsi="Verdana"/>
                <w:i/>
                <w:noProof/>
                <w:color w:val="000000"/>
                <w:sz w:val="18"/>
              </w:rPr>
              <w:t>Общо акционерен капитал</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9561BIPEIF1"/>
              <w:jc w:val="right"/>
              <w:rPr>
                <w:rFonts w:ascii="Verdana" w:eastAsia="Verdana" w:hAnsi="Verdana" w:cs="Verdana"/>
                <w:i/>
                <w:noProof/>
                <w:color w:val="000000"/>
                <w:sz w:val="18"/>
              </w:rPr>
            </w:pPr>
            <w:r>
              <w:rPr>
                <w:rFonts w:ascii="Verdana" w:hAnsi="Verdana"/>
                <w:i/>
                <w:noProof/>
                <w:color w:val="000000"/>
                <w:sz w:val="18"/>
              </w:rPr>
              <w:t>4 500</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9561BIPEIF1"/>
              <w:jc w:val="right"/>
              <w:rPr>
                <w:rFonts w:ascii="Verdana" w:eastAsia="Verdana" w:hAnsi="Verdana" w:cs="Verdana"/>
                <w:i/>
                <w:noProof/>
                <w:color w:val="000000"/>
                <w:sz w:val="18"/>
              </w:rPr>
            </w:pPr>
            <w:r>
              <w:rPr>
                <w:rFonts w:ascii="Verdana" w:hAnsi="Verdana"/>
                <w:i/>
                <w:noProof/>
                <w:color w:val="000000"/>
                <w:sz w:val="18"/>
              </w:rPr>
              <w:t>1 337</w:t>
            </w:r>
          </w:p>
        </w:tc>
      </w:tr>
      <w:tr>
        <w:trPr>
          <w:trHeight w:val="255"/>
        </w:trPr>
        <w:tc>
          <w:tcPr>
            <w:tcW w:w="418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61BIPEIF1"/>
              <w:rPr>
                <w:rFonts w:ascii="Verdana" w:eastAsia="Verdana" w:hAnsi="Verdana" w:cs="Verdana"/>
                <w:i/>
                <w:noProof/>
                <w:color w:val="000000"/>
                <w:sz w:val="18"/>
              </w:rPr>
            </w:pPr>
            <w:r>
              <w:rPr>
                <w:rFonts w:ascii="Verdana" w:hAnsi="Verdana"/>
                <w:i/>
                <w:noProof/>
                <w:color w:val="000000"/>
                <w:sz w:val="18"/>
              </w:rPr>
              <w:t>Внесен</w:t>
            </w:r>
          </w:p>
        </w:tc>
        <w:tc>
          <w:tcPr>
            <w:tcW w:w="2786"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561BIPEIF1"/>
              <w:jc w:val="right"/>
              <w:rPr>
                <w:rFonts w:ascii="Verdana" w:eastAsia="Verdana" w:hAnsi="Verdana" w:cs="Verdana"/>
                <w:i/>
                <w:noProof/>
                <w:color w:val="000000"/>
                <w:sz w:val="18"/>
              </w:rPr>
            </w:pPr>
            <w:r>
              <w:rPr>
                <w:rFonts w:ascii="Verdana" w:hAnsi="Verdana"/>
                <w:i/>
                <w:noProof/>
                <w:color w:val="000000"/>
                <w:sz w:val="18"/>
              </w:rPr>
              <w:t xml:space="preserve"> (900)</w:t>
            </w:r>
          </w:p>
        </w:tc>
        <w:tc>
          <w:tcPr>
            <w:tcW w:w="2787"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561BIPEIF1"/>
              <w:jc w:val="right"/>
              <w:rPr>
                <w:rFonts w:ascii="Verdana" w:eastAsia="Verdana" w:hAnsi="Verdana" w:cs="Verdana"/>
                <w:i/>
                <w:noProof/>
                <w:color w:val="000000"/>
                <w:sz w:val="18"/>
              </w:rPr>
            </w:pPr>
            <w:r>
              <w:rPr>
                <w:rFonts w:ascii="Verdana" w:hAnsi="Verdana"/>
                <w:i/>
                <w:noProof/>
                <w:color w:val="000000"/>
                <w:sz w:val="18"/>
              </w:rPr>
              <w:t xml:space="preserve"> (267)</w:t>
            </w:r>
          </w:p>
        </w:tc>
      </w:tr>
      <w:tr>
        <w:trPr>
          <w:trHeight w:val="255"/>
        </w:trPr>
        <w:tc>
          <w:tcPr>
            <w:tcW w:w="41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61BIPEIF1"/>
              <w:rPr>
                <w:rFonts w:ascii="Verdana" w:eastAsia="Verdana" w:hAnsi="Verdana" w:cs="Verdana"/>
                <w:b/>
                <w:noProof/>
                <w:color w:val="000000"/>
                <w:sz w:val="18"/>
              </w:rPr>
            </w:pPr>
            <w:r>
              <w:rPr>
                <w:rFonts w:ascii="Verdana" w:hAnsi="Verdana"/>
                <w:b/>
                <w:noProof/>
                <w:color w:val="000000"/>
                <w:sz w:val="18"/>
              </w:rPr>
              <w:t>Непоискан</w:t>
            </w:r>
          </w:p>
        </w:tc>
        <w:tc>
          <w:tcPr>
            <w:tcW w:w="27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561BIPEIF1"/>
              <w:jc w:val="right"/>
              <w:rPr>
                <w:rFonts w:ascii="Verdana" w:eastAsia="Verdana" w:hAnsi="Verdana" w:cs="Verdana"/>
                <w:b/>
                <w:noProof/>
                <w:color w:val="000000"/>
                <w:sz w:val="18"/>
              </w:rPr>
            </w:pPr>
            <w:r>
              <w:rPr>
                <w:rFonts w:ascii="Verdana" w:hAnsi="Verdana"/>
                <w:b/>
                <w:noProof/>
                <w:color w:val="000000"/>
                <w:sz w:val="18"/>
              </w:rPr>
              <w:t>3 600</w:t>
            </w:r>
          </w:p>
        </w:tc>
        <w:tc>
          <w:tcPr>
            <w:tcW w:w="2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561BIPEIF1"/>
              <w:jc w:val="right"/>
              <w:rPr>
                <w:rFonts w:ascii="Verdana" w:eastAsia="Verdana" w:hAnsi="Verdana" w:cs="Verdana"/>
                <w:b/>
                <w:noProof/>
                <w:color w:val="000000"/>
                <w:sz w:val="18"/>
              </w:rPr>
            </w:pPr>
            <w:r>
              <w:rPr>
                <w:rFonts w:ascii="Verdana" w:hAnsi="Verdana"/>
                <w:b/>
                <w:noProof/>
                <w:color w:val="000000"/>
                <w:sz w:val="18"/>
              </w:rPr>
              <w:t>1 070</w:t>
            </w:r>
          </w:p>
        </w:tc>
      </w:tr>
    </w:tbl>
    <w:p>
      <w:pPr>
        <w:pStyle w:val="DGTextstand-alone"/>
        <w:spacing w:before="0" w:after="0"/>
        <w:sectPr>
          <w:headerReference w:type="even" r:id="rId146"/>
          <w:headerReference w:type="default" r:id="rId147"/>
          <w:footerReference w:type="even" r:id="rId148"/>
          <w:footerReference w:type="default" r:id="rId149"/>
          <w:headerReference w:type="first" r:id="rId150"/>
          <w:footerReference w:type="first" r:id="rId151"/>
          <w:pgSz w:w="11906" w:h="16838"/>
          <w:pgMar w:top="1134" w:right="1134" w:bottom="1134" w:left="1134" w:header="709" w:footer="709" w:gutter="0"/>
          <w:cols w:space="708"/>
          <w:docGrid w:linePitch="360"/>
        </w:sectPr>
      </w:pPr>
      <w:r>
        <w:t xml:space="preserve"> </w:t>
      </w:r>
      <w:bookmarkEnd w:id="89"/>
    </w:p>
    <w:p>
      <w:pPr>
        <w:pStyle w:val="HEADER2NOTES"/>
        <w:spacing w:before="0"/>
        <w:rPr>
          <w:noProof/>
        </w:rPr>
      </w:pPr>
      <w:bookmarkStart w:id="96" w:name="_DMBM_19816"/>
      <w:r>
        <w:rPr>
          <w:noProof/>
        </w:rPr>
        <w:t>ФИНАНСОВИ АКТИВИ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4"/>
        <w:gridCol w:w="1554"/>
        <w:gridCol w:w="1555"/>
        <w:gridCol w:w="1555"/>
      </w:tblGrid>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i/>
                <w:noProof/>
                <w:color w:val="FFFFFF"/>
                <w:sz w:val="16"/>
              </w:rPr>
            </w:pPr>
            <w:bookmarkStart w:id="97" w:name="DOC_TBL00013_1_1"/>
            <w:bookmarkEnd w:id="97"/>
          </w:p>
        </w:tc>
        <w:tc>
          <w:tcPr>
            <w:tcW w:w="1554" w:type="dxa"/>
            <w:tcBorders>
              <w:top w:val="nil"/>
              <w:left w:val="nil"/>
              <w:bottom w:val="nil"/>
              <w:right w:val="nil"/>
              <w:tl2br w:val="nil"/>
              <w:tr2bl w:val="nil"/>
            </w:tcBorders>
            <w:shd w:val="clear" w:color="auto" w:fill="auto"/>
            <w:tcMar>
              <w:left w:w="60" w:type="dxa"/>
              <w:right w:w="60" w:type="dxa"/>
            </w:tcMar>
            <w:vAlign w:val="bottom"/>
          </w:tcPr>
          <w:p>
            <w:pPr>
              <w:pStyle w:val="DMETW19879BIPFINA"/>
              <w:rPr>
                <w:rFonts w:ascii="Arial" w:eastAsia="Arial" w:hAnsi="Arial" w:cs="Arial"/>
                <w:noProof/>
                <w:color w:val="000000"/>
              </w:rPr>
            </w:pPr>
          </w:p>
        </w:tc>
        <w:tc>
          <w:tcPr>
            <w:tcW w:w="1555" w:type="dxa"/>
            <w:tcBorders>
              <w:top w:val="nil"/>
              <w:left w:val="nil"/>
              <w:bottom w:val="nil"/>
              <w:right w:val="nil"/>
              <w:tl2br w:val="nil"/>
              <w:tr2bl w:val="nil"/>
            </w:tcBorders>
            <w:shd w:val="clear" w:color="auto" w:fill="auto"/>
            <w:tcMar>
              <w:left w:w="60" w:type="dxa"/>
              <w:right w:w="60" w:type="dxa"/>
            </w:tcMar>
            <w:vAlign w:val="bottom"/>
          </w:tcPr>
          <w:p>
            <w:pPr>
              <w:pStyle w:val="DMETW19879BIPFINA"/>
              <w:rPr>
                <w:rFonts w:ascii="Arial" w:eastAsia="Arial" w:hAnsi="Arial" w:cs="Arial"/>
                <w:noProof/>
                <w:color w:val="000000"/>
              </w:rPr>
            </w:pPr>
          </w:p>
        </w:tc>
        <w:tc>
          <w:tcPr>
            <w:tcW w:w="1555" w:type="dxa"/>
            <w:tcBorders>
              <w:top w:val="nil"/>
              <w:left w:val="nil"/>
              <w:bottom w:val="nil"/>
              <w:right w:val="nil"/>
              <w:tl2br w:val="nil"/>
              <w:tr2bl w:val="nil"/>
            </w:tcBorders>
            <w:shd w:val="clear" w:color="auto" w:fill="auto"/>
            <w:tcMar>
              <w:left w:w="60" w:type="dxa"/>
              <w:right w:w="60" w:type="dxa"/>
            </w:tcMar>
            <w:vAlign w:val="bottom"/>
          </w:tcPr>
          <w:p>
            <w:pPr>
              <w:pStyle w:val="DMETW19879BIPFIN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094" w:type="dxa"/>
            <w:tcBorders>
              <w:top w:val="nil"/>
              <w:left w:val="nil"/>
              <w:bottom w:val="nil"/>
              <w:right w:val="nil"/>
              <w:tl2br w:val="nil"/>
              <w:tr2bl w:val="nil"/>
            </w:tcBorders>
            <w:shd w:val="solid" w:color="016794" w:fill="FFFFFF"/>
            <w:tcMar>
              <w:left w:w="60" w:type="dxa"/>
              <w:right w:w="60" w:type="dxa"/>
            </w:tcMar>
            <w:vAlign w:val="center"/>
          </w:tcPr>
          <w:p>
            <w:pPr>
              <w:pStyle w:val="DMETW19879BIPFINA"/>
              <w:rPr>
                <w:rFonts w:ascii="Verdana" w:eastAsia="Verdana" w:hAnsi="Verdana" w:cs="Verdana"/>
                <w:noProof/>
                <w:color w:val="FFFFFF"/>
              </w:rPr>
            </w:pPr>
          </w:p>
        </w:tc>
        <w:tc>
          <w:tcPr>
            <w:tcW w:w="1554" w:type="dxa"/>
            <w:tcBorders>
              <w:top w:val="nil"/>
              <w:left w:val="nil"/>
              <w:bottom w:val="nil"/>
              <w:right w:val="nil"/>
              <w:tl2br w:val="nil"/>
              <w:tr2bl w:val="nil"/>
            </w:tcBorders>
            <w:shd w:val="solid" w:color="016794" w:fill="FFFFFF"/>
            <w:tcMar>
              <w:left w:w="60" w:type="dxa"/>
              <w:right w:w="60" w:type="dxa"/>
            </w:tcMar>
            <w:vAlign w:val="center"/>
          </w:tcPr>
          <w:p>
            <w:pPr>
              <w:pStyle w:val="DMETW19879BIPFINA"/>
              <w:jc w:val="center"/>
              <w:rPr>
                <w:rFonts w:ascii="Verdana" w:eastAsia="Verdana" w:hAnsi="Verdana" w:cs="Verdana"/>
                <w:noProof/>
                <w:color w:val="FFFFFF"/>
              </w:rPr>
            </w:pPr>
            <w:r>
              <w:rPr>
                <w:rFonts w:ascii="Verdana" w:hAnsi="Verdana"/>
                <w:noProof/>
                <w:color w:val="FFFFFF"/>
              </w:rPr>
              <w:t>Бележка</w:t>
            </w:r>
          </w:p>
        </w:tc>
        <w:tc>
          <w:tcPr>
            <w:tcW w:w="1555" w:type="dxa"/>
            <w:tcBorders>
              <w:top w:val="nil"/>
              <w:left w:val="nil"/>
              <w:bottom w:val="nil"/>
              <w:right w:val="nil"/>
              <w:tl2br w:val="nil"/>
              <w:tr2bl w:val="nil"/>
            </w:tcBorders>
            <w:shd w:val="solid" w:color="016794" w:fill="FFFFFF"/>
            <w:tcMar>
              <w:left w:w="60" w:type="dxa"/>
              <w:right w:w="60" w:type="dxa"/>
            </w:tcMar>
            <w:vAlign w:val="center"/>
          </w:tcPr>
          <w:p>
            <w:pPr>
              <w:pStyle w:val="DMETW19879BIPFINA"/>
              <w:jc w:val="right"/>
              <w:rPr>
                <w:rFonts w:ascii="Verdana" w:eastAsia="Verdana" w:hAnsi="Verdana" w:cs="Verdana"/>
                <w:noProof/>
                <w:color w:val="FFFFFF"/>
              </w:rPr>
            </w:pPr>
            <w:r>
              <w:rPr>
                <w:rFonts w:ascii="Verdana" w:hAnsi="Verdana"/>
                <w:noProof/>
                <w:color w:val="FFFFFF"/>
              </w:rPr>
              <w:t>31.12.2020 г.</w:t>
            </w:r>
          </w:p>
        </w:tc>
        <w:tc>
          <w:tcPr>
            <w:tcW w:w="1555" w:type="dxa"/>
            <w:tcBorders>
              <w:top w:val="nil"/>
              <w:left w:val="nil"/>
              <w:bottom w:val="nil"/>
              <w:right w:val="nil"/>
              <w:tl2br w:val="nil"/>
              <w:tr2bl w:val="nil"/>
            </w:tcBorders>
            <w:shd w:val="solid" w:color="016794" w:fill="FFFFFF"/>
            <w:tcMar>
              <w:left w:w="60" w:type="dxa"/>
              <w:right w:w="60" w:type="dxa"/>
            </w:tcMar>
            <w:vAlign w:val="center"/>
          </w:tcPr>
          <w:p>
            <w:pPr>
              <w:pStyle w:val="DMETW19879BIPFINA"/>
              <w:jc w:val="right"/>
              <w:rPr>
                <w:rFonts w:ascii="Verdana" w:eastAsia="Verdana" w:hAnsi="Verdana" w:cs="Verdana"/>
                <w:noProof/>
                <w:color w:val="FFFFFF"/>
              </w:rPr>
            </w:pPr>
            <w:r>
              <w:rPr>
                <w:rFonts w:ascii="Verdana" w:hAnsi="Verdana"/>
                <w:noProof/>
                <w:color w:val="FFFFFF"/>
              </w:rPr>
              <w:t>31.12.2019 г.</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b/>
                <w:noProof/>
                <w:color w:val="000000"/>
                <w:sz w:val="18"/>
              </w:rPr>
            </w:pPr>
            <w:r>
              <w:rPr>
                <w:rFonts w:ascii="Verdana" w:hAnsi="Verdana"/>
                <w:b/>
                <w:noProof/>
                <w:color w:val="000000"/>
                <w:sz w:val="18"/>
              </w:rPr>
              <w:t>Нетекущи</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center"/>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b/>
                <w:noProof/>
                <w:color w:val="000000"/>
                <w:sz w:val="18"/>
                <w:lang w:bidi="en-GB"/>
              </w:rPr>
            </w:pP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i/>
                <w:noProof/>
                <w:color w:val="000000"/>
                <w:sz w:val="18"/>
              </w:rPr>
            </w:pPr>
            <w:r>
              <w:rPr>
                <w:rFonts w:ascii="Verdana" w:hAnsi="Verdana"/>
                <w:i/>
                <w:noProof/>
                <w:color w:val="000000"/>
                <w:sz w:val="18"/>
              </w:rPr>
              <w:t>Финансови активи, обявени за продажба</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center"/>
              <w:rPr>
                <w:rFonts w:ascii="Verdana" w:eastAsia="Verdana" w:hAnsi="Verdana" w:cs="Verdana"/>
                <w:i/>
                <w:noProof/>
                <w:color w:val="000000"/>
                <w:sz w:val="18"/>
              </w:rPr>
            </w:pPr>
            <w:r>
              <w:rPr>
                <w:rFonts w:ascii="Verdana" w:hAnsi="Verdana"/>
                <w:i/>
                <w:noProof/>
                <w:color w:val="000000"/>
                <w:sz w:val="18"/>
              </w:rPr>
              <w:t>2.4.1</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16 134</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15 211</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center"/>
              <w:rPr>
                <w:rFonts w:ascii="Verdana" w:eastAsia="Verdana" w:hAnsi="Verdana" w:cs="Verdana"/>
                <w:i/>
                <w:noProof/>
                <w:color w:val="000000"/>
                <w:sz w:val="18"/>
              </w:rPr>
            </w:pPr>
            <w:r>
              <w:rPr>
                <w:rFonts w:ascii="Verdana" w:hAnsi="Verdana"/>
                <w:i/>
                <w:noProof/>
                <w:color w:val="000000"/>
                <w:sz w:val="18"/>
              </w:rPr>
              <w:t>2.4.2</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 xml:space="preserve"> 193</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 xml:space="preserve"> 134</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i/>
                <w:noProof/>
                <w:color w:val="000000"/>
                <w:sz w:val="18"/>
              </w:rPr>
            </w:pPr>
            <w:r>
              <w:rPr>
                <w:rFonts w:ascii="Verdana" w:hAnsi="Verdana"/>
                <w:i/>
                <w:noProof/>
                <w:color w:val="000000"/>
                <w:sz w:val="18"/>
              </w:rPr>
              <w:t>Заеми</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center"/>
              <w:rPr>
                <w:rFonts w:ascii="Verdana" w:eastAsia="Verdana" w:hAnsi="Verdana" w:cs="Verdana"/>
                <w:i/>
                <w:noProof/>
                <w:color w:val="000000"/>
                <w:sz w:val="18"/>
              </w:rPr>
            </w:pPr>
            <w:r>
              <w:rPr>
                <w:rFonts w:ascii="Verdana" w:hAnsi="Verdana"/>
                <w:i/>
                <w:noProof/>
                <w:color w:val="000000"/>
                <w:sz w:val="18"/>
              </w:rPr>
              <w:t>2.4.3</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82 887</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51 368</w:t>
            </w:r>
          </w:p>
        </w:tc>
      </w:tr>
      <w:tr>
        <w:trPr>
          <w:trHeight w:val="255"/>
        </w:trPr>
        <w:tc>
          <w:tcPr>
            <w:tcW w:w="5094" w:type="dxa"/>
            <w:tcBorders>
              <w:top w:val="nil"/>
              <w:left w:val="nil"/>
              <w:bottom w:val="nil"/>
              <w:right w:val="nil"/>
              <w:tl2br w:val="nil"/>
              <w:tr2bl w:val="nil"/>
            </w:tcBorders>
            <w:shd w:val="solid" w:color="CCE1EA" w:fill="FFFFFF"/>
            <w:tcMar>
              <w:left w:w="60" w:type="dxa"/>
              <w:right w:w="60" w:type="dxa"/>
            </w:tcMar>
            <w:vAlign w:val="center"/>
          </w:tcPr>
          <w:p>
            <w:pPr>
              <w:pStyle w:val="DMETW19879BIPFINA"/>
              <w:rPr>
                <w:rFonts w:ascii="Verdana" w:eastAsia="Verdana" w:hAnsi="Verdana" w:cs="Verdana"/>
                <w:b/>
                <w:noProof/>
                <w:color w:val="000000"/>
                <w:sz w:val="18"/>
              </w:rPr>
            </w:pPr>
          </w:p>
        </w:tc>
        <w:tc>
          <w:tcPr>
            <w:tcW w:w="1554" w:type="dxa"/>
            <w:tcBorders>
              <w:top w:val="nil"/>
              <w:left w:val="nil"/>
              <w:bottom w:val="nil"/>
              <w:right w:val="nil"/>
              <w:tl2br w:val="nil"/>
              <w:tr2bl w:val="nil"/>
            </w:tcBorders>
            <w:shd w:val="solid" w:color="CCE1EA" w:fill="FFFFFF"/>
            <w:tcMar>
              <w:left w:w="60" w:type="dxa"/>
              <w:right w:w="60" w:type="dxa"/>
            </w:tcMar>
            <w:vAlign w:val="center"/>
          </w:tcPr>
          <w:p>
            <w:pPr>
              <w:pStyle w:val="DMETW19879BIPFINA"/>
              <w:jc w:val="center"/>
              <w:rPr>
                <w:rFonts w:ascii="Verdana" w:eastAsia="Verdana" w:hAnsi="Verdana" w:cs="Verdana"/>
                <w:noProof/>
                <w:color w:val="000000"/>
                <w:sz w:val="18"/>
              </w:rPr>
            </w:pPr>
          </w:p>
        </w:tc>
        <w:tc>
          <w:tcPr>
            <w:tcW w:w="1555" w:type="dxa"/>
            <w:tcBorders>
              <w:top w:val="nil"/>
              <w:left w:val="nil"/>
              <w:bottom w:val="nil"/>
              <w:right w:val="nil"/>
              <w:tl2br w:val="nil"/>
              <w:tr2bl w:val="nil"/>
            </w:tcBorders>
            <w:shd w:val="solid" w:color="CCE1EA" w:fill="FFFFFF"/>
            <w:tcMar>
              <w:left w:w="60" w:type="dxa"/>
              <w:right w:w="60" w:type="dxa"/>
            </w:tcMar>
            <w:vAlign w:val="center"/>
          </w:tcPr>
          <w:p>
            <w:pPr>
              <w:pStyle w:val="DMETW19879BIPFINA"/>
              <w:jc w:val="right"/>
              <w:rPr>
                <w:rFonts w:ascii="Verdana" w:eastAsia="Verdana" w:hAnsi="Verdana" w:cs="Verdana"/>
                <w:b/>
                <w:noProof/>
                <w:color w:val="000000"/>
                <w:sz w:val="18"/>
              </w:rPr>
            </w:pPr>
            <w:r>
              <w:rPr>
                <w:rFonts w:ascii="Verdana" w:hAnsi="Verdana"/>
                <w:b/>
                <w:noProof/>
                <w:color w:val="000000"/>
                <w:sz w:val="18"/>
              </w:rPr>
              <w:t>99 214</w:t>
            </w:r>
          </w:p>
        </w:tc>
        <w:tc>
          <w:tcPr>
            <w:tcW w:w="1555" w:type="dxa"/>
            <w:tcBorders>
              <w:top w:val="nil"/>
              <w:left w:val="nil"/>
              <w:bottom w:val="nil"/>
              <w:right w:val="nil"/>
              <w:tl2br w:val="nil"/>
              <w:tr2bl w:val="nil"/>
            </w:tcBorders>
            <w:shd w:val="solid" w:color="CCE1EA" w:fill="FFFFFF"/>
            <w:tcMar>
              <w:left w:w="60" w:type="dxa"/>
              <w:right w:w="60" w:type="dxa"/>
            </w:tcMar>
            <w:vAlign w:val="center"/>
          </w:tcPr>
          <w:p>
            <w:pPr>
              <w:pStyle w:val="DMETW19879BIPFINA"/>
              <w:jc w:val="right"/>
              <w:rPr>
                <w:rFonts w:ascii="Verdana" w:eastAsia="Verdana" w:hAnsi="Verdana" w:cs="Verdana"/>
                <w:b/>
                <w:noProof/>
                <w:color w:val="000000"/>
                <w:sz w:val="18"/>
              </w:rPr>
            </w:pPr>
            <w:r>
              <w:rPr>
                <w:rFonts w:ascii="Verdana" w:hAnsi="Verdana"/>
                <w:b/>
                <w:noProof/>
                <w:color w:val="000000"/>
                <w:sz w:val="18"/>
              </w:rPr>
              <w:t>66 714</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b/>
                <w:noProof/>
                <w:color w:val="000000"/>
                <w:sz w:val="18"/>
              </w:rPr>
            </w:pPr>
            <w:r>
              <w:rPr>
                <w:rFonts w:ascii="Verdana" w:hAnsi="Verdana"/>
                <w:b/>
                <w:noProof/>
                <w:color w:val="000000"/>
                <w:sz w:val="18"/>
              </w:rPr>
              <w:t>Текущи</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center"/>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b/>
                <w:noProof/>
                <w:color w:val="000000"/>
                <w:sz w:val="18"/>
                <w:lang w:bidi="en-GB"/>
              </w:rPr>
            </w:pP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i/>
                <w:noProof/>
                <w:color w:val="000000"/>
                <w:sz w:val="18"/>
              </w:rPr>
            </w:pPr>
            <w:r>
              <w:rPr>
                <w:rFonts w:ascii="Verdana" w:hAnsi="Verdana"/>
                <w:i/>
                <w:noProof/>
                <w:color w:val="000000"/>
                <w:sz w:val="18"/>
              </w:rPr>
              <w:t>Финансови активи, обявени за продажба</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center"/>
              <w:rPr>
                <w:rFonts w:ascii="Verdana" w:eastAsia="Verdana" w:hAnsi="Verdana" w:cs="Verdana"/>
                <w:i/>
                <w:noProof/>
                <w:color w:val="000000"/>
                <w:sz w:val="18"/>
              </w:rPr>
            </w:pPr>
            <w:r>
              <w:rPr>
                <w:rFonts w:ascii="Verdana" w:hAnsi="Verdana"/>
                <w:i/>
                <w:noProof/>
                <w:color w:val="000000"/>
                <w:sz w:val="18"/>
              </w:rPr>
              <w:t>2.4.1</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3 453</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3 196</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center"/>
              <w:rPr>
                <w:rFonts w:ascii="Verdana" w:eastAsia="Verdana" w:hAnsi="Verdana" w:cs="Verdana"/>
                <w:i/>
                <w:noProof/>
                <w:color w:val="000000"/>
                <w:sz w:val="18"/>
              </w:rPr>
            </w:pPr>
            <w:r>
              <w:rPr>
                <w:rFonts w:ascii="Verdana" w:hAnsi="Verdana"/>
                <w:i/>
                <w:noProof/>
                <w:color w:val="000000"/>
                <w:sz w:val="18"/>
              </w:rPr>
              <w:t>2.4.2</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 xml:space="preserve"> 6</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 xml:space="preserve"> 3</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i/>
                <w:noProof/>
                <w:color w:val="000000"/>
                <w:sz w:val="18"/>
              </w:rPr>
            </w:pPr>
            <w:r>
              <w:rPr>
                <w:rFonts w:ascii="Verdana" w:hAnsi="Verdana"/>
                <w:i/>
                <w:noProof/>
                <w:color w:val="000000"/>
                <w:sz w:val="18"/>
              </w:rPr>
              <w:t>Заеми</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center"/>
              <w:rPr>
                <w:rFonts w:ascii="Verdana" w:eastAsia="Verdana" w:hAnsi="Verdana" w:cs="Verdana"/>
                <w:i/>
                <w:noProof/>
                <w:color w:val="000000"/>
                <w:sz w:val="18"/>
              </w:rPr>
            </w:pPr>
            <w:r>
              <w:rPr>
                <w:rFonts w:ascii="Verdana" w:hAnsi="Verdana"/>
                <w:i/>
                <w:noProof/>
                <w:color w:val="000000"/>
                <w:sz w:val="18"/>
              </w:rPr>
              <w:t>2.4.3</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10 422</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i/>
                <w:noProof/>
                <w:color w:val="000000"/>
                <w:sz w:val="18"/>
              </w:rPr>
            </w:pPr>
            <w:r>
              <w:rPr>
                <w:rFonts w:ascii="Verdana" w:hAnsi="Verdana"/>
                <w:i/>
                <w:noProof/>
                <w:color w:val="000000"/>
                <w:sz w:val="18"/>
              </w:rPr>
              <w:t>1 316</w:t>
            </w:r>
          </w:p>
        </w:tc>
      </w:tr>
      <w:tr>
        <w:trPr>
          <w:trHeight w:val="255"/>
        </w:trPr>
        <w:tc>
          <w:tcPr>
            <w:tcW w:w="5094" w:type="dxa"/>
            <w:tcBorders>
              <w:top w:val="nil"/>
              <w:left w:val="nil"/>
              <w:bottom w:val="nil"/>
              <w:right w:val="nil"/>
              <w:tl2br w:val="nil"/>
              <w:tr2bl w:val="nil"/>
            </w:tcBorders>
            <w:shd w:val="solid" w:color="CCE1EA" w:fill="FFFFFF"/>
            <w:tcMar>
              <w:left w:w="60" w:type="dxa"/>
              <w:right w:w="60" w:type="dxa"/>
            </w:tcMar>
            <w:vAlign w:val="center"/>
          </w:tcPr>
          <w:p>
            <w:pPr>
              <w:pStyle w:val="DMETW19879BIPFINA"/>
              <w:rPr>
                <w:rFonts w:ascii="Verdana" w:eastAsia="Verdana" w:hAnsi="Verdana" w:cs="Verdana"/>
                <w:b/>
                <w:noProof/>
                <w:color w:val="000000"/>
                <w:sz w:val="18"/>
              </w:rPr>
            </w:pPr>
          </w:p>
        </w:tc>
        <w:tc>
          <w:tcPr>
            <w:tcW w:w="1554" w:type="dxa"/>
            <w:tcBorders>
              <w:top w:val="nil"/>
              <w:left w:val="nil"/>
              <w:bottom w:val="nil"/>
              <w:right w:val="nil"/>
              <w:tl2br w:val="nil"/>
              <w:tr2bl w:val="nil"/>
            </w:tcBorders>
            <w:shd w:val="solid" w:color="CCE1EA" w:fill="FFFFFF"/>
            <w:tcMar>
              <w:left w:w="60" w:type="dxa"/>
              <w:right w:w="60" w:type="dxa"/>
            </w:tcMar>
            <w:vAlign w:val="center"/>
          </w:tcPr>
          <w:p>
            <w:pPr>
              <w:pStyle w:val="DMETW19879BIPFINA"/>
              <w:jc w:val="center"/>
              <w:rPr>
                <w:rFonts w:ascii="Verdana" w:eastAsia="Verdana" w:hAnsi="Verdana" w:cs="Verdana"/>
                <w:noProof/>
                <w:color w:val="000000"/>
                <w:sz w:val="18"/>
              </w:rPr>
            </w:pPr>
          </w:p>
        </w:tc>
        <w:tc>
          <w:tcPr>
            <w:tcW w:w="1555" w:type="dxa"/>
            <w:tcBorders>
              <w:top w:val="nil"/>
              <w:left w:val="nil"/>
              <w:bottom w:val="nil"/>
              <w:right w:val="nil"/>
              <w:tl2br w:val="nil"/>
              <w:tr2bl w:val="nil"/>
            </w:tcBorders>
            <w:shd w:val="solid" w:color="CCE1EA" w:fill="FFFFFF"/>
            <w:tcMar>
              <w:left w:w="60" w:type="dxa"/>
              <w:right w:w="60" w:type="dxa"/>
            </w:tcMar>
            <w:vAlign w:val="center"/>
          </w:tcPr>
          <w:p>
            <w:pPr>
              <w:pStyle w:val="DMETW19879BIPFINA"/>
              <w:jc w:val="right"/>
              <w:rPr>
                <w:rFonts w:ascii="Verdana" w:eastAsia="Verdana" w:hAnsi="Verdana" w:cs="Verdana"/>
                <w:b/>
                <w:noProof/>
                <w:color w:val="000000"/>
                <w:sz w:val="18"/>
              </w:rPr>
            </w:pPr>
            <w:r>
              <w:rPr>
                <w:rFonts w:ascii="Verdana" w:hAnsi="Verdana"/>
                <w:b/>
                <w:noProof/>
                <w:color w:val="000000"/>
                <w:sz w:val="18"/>
              </w:rPr>
              <w:t>13 881</w:t>
            </w:r>
          </w:p>
        </w:tc>
        <w:tc>
          <w:tcPr>
            <w:tcW w:w="1555" w:type="dxa"/>
            <w:tcBorders>
              <w:top w:val="nil"/>
              <w:left w:val="nil"/>
              <w:bottom w:val="nil"/>
              <w:right w:val="nil"/>
              <w:tl2br w:val="nil"/>
              <w:tr2bl w:val="nil"/>
            </w:tcBorders>
            <w:shd w:val="solid" w:color="CCE1EA" w:fill="FFFFFF"/>
            <w:tcMar>
              <w:left w:w="60" w:type="dxa"/>
              <w:right w:w="60" w:type="dxa"/>
            </w:tcMar>
            <w:vAlign w:val="center"/>
          </w:tcPr>
          <w:p>
            <w:pPr>
              <w:pStyle w:val="DMETW19879BIPFINA"/>
              <w:jc w:val="right"/>
              <w:rPr>
                <w:rFonts w:ascii="Verdana" w:eastAsia="Verdana" w:hAnsi="Verdana" w:cs="Verdana"/>
                <w:b/>
                <w:noProof/>
                <w:color w:val="000000"/>
                <w:sz w:val="18"/>
              </w:rPr>
            </w:pPr>
            <w:r>
              <w:rPr>
                <w:rFonts w:ascii="Verdana" w:hAnsi="Verdana"/>
                <w:b/>
                <w:noProof/>
                <w:color w:val="000000"/>
                <w:sz w:val="18"/>
              </w:rPr>
              <w:t>4 514</w:t>
            </w:r>
          </w:p>
        </w:tc>
      </w:tr>
      <w:tr>
        <w:trPr>
          <w:trHeight w:val="255"/>
        </w:trPr>
        <w:tc>
          <w:tcPr>
            <w:tcW w:w="509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FINA"/>
              <w:rPr>
                <w:rFonts w:ascii="Verdana" w:eastAsia="Verdana" w:hAnsi="Verdana" w:cs="Verdana"/>
                <w:b/>
                <w:noProof/>
                <w:color w:val="000000"/>
                <w:sz w:val="18"/>
              </w:rPr>
            </w:pPr>
            <w:r>
              <w:rPr>
                <w:rFonts w:ascii="Verdana" w:hAnsi="Verdana"/>
                <w:b/>
                <w:noProof/>
                <w:color w:val="000000"/>
                <w:sz w:val="18"/>
              </w:rPr>
              <w:t>Общо</w:t>
            </w:r>
          </w:p>
        </w:tc>
        <w:tc>
          <w:tcPr>
            <w:tcW w:w="155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FINA"/>
              <w:jc w:val="center"/>
              <w:rPr>
                <w:rFonts w:ascii="Verdana" w:eastAsia="Verdana" w:hAnsi="Verdana" w:cs="Verdana"/>
                <w:i/>
                <w:noProof/>
                <w:color w:val="000000"/>
                <w:sz w:val="18"/>
              </w:rPr>
            </w:pPr>
          </w:p>
        </w:tc>
        <w:tc>
          <w:tcPr>
            <w:tcW w:w="155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b/>
                <w:noProof/>
                <w:color w:val="000000"/>
                <w:sz w:val="18"/>
              </w:rPr>
            </w:pPr>
            <w:r>
              <w:rPr>
                <w:rFonts w:ascii="Verdana" w:hAnsi="Verdana"/>
                <w:b/>
                <w:noProof/>
                <w:color w:val="000000"/>
                <w:sz w:val="18"/>
              </w:rPr>
              <w:t>113 095</w:t>
            </w:r>
          </w:p>
        </w:tc>
        <w:tc>
          <w:tcPr>
            <w:tcW w:w="155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FINA"/>
              <w:jc w:val="right"/>
              <w:rPr>
                <w:rFonts w:ascii="Verdana" w:eastAsia="Verdana" w:hAnsi="Verdana" w:cs="Verdana"/>
                <w:b/>
                <w:noProof/>
                <w:color w:val="000000"/>
                <w:sz w:val="18"/>
              </w:rPr>
            </w:pPr>
            <w:r>
              <w:rPr>
                <w:rFonts w:ascii="Verdana" w:hAnsi="Verdana"/>
                <w:b/>
                <w:noProof/>
                <w:color w:val="000000"/>
                <w:sz w:val="18"/>
              </w:rPr>
              <w:t>71 228</w:t>
            </w:r>
          </w:p>
        </w:tc>
      </w:tr>
    </w:tbl>
    <w:p>
      <w:pPr>
        <w:pStyle w:val="HEADER3NOTES"/>
        <w:spacing w:after="0"/>
        <w:rPr>
          <w:noProof/>
        </w:rPr>
      </w:pPr>
      <w:r>
        <w:rPr>
          <w:noProof/>
        </w:rPr>
        <w:t>Финансови активи, обявени за продажба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FFFFFF"/>
                <w:sz w:val="16"/>
              </w:rPr>
            </w:pPr>
            <w:bookmarkStart w:id="98" w:name="DOC_TBL00014_1_1"/>
            <w:bookmarkEnd w:id="98"/>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pPr>
              <w:pStyle w:val="DMETW19879BIPAFS"/>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pPr>
              <w:pStyle w:val="DMETW19879BIPAFS"/>
              <w:jc w:val="right"/>
              <w:rPr>
                <w:rFonts w:ascii="Verdana" w:eastAsia="Verdana" w:hAnsi="Verdana" w:cs="Verdana"/>
                <w:noProof/>
                <w:color w:val="FFFFFF"/>
              </w:rPr>
            </w:pPr>
            <w:r>
              <w:rPr>
                <w:rFonts w:ascii="Verdana" w:hAnsi="Verdana"/>
                <w:noProof/>
                <w:color w:val="FFFFFF"/>
              </w:rPr>
              <w:t>31.12.2020 г.</w:t>
            </w:r>
          </w:p>
        </w:tc>
        <w:tc>
          <w:tcPr>
            <w:tcW w:w="2112" w:type="dxa"/>
            <w:tcBorders>
              <w:top w:val="nil"/>
              <w:left w:val="nil"/>
              <w:bottom w:val="nil"/>
              <w:right w:val="nil"/>
              <w:tl2br w:val="nil"/>
              <w:tr2bl w:val="nil"/>
            </w:tcBorders>
            <w:shd w:val="solid" w:color="016794" w:fill="FFFFFF"/>
            <w:tcMar>
              <w:left w:w="60" w:type="dxa"/>
              <w:right w:w="60" w:type="dxa"/>
            </w:tcMar>
            <w:vAlign w:val="center"/>
          </w:tcPr>
          <w:p>
            <w:pPr>
              <w:pStyle w:val="DMETW19879BIPAFS"/>
              <w:jc w:val="right"/>
              <w:rPr>
                <w:rFonts w:ascii="Verdana" w:eastAsia="Verdana" w:hAnsi="Verdana" w:cs="Verdana"/>
                <w:noProof/>
                <w:color w:val="FFFFFF"/>
              </w:rPr>
            </w:pPr>
            <w:r>
              <w:rPr>
                <w:rFonts w:ascii="Verdana" w:hAnsi="Verdana"/>
                <w:noProof/>
                <w:color w:val="FFFFFF"/>
              </w:rPr>
              <w:t>31.12.2019 г.</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Инвестиции в BUFI</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1 598</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1 863</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ЕОВС в ликвидация</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1 445</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1 459</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Европейска банка за възстановяване и развитие</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188</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188</w:t>
            </w:r>
          </w:p>
        </w:tc>
      </w:tr>
      <w:tr>
        <w:trPr>
          <w:trHeight w:hRule="exact" w:val="255"/>
        </w:trPr>
        <w:tc>
          <w:tcPr>
            <w:tcW w:w="54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Пенсионен план за местния персонал на ЕСВД</w:t>
            </w:r>
          </w:p>
        </w:tc>
        <w:tc>
          <w:tcPr>
            <w:tcW w:w="2214"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73</w:t>
            </w:r>
          </w:p>
        </w:tc>
        <w:tc>
          <w:tcPr>
            <w:tcW w:w="211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75</w:t>
            </w:r>
          </w:p>
        </w:tc>
      </w:tr>
      <w:tr>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b/>
                <w:noProof/>
                <w:color w:val="000000"/>
                <w:sz w:val="18"/>
              </w:rPr>
            </w:pPr>
            <w:r>
              <w:rPr>
                <w:rFonts w:ascii="Verdana" w:hAnsi="Verdana"/>
                <w:b/>
                <w:noProof/>
                <w:color w:val="000000"/>
                <w:sz w:val="18"/>
              </w:rPr>
              <w:t>3 304</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b/>
                <w:noProof/>
                <w:color w:val="000000"/>
                <w:sz w:val="18"/>
              </w:rPr>
            </w:pPr>
            <w:r>
              <w:rPr>
                <w:rFonts w:ascii="Verdana" w:hAnsi="Verdana"/>
                <w:b/>
                <w:noProof/>
                <w:color w:val="000000"/>
                <w:sz w:val="18"/>
              </w:rPr>
              <w:t>3 585</w:t>
            </w:r>
          </w:p>
        </w:tc>
      </w:tr>
      <w:tr>
        <w:trPr>
          <w:trHeight w:hRule="exact" w:val="255"/>
        </w:trPr>
        <w:tc>
          <w:tcPr>
            <w:tcW w:w="543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16794"/>
                <w:sz w:val="18"/>
              </w:rPr>
            </w:pPr>
            <w:r>
              <w:rPr>
                <w:rFonts w:ascii="Verdana" w:hAnsi="Verdana"/>
                <w:i/>
                <w:noProof/>
                <w:color w:val="016794"/>
                <w:sz w:val="18"/>
              </w:rPr>
              <w:t>Гаранционни фондове за бюджетни гаранции:</w:t>
            </w:r>
          </w:p>
        </w:tc>
        <w:tc>
          <w:tcPr>
            <w:tcW w:w="221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p>
        </w:tc>
        <w:tc>
          <w:tcPr>
            <w:tcW w:w="211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lang w:bidi="en-GB"/>
              </w:rPr>
            </w:pP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Гаранционен фонд на ЕФСИ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7 526</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6 654</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Гаранционен фонд за външни дейности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2 794</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2 545</w:t>
            </w:r>
          </w:p>
        </w:tc>
      </w:tr>
      <w:tr>
        <w:trPr>
          <w:trHeight w:hRule="exact" w:val="255"/>
        </w:trPr>
        <w:tc>
          <w:tcPr>
            <w:tcW w:w="54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Гаранционен фонд на ЕФУР</w:t>
            </w:r>
          </w:p>
        </w:tc>
        <w:tc>
          <w:tcPr>
            <w:tcW w:w="2214"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692</w:t>
            </w:r>
          </w:p>
        </w:tc>
        <w:tc>
          <w:tcPr>
            <w:tcW w:w="211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595</w:t>
            </w:r>
          </w:p>
        </w:tc>
      </w:tr>
      <w:tr>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b/>
                <w:noProof/>
                <w:color w:val="000000"/>
                <w:sz w:val="18"/>
              </w:rPr>
            </w:pPr>
            <w:r>
              <w:rPr>
                <w:rFonts w:ascii="Verdana" w:hAnsi="Verdana"/>
                <w:b/>
                <w:noProof/>
                <w:color w:val="000000"/>
                <w:sz w:val="18"/>
              </w:rPr>
              <w:t>11 012</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b/>
                <w:noProof/>
                <w:color w:val="000000"/>
                <w:sz w:val="18"/>
              </w:rPr>
            </w:pPr>
            <w:r>
              <w:rPr>
                <w:rFonts w:ascii="Verdana" w:hAnsi="Verdana"/>
                <w:b/>
                <w:noProof/>
                <w:color w:val="000000"/>
                <w:sz w:val="18"/>
              </w:rPr>
              <w:t>9 794</w:t>
            </w:r>
          </w:p>
        </w:tc>
      </w:tr>
      <w:tr>
        <w:trPr>
          <w:trHeight w:hRule="exact" w:val="255"/>
        </w:trPr>
        <w:tc>
          <w:tcPr>
            <w:tcW w:w="543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16794"/>
                <w:sz w:val="18"/>
              </w:rPr>
            </w:pPr>
            <w:r>
              <w:rPr>
                <w:rFonts w:ascii="Verdana" w:hAnsi="Verdana"/>
                <w:i/>
                <w:noProof/>
                <w:color w:val="016794"/>
                <w:sz w:val="18"/>
              </w:rPr>
              <w:t>Финансови инструменти, финансирани от бюджета на ЕС:</w:t>
            </w:r>
          </w:p>
        </w:tc>
        <w:tc>
          <w:tcPr>
            <w:tcW w:w="221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p>
        </w:tc>
        <w:tc>
          <w:tcPr>
            <w:tcW w:w="211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lang w:bidi="en-GB"/>
              </w:rPr>
            </w:pP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„Хоризонт 2020“</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3 097</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2 455</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Механизъм за свързване на Европа</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764</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699</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Капиталови механизми на ЕС за МСП</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533</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507</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Европейски фонд за Югоизточна Европа</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163</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166</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Фонд „Екология за растеж“</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143</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70</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Механизъм за финансиране на енергийната ефективност</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104</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105</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Механизъм за финансиране с поделяне на риска</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96</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597</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Операции с рисков капитал</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82</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112</w:t>
            </w:r>
          </w:p>
        </w:tc>
      </w:tr>
      <w:tr>
        <w:trPr>
          <w:trHeight w:hRule="exact" w:val="255"/>
        </w:trPr>
        <w:tc>
          <w:tcPr>
            <w:tcW w:w="54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00000"/>
                <w:sz w:val="18"/>
              </w:rPr>
            </w:pPr>
            <w:r>
              <w:rPr>
                <w:rFonts w:ascii="Verdana" w:hAnsi="Verdana"/>
                <w:i/>
                <w:noProof/>
                <w:color w:val="000000"/>
                <w:sz w:val="18"/>
              </w:rPr>
              <w:t>Други</w:t>
            </w:r>
          </w:p>
        </w:tc>
        <w:tc>
          <w:tcPr>
            <w:tcW w:w="2214"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289</w:t>
            </w:r>
          </w:p>
        </w:tc>
        <w:tc>
          <w:tcPr>
            <w:tcW w:w="211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00000"/>
                <w:sz w:val="18"/>
              </w:rPr>
            </w:pPr>
            <w:r>
              <w:rPr>
                <w:rFonts w:ascii="Verdana" w:hAnsi="Verdana"/>
                <w:i/>
                <w:noProof/>
                <w:color w:val="000000"/>
                <w:sz w:val="18"/>
              </w:rPr>
              <w:t xml:space="preserve"> 317</w:t>
            </w:r>
          </w:p>
        </w:tc>
      </w:tr>
      <w:tr>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b/>
                <w:noProof/>
                <w:color w:val="000000"/>
                <w:sz w:val="18"/>
              </w:rPr>
            </w:pPr>
            <w:r>
              <w:rPr>
                <w:rFonts w:ascii="Verdana" w:hAnsi="Verdana"/>
                <w:b/>
                <w:noProof/>
                <w:color w:val="000000"/>
                <w:sz w:val="18"/>
              </w:rPr>
              <w:t>5 271</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b/>
                <w:noProof/>
                <w:color w:val="000000"/>
                <w:sz w:val="18"/>
              </w:rPr>
            </w:pPr>
            <w:r>
              <w:rPr>
                <w:rFonts w:ascii="Verdana" w:hAnsi="Verdana"/>
                <w:b/>
                <w:noProof/>
                <w:color w:val="000000"/>
                <w:sz w:val="18"/>
              </w:rPr>
              <w:t>5 028</w:t>
            </w:r>
          </w:p>
        </w:tc>
      </w:tr>
      <w:tr>
        <w:trPr>
          <w:trHeight w:hRule="exact" w:val="260"/>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b/>
                <w:noProof/>
                <w:color w:val="000000"/>
                <w:sz w:val="18"/>
              </w:rPr>
            </w:pPr>
            <w:r>
              <w:rPr>
                <w:rFonts w:ascii="Verdana" w:hAnsi="Verdana"/>
                <w:b/>
                <w:noProof/>
                <w:color w:val="000000"/>
                <w:sz w:val="18"/>
              </w:rPr>
              <w:t>Общо</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b/>
                <w:noProof/>
                <w:color w:val="000000"/>
                <w:sz w:val="18"/>
              </w:rPr>
            </w:pPr>
            <w:r>
              <w:rPr>
                <w:rFonts w:ascii="Verdana" w:hAnsi="Verdana"/>
                <w:b/>
                <w:noProof/>
                <w:color w:val="000000"/>
                <w:sz w:val="18"/>
              </w:rPr>
              <w:t>19 587</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b/>
                <w:noProof/>
                <w:color w:val="000000"/>
                <w:sz w:val="18"/>
              </w:rPr>
            </w:pPr>
            <w:r>
              <w:rPr>
                <w:rFonts w:ascii="Verdana" w:hAnsi="Verdana"/>
                <w:b/>
                <w:noProof/>
                <w:color w:val="000000"/>
                <w:sz w:val="18"/>
              </w:rPr>
              <w:t>18 407</w:t>
            </w:r>
          </w:p>
        </w:tc>
      </w:tr>
      <w:tr>
        <w:trPr>
          <w:trHeight w:hRule="exact" w:val="260"/>
        </w:trPr>
        <w:tc>
          <w:tcPr>
            <w:tcW w:w="543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16794"/>
                <w:sz w:val="18"/>
              </w:rPr>
            </w:pPr>
            <w:r>
              <w:rPr>
                <w:rFonts w:ascii="Verdana" w:hAnsi="Verdana"/>
                <w:i/>
                <w:noProof/>
                <w:color w:val="016794"/>
                <w:sz w:val="18"/>
              </w:rPr>
              <w:t>Нетекущи</w:t>
            </w:r>
          </w:p>
        </w:tc>
        <w:tc>
          <w:tcPr>
            <w:tcW w:w="221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16794"/>
                <w:sz w:val="18"/>
              </w:rPr>
            </w:pPr>
            <w:r>
              <w:rPr>
                <w:rFonts w:ascii="Verdana" w:hAnsi="Verdana"/>
                <w:i/>
                <w:noProof/>
                <w:color w:val="016794"/>
                <w:sz w:val="18"/>
              </w:rPr>
              <w:t>16 134</w:t>
            </w:r>
          </w:p>
        </w:tc>
        <w:tc>
          <w:tcPr>
            <w:tcW w:w="211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16794"/>
                <w:sz w:val="18"/>
              </w:rPr>
            </w:pPr>
            <w:r>
              <w:rPr>
                <w:rFonts w:ascii="Verdana" w:hAnsi="Verdana"/>
                <w:i/>
                <w:noProof/>
                <w:color w:val="016794"/>
                <w:sz w:val="18"/>
              </w:rPr>
              <w:t>15 211</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AFS"/>
              <w:rPr>
                <w:rFonts w:ascii="Verdana" w:eastAsia="Verdana" w:hAnsi="Verdana" w:cs="Verdana"/>
                <w:i/>
                <w:noProof/>
                <w:color w:val="016794"/>
                <w:sz w:val="18"/>
              </w:rPr>
            </w:pPr>
            <w:r>
              <w:rPr>
                <w:rFonts w:ascii="Verdana" w:hAnsi="Verdana"/>
                <w:i/>
                <w:noProof/>
                <w:color w:val="016794"/>
                <w:sz w:val="18"/>
              </w:rPr>
              <w:t>Текущи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16794"/>
                <w:sz w:val="18"/>
              </w:rPr>
            </w:pPr>
            <w:r>
              <w:rPr>
                <w:rFonts w:ascii="Verdana" w:hAnsi="Verdana"/>
                <w:i/>
                <w:noProof/>
                <w:color w:val="016794"/>
                <w:sz w:val="18"/>
              </w:rPr>
              <w:t>3 453</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AFS"/>
              <w:jc w:val="right"/>
              <w:rPr>
                <w:rFonts w:ascii="Verdana" w:eastAsia="Verdana" w:hAnsi="Verdana" w:cs="Verdana"/>
                <w:i/>
                <w:noProof/>
                <w:color w:val="016794"/>
                <w:sz w:val="18"/>
              </w:rPr>
            </w:pPr>
            <w:r>
              <w:rPr>
                <w:rFonts w:ascii="Verdana" w:hAnsi="Verdana"/>
                <w:i/>
                <w:noProof/>
                <w:color w:val="016794"/>
                <w:sz w:val="18"/>
              </w:rPr>
              <w:t>3 196</w:t>
            </w:r>
          </w:p>
        </w:tc>
      </w:tr>
    </w:tbl>
    <w:p>
      <w:pPr>
        <w:pStyle w:val="DGTextstand-alone"/>
        <w:spacing w:before="120" w:after="0"/>
      </w:pPr>
      <w:r>
        <w:t xml:space="preserve">От общо 19 587 милиона евро ЕС държи финансови активи, обявени за продажба, под формата на инвестиции в: </w:t>
      </w:r>
    </w:p>
    <w:p>
      <w:pPr>
        <w:pStyle w:val="DGTextstand-alone"/>
        <w:numPr>
          <w:ilvl w:val="0"/>
          <w:numId w:val="26"/>
        </w:numPr>
        <w:pBdr>
          <w:top w:val="nil"/>
          <w:left w:val="nil"/>
          <w:bottom w:val="nil"/>
          <w:right w:val="nil"/>
          <w:between w:val="nil"/>
          <w:bar w:val="nil"/>
        </w:pBdr>
        <w:spacing w:before="120" w:after="0"/>
      </w:pPr>
      <w:r>
        <w:t xml:space="preserve">дългови ценни книжа (напр. облигации) на стойност 14 862 милиона евро (2019 г.: 14 998 милиона евро); </w:t>
      </w:r>
    </w:p>
    <w:p>
      <w:pPr>
        <w:pStyle w:val="DGTextstand-alone"/>
        <w:numPr>
          <w:ilvl w:val="0"/>
          <w:numId w:val="26"/>
        </w:numPr>
        <w:pBdr>
          <w:top w:val="nil"/>
          <w:left w:val="nil"/>
          <w:bottom w:val="nil"/>
          <w:right w:val="nil"/>
          <w:between w:val="nil"/>
          <w:bar w:val="nil"/>
        </w:pBdr>
        <w:spacing w:before="120" w:after="0"/>
      </w:pPr>
      <w:r>
        <w:t xml:space="preserve">капиталови инструменти на стойност 4 071 милиона евро (2019 г.: 2 801 милиона евро); и </w:t>
      </w:r>
    </w:p>
    <w:p>
      <w:pPr>
        <w:pStyle w:val="DGTextstand-alone"/>
        <w:numPr>
          <w:ilvl w:val="0"/>
          <w:numId w:val="26"/>
        </w:numPr>
        <w:pBdr>
          <w:top w:val="nil"/>
          <w:left w:val="nil"/>
          <w:bottom w:val="nil"/>
          <w:right w:val="nil"/>
          <w:between w:val="nil"/>
          <w:bar w:val="nil"/>
        </w:pBdr>
        <w:spacing w:before="120" w:after="0"/>
      </w:pPr>
      <w:r>
        <w:t xml:space="preserve">фондове на паричния пазар (като например Унитарния фонд на ЕИБ) на стойност 654 милиона евро (2019 г.: 608 милиона евро). </w:t>
      </w:r>
    </w:p>
    <w:p>
      <w:pPr>
        <w:pStyle w:val="HEADER5"/>
        <w:spacing w:before="240"/>
        <w:rPr>
          <w:noProof/>
        </w:rPr>
      </w:pPr>
    </w:p>
    <w:p>
      <w:pPr>
        <w:pStyle w:val="HEADER5"/>
        <w:spacing w:before="240"/>
        <w:rPr>
          <w:noProof/>
        </w:rPr>
      </w:pPr>
      <w:r>
        <w:rPr>
          <w:noProof/>
        </w:rPr>
        <w:t>Инвестиции в BUFI</w:t>
      </w:r>
    </w:p>
    <w:p>
      <w:pPr>
        <w:pStyle w:val="DGTextstand-alone"/>
        <w:spacing w:before="120" w:after="0"/>
      </w:pPr>
      <w:r>
        <w:t>Условно платените глоби, свързани с дела в областта на конкуренцията, се внасят в специален фонд (фонд BUFI — фонд за бюджетни глоби) и се инвестират от Комисията в дългови инструменти, категоризирани като финансови активи, обявени за продажба.</w:t>
      </w:r>
    </w:p>
    <w:p>
      <w:pPr>
        <w:pStyle w:val="HEADER5"/>
        <w:keepNext/>
        <w:spacing w:before="240"/>
        <w:rPr>
          <w:noProof/>
        </w:rPr>
      </w:pPr>
      <w:r>
        <w:rPr>
          <w:noProof/>
        </w:rPr>
        <w:t>ЕОВС в ликвидация</w:t>
      </w:r>
    </w:p>
    <w:p>
      <w:pPr>
        <w:pStyle w:val="Textstand-alone"/>
        <w:rPr>
          <w:spacing w:val="-4"/>
        </w:rPr>
      </w:pPr>
      <w:r>
        <w:rPr>
          <w:spacing w:val="-4"/>
        </w:rPr>
        <w:t>Що се отнася до Европейската общност за въглища и стомана в ликвидация (EОВС в ликв-я), всички финансови активи, обявени за продажба, са дългови ценни книжа в евро, котирани на активен пазар.</w:t>
      </w:r>
    </w:p>
    <w:p>
      <w:pPr>
        <w:pStyle w:val="HEADER5"/>
        <w:rPr>
          <w:noProof/>
        </w:rPr>
      </w:pPr>
      <w:r>
        <w:rPr>
          <w:noProof/>
        </w:rPr>
        <w:t>Европейска банка за възстановяване и развитие</w:t>
      </w:r>
    </w:p>
    <w:p>
      <w:pPr>
        <w:pStyle w:val="Textstand-alone"/>
        <w:spacing w:after="0"/>
      </w:pPr>
      <w:r>
        <w:t>ЕС държи финансова инвестиция в капитала на Европейската банка за възстановяване и развитие (ЕБВР), в който към 31 декември 2020 г. броят на държаните акции бе 90 044 (2019 г.: 90 044 акции), представляващи 3 % от общия записан акционерен капитал. ЕС е записал акционерен капитал на обща стойност 900 милиона евро, от които 713 милиона евро понастоящем са непоискани. Съгласно споразумението за създаване на ЕБВР, акционерите имат някои договорни ограничения, като например факта, че акциите не подлежат на прехвърляне и обратното им изкупуване е ограничено до максимума на първоначалната покупна цена. ЕС оценява инвестицията в ЕБВР по справедлива стойност. Първоначалната покупна цена се счита за най-добрата оценка на справедливата стойност, по-специално поради договорните ограничения, посочени по-горе. Въпреки че акциите на ЕБВР не се котират на никоя фондова борса, в капитала на субекта, в който е инвестирано, имаше скорошни сделки (емитиране на капитал по номинална стойност), които показват, че цената е най-добрата оценка на справедливата стойност в тази ситуация.</w:t>
      </w:r>
    </w:p>
    <w:p>
      <w:pPr>
        <w:pStyle w:val="HEADER5"/>
        <w:spacing w:before="240"/>
        <w:rPr>
          <w:noProof/>
        </w:rPr>
      </w:pPr>
      <w:r>
        <w:rPr>
          <w:noProof/>
        </w:rPr>
        <w:t>ГАРАНЦИОННИ ФОНДОВЕ ЗА БЮДЖЕТНИ ГАРАНЦИИ</w:t>
      </w:r>
    </w:p>
    <w:p>
      <w:pPr>
        <w:pStyle w:val="HEADER5"/>
        <w:spacing w:before="240"/>
        <w:rPr>
          <w:noProof/>
        </w:rPr>
      </w:pPr>
      <w:r>
        <w:rPr>
          <w:noProof/>
        </w:rPr>
        <w:t>Гаранционен фонд на ЕФСИ</w:t>
      </w:r>
    </w:p>
    <w:p>
      <w:pPr>
        <w:pStyle w:val="DGTextstand-alone"/>
        <w:spacing w:before="120"/>
      </w:pPr>
      <w:r>
        <w:t>Съгласно Регламента за ЕФСИ (Регламент (ЕС) 2015/2017) Гаранционният фонд на ЕФСИ бе създаден, за да се осигури ликвиден буфер срещу потенциалните загуби, понесени от ЕИБ във връзка с нейните операции по финансиране и инвестиране, които отговарят на условията за гаранцията от ЕС по линия на ЕФСИ съгласно Споразумението за ЕФСИ (вж. бележка </w:t>
      </w:r>
      <w:r>
        <w:rPr>
          <w:b/>
        </w:rPr>
        <w:t>4.1.1</w:t>
      </w:r>
      <w:r>
        <w:t>). Гаранционният фонд на ЕФСИ се финансира със средства от бюджета на ЕС. Той се финансира също с приходи от инвестираните ресурси на гаранционния фонд, с приходи, получени от ЕС като възнаграждение за гаранцията по Споразумението за ЕФСИ, и със суми, събрани от ЕИБ от некоректни длъжници във връзка с предходни задействани гаранции. Към края на 2020 г. активите на гаранционния фонд на ЕФСИ възлизаха на общо 8 028 милиона евро (2019 г.: 6 688 милиона евро), от които 7 526 милиона евро бяха инвестирани във финансови активи, обявени за продажба (2019 г.: 6 654 милиона евро). Други 931 милиона евро (2019 г.: 1 879 милиона евро) са заделени, но все още не са изплатени във фонда, включени са в бюджетните RAL и са също оповестени като неизпълнени поети задължения, които все още не са отчетени като разход, в бележка </w:t>
      </w:r>
      <w:r>
        <w:rPr>
          <w:b/>
        </w:rPr>
        <w:t>5.1</w:t>
      </w:r>
      <w:r>
        <w:t>. Фондът ще бъде провизиран постепенно и постепенно ще достигне 9,1 милиарда евро, т.е. 35 % от общите задължения, свързани с гаранцията от ЕС по линия на ЕФСИ.</w:t>
      </w:r>
    </w:p>
    <w:p>
      <w:pPr>
        <w:pStyle w:val="HEADER5"/>
        <w:spacing w:before="240"/>
        <w:rPr>
          <w:noProof/>
        </w:rPr>
      </w:pPr>
      <w:r>
        <w:rPr>
          <w:noProof/>
        </w:rPr>
        <w:t>Гаранционен фонд за външни дейности</w:t>
      </w:r>
    </w:p>
    <w:p>
      <w:pPr>
        <w:pStyle w:val="DGTextstand-alone"/>
        <w:spacing w:before="120"/>
        <w:rPr>
          <w:spacing w:val="-2"/>
        </w:rPr>
      </w:pPr>
      <w:r>
        <w:rPr>
          <w:spacing w:val="-2"/>
        </w:rPr>
        <w:t>Гаранционният фонд за външни дейности обхваща заемите, гарантирани от бюджета на ЕС, и по-специално операциите на ЕИБ по отпускане на заеми извън ЕС, финансирани от собствените ресурси на ЕИБ, заемите в рамките на макрофинансовата помощ (МФП) и заемите от Евратом извън ЕС (вж. бележка </w:t>
      </w:r>
      <w:r>
        <w:rPr>
          <w:b/>
          <w:spacing w:val="-2"/>
        </w:rPr>
        <w:t>4.1.1</w:t>
      </w:r>
      <w:r>
        <w:rPr>
          <w:spacing w:val="-2"/>
        </w:rPr>
        <w:t>). Фондът се управлява от ЕИБ и е предназначен за покриване на гарантираните от ЕС заеми, задълженията по които не се изпълняват. Фондът се финансира с плащания от бюджета на ЕС, с постъпленията от лихви върху инвестициите, направени от активите на фонда, и със сумите, събрани от просрочили плащанията си длъжници, за които фондът е трябвало да задейства своята гаранция. Размерът на Гаранционния фонд за външни дейности следва да се поддържа на целево равнище, съответстващо на 9 % от гарантираните непогасени заеми към края на годината. Разликата между целевия размер на фонда и стойността на активите на фонда към края на годината ще се покрива от бюджета на ЕС през годината N+2, а всеки излишък ще се връща в бюджета на ЕС. Към края на 2020 г. активите на Гаранционния фонд за външни дейности възлизаха на общо 2 813 милиона евро (2019 г.: 2 590 милиона евро), от които 2 794 милиона евро бяха инвестирани във финансови активи, обявени за продажба (2019 г.: 2 545 милиона евро).</w:t>
      </w:r>
    </w:p>
    <w:p>
      <w:pPr>
        <w:pStyle w:val="HEADER5"/>
        <w:spacing w:before="240"/>
        <w:rPr>
          <w:noProof/>
        </w:rPr>
      </w:pPr>
      <w:r>
        <w:rPr>
          <w:noProof/>
        </w:rPr>
        <w:t>Гаранционен фонд на ЕФУР</w:t>
      </w:r>
    </w:p>
    <w:p>
      <w:pPr>
        <w:pStyle w:val="DGTextstand-alone"/>
        <w:spacing w:before="120"/>
      </w:pPr>
      <w:r>
        <w:t>Съгласно Регламента за ЕФУР (Регламент (ЕС) 2017/1601) Гаранционният фонд на ЕФУР бе създаден, за да се осигури ликвиден буфер, който да бъде използван в случай на задействане на гаранцията от Съюза, предоставена съгласно съответните споразумения за гаранция по линия на ЕФУР. Гаранционният фонд на ЕФУР се финансира чрез вноски от бюджета на ЕС и вноски от 11-тия ЕФР в бюджета на ЕС, както и чрез доброволни вноски от държавите членки и други субекти, предоставящи средства. Фондът се финансира също с приходи от инвестираните ресурси, със суми, събрани от некоректни длъжници, с приходи и с всички други плащания, получени от ЕС съгласно споразуменията за гаранция по линия на ЕФУР. Гаранционният фонд на ЕФУР бе провизиран до 750 милиона евро, т.е. 50 % от общите бъдещи задължения по гаранцията по линия на ЕФУР, покрити от бюджета на ЕС, и средствата му бяха допълнително увеличени с други вноски. Към края на 2020 г. активите на гаранционния фонд на ЕФУР възлизаха на общо 804 милиона евро (2019 г.: 600 милиона евро), от които 692 милиона евро са инвестирани във финансови активи, обявени за продажба (2019 г.: 595 милиона евро).</w:t>
      </w:r>
    </w:p>
    <w:p>
      <w:pPr>
        <w:pStyle w:val="HEADER5"/>
        <w:spacing w:before="240"/>
        <w:rPr>
          <w:noProof/>
        </w:rPr>
      </w:pPr>
    </w:p>
    <w:p>
      <w:pPr>
        <w:pStyle w:val="HEADER5"/>
        <w:spacing w:before="240"/>
        <w:rPr>
          <w:noProof/>
        </w:rPr>
      </w:pPr>
      <w:r>
        <w:rPr>
          <w:noProof/>
        </w:rPr>
        <w:t>ФИНАНСОВИ ИНСТРУМЕНТИ, ФИНАНСИРАНИ ОТ БЮДЖЕТА НА ЕС</w:t>
      </w:r>
    </w:p>
    <w:p>
      <w:pPr>
        <w:pStyle w:val="HEADER5"/>
        <w:spacing w:before="240"/>
        <w:rPr>
          <w:noProof/>
        </w:rPr>
      </w:pPr>
      <w:r>
        <w:rPr>
          <w:noProof/>
        </w:rPr>
        <w:t>„Хоризонт 2020“</w:t>
      </w:r>
    </w:p>
    <w:p>
      <w:pPr>
        <w:pStyle w:val="DGTextstand-alone"/>
        <w:spacing w:before="120"/>
      </w:pPr>
      <w:r>
        <w:t xml:space="preserve">Съгласно Регламента на ЕС за създаване на „Хоризонт 2020“ — рамковата програма за научни изследвания и иновации (2014—2020 г.), бяха създадени нови финансови инструменти, за да се подобри достъпът до финансиране за субекти, работещи в областта на научните изследвания и иновациите (НИИ). Тези инструменти са: </w:t>
      </w:r>
    </w:p>
    <w:p>
      <w:pPr>
        <w:pStyle w:val="DGTextstand-alone"/>
        <w:numPr>
          <w:ilvl w:val="0"/>
          <w:numId w:val="27"/>
        </w:numPr>
        <w:pBdr>
          <w:top w:val="nil"/>
          <w:left w:val="nil"/>
          <w:bottom w:val="nil"/>
          <w:right w:val="nil"/>
          <w:between w:val="nil"/>
          <w:bar w:val="nil"/>
        </w:pBdr>
        <w:spacing w:before="120"/>
      </w:pPr>
      <w:r>
        <w:rPr>
          <w:i/>
        </w:rPr>
        <w:t>услугата за заеми и гаранции по InnovFin за научни изследвания и иновации</w:t>
      </w:r>
      <w:r>
        <w:t>, по която Комисията споделя финансовия риск, свързан с портфейл с нови операции за финансиране, предприети от ЕИБ;</w:t>
      </w:r>
    </w:p>
    <w:p>
      <w:pPr>
        <w:pStyle w:val="DGTextstand-alone"/>
        <w:numPr>
          <w:ilvl w:val="0"/>
          <w:numId w:val="27"/>
        </w:numPr>
        <w:pBdr>
          <w:top w:val="nil"/>
          <w:left w:val="nil"/>
          <w:bottom w:val="nil"/>
          <w:right w:val="nil"/>
          <w:between w:val="nil"/>
          <w:bar w:val="nil"/>
        </w:pBdr>
        <w:spacing w:before="120"/>
      </w:pPr>
      <w:r>
        <w:rPr>
          <w:i/>
        </w:rPr>
        <w:t>гаранцията за МСП по InnovFin и инструментът за неограничена гаранция в рамките на инициативата за МСП (SIUGI)</w:t>
      </w:r>
      <w:r>
        <w:t xml:space="preserve"> — механизми за гарантиране, управлявани от ЕИФ, предоставящи гаранции и насрещни гаранции за финансови посредници за нови портфейли със заеми (по SIUGI Комисията споделя финансовия риск, свързан с дадената гаранция, с държавите членки, ЕИФ и ЕИБ); </w:t>
      </w:r>
    </w:p>
    <w:p>
      <w:pPr>
        <w:pStyle w:val="DGTextstand-alone"/>
        <w:numPr>
          <w:ilvl w:val="0"/>
          <w:numId w:val="27"/>
        </w:numPr>
        <w:pBdr>
          <w:top w:val="nil"/>
          <w:left w:val="nil"/>
          <w:bottom w:val="nil"/>
          <w:right w:val="nil"/>
          <w:between w:val="nil"/>
          <w:bar w:val="nil"/>
        </w:pBdr>
        <w:spacing w:before="120"/>
      </w:pPr>
      <w:r>
        <w:rPr>
          <w:i/>
        </w:rPr>
        <w:t>капиталовият механизъм по InnovFin за научни изследвания и иновации</w:t>
      </w:r>
      <w:r>
        <w:t>, който отпуска инвестиции във фондове за рисков капитал и се управлява от ЕИФ; и</w:t>
      </w:r>
    </w:p>
    <w:p>
      <w:pPr>
        <w:pStyle w:val="DGTextstand-alone"/>
        <w:numPr>
          <w:ilvl w:val="0"/>
          <w:numId w:val="27"/>
        </w:numPr>
        <w:pBdr>
          <w:top w:val="nil"/>
          <w:left w:val="nil"/>
          <w:bottom w:val="nil"/>
          <w:right w:val="nil"/>
          <w:between w:val="nil"/>
          <w:bar w:val="nil"/>
        </w:pBdr>
        <w:spacing w:before="120"/>
      </w:pPr>
      <w:r>
        <w:t>Фондът на ЕСИ (Фондът на Европейския съвет по иновациите), който предоставя капиталово финансиране с цел ускоряване на действията за иновации и внедряване на пазара. Фондът на ЕСИ ще бъде финансиран предимно от МФР за периода 2021—2027 г. по рамковата програма „Хоризонт Европа“. Комисията обаче е заделила ресурси в рамките на „Хоризонт 2020“ за пилотен механизъм, с който бе създаден Фондът на ЕСИ.</w:t>
      </w:r>
    </w:p>
    <w:p>
      <w:pPr>
        <w:pStyle w:val="HEADER5"/>
        <w:spacing w:before="240"/>
        <w:rPr>
          <w:noProof/>
        </w:rPr>
      </w:pPr>
      <w:r>
        <w:rPr>
          <w:noProof/>
        </w:rPr>
        <w:t>Механизъм за свързване на Европа</w:t>
      </w:r>
    </w:p>
    <w:p>
      <w:pPr>
        <w:pStyle w:val="DGTextstand-alone"/>
        <w:spacing w:before="120"/>
        <w:rPr>
          <w:spacing w:val="2"/>
        </w:rPr>
      </w:pPr>
      <w:r>
        <w:rPr>
          <w:spacing w:val="2"/>
        </w:rPr>
        <w:t xml:space="preserve">Съгласно Регламент (ЕС) № 1316/2013 дълговият инструмент „Механизъм за свързване на Европа“ (МСЕ) беше създаден с цел да се улесни достъпът на инфраструктурните проекти до финансиране в секторите на транспорта, телекомуникациите и енергетиката. Той се управлява от ЕИБ съгласно споразумение с ЕС. Дълговият финансов инструмент МСЕ е продължението на Инструмента за гарантиране на заеми за проекти по TEN-T (LGTT) и на пилотната фаза на инициативата „Облигации за проекти“ (PBI). Той предлага споделяне на риска за дълговото финансиране под формата на привилегирован и подчинен дълг или на гаранция, както и подкрепа за проектни облигации. След 19 юни 2019 г. вследствие на първото изменение на споразумението за делегиране, сключено с ЕИБ, всички операции по МСЕ, осъществени от ЕИБ, се отнасят към един от следните два портфейла: портфейл от дългови инструменти или портфейл от финансиране, което не може да бъде секюритизирано, за които е въведен нов основан на портфейла подход за поделяне на риска. </w:t>
      </w:r>
    </w:p>
    <w:p>
      <w:pPr>
        <w:pStyle w:val="HEADER5"/>
        <w:spacing w:before="240"/>
        <w:rPr>
          <w:noProof/>
        </w:rPr>
      </w:pPr>
      <w:r>
        <w:rPr>
          <w:noProof/>
        </w:rPr>
        <w:t>Капиталови механизми на ЕС за МСП</w:t>
      </w:r>
    </w:p>
    <w:p>
      <w:pPr>
        <w:pStyle w:val="DGTextstand-alone"/>
        <w:spacing w:before="120" w:after="120"/>
      </w:pPr>
      <w:r>
        <w:t>Това са капиталови инструменти, финансирани от COSME, Програмата за конкурентоспособност и иновации, Многогодишната програма за предприятията и предприемачеството и инициативата за растеж и заетост, под попечителството на ЕИФ, които подпомагат създаването и финансирането на МСП в ЕС, намиращи се в начален етап на дейността си (етап на стартиране) и в етап на растеж, чрез инвестиране в подходящи специализирани фондове за рисков капитал.</w:t>
      </w:r>
    </w:p>
    <w:p>
      <w:pPr>
        <w:pStyle w:val="DGTextstand-alone"/>
        <w:spacing w:before="120" w:after="120"/>
      </w:pPr>
    </w:p>
    <w:p>
      <w:pPr>
        <w:pStyle w:val="HEADER5"/>
        <w:spacing w:before="240"/>
        <w:rPr>
          <w:noProof/>
        </w:rPr>
      </w:pPr>
      <w:r>
        <w:rPr>
          <w:noProof/>
        </w:rPr>
        <w:t>Механизъм за финансиране с поделяне на риска</w:t>
      </w:r>
    </w:p>
    <w:p>
      <w:pPr>
        <w:pStyle w:val="DGTextstand-alone"/>
        <w:spacing w:before="120" w:after="480"/>
      </w:pPr>
      <w:r>
        <w:t>В рамките на Механизма за финансиране с поделяне на риска ЕС предоставя гаранции на ЕИБ за заемите и гаранциите, които ЕИБ предоставя на допустими научноизследователски проекти. Активите, обявени за продажба, по тази позиция се използват за провизиране на финансовия риск на ЕС, произтичащ от исканията за плащане, които ЕИБ може да отправи по гаранцията на ЕС. Общо в МФР за периода 2007—2013 г. за МФПР бе заделен бюджет на ЕС в размер на максимум 1 милиард евро. В МФР за периода 2014—2020 г. не бяха предвидени допълнителни бюджетни средства за МФПР. Тъй като значителна част от сумите по неприключените операции по МФПР вече са възстановени на ЕИБ, през 2019 г. и 2020 г. ЕИБ освободи частично гаранцията на ЕС. Това доведе до намаляване на условното задължение на ЕС (вж. бележка </w:t>
      </w:r>
      <w:r>
        <w:rPr>
          <w:b/>
        </w:rPr>
        <w:t>4.1.3</w:t>
      </w:r>
      <w:r>
        <w:t>). Впоследствие към края на 2020 г. обявените за продажба активи на ЕС са значително по-ниски, тъй като през 2020 г. ЕИБ възстанови на Комисията 500 милиона евро от предоставените от ЕС средства, които бяха използвани предимно за подсилване на финансовите инструменти на ЕС в рамките на „Хоризонт 2020“.</w:t>
      </w:r>
    </w:p>
    <w:p>
      <w:pPr>
        <w:pStyle w:val="HEADER3NOTES"/>
        <w:spacing w:after="0"/>
        <w:rPr>
          <w:noProof/>
        </w:rPr>
      </w:pPr>
      <w:r>
        <w:rPr>
          <w:noProof/>
        </w:rPr>
        <w:t>Финансови активи по справедлива стойност чрез излишъка или дефицита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1"/>
        <w:gridCol w:w="1641"/>
        <w:gridCol w:w="1566"/>
        <w:gridCol w:w="1305"/>
        <w:gridCol w:w="1255"/>
      </w:tblGrid>
      <w:tr>
        <w:trPr>
          <w:trHeight w:hRule="exact" w:val="255"/>
        </w:trPr>
        <w:tc>
          <w:tcPr>
            <w:tcW w:w="3991" w:type="dxa"/>
            <w:tcBorders>
              <w:top w:val="nil"/>
              <w:left w:val="nil"/>
              <w:bottom w:val="nil"/>
              <w:right w:val="nil"/>
              <w:tl2br w:val="nil"/>
              <w:tr2bl w:val="nil"/>
            </w:tcBorders>
            <w:shd w:val="clear" w:color="auto" w:fill="auto"/>
            <w:tcMar>
              <w:left w:w="60" w:type="dxa"/>
              <w:right w:w="60" w:type="dxa"/>
            </w:tcMar>
            <w:vAlign w:val="bottom"/>
          </w:tcPr>
          <w:p>
            <w:pPr>
              <w:pStyle w:val="DMETW19879BIPFAFVTSD"/>
              <w:rPr>
                <w:rFonts w:cs="Calibri"/>
                <w:b/>
                <w:noProof/>
                <w:color w:val="FF0000"/>
                <w:u w:val="single"/>
              </w:rPr>
            </w:pPr>
            <w:bookmarkStart w:id="99" w:name="DOC_TBL00015_1_1"/>
            <w:bookmarkEnd w:id="99"/>
          </w:p>
        </w:tc>
        <w:tc>
          <w:tcPr>
            <w:tcW w:w="1641" w:type="dxa"/>
            <w:tcBorders>
              <w:top w:val="nil"/>
              <w:left w:val="nil"/>
              <w:bottom w:val="nil"/>
              <w:right w:val="nil"/>
              <w:tl2br w:val="nil"/>
              <w:tr2bl w:val="nil"/>
            </w:tcBorders>
            <w:shd w:val="clear" w:color="auto" w:fill="auto"/>
            <w:tcMar>
              <w:left w:w="60" w:type="dxa"/>
              <w:right w:w="60" w:type="dxa"/>
            </w:tcMar>
            <w:vAlign w:val="bottom"/>
          </w:tcPr>
          <w:p>
            <w:pPr>
              <w:pStyle w:val="DMETW19879BIPFAFVTSD"/>
              <w:rPr>
                <w:rFonts w:cs="Calibri"/>
                <w:noProof/>
                <w:color w:val="000000"/>
              </w:rPr>
            </w:pPr>
          </w:p>
        </w:tc>
        <w:tc>
          <w:tcPr>
            <w:tcW w:w="1566" w:type="dxa"/>
            <w:tcBorders>
              <w:top w:val="nil"/>
              <w:left w:val="nil"/>
              <w:bottom w:val="nil"/>
              <w:right w:val="nil"/>
              <w:tl2br w:val="nil"/>
              <w:tr2bl w:val="nil"/>
            </w:tcBorders>
            <w:shd w:val="clear" w:color="auto" w:fill="auto"/>
            <w:tcMar>
              <w:left w:w="60" w:type="dxa"/>
              <w:right w:w="60" w:type="dxa"/>
            </w:tcMar>
            <w:vAlign w:val="bottom"/>
          </w:tcPr>
          <w:p>
            <w:pPr>
              <w:pStyle w:val="DMETW19879BIPFAFVTSD"/>
              <w:rPr>
                <w:rFonts w:cs="Calibri"/>
                <w:noProof/>
                <w:color w:val="000000"/>
              </w:rPr>
            </w:pPr>
          </w:p>
        </w:tc>
        <w:tc>
          <w:tcPr>
            <w:tcW w:w="1305" w:type="dxa"/>
            <w:tcBorders>
              <w:top w:val="nil"/>
              <w:left w:val="nil"/>
              <w:bottom w:val="nil"/>
              <w:right w:val="nil"/>
              <w:tl2br w:val="nil"/>
              <w:tr2bl w:val="nil"/>
            </w:tcBorders>
            <w:shd w:val="clear" w:color="auto" w:fill="auto"/>
            <w:tcMar>
              <w:left w:w="60" w:type="dxa"/>
              <w:right w:w="60" w:type="dxa"/>
            </w:tcMar>
            <w:vAlign w:val="bottom"/>
          </w:tcPr>
          <w:p>
            <w:pPr>
              <w:pStyle w:val="DMETW19879BIPFAFVTSD"/>
              <w:rPr>
                <w:rFonts w:cs="Calibri"/>
                <w:noProof/>
                <w:color w:val="000000"/>
              </w:rPr>
            </w:pPr>
          </w:p>
        </w:tc>
        <w:tc>
          <w:tcPr>
            <w:tcW w:w="1255" w:type="dxa"/>
            <w:tcBorders>
              <w:top w:val="nil"/>
              <w:left w:val="nil"/>
              <w:bottom w:val="nil"/>
              <w:right w:val="nil"/>
              <w:tl2br w:val="nil"/>
              <w:tr2bl w:val="nil"/>
            </w:tcBorders>
            <w:shd w:val="clear" w:color="auto" w:fill="auto"/>
            <w:tcMar>
              <w:left w:w="60" w:type="dxa"/>
              <w:right w:w="60" w:type="dxa"/>
            </w:tcMar>
            <w:vAlign w:val="bottom"/>
          </w:tcPr>
          <w:p>
            <w:pPr>
              <w:pStyle w:val="DMETW19879BIPFAFVTSD"/>
              <w:rPr>
                <w:rFonts w:cs="Calibri"/>
                <w:noProof/>
                <w:color w:val="000000"/>
                <w:lang w:bidi="en-GB"/>
              </w:rPr>
            </w:pPr>
          </w:p>
        </w:tc>
      </w:tr>
      <w:tr>
        <w:trPr>
          <w:trHeight w:hRule="exact" w:val="255"/>
        </w:trPr>
        <w:tc>
          <w:tcPr>
            <w:tcW w:w="3991" w:type="dxa"/>
            <w:tcBorders>
              <w:top w:val="nil"/>
              <w:left w:val="nil"/>
              <w:bottom w:val="nil"/>
              <w:right w:val="nil"/>
              <w:tl2br w:val="nil"/>
              <w:tr2bl w:val="nil"/>
            </w:tcBorders>
            <w:shd w:val="clear" w:color="auto" w:fill="auto"/>
            <w:tcMar>
              <w:left w:w="60" w:type="dxa"/>
              <w:right w:w="60" w:type="dxa"/>
            </w:tcMar>
            <w:vAlign w:val="bottom"/>
          </w:tcPr>
          <w:p>
            <w:pPr>
              <w:pStyle w:val="DMETW19879BIPFAFVTSD"/>
              <w:rPr>
                <w:rFonts w:ascii="Arial" w:eastAsia="Arial" w:hAnsi="Arial" w:cs="Arial"/>
                <w:noProof/>
                <w:color w:val="000000"/>
              </w:rPr>
            </w:pPr>
          </w:p>
        </w:tc>
        <w:tc>
          <w:tcPr>
            <w:tcW w:w="1641" w:type="dxa"/>
            <w:tcBorders>
              <w:top w:val="nil"/>
              <w:left w:val="nil"/>
              <w:bottom w:val="nil"/>
              <w:right w:val="nil"/>
              <w:tl2br w:val="nil"/>
              <w:tr2bl w:val="nil"/>
            </w:tcBorders>
            <w:shd w:val="clear" w:color="auto" w:fill="auto"/>
            <w:tcMar>
              <w:left w:w="60" w:type="dxa"/>
              <w:right w:w="60" w:type="dxa"/>
            </w:tcMar>
            <w:vAlign w:val="bottom"/>
          </w:tcPr>
          <w:p>
            <w:pPr>
              <w:pStyle w:val="DMETW19879BIPFAFVTSD"/>
              <w:rPr>
                <w:rFonts w:ascii="Arial" w:eastAsia="Arial" w:hAnsi="Arial" w:cs="Arial"/>
                <w:noProof/>
                <w:color w:val="000000"/>
              </w:rPr>
            </w:pPr>
          </w:p>
        </w:tc>
        <w:tc>
          <w:tcPr>
            <w:tcW w:w="1566" w:type="dxa"/>
            <w:tcBorders>
              <w:top w:val="nil"/>
              <w:left w:val="nil"/>
              <w:bottom w:val="nil"/>
              <w:right w:val="nil"/>
              <w:tl2br w:val="nil"/>
              <w:tr2bl w:val="nil"/>
            </w:tcBorders>
            <w:shd w:val="clear" w:color="auto" w:fill="auto"/>
            <w:tcMar>
              <w:left w:w="60" w:type="dxa"/>
              <w:right w:w="60" w:type="dxa"/>
            </w:tcMar>
            <w:vAlign w:val="bottom"/>
          </w:tcPr>
          <w:p>
            <w:pPr>
              <w:pStyle w:val="DMETW19879BIPFAFVTSD"/>
              <w:rPr>
                <w:rFonts w:ascii="Arial" w:eastAsia="Arial" w:hAnsi="Arial" w:cs="Arial"/>
                <w:noProof/>
                <w:color w:val="000000"/>
              </w:rPr>
            </w:pPr>
          </w:p>
        </w:tc>
        <w:tc>
          <w:tcPr>
            <w:tcW w:w="1305" w:type="dxa"/>
            <w:tcBorders>
              <w:top w:val="nil"/>
              <w:left w:val="nil"/>
              <w:bottom w:val="nil"/>
              <w:right w:val="nil"/>
              <w:tl2br w:val="nil"/>
              <w:tr2bl w:val="nil"/>
            </w:tcBorders>
            <w:shd w:val="clear" w:color="auto" w:fill="auto"/>
            <w:tcMar>
              <w:left w:w="60" w:type="dxa"/>
              <w:right w:w="60" w:type="dxa"/>
            </w:tcMar>
            <w:vAlign w:val="bottom"/>
          </w:tcPr>
          <w:p>
            <w:pPr>
              <w:pStyle w:val="DMETW19879BIPFAFVTSD"/>
              <w:rPr>
                <w:rFonts w:ascii="Arial" w:eastAsia="Arial" w:hAnsi="Arial" w:cs="Arial"/>
                <w:noProof/>
                <w:color w:val="000000"/>
              </w:rPr>
            </w:pPr>
          </w:p>
        </w:tc>
        <w:tc>
          <w:tcPr>
            <w:tcW w:w="1255" w:type="dxa"/>
            <w:tcBorders>
              <w:top w:val="nil"/>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3991" w:type="dxa"/>
            <w:tcBorders>
              <w:top w:val="nil"/>
              <w:left w:val="nil"/>
              <w:bottom w:val="nil"/>
              <w:right w:val="nil"/>
              <w:tl2br w:val="nil"/>
              <w:tr2bl w:val="nil"/>
            </w:tcBorders>
            <w:shd w:val="solid" w:color="016794" w:fill="FFFFFF"/>
            <w:tcMar>
              <w:left w:w="60" w:type="dxa"/>
              <w:right w:w="60" w:type="dxa"/>
            </w:tcMar>
            <w:vAlign w:val="center"/>
          </w:tcPr>
          <w:p>
            <w:pPr>
              <w:pStyle w:val="DMETW19879BIPFAFVTSD"/>
              <w:rPr>
                <w:rFonts w:ascii="Verdana" w:eastAsia="Verdana" w:hAnsi="Verdana" w:cs="Verdana"/>
                <w:noProof/>
                <w:color w:val="FFFFFF"/>
              </w:rPr>
            </w:pPr>
          </w:p>
        </w:tc>
        <w:tc>
          <w:tcPr>
            <w:tcW w:w="1641"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79BIPFAFVTSD"/>
              <w:jc w:val="center"/>
              <w:rPr>
                <w:rFonts w:ascii="Verdana" w:eastAsia="Verdana" w:hAnsi="Verdana" w:cs="Verdana"/>
                <w:noProof/>
                <w:color w:val="FFFFFF"/>
              </w:rPr>
            </w:pPr>
            <w:r>
              <w:rPr>
                <w:rFonts w:ascii="Verdana" w:hAnsi="Verdana"/>
                <w:noProof/>
                <w:color w:val="FFFFFF"/>
              </w:rPr>
              <w:t>31.12.2020 г.</w:t>
            </w:r>
          </w:p>
        </w:tc>
        <w:tc>
          <w:tcPr>
            <w:tcW w:w="1305" w:type="dxa"/>
            <w:tcBorders>
              <w:top w:val="nil"/>
              <w:left w:val="nil"/>
              <w:bottom w:val="nil"/>
              <w:right w:val="nil"/>
              <w:tl2br w:val="nil"/>
              <w:tr2bl w:val="nil"/>
            </w:tcBorders>
            <w:shd w:val="solid" w:color="016794" w:fill="FFFFFF"/>
            <w:tcMar>
              <w:left w:w="60" w:type="dxa"/>
              <w:right w:w="60" w:type="dxa"/>
            </w:tcMar>
            <w:vAlign w:val="center"/>
          </w:tcPr>
          <w:p>
            <w:pPr>
              <w:pStyle w:val="DMETW19879BIPFAFVTSD"/>
              <w:jc w:val="center"/>
              <w:rPr>
                <w:rFonts w:ascii="Verdana" w:eastAsia="Verdana" w:hAnsi="Verdana" w:cs="Verdana"/>
                <w:noProof/>
                <w:color w:val="FFFFFF"/>
              </w:rPr>
            </w:pPr>
            <w:r>
              <w:rPr>
                <w:rFonts w:ascii="Verdana" w:hAnsi="Verdana"/>
                <w:noProof/>
                <w:color w:val="FFFFFF"/>
              </w:rPr>
              <w:t>31.12.2019 г.</w:t>
            </w:r>
          </w:p>
        </w:tc>
        <w:tc>
          <w:tcPr>
            <w:tcW w:w="1255" w:type="dxa"/>
            <w:tcBorders>
              <w:top w:val="nil"/>
              <w:left w:val="nil"/>
              <w:bottom w:val="nil"/>
              <w:right w:val="nil"/>
              <w:tl2br w:val="nil"/>
              <w:tr2bl w:val="nil"/>
            </w:tcBorders>
            <w:shd w:val="solid" w:color="016794" w:fill="FFFFFF"/>
            <w:tcMar>
              <w:left w:w="60" w:type="dxa"/>
              <w:right w:w="60" w:type="dxa"/>
            </w:tcMar>
            <w:vAlign w:val="center"/>
          </w:tcPr>
          <w:p>
            <w:pPr>
              <w:pStyle w:val="DMETW19879BIPFAFVTSD"/>
              <w:jc w:val="center"/>
              <w:rPr>
                <w:rFonts w:ascii="Verdana" w:eastAsia="Verdana" w:hAnsi="Verdana" w:cs="Verdana"/>
                <w:noProof/>
                <w:color w:val="FFFFFF"/>
                <w:lang w:bidi="en-GB"/>
              </w:rPr>
            </w:pPr>
          </w:p>
        </w:tc>
      </w:tr>
      <w:tr>
        <w:trPr>
          <w:trHeight w:hRule="exact" w:val="589"/>
        </w:trPr>
        <w:tc>
          <w:tcPr>
            <w:tcW w:w="3991" w:type="dxa"/>
            <w:tcBorders>
              <w:top w:val="nil"/>
              <w:left w:val="nil"/>
              <w:bottom w:val="nil"/>
              <w:right w:val="nil"/>
              <w:tl2br w:val="nil"/>
              <w:tr2bl w:val="nil"/>
            </w:tcBorders>
            <w:shd w:val="solid" w:color="016794" w:fill="FFFFFF"/>
            <w:tcMar>
              <w:left w:w="60" w:type="dxa"/>
              <w:right w:w="60" w:type="dxa"/>
            </w:tcMar>
            <w:vAlign w:val="center"/>
          </w:tcPr>
          <w:p>
            <w:pPr>
              <w:pStyle w:val="DMETW19879BIPFAFVTSD"/>
              <w:rPr>
                <w:rFonts w:ascii="Verdana" w:eastAsia="Verdana" w:hAnsi="Verdana" w:cs="Verdana"/>
                <w:noProof/>
                <w:color w:val="FFFFFF"/>
              </w:rPr>
            </w:pPr>
            <w:r>
              <w:rPr>
                <w:rFonts w:ascii="Verdana" w:hAnsi="Verdana"/>
                <w:noProof/>
                <w:color w:val="FFFFFF"/>
              </w:rPr>
              <w:t>Вид дериватив</w:t>
            </w:r>
          </w:p>
        </w:tc>
        <w:tc>
          <w:tcPr>
            <w:tcW w:w="1641" w:type="dxa"/>
            <w:tcBorders>
              <w:top w:val="nil"/>
              <w:left w:val="nil"/>
              <w:bottom w:val="nil"/>
              <w:right w:val="nil"/>
              <w:tl2br w:val="nil"/>
              <w:tr2bl w:val="nil"/>
            </w:tcBorders>
            <w:shd w:val="solid" w:color="3486A9" w:fill="FFFFFF"/>
            <w:tcMar>
              <w:left w:w="60" w:type="dxa"/>
              <w:right w:w="60" w:type="dxa"/>
            </w:tcMar>
            <w:vAlign w:val="center"/>
          </w:tcPr>
          <w:p>
            <w:pPr>
              <w:pStyle w:val="DMETW19879BIPFAFVTSD"/>
              <w:jc w:val="right"/>
              <w:rPr>
                <w:rFonts w:ascii="Verdana" w:eastAsia="Verdana" w:hAnsi="Verdana" w:cs="Verdana"/>
                <w:noProof/>
                <w:color w:val="FFFFFF"/>
              </w:rPr>
            </w:pPr>
            <w:r>
              <w:rPr>
                <w:rFonts w:ascii="Verdana" w:hAnsi="Verdana"/>
                <w:noProof/>
                <w:color w:val="FFFFFF"/>
              </w:rPr>
              <w:t xml:space="preserve">Теоретична сума </w:t>
            </w:r>
          </w:p>
        </w:tc>
        <w:tc>
          <w:tcPr>
            <w:tcW w:w="1566" w:type="dxa"/>
            <w:tcBorders>
              <w:top w:val="nil"/>
              <w:left w:val="nil"/>
              <w:bottom w:val="nil"/>
              <w:right w:val="nil"/>
              <w:tl2br w:val="nil"/>
              <w:tr2bl w:val="nil"/>
            </w:tcBorders>
            <w:shd w:val="solid" w:color="3486A9" w:fill="FFFFFF"/>
            <w:tcMar>
              <w:left w:w="60" w:type="dxa"/>
              <w:right w:w="60" w:type="dxa"/>
            </w:tcMar>
            <w:vAlign w:val="center"/>
          </w:tcPr>
          <w:p>
            <w:pPr>
              <w:pStyle w:val="DMETW19879BIPFAFVTSD"/>
              <w:jc w:val="right"/>
              <w:rPr>
                <w:rFonts w:ascii="Verdana" w:eastAsia="Verdana" w:hAnsi="Verdana" w:cs="Verdana"/>
                <w:noProof/>
                <w:color w:val="FFFFFF"/>
              </w:rPr>
            </w:pPr>
            <w:r>
              <w:rPr>
                <w:rFonts w:ascii="Verdana" w:hAnsi="Verdana"/>
                <w:noProof/>
                <w:color w:val="FFFFFF"/>
              </w:rPr>
              <w:t>Справедлива стойност</w:t>
            </w:r>
          </w:p>
        </w:tc>
        <w:tc>
          <w:tcPr>
            <w:tcW w:w="1305" w:type="dxa"/>
            <w:tcBorders>
              <w:top w:val="nil"/>
              <w:left w:val="nil"/>
              <w:bottom w:val="nil"/>
              <w:right w:val="nil"/>
              <w:tl2br w:val="nil"/>
              <w:tr2bl w:val="nil"/>
            </w:tcBorders>
            <w:shd w:val="solid" w:color="3486A9" w:fill="FFFFFF"/>
            <w:tcMar>
              <w:left w:w="60" w:type="dxa"/>
              <w:right w:w="60" w:type="dxa"/>
            </w:tcMar>
            <w:vAlign w:val="center"/>
          </w:tcPr>
          <w:p>
            <w:pPr>
              <w:pStyle w:val="DMETW19879BIPFAFVTSD"/>
              <w:jc w:val="right"/>
              <w:rPr>
                <w:rFonts w:ascii="Verdana" w:eastAsia="Verdana" w:hAnsi="Verdana" w:cs="Verdana"/>
                <w:noProof/>
                <w:color w:val="FFFFFF"/>
              </w:rPr>
            </w:pPr>
            <w:r>
              <w:rPr>
                <w:rFonts w:ascii="Verdana" w:hAnsi="Verdana"/>
                <w:noProof/>
                <w:color w:val="FFFFFF"/>
              </w:rPr>
              <w:t xml:space="preserve">Теоретична сума </w:t>
            </w:r>
          </w:p>
        </w:tc>
        <w:tc>
          <w:tcPr>
            <w:tcW w:w="1255" w:type="dxa"/>
            <w:tcBorders>
              <w:top w:val="nil"/>
              <w:left w:val="nil"/>
              <w:bottom w:val="nil"/>
              <w:right w:val="nil"/>
              <w:tl2br w:val="nil"/>
              <w:tr2bl w:val="nil"/>
            </w:tcBorders>
            <w:shd w:val="solid" w:color="3486A9" w:fill="FFFFFF"/>
            <w:tcMar>
              <w:left w:w="60" w:type="dxa"/>
              <w:right w:w="60" w:type="dxa"/>
            </w:tcMar>
            <w:vAlign w:val="center"/>
          </w:tcPr>
          <w:p>
            <w:pPr>
              <w:pStyle w:val="DMETW19879BIPFAFVTSD"/>
              <w:jc w:val="right"/>
              <w:rPr>
                <w:rFonts w:ascii="Verdana" w:eastAsia="Verdana" w:hAnsi="Verdana" w:cs="Verdana"/>
                <w:noProof/>
                <w:color w:val="FFFFFF"/>
              </w:rPr>
            </w:pPr>
            <w:r>
              <w:rPr>
                <w:rFonts w:ascii="Verdana" w:hAnsi="Verdana"/>
                <w:noProof/>
                <w:color w:val="FFFFFF"/>
              </w:rPr>
              <w:t>Справедлива стойност</w:t>
            </w:r>
          </w:p>
        </w:tc>
      </w:tr>
      <w:tr>
        <w:trPr>
          <w:trHeight w:hRule="exact" w:val="255"/>
        </w:trPr>
        <w:tc>
          <w:tcPr>
            <w:tcW w:w="3991" w:type="dxa"/>
            <w:tcBorders>
              <w:top w:val="nil"/>
              <w:left w:val="nil"/>
              <w:bottom w:val="nil"/>
              <w:right w:val="nil"/>
              <w:tl2br w:val="nil"/>
              <w:tr2bl w:val="nil"/>
            </w:tcBorders>
            <w:shd w:val="clear" w:color="auto" w:fill="auto"/>
            <w:tcMar>
              <w:left w:w="60" w:type="dxa"/>
              <w:right w:w="60" w:type="dxa"/>
            </w:tcMar>
            <w:vAlign w:val="center"/>
          </w:tcPr>
          <w:p>
            <w:pPr>
              <w:pStyle w:val="DMETW19879BIPFAFVTSD"/>
              <w:rPr>
                <w:rFonts w:ascii="Verdana" w:eastAsia="Verdana" w:hAnsi="Verdana" w:cs="Verdana"/>
                <w:i/>
                <w:noProof/>
                <w:color w:val="000000"/>
                <w:sz w:val="18"/>
              </w:rPr>
            </w:pPr>
            <w:r>
              <w:rPr>
                <w:rFonts w:ascii="Verdana" w:hAnsi="Verdana"/>
                <w:i/>
                <w:noProof/>
                <w:color w:val="000000"/>
                <w:sz w:val="18"/>
              </w:rPr>
              <w:t>Валутен форуърден договор</w:t>
            </w:r>
          </w:p>
        </w:tc>
        <w:tc>
          <w:tcPr>
            <w:tcW w:w="1641" w:type="dxa"/>
            <w:tcBorders>
              <w:top w:val="nil"/>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00000"/>
                <w:sz w:val="18"/>
              </w:rPr>
            </w:pPr>
            <w:r>
              <w:rPr>
                <w:rFonts w:ascii="Verdana" w:hAnsi="Verdana"/>
                <w:i/>
                <w:noProof/>
                <w:color w:val="000000"/>
                <w:sz w:val="18"/>
              </w:rPr>
              <w:t xml:space="preserve"> 417</w:t>
            </w:r>
          </w:p>
        </w:tc>
        <w:tc>
          <w:tcPr>
            <w:tcW w:w="1566" w:type="dxa"/>
            <w:tcBorders>
              <w:top w:val="nil"/>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00000"/>
                <w:sz w:val="18"/>
              </w:rPr>
            </w:pPr>
            <w:r>
              <w:rPr>
                <w:rFonts w:ascii="Verdana" w:hAnsi="Verdana"/>
                <w:i/>
                <w:noProof/>
                <w:color w:val="000000"/>
                <w:sz w:val="18"/>
              </w:rPr>
              <w:t xml:space="preserve"> 6</w:t>
            </w:r>
          </w:p>
        </w:tc>
        <w:tc>
          <w:tcPr>
            <w:tcW w:w="1305" w:type="dxa"/>
            <w:tcBorders>
              <w:top w:val="nil"/>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00000"/>
                <w:sz w:val="18"/>
              </w:rPr>
            </w:pPr>
            <w:r>
              <w:rPr>
                <w:rFonts w:ascii="Verdana" w:hAnsi="Verdana"/>
                <w:i/>
                <w:noProof/>
                <w:color w:val="000000"/>
                <w:sz w:val="18"/>
              </w:rPr>
              <w:t xml:space="preserve"> 393</w:t>
            </w:r>
          </w:p>
        </w:tc>
        <w:tc>
          <w:tcPr>
            <w:tcW w:w="1255" w:type="dxa"/>
            <w:tcBorders>
              <w:top w:val="nil"/>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00000"/>
                <w:sz w:val="18"/>
              </w:rPr>
            </w:pPr>
            <w:r>
              <w:rPr>
                <w:rFonts w:ascii="Verdana" w:hAnsi="Verdana"/>
                <w:i/>
                <w:noProof/>
                <w:color w:val="000000"/>
                <w:sz w:val="18"/>
              </w:rPr>
              <w:t xml:space="preserve"> 3</w:t>
            </w:r>
          </w:p>
        </w:tc>
      </w:tr>
      <w:tr>
        <w:trPr>
          <w:trHeight w:hRule="exact" w:val="255"/>
        </w:trPr>
        <w:tc>
          <w:tcPr>
            <w:tcW w:w="399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FAFVTSD"/>
              <w:rPr>
                <w:rFonts w:ascii="Verdana" w:eastAsia="Verdana" w:hAnsi="Verdana" w:cs="Verdana"/>
                <w:i/>
                <w:noProof/>
                <w:color w:val="000000"/>
                <w:sz w:val="18"/>
              </w:rPr>
            </w:pPr>
            <w:r>
              <w:rPr>
                <w:rFonts w:ascii="Verdana" w:hAnsi="Verdana"/>
                <w:i/>
                <w:noProof/>
                <w:color w:val="000000"/>
                <w:sz w:val="18"/>
              </w:rPr>
              <w:t>Гаранция по капиталовия портфейл</w:t>
            </w:r>
          </w:p>
        </w:tc>
        <w:tc>
          <w:tcPr>
            <w:tcW w:w="1641"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00000"/>
                <w:sz w:val="18"/>
              </w:rPr>
            </w:pPr>
            <w:r>
              <w:rPr>
                <w:rFonts w:ascii="Verdana" w:hAnsi="Verdana"/>
                <w:i/>
                <w:noProof/>
                <w:color w:val="000000"/>
                <w:sz w:val="18"/>
              </w:rPr>
              <w:t>3 197</w:t>
            </w:r>
          </w:p>
        </w:tc>
        <w:tc>
          <w:tcPr>
            <w:tcW w:w="1566"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00000"/>
                <w:sz w:val="18"/>
              </w:rPr>
            </w:pPr>
            <w:r>
              <w:rPr>
                <w:rFonts w:ascii="Verdana" w:hAnsi="Verdana"/>
                <w:i/>
                <w:noProof/>
                <w:color w:val="000000"/>
                <w:sz w:val="18"/>
              </w:rPr>
              <w:t xml:space="preserve"> 193</w:t>
            </w:r>
          </w:p>
        </w:tc>
        <w:tc>
          <w:tcPr>
            <w:tcW w:w="1305"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00000"/>
                <w:sz w:val="18"/>
              </w:rPr>
            </w:pPr>
            <w:r>
              <w:rPr>
                <w:rFonts w:ascii="Verdana" w:hAnsi="Verdana"/>
                <w:i/>
                <w:noProof/>
                <w:color w:val="000000"/>
                <w:sz w:val="18"/>
              </w:rPr>
              <w:t>1 439</w:t>
            </w:r>
          </w:p>
        </w:tc>
        <w:tc>
          <w:tcPr>
            <w:tcW w:w="1255"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00000"/>
                <w:sz w:val="18"/>
              </w:rPr>
            </w:pPr>
            <w:r>
              <w:rPr>
                <w:rFonts w:ascii="Verdana" w:hAnsi="Verdana"/>
                <w:i/>
                <w:noProof/>
                <w:color w:val="000000"/>
                <w:sz w:val="18"/>
              </w:rPr>
              <w:t xml:space="preserve"> 134</w:t>
            </w:r>
          </w:p>
        </w:tc>
      </w:tr>
      <w:tr>
        <w:trPr>
          <w:trHeight w:hRule="exact" w:val="255"/>
        </w:trPr>
        <w:tc>
          <w:tcPr>
            <w:tcW w:w="39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9BIPFAFVTSD"/>
              <w:rPr>
                <w:rFonts w:ascii="Verdana" w:eastAsia="Verdana" w:hAnsi="Verdana" w:cs="Verdana"/>
                <w:b/>
                <w:noProof/>
                <w:color w:val="000000"/>
                <w:sz w:val="18"/>
              </w:rPr>
            </w:pPr>
            <w:r>
              <w:rPr>
                <w:rFonts w:ascii="Verdana" w:hAnsi="Verdana"/>
                <w:b/>
                <w:noProof/>
                <w:color w:val="000000"/>
                <w:sz w:val="18"/>
              </w:rPr>
              <w:t>Общо</w:t>
            </w:r>
          </w:p>
        </w:tc>
        <w:tc>
          <w:tcPr>
            <w:tcW w:w="16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b/>
                <w:noProof/>
                <w:color w:val="000000"/>
                <w:sz w:val="18"/>
              </w:rPr>
            </w:pPr>
            <w:r>
              <w:rPr>
                <w:rFonts w:ascii="Verdana" w:hAnsi="Verdana"/>
                <w:b/>
                <w:noProof/>
                <w:color w:val="000000"/>
                <w:sz w:val="18"/>
              </w:rPr>
              <w:t>3 614</w:t>
            </w:r>
          </w:p>
        </w:tc>
        <w:tc>
          <w:tcPr>
            <w:tcW w:w="15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b/>
                <w:noProof/>
                <w:color w:val="000000"/>
                <w:sz w:val="18"/>
              </w:rPr>
            </w:pPr>
            <w:r>
              <w:rPr>
                <w:rFonts w:ascii="Verdana" w:hAnsi="Verdana"/>
                <w:b/>
                <w:noProof/>
                <w:color w:val="000000"/>
                <w:sz w:val="18"/>
              </w:rPr>
              <w:t xml:space="preserve"> 199</w:t>
            </w:r>
          </w:p>
        </w:tc>
        <w:tc>
          <w:tcPr>
            <w:tcW w:w="13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b/>
                <w:noProof/>
                <w:color w:val="000000"/>
                <w:sz w:val="18"/>
              </w:rPr>
            </w:pPr>
            <w:r>
              <w:rPr>
                <w:rFonts w:ascii="Verdana" w:hAnsi="Verdana"/>
                <w:b/>
                <w:noProof/>
                <w:color w:val="000000"/>
                <w:sz w:val="18"/>
              </w:rPr>
              <w:t>1 832</w:t>
            </w:r>
          </w:p>
        </w:tc>
        <w:tc>
          <w:tcPr>
            <w:tcW w:w="125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b/>
                <w:noProof/>
                <w:color w:val="000000"/>
                <w:sz w:val="18"/>
              </w:rPr>
            </w:pPr>
            <w:r>
              <w:rPr>
                <w:rFonts w:ascii="Verdana" w:hAnsi="Verdana"/>
                <w:b/>
                <w:noProof/>
                <w:color w:val="000000"/>
                <w:sz w:val="18"/>
              </w:rPr>
              <w:t xml:space="preserve"> 137</w:t>
            </w:r>
          </w:p>
        </w:tc>
      </w:tr>
      <w:tr>
        <w:trPr>
          <w:trHeight w:hRule="exact" w:val="255"/>
        </w:trPr>
        <w:tc>
          <w:tcPr>
            <w:tcW w:w="3991"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9BIPFAFVTSD"/>
              <w:rPr>
                <w:rFonts w:ascii="Verdana" w:eastAsia="Verdana" w:hAnsi="Verdana" w:cs="Verdana"/>
                <w:i/>
                <w:noProof/>
                <w:color w:val="016794"/>
                <w:sz w:val="18"/>
              </w:rPr>
            </w:pPr>
            <w:r>
              <w:rPr>
                <w:rFonts w:ascii="Verdana" w:hAnsi="Verdana"/>
                <w:i/>
                <w:noProof/>
                <w:color w:val="016794"/>
                <w:sz w:val="18"/>
              </w:rPr>
              <w:t>Нетекущи</w:t>
            </w:r>
          </w:p>
        </w:tc>
        <w:tc>
          <w:tcPr>
            <w:tcW w:w="1641"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16794"/>
                <w:sz w:val="18"/>
              </w:rPr>
            </w:pPr>
            <w:r>
              <w:rPr>
                <w:rFonts w:ascii="Verdana" w:hAnsi="Verdana"/>
                <w:i/>
                <w:noProof/>
                <w:color w:val="016794"/>
                <w:sz w:val="18"/>
              </w:rPr>
              <w:t>3 197</w:t>
            </w:r>
          </w:p>
        </w:tc>
        <w:tc>
          <w:tcPr>
            <w:tcW w:w="1566"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16794"/>
                <w:sz w:val="18"/>
              </w:rPr>
            </w:pPr>
            <w:r>
              <w:rPr>
                <w:rFonts w:ascii="Verdana" w:hAnsi="Verdana"/>
                <w:i/>
                <w:noProof/>
                <w:color w:val="016794"/>
                <w:sz w:val="18"/>
              </w:rPr>
              <w:t xml:space="preserve"> 193</w:t>
            </w:r>
          </w:p>
        </w:tc>
        <w:tc>
          <w:tcPr>
            <w:tcW w:w="130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16794"/>
                <w:sz w:val="18"/>
              </w:rPr>
            </w:pPr>
            <w:r>
              <w:rPr>
                <w:rFonts w:ascii="Verdana" w:hAnsi="Verdana"/>
                <w:i/>
                <w:noProof/>
                <w:color w:val="016794"/>
                <w:sz w:val="18"/>
              </w:rPr>
              <w:t>1 439</w:t>
            </w:r>
          </w:p>
        </w:tc>
        <w:tc>
          <w:tcPr>
            <w:tcW w:w="125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16794"/>
                <w:sz w:val="18"/>
              </w:rPr>
            </w:pPr>
            <w:r>
              <w:rPr>
                <w:rFonts w:ascii="Verdana" w:hAnsi="Verdana"/>
                <w:i/>
                <w:noProof/>
                <w:color w:val="016794"/>
                <w:sz w:val="18"/>
              </w:rPr>
              <w:t xml:space="preserve"> 134</w:t>
            </w:r>
          </w:p>
        </w:tc>
      </w:tr>
      <w:tr>
        <w:trPr>
          <w:trHeight w:hRule="exact" w:val="255"/>
        </w:trPr>
        <w:tc>
          <w:tcPr>
            <w:tcW w:w="3991" w:type="dxa"/>
            <w:tcBorders>
              <w:top w:val="nil"/>
              <w:left w:val="nil"/>
              <w:bottom w:val="nil"/>
              <w:right w:val="nil"/>
              <w:tl2br w:val="nil"/>
              <w:tr2bl w:val="nil"/>
            </w:tcBorders>
            <w:shd w:val="clear" w:color="auto" w:fill="auto"/>
            <w:tcMar>
              <w:left w:w="60" w:type="dxa"/>
              <w:right w:w="60" w:type="dxa"/>
            </w:tcMar>
            <w:vAlign w:val="center"/>
          </w:tcPr>
          <w:p>
            <w:pPr>
              <w:pStyle w:val="DMETW19879BIPFAFVTSD"/>
              <w:rPr>
                <w:rFonts w:ascii="Verdana" w:eastAsia="Verdana" w:hAnsi="Verdana" w:cs="Verdana"/>
                <w:i/>
                <w:noProof/>
                <w:color w:val="016794"/>
                <w:sz w:val="18"/>
              </w:rPr>
            </w:pPr>
            <w:r>
              <w:rPr>
                <w:rFonts w:ascii="Verdana" w:hAnsi="Verdana"/>
                <w:i/>
                <w:noProof/>
                <w:color w:val="016794"/>
                <w:sz w:val="18"/>
              </w:rPr>
              <w:t>Текущи</w:t>
            </w:r>
          </w:p>
        </w:tc>
        <w:tc>
          <w:tcPr>
            <w:tcW w:w="1641" w:type="dxa"/>
            <w:tcBorders>
              <w:top w:val="nil"/>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16794"/>
                <w:sz w:val="18"/>
              </w:rPr>
            </w:pPr>
            <w:r>
              <w:rPr>
                <w:rFonts w:ascii="Verdana" w:hAnsi="Verdana"/>
                <w:i/>
                <w:noProof/>
                <w:color w:val="016794"/>
                <w:sz w:val="18"/>
              </w:rPr>
              <w:t xml:space="preserve"> 417</w:t>
            </w:r>
          </w:p>
        </w:tc>
        <w:tc>
          <w:tcPr>
            <w:tcW w:w="1566" w:type="dxa"/>
            <w:tcBorders>
              <w:top w:val="nil"/>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16794"/>
                <w:sz w:val="18"/>
              </w:rPr>
            </w:pPr>
            <w:r>
              <w:rPr>
                <w:rFonts w:ascii="Verdana" w:hAnsi="Verdana"/>
                <w:i/>
                <w:noProof/>
                <w:color w:val="016794"/>
                <w:sz w:val="18"/>
              </w:rPr>
              <w:t xml:space="preserve"> 6</w:t>
            </w:r>
          </w:p>
        </w:tc>
        <w:tc>
          <w:tcPr>
            <w:tcW w:w="1305" w:type="dxa"/>
            <w:tcBorders>
              <w:top w:val="nil"/>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16794"/>
                <w:sz w:val="18"/>
              </w:rPr>
            </w:pPr>
            <w:r>
              <w:rPr>
                <w:rFonts w:ascii="Verdana" w:hAnsi="Verdana"/>
                <w:i/>
                <w:noProof/>
                <w:color w:val="016794"/>
                <w:sz w:val="18"/>
              </w:rPr>
              <w:t xml:space="preserve"> 393</w:t>
            </w:r>
          </w:p>
        </w:tc>
        <w:tc>
          <w:tcPr>
            <w:tcW w:w="1255" w:type="dxa"/>
            <w:tcBorders>
              <w:top w:val="nil"/>
              <w:left w:val="nil"/>
              <w:bottom w:val="nil"/>
              <w:right w:val="nil"/>
              <w:tl2br w:val="nil"/>
              <w:tr2bl w:val="nil"/>
            </w:tcBorders>
            <w:shd w:val="clear" w:color="auto" w:fill="auto"/>
            <w:tcMar>
              <w:left w:w="60" w:type="dxa"/>
              <w:right w:w="60" w:type="dxa"/>
            </w:tcMar>
            <w:vAlign w:val="bottom"/>
          </w:tcPr>
          <w:p>
            <w:pPr>
              <w:pStyle w:val="DMETW19879BIPFAFVTSD"/>
              <w:jc w:val="right"/>
              <w:rPr>
                <w:rFonts w:ascii="Verdana" w:eastAsia="Verdana" w:hAnsi="Verdana" w:cs="Verdana"/>
                <w:i/>
                <w:noProof/>
                <w:color w:val="016794"/>
                <w:sz w:val="18"/>
              </w:rPr>
            </w:pPr>
            <w:r>
              <w:rPr>
                <w:rFonts w:ascii="Verdana" w:hAnsi="Verdana"/>
                <w:i/>
                <w:noProof/>
                <w:color w:val="016794"/>
                <w:sz w:val="18"/>
              </w:rPr>
              <w:t xml:space="preserve"> 3</w:t>
            </w:r>
          </w:p>
        </w:tc>
      </w:tr>
    </w:tbl>
    <w:p>
      <w:pPr>
        <w:pStyle w:val="DGTextstand-alone"/>
      </w:pPr>
      <w:r>
        <w:t>ЕС сключва валутни форуърдни договори, за да хеджира валутния риск, свързан с дълговите ценни книжа в щатски долари, държани в Гаранционния фонд на ЕФСИ. По силата на валутните форуърдни договори ЕС дава посочената в договора теоретична сума в чуждестранна валута (операция за плащане), представена в таблицата по-горе, и ще получи теоретичната сума в евро (операция за получаване) на датата на падежа. Тези деривативни договори се оценяват по справедлива стойност към датата на счетоводния баланс и се класифицират като финансови активи или финансови пасиви по справедлива стойност чрез излишъка или дефицита в зависимост от това дали справедливата им стойност е положителна или отрицателна.</w:t>
      </w:r>
    </w:p>
    <w:p>
      <w:pPr>
        <w:pStyle w:val="DGTextstand-alone"/>
        <w:spacing w:after="0"/>
      </w:pPr>
      <w:r>
        <w:t>Позицията „Гаранция по капиталовия портфейл“ включва гаранциите, предоставени от ЕС на финансови институции по портфейли от капиталови инвестиции, които се класифицират като деривативни финансови инструменти и се отчитат като финансов актив или финансов пасив по справедлива стойност чрез излишъка или дефицита. Общият размер представлява предимно гаранцията по ЕФСИ, предоставена от ЕС на групата на ЕИБ, като капиталовите инвестиции, извършени от ЕИБ и ЕИФ, възлизат на 2 223 милиона евро (2019 г.: 1 420 милиона евро). Справедливата стойност на гаранцията от ЕС по капиталовите портфейли на ЕФСИ възлизаше на общо 164 милиона евро (2019 г.: 134 милиона евро).</w:t>
      </w:r>
    </w:p>
    <w:p>
      <w:pPr>
        <w:pStyle w:val="HEADER5"/>
        <w:spacing w:before="360"/>
        <w:rPr>
          <w:noProof/>
        </w:rPr>
      </w:pPr>
      <w:r>
        <w:rPr>
          <w:noProof/>
        </w:rPr>
        <w:t>Йерархия на справедливата стойност на финансовите активи, оценени по справедлива стойност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trPr>
          <w:trHeight w:val="255"/>
        </w:trPr>
        <w:tc>
          <w:tcPr>
            <w:tcW w:w="5432" w:type="dxa"/>
            <w:tcBorders>
              <w:top w:val="nil"/>
              <w:left w:val="nil"/>
              <w:bottom w:val="nil"/>
              <w:right w:val="nil"/>
              <w:tl2br w:val="nil"/>
              <w:tr2bl w:val="nil"/>
            </w:tcBorders>
            <w:shd w:val="clear" w:color="auto" w:fill="auto"/>
            <w:tcMar>
              <w:left w:w="60" w:type="dxa"/>
              <w:right w:w="60" w:type="dxa"/>
            </w:tcMar>
            <w:vAlign w:val="bottom"/>
          </w:tcPr>
          <w:p>
            <w:pPr>
              <w:pStyle w:val="DMETW19879BIPFVH"/>
              <w:rPr>
                <w:rFonts w:ascii="Arial" w:eastAsia="Arial" w:hAnsi="Arial" w:cs="Arial"/>
                <w:noProof/>
                <w:color w:val="000000"/>
              </w:rPr>
            </w:pPr>
            <w:bookmarkStart w:id="100" w:name="DOC_TBL00016_1_1"/>
            <w:bookmarkEnd w:id="100"/>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9879BIPFVH"/>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9879BIPFVH"/>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pPr>
              <w:pStyle w:val="DMETW19879BIPFVH"/>
              <w:jc w:val="right"/>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pPr>
              <w:pStyle w:val="DMETW19879BIPFVH"/>
              <w:jc w:val="right"/>
              <w:rPr>
                <w:rFonts w:ascii="Verdana" w:eastAsia="Verdana" w:hAnsi="Verdana" w:cs="Verdana"/>
                <w:noProof/>
                <w:color w:val="FFFFFF"/>
              </w:rPr>
            </w:pPr>
            <w:r>
              <w:rPr>
                <w:rFonts w:ascii="Verdana" w:hAnsi="Verdana"/>
                <w:noProof/>
                <w:color w:val="FFFFFF"/>
              </w:rPr>
              <w:t>31.12.2020 г.</w:t>
            </w:r>
          </w:p>
        </w:tc>
        <w:tc>
          <w:tcPr>
            <w:tcW w:w="2112" w:type="dxa"/>
            <w:tcBorders>
              <w:top w:val="nil"/>
              <w:left w:val="nil"/>
              <w:bottom w:val="nil"/>
              <w:right w:val="nil"/>
              <w:tl2br w:val="nil"/>
              <w:tr2bl w:val="nil"/>
            </w:tcBorders>
            <w:shd w:val="solid" w:color="016794" w:fill="FFFFFF"/>
            <w:tcMar>
              <w:left w:w="60" w:type="dxa"/>
              <w:right w:w="60" w:type="dxa"/>
            </w:tcMar>
            <w:vAlign w:val="center"/>
          </w:tcPr>
          <w:p>
            <w:pPr>
              <w:pStyle w:val="DMETW19879BIPFVH"/>
              <w:jc w:val="right"/>
              <w:rPr>
                <w:rFonts w:ascii="Verdana" w:eastAsia="Verdana" w:hAnsi="Verdana" w:cs="Verdana"/>
                <w:noProof/>
                <w:color w:val="FFFFFF"/>
              </w:rPr>
            </w:pPr>
            <w:r>
              <w:rPr>
                <w:rFonts w:ascii="Verdana" w:hAnsi="Verdana"/>
                <w:noProof/>
                <w:color w:val="FFFFFF"/>
              </w:rPr>
              <w:t>31.12.2019 г.</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FVH"/>
              <w:rPr>
                <w:rFonts w:ascii="Verdana" w:eastAsia="Verdana" w:hAnsi="Verdana" w:cs="Verdana"/>
                <w:i/>
                <w:noProof/>
                <w:color w:val="000000"/>
                <w:sz w:val="18"/>
              </w:rPr>
            </w:pPr>
            <w:r>
              <w:rPr>
                <w:rFonts w:ascii="Verdana" w:hAnsi="Verdana"/>
                <w:i/>
                <w:noProof/>
                <w:color w:val="000000"/>
                <w:sz w:val="18"/>
              </w:rPr>
              <w:t>Ниво 1: котирани цени на активни пазари</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9879BIPFVH"/>
              <w:jc w:val="right"/>
              <w:rPr>
                <w:rFonts w:ascii="Verdana" w:eastAsia="Verdana" w:hAnsi="Verdana" w:cs="Verdana"/>
                <w:i/>
                <w:noProof/>
                <w:color w:val="000000"/>
                <w:sz w:val="18"/>
              </w:rPr>
            </w:pPr>
            <w:r>
              <w:rPr>
                <w:rFonts w:ascii="Verdana" w:hAnsi="Verdana"/>
                <w:i/>
                <w:noProof/>
                <w:color w:val="000000"/>
                <w:sz w:val="18"/>
              </w:rPr>
              <w:t>15 383</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9879BIPFVH"/>
              <w:jc w:val="right"/>
              <w:rPr>
                <w:rFonts w:ascii="Verdana" w:eastAsia="Verdana" w:hAnsi="Verdana" w:cs="Verdana"/>
                <w:i/>
                <w:noProof/>
                <w:color w:val="000000"/>
                <w:sz w:val="18"/>
              </w:rPr>
            </w:pPr>
            <w:r>
              <w:rPr>
                <w:rFonts w:ascii="Verdana" w:hAnsi="Verdana"/>
                <w:i/>
                <w:noProof/>
                <w:color w:val="000000"/>
                <w:sz w:val="18"/>
              </w:rPr>
              <w:t>15 482</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FVH"/>
              <w:rPr>
                <w:rFonts w:ascii="Verdana" w:eastAsia="Verdana" w:hAnsi="Verdana" w:cs="Verdana"/>
                <w:i/>
                <w:noProof/>
                <w:color w:val="000000"/>
                <w:sz w:val="18"/>
              </w:rPr>
            </w:pPr>
            <w:r>
              <w:rPr>
                <w:rFonts w:ascii="Verdana" w:hAnsi="Verdana"/>
                <w:i/>
                <w:noProof/>
                <w:color w:val="000000"/>
                <w:sz w:val="18"/>
              </w:rPr>
              <w:t>Ниво 2: наблюдаеми елементи, различни от котираните цени</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9879BIPFVH"/>
              <w:jc w:val="right"/>
              <w:rPr>
                <w:rFonts w:ascii="Verdana" w:eastAsia="Verdana" w:hAnsi="Verdana" w:cs="Verdana"/>
                <w:i/>
                <w:noProof/>
                <w:color w:val="000000"/>
                <w:sz w:val="18"/>
              </w:rPr>
            </w:pPr>
            <w:r>
              <w:rPr>
                <w:rFonts w:ascii="Verdana" w:hAnsi="Verdana"/>
                <w:i/>
                <w:noProof/>
                <w:color w:val="000000"/>
                <w:sz w:val="18"/>
              </w:rPr>
              <w:t>2 712</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9879BIPFVH"/>
              <w:jc w:val="right"/>
              <w:rPr>
                <w:rFonts w:ascii="Verdana" w:eastAsia="Verdana" w:hAnsi="Verdana" w:cs="Verdana"/>
                <w:i/>
                <w:noProof/>
                <w:color w:val="000000"/>
                <w:sz w:val="18"/>
              </w:rPr>
            </w:pPr>
            <w:r>
              <w:rPr>
                <w:rFonts w:ascii="Verdana" w:hAnsi="Verdana"/>
                <w:i/>
                <w:noProof/>
                <w:color w:val="000000"/>
                <w:sz w:val="18"/>
              </w:rPr>
              <w:t>1 543</w:t>
            </w:r>
          </w:p>
        </w:tc>
      </w:tr>
      <w:tr>
        <w:trPr>
          <w:trHeight w:val="255"/>
        </w:trPr>
        <w:tc>
          <w:tcPr>
            <w:tcW w:w="54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FVH"/>
              <w:rPr>
                <w:rFonts w:ascii="Verdana" w:eastAsia="Verdana" w:hAnsi="Verdana" w:cs="Verdana"/>
                <w:i/>
                <w:noProof/>
                <w:color w:val="000000"/>
                <w:sz w:val="18"/>
              </w:rPr>
            </w:pPr>
            <w:r>
              <w:rPr>
                <w:rFonts w:ascii="Verdana" w:hAnsi="Verdana"/>
                <w:i/>
                <w:noProof/>
                <w:color w:val="000000"/>
                <w:sz w:val="18"/>
              </w:rPr>
              <w:t>Ниво 3: техники за оценяване, при които елементите не се основават на наблюдаеми пазарни данни</w:t>
            </w:r>
          </w:p>
        </w:tc>
        <w:tc>
          <w:tcPr>
            <w:tcW w:w="221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FVH"/>
              <w:jc w:val="right"/>
              <w:rPr>
                <w:rFonts w:ascii="Verdana" w:eastAsia="Verdana" w:hAnsi="Verdana" w:cs="Verdana"/>
                <w:i/>
                <w:noProof/>
                <w:color w:val="000000"/>
                <w:sz w:val="18"/>
              </w:rPr>
            </w:pPr>
            <w:r>
              <w:rPr>
                <w:rFonts w:ascii="Verdana" w:hAnsi="Verdana"/>
                <w:i/>
                <w:noProof/>
                <w:color w:val="000000"/>
                <w:sz w:val="18"/>
              </w:rPr>
              <w:t>1 691</w:t>
            </w:r>
          </w:p>
        </w:tc>
        <w:tc>
          <w:tcPr>
            <w:tcW w:w="211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FVH"/>
              <w:jc w:val="right"/>
              <w:rPr>
                <w:rFonts w:ascii="Verdana" w:eastAsia="Verdana" w:hAnsi="Verdana" w:cs="Verdana"/>
                <w:i/>
                <w:noProof/>
                <w:color w:val="000000"/>
                <w:sz w:val="18"/>
              </w:rPr>
            </w:pPr>
            <w:r>
              <w:rPr>
                <w:rFonts w:ascii="Verdana" w:hAnsi="Verdana"/>
                <w:i/>
                <w:noProof/>
                <w:color w:val="000000"/>
                <w:sz w:val="18"/>
              </w:rPr>
              <w:t>1 518</w:t>
            </w:r>
          </w:p>
        </w:tc>
      </w:tr>
      <w:tr>
        <w:trPr>
          <w:trHeigh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FVH"/>
              <w:rPr>
                <w:rFonts w:ascii="Verdana" w:eastAsia="Verdana" w:hAnsi="Verdana" w:cs="Verdana"/>
                <w:b/>
                <w:noProof/>
                <w:color w:val="000000"/>
                <w:sz w:val="18"/>
              </w:rPr>
            </w:pPr>
            <w:r>
              <w:rPr>
                <w:rFonts w:ascii="Verdana" w:hAnsi="Verdana"/>
                <w:b/>
                <w:noProof/>
                <w:color w:val="000000"/>
                <w:sz w:val="18"/>
              </w:rPr>
              <w:t>Общо</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FVH"/>
              <w:jc w:val="right"/>
              <w:rPr>
                <w:rFonts w:ascii="Verdana" w:eastAsia="Verdana" w:hAnsi="Verdana" w:cs="Verdana"/>
                <w:b/>
                <w:noProof/>
                <w:color w:val="000000"/>
                <w:sz w:val="18"/>
              </w:rPr>
            </w:pPr>
            <w:r>
              <w:rPr>
                <w:rFonts w:ascii="Verdana" w:hAnsi="Verdana"/>
                <w:b/>
                <w:noProof/>
                <w:color w:val="000000"/>
                <w:sz w:val="18"/>
              </w:rPr>
              <w:t>19 786</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FVH"/>
              <w:jc w:val="right"/>
              <w:rPr>
                <w:rFonts w:ascii="Verdana" w:eastAsia="Verdana" w:hAnsi="Verdana" w:cs="Verdana"/>
                <w:b/>
                <w:noProof/>
                <w:color w:val="000000"/>
                <w:sz w:val="18"/>
              </w:rPr>
            </w:pPr>
            <w:r>
              <w:rPr>
                <w:rFonts w:ascii="Verdana" w:hAnsi="Verdana"/>
                <w:b/>
                <w:noProof/>
                <w:color w:val="000000"/>
                <w:sz w:val="18"/>
              </w:rPr>
              <w:t>18 544</w:t>
            </w:r>
          </w:p>
        </w:tc>
      </w:tr>
    </w:tbl>
    <w:p>
      <w:pPr>
        <w:pStyle w:val="Textstand-alone"/>
        <w:spacing w:after="480"/>
      </w:pPr>
      <w:r>
        <w:t>През периода нямаше трансфери между ниво 1 и ниво 2.</w:t>
      </w:r>
    </w:p>
    <w:p>
      <w:pPr>
        <w:pStyle w:val="Textstand-alone"/>
        <w:spacing w:after="480"/>
      </w:pPr>
    </w:p>
    <w:p>
      <w:pPr>
        <w:pStyle w:val="HEADER5"/>
        <w:spacing w:before="360"/>
        <w:rPr>
          <w:noProof/>
        </w:rPr>
      </w:pPr>
      <w:r>
        <w:rPr>
          <w:noProof/>
        </w:rPr>
        <w:t>Равняване на финансовите активи, оценени с помощта на техники за оценяване, използващи елементи, които не се основават на наблюдаеми пазарни данни (ниво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6"/>
        <w:gridCol w:w="2342"/>
      </w:tblGrid>
      <w:tr>
        <w:trPr>
          <w:trHeight w:val="255"/>
        </w:trPr>
        <w:tc>
          <w:tcPr>
            <w:tcW w:w="7416" w:type="dxa"/>
            <w:tcBorders>
              <w:top w:val="nil"/>
              <w:left w:val="nil"/>
              <w:bottom w:val="nil"/>
              <w:right w:val="nil"/>
              <w:tl2br w:val="nil"/>
              <w:tr2bl w:val="nil"/>
            </w:tcBorders>
            <w:shd w:val="clear" w:color="auto" w:fill="auto"/>
            <w:tcMar>
              <w:left w:w="60" w:type="dxa"/>
              <w:right w:w="60" w:type="dxa"/>
            </w:tcMar>
            <w:vAlign w:val="bottom"/>
          </w:tcPr>
          <w:p>
            <w:pPr>
              <w:pStyle w:val="DMETW19538BIPRECOFINA"/>
              <w:rPr>
                <w:rFonts w:ascii="Arial" w:eastAsia="Arial" w:hAnsi="Arial" w:cs="Arial"/>
                <w:noProof/>
                <w:color w:val="000000"/>
              </w:rPr>
            </w:pPr>
            <w:bookmarkStart w:id="101" w:name="DOC_TBL00017_1_1"/>
            <w:bookmarkEnd w:id="101"/>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9538BIPRECOFIN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7416" w:type="dxa"/>
            <w:tcBorders>
              <w:top w:val="nil"/>
              <w:left w:val="nil"/>
              <w:bottom w:val="nil"/>
              <w:right w:val="nil"/>
              <w:tl2br w:val="nil"/>
              <w:tr2bl w:val="nil"/>
            </w:tcBorders>
            <w:shd w:val="solid" w:color="016794" w:fill="FFFFFF"/>
            <w:tcMar>
              <w:left w:w="60" w:type="dxa"/>
              <w:right w:w="60" w:type="dxa"/>
            </w:tcMar>
            <w:vAlign w:val="center"/>
          </w:tcPr>
          <w:p>
            <w:pPr>
              <w:pStyle w:val="DMETW19538BIPRECOFINA"/>
              <w:rPr>
                <w:rFonts w:ascii="Verdana" w:eastAsia="Verdana" w:hAnsi="Verdana" w:cs="Verdana"/>
                <w:noProof/>
                <w:color w:val="FFFFFF"/>
              </w:rPr>
            </w:pPr>
          </w:p>
        </w:tc>
        <w:tc>
          <w:tcPr>
            <w:tcW w:w="2342" w:type="dxa"/>
            <w:tcBorders>
              <w:top w:val="nil"/>
              <w:left w:val="nil"/>
              <w:bottom w:val="nil"/>
              <w:right w:val="nil"/>
              <w:tl2br w:val="nil"/>
              <w:tr2bl w:val="nil"/>
            </w:tcBorders>
            <w:shd w:val="solid" w:color="016794" w:fill="FFFFFF"/>
            <w:tcMar>
              <w:left w:w="60" w:type="dxa"/>
              <w:right w:w="60" w:type="dxa"/>
            </w:tcMar>
            <w:vAlign w:val="center"/>
          </w:tcPr>
          <w:p>
            <w:pPr>
              <w:pStyle w:val="DMETW19538BIPRECOFINA"/>
              <w:rPr>
                <w:rFonts w:ascii="Verdana" w:eastAsia="Verdana" w:hAnsi="Verdana" w:cs="Verdana"/>
                <w:noProof/>
                <w:color w:val="FFFFFF"/>
                <w:lang w:bidi="en-GB"/>
              </w:rPr>
            </w:pP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9538BIPRECOFINA"/>
              <w:rPr>
                <w:rFonts w:ascii="Verdana" w:eastAsia="Verdana" w:hAnsi="Verdana" w:cs="Verdana"/>
                <w:i/>
                <w:noProof/>
                <w:color w:val="000000"/>
                <w:sz w:val="18"/>
              </w:rPr>
            </w:pPr>
            <w:r>
              <w:rPr>
                <w:rFonts w:ascii="Verdana" w:hAnsi="Verdana"/>
                <w:i/>
                <w:noProof/>
                <w:color w:val="000000"/>
                <w:sz w:val="18"/>
              </w:rPr>
              <w:t>Начално салдо към 1.1.2020 г.</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9538BIPRECOFINA"/>
              <w:jc w:val="right"/>
              <w:rPr>
                <w:rFonts w:ascii="Verdana" w:eastAsia="Verdana" w:hAnsi="Verdana" w:cs="Verdana"/>
                <w:i/>
                <w:noProof/>
                <w:color w:val="000000"/>
                <w:sz w:val="18"/>
              </w:rPr>
            </w:pPr>
            <w:r>
              <w:rPr>
                <w:rFonts w:ascii="Verdana" w:hAnsi="Verdana"/>
                <w:i/>
                <w:noProof/>
                <w:color w:val="000000"/>
                <w:sz w:val="18"/>
              </w:rPr>
              <w:t>1 518</w:t>
            </w: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9538BIPRECOFINA"/>
              <w:rPr>
                <w:rFonts w:ascii="Verdana" w:eastAsia="Verdana" w:hAnsi="Verdana" w:cs="Verdana"/>
                <w:i/>
                <w:noProof/>
                <w:color w:val="000000"/>
                <w:sz w:val="18"/>
              </w:rPr>
            </w:pPr>
            <w:r>
              <w:rPr>
                <w:rFonts w:ascii="Verdana" w:hAnsi="Verdana"/>
                <w:i/>
                <w:noProof/>
                <w:color w:val="000000"/>
                <w:sz w:val="18"/>
              </w:rPr>
              <w:t>Покупки, продажби, емисии и уреждания на задължения</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9538BIPRECOFINA"/>
              <w:jc w:val="right"/>
              <w:rPr>
                <w:rFonts w:ascii="Verdana" w:eastAsia="Verdana" w:hAnsi="Verdana" w:cs="Verdana"/>
                <w:i/>
                <w:noProof/>
                <w:color w:val="000000"/>
                <w:sz w:val="18"/>
              </w:rPr>
            </w:pPr>
            <w:r>
              <w:rPr>
                <w:rFonts w:ascii="Verdana" w:hAnsi="Verdana"/>
                <w:i/>
                <w:noProof/>
                <w:color w:val="000000"/>
                <w:sz w:val="18"/>
              </w:rPr>
              <w:t xml:space="preserve"> 179</w:t>
            </w: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9538BIPRECOFINA"/>
              <w:rPr>
                <w:rFonts w:ascii="Verdana" w:eastAsia="Verdana" w:hAnsi="Verdana" w:cs="Verdana"/>
                <w:i/>
                <w:noProof/>
                <w:color w:val="000000"/>
                <w:sz w:val="18"/>
              </w:rPr>
            </w:pPr>
            <w:r>
              <w:rPr>
                <w:rFonts w:ascii="Verdana" w:hAnsi="Verdana"/>
                <w:i/>
                <w:noProof/>
                <w:color w:val="000000"/>
                <w:sz w:val="18"/>
              </w:rPr>
              <w:t>Печалби или загуби за периода като финансови приходи или финансови разходи</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9538BIPRECOFINA"/>
              <w:jc w:val="right"/>
              <w:rPr>
                <w:rFonts w:ascii="Verdana" w:eastAsia="Verdana" w:hAnsi="Verdana" w:cs="Verdana"/>
                <w:i/>
                <w:noProof/>
                <w:color w:val="000000"/>
                <w:sz w:val="18"/>
              </w:rPr>
            </w:pPr>
            <w:r>
              <w:rPr>
                <w:rFonts w:ascii="Verdana" w:hAnsi="Verdana"/>
                <w:i/>
                <w:noProof/>
                <w:color w:val="000000"/>
                <w:sz w:val="18"/>
              </w:rPr>
              <w:t xml:space="preserve"> 10</w:t>
            </w: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9538BIPRECOFINA"/>
              <w:rPr>
                <w:rFonts w:ascii="Verdana" w:eastAsia="Verdana" w:hAnsi="Verdana" w:cs="Verdana"/>
                <w:i/>
                <w:noProof/>
                <w:color w:val="000000"/>
                <w:sz w:val="18"/>
              </w:rPr>
            </w:pPr>
            <w:r>
              <w:rPr>
                <w:rFonts w:ascii="Verdana" w:hAnsi="Verdana"/>
                <w:i/>
                <w:noProof/>
                <w:color w:val="000000"/>
                <w:sz w:val="18"/>
              </w:rPr>
              <w:t>Печалби или загуби в нетните активи</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9538BIPRECOFINA"/>
              <w:jc w:val="right"/>
              <w:rPr>
                <w:rFonts w:ascii="Verdana" w:eastAsia="Verdana" w:hAnsi="Verdana" w:cs="Verdana"/>
                <w:i/>
                <w:noProof/>
                <w:color w:val="000000"/>
                <w:sz w:val="18"/>
              </w:rPr>
            </w:pPr>
            <w:r>
              <w:rPr>
                <w:rFonts w:ascii="Verdana" w:hAnsi="Verdana"/>
                <w:i/>
                <w:noProof/>
                <w:color w:val="000000"/>
                <w:sz w:val="18"/>
              </w:rPr>
              <w:t xml:space="preserve"> (17)</w:t>
            </w: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9538BIPRECOFINA"/>
              <w:rPr>
                <w:rFonts w:ascii="Verdana" w:eastAsia="Verdana" w:hAnsi="Verdana" w:cs="Verdana"/>
                <w:i/>
                <w:noProof/>
                <w:color w:val="000000"/>
                <w:sz w:val="18"/>
              </w:rPr>
            </w:pPr>
            <w:r>
              <w:rPr>
                <w:rFonts w:ascii="Verdana" w:hAnsi="Verdana"/>
                <w:i/>
                <w:noProof/>
                <w:color w:val="000000"/>
                <w:sz w:val="18"/>
              </w:rPr>
              <w:t xml:space="preserve">Трансфери към ниво 3 </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9538BIPRECOFINA"/>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9538BIPRECOFINA"/>
              <w:rPr>
                <w:rFonts w:ascii="Verdana" w:eastAsia="Verdana" w:hAnsi="Verdana" w:cs="Verdana"/>
                <w:i/>
                <w:noProof/>
                <w:color w:val="000000"/>
                <w:sz w:val="18"/>
              </w:rPr>
            </w:pPr>
            <w:r>
              <w:rPr>
                <w:rFonts w:ascii="Verdana" w:hAnsi="Verdana"/>
                <w:i/>
                <w:noProof/>
                <w:color w:val="000000"/>
                <w:sz w:val="18"/>
              </w:rPr>
              <w:t xml:space="preserve">Трансфери от ниво 3 </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9538BIPRECOFINA"/>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41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38BIPRECOFINA"/>
              <w:rPr>
                <w:rFonts w:ascii="Verdana" w:eastAsia="Verdana" w:hAnsi="Verdana" w:cs="Verdana"/>
                <w:i/>
                <w:noProof/>
                <w:color w:val="000000"/>
                <w:sz w:val="18"/>
              </w:rPr>
            </w:pPr>
            <w:r>
              <w:rPr>
                <w:rFonts w:ascii="Verdana" w:hAnsi="Verdana"/>
                <w:i/>
                <w:noProof/>
                <w:color w:val="000000"/>
                <w:sz w:val="18"/>
              </w:rPr>
              <w:t>Други</w:t>
            </w:r>
          </w:p>
        </w:tc>
        <w:tc>
          <w:tcPr>
            <w:tcW w:w="234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538BIPRECOFINA"/>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val="255"/>
        </w:trPr>
        <w:tc>
          <w:tcPr>
            <w:tcW w:w="74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38BIPRECOFINA"/>
              <w:rPr>
                <w:rFonts w:ascii="Verdana" w:eastAsia="Verdana" w:hAnsi="Verdana" w:cs="Verdana"/>
                <w:b/>
                <w:noProof/>
                <w:color w:val="000000"/>
                <w:sz w:val="18"/>
              </w:rPr>
            </w:pPr>
            <w:r>
              <w:rPr>
                <w:rFonts w:ascii="Verdana" w:hAnsi="Verdana"/>
                <w:b/>
                <w:noProof/>
                <w:color w:val="000000"/>
                <w:sz w:val="18"/>
              </w:rPr>
              <w:t>Крайно салдо към 31.12.2020 г.</w:t>
            </w:r>
          </w:p>
        </w:tc>
        <w:tc>
          <w:tcPr>
            <w:tcW w:w="23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538BIPRECOFINA"/>
              <w:jc w:val="right"/>
              <w:rPr>
                <w:rFonts w:ascii="Verdana" w:eastAsia="Verdana" w:hAnsi="Verdana" w:cs="Verdana"/>
                <w:b/>
                <w:noProof/>
                <w:color w:val="000000"/>
                <w:sz w:val="18"/>
              </w:rPr>
            </w:pPr>
            <w:r>
              <w:rPr>
                <w:rFonts w:ascii="Verdana" w:hAnsi="Verdana"/>
                <w:b/>
                <w:noProof/>
                <w:color w:val="000000"/>
                <w:sz w:val="18"/>
              </w:rPr>
              <w:t>1 691</w:t>
            </w:r>
          </w:p>
        </w:tc>
      </w:tr>
    </w:tbl>
    <w:p>
      <w:pPr>
        <w:pStyle w:val="HEADER3NOTES"/>
        <w:numPr>
          <w:ilvl w:val="0"/>
          <w:numId w:val="0"/>
        </w:numPr>
        <w:spacing w:after="0"/>
        <w:ind w:left="907" w:hanging="907"/>
        <w:rPr>
          <w:noProof/>
        </w:rPr>
      </w:pPr>
    </w:p>
    <w:p>
      <w:pPr>
        <w:pStyle w:val="HEADER3NOTES"/>
        <w:spacing w:before="0" w:after="0"/>
        <w:rPr>
          <w:noProof/>
        </w:rPr>
      </w:pPr>
      <w:r>
        <w:rPr>
          <w:noProof/>
        </w:rPr>
        <w:t>Заеми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0"/>
        <w:gridCol w:w="1878"/>
        <w:gridCol w:w="1791"/>
        <w:gridCol w:w="1489"/>
      </w:tblGrid>
      <w:tr>
        <w:trPr>
          <w:trHeight w:val="255"/>
        </w:trPr>
        <w:tc>
          <w:tcPr>
            <w:tcW w:w="4600" w:type="dxa"/>
            <w:tcBorders>
              <w:top w:val="nil"/>
              <w:left w:val="nil"/>
              <w:bottom w:val="nil"/>
              <w:right w:val="nil"/>
              <w:tl2br w:val="nil"/>
              <w:tr2bl w:val="nil"/>
            </w:tcBorders>
            <w:shd w:val="clear" w:color="auto" w:fill="auto"/>
            <w:tcMar>
              <w:left w:w="60" w:type="dxa"/>
              <w:right w:w="60" w:type="dxa"/>
            </w:tcMar>
            <w:vAlign w:val="bottom"/>
          </w:tcPr>
          <w:p>
            <w:pPr>
              <w:pStyle w:val="DMETW19879BIPLO"/>
              <w:rPr>
                <w:rFonts w:ascii="Arial" w:eastAsia="Arial" w:hAnsi="Arial" w:cs="Arial"/>
                <w:noProof/>
                <w:color w:val="000000"/>
              </w:rPr>
            </w:pPr>
            <w:bookmarkStart w:id="102" w:name="DOC_TBL00018_1_1"/>
            <w:bookmarkEnd w:id="102"/>
          </w:p>
        </w:tc>
        <w:tc>
          <w:tcPr>
            <w:tcW w:w="1878" w:type="dxa"/>
            <w:tcBorders>
              <w:top w:val="nil"/>
              <w:left w:val="nil"/>
              <w:bottom w:val="nil"/>
              <w:right w:val="nil"/>
              <w:tl2br w:val="nil"/>
              <w:tr2bl w:val="nil"/>
            </w:tcBorders>
            <w:shd w:val="clear" w:color="auto" w:fill="auto"/>
            <w:tcMar>
              <w:left w:w="60" w:type="dxa"/>
              <w:right w:w="60" w:type="dxa"/>
            </w:tcMar>
            <w:vAlign w:val="bottom"/>
          </w:tcPr>
          <w:p>
            <w:pPr>
              <w:pStyle w:val="DMETW19879BIPLO"/>
              <w:rPr>
                <w:rFonts w:ascii="Arial" w:eastAsia="Arial" w:hAnsi="Arial" w:cs="Arial"/>
                <w:noProof/>
                <w:color w:val="000000"/>
              </w:rPr>
            </w:pPr>
          </w:p>
        </w:tc>
        <w:tc>
          <w:tcPr>
            <w:tcW w:w="1791" w:type="dxa"/>
            <w:tcBorders>
              <w:top w:val="nil"/>
              <w:left w:val="nil"/>
              <w:bottom w:val="nil"/>
              <w:right w:val="nil"/>
              <w:tl2br w:val="nil"/>
              <w:tr2bl w:val="nil"/>
            </w:tcBorders>
            <w:shd w:val="clear" w:color="auto" w:fill="auto"/>
            <w:tcMar>
              <w:left w:w="60" w:type="dxa"/>
              <w:right w:w="60" w:type="dxa"/>
            </w:tcMar>
            <w:vAlign w:val="bottom"/>
          </w:tcPr>
          <w:p>
            <w:pPr>
              <w:pStyle w:val="DMETW19879BIPLO"/>
              <w:rPr>
                <w:rFonts w:ascii="Arial" w:eastAsia="Arial" w:hAnsi="Arial" w:cs="Arial"/>
                <w:noProof/>
                <w:color w:val="000000"/>
              </w:rPr>
            </w:pPr>
          </w:p>
        </w:tc>
        <w:tc>
          <w:tcPr>
            <w:tcW w:w="1489" w:type="dxa"/>
            <w:tcBorders>
              <w:top w:val="nil"/>
              <w:left w:val="nil"/>
              <w:bottom w:val="nil"/>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600" w:type="dxa"/>
            <w:tcBorders>
              <w:top w:val="nil"/>
              <w:left w:val="nil"/>
              <w:bottom w:val="nil"/>
              <w:right w:val="nil"/>
              <w:tl2br w:val="nil"/>
              <w:tr2bl w:val="nil"/>
            </w:tcBorders>
            <w:shd w:val="solid" w:color="016794" w:fill="FFFFFF"/>
            <w:tcMar>
              <w:left w:w="60" w:type="dxa"/>
              <w:right w:w="60" w:type="dxa"/>
            </w:tcMar>
            <w:vAlign w:val="center"/>
          </w:tcPr>
          <w:p>
            <w:pPr>
              <w:pStyle w:val="DMETW19879BIPLO"/>
              <w:rPr>
                <w:rFonts w:ascii="Verdana" w:eastAsia="Verdana" w:hAnsi="Verdana" w:cs="Verdana"/>
                <w:noProof/>
                <w:color w:val="FFFFFF"/>
              </w:rPr>
            </w:pPr>
          </w:p>
        </w:tc>
        <w:tc>
          <w:tcPr>
            <w:tcW w:w="1878" w:type="dxa"/>
            <w:tcBorders>
              <w:top w:val="nil"/>
              <w:left w:val="nil"/>
              <w:bottom w:val="nil"/>
              <w:right w:val="nil"/>
              <w:tl2br w:val="nil"/>
              <w:tr2bl w:val="nil"/>
            </w:tcBorders>
            <w:shd w:val="solid" w:color="016794" w:fill="FFFFFF"/>
            <w:tcMar>
              <w:left w:w="60" w:type="dxa"/>
              <w:right w:w="60" w:type="dxa"/>
            </w:tcMar>
            <w:vAlign w:val="center"/>
          </w:tcPr>
          <w:p>
            <w:pPr>
              <w:pStyle w:val="DMETW19879BIPLO"/>
              <w:jc w:val="center"/>
              <w:rPr>
                <w:rFonts w:ascii="Verdana" w:eastAsia="Verdana" w:hAnsi="Verdana" w:cs="Verdana"/>
                <w:noProof/>
                <w:color w:val="FFFFFF"/>
              </w:rPr>
            </w:pPr>
            <w:r>
              <w:rPr>
                <w:rFonts w:ascii="Verdana" w:hAnsi="Verdana"/>
                <w:noProof/>
                <w:color w:val="FFFFFF"/>
              </w:rPr>
              <w:t>Бележка</w:t>
            </w:r>
          </w:p>
        </w:tc>
        <w:tc>
          <w:tcPr>
            <w:tcW w:w="1791" w:type="dxa"/>
            <w:tcBorders>
              <w:top w:val="nil"/>
              <w:left w:val="nil"/>
              <w:bottom w:val="nil"/>
              <w:right w:val="nil"/>
              <w:tl2br w:val="nil"/>
              <w:tr2bl w:val="nil"/>
            </w:tcBorders>
            <w:shd w:val="solid" w:color="016794" w:fill="FFFFFF"/>
            <w:tcMar>
              <w:left w:w="60" w:type="dxa"/>
              <w:right w:w="60" w:type="dxa"/>
            </w:tcMar>
            <w:vAlign w:val="center"/>
          </w:tcPr>
          <w:p>
            <w:pPr>
              <w:pStyle w:val="DMETW19879BIPLO"/>
              <w:jc w:val="right"/>
              <w:rPr>
                <w:rFonts w:ascii="Verdana" w:eastAsia="Verdana" w:hAnsi="Verdana" w:cs="Verdana"/>
                <w:noProof/>
                <w:color w:val="FFFFFF"/>
              </w:rPr>
            </w:pPr>
            <w:r>
              <w:rPr>
                <w:rFonts w:ascii="Verdana" w:hAnsi="Verdana"/>
                <w:noProof/>
                <w:color w:val="FFFFFF"/>
              </w:rPr>
              <w:t>31.12.2020 г.</w:t>
            </w:r>
          </w:p>
        </w:tc>
        <w:tc>
          <w:tcPr>
            <w:tcW w:w="1489" w:type="dxa"/>
            <w:tcBorders>
              <w:top w:val="nil"/>
              <w:left w:val="nil"/>
              <w:bottom w:val="nil"/>
              <w:right w:val="nil"/>
              <w:tl2br w:val="nil"/>
              <w:tr2bl w:val="nil"/>
            </w:tcBorders>
            <w:shd w:val="solid" w:color="016794" w:fill="FFFFFF"/>
            <w:tcMar>
              <w:left w:w="60" w:type="dxa"/>
              <w:right w:w="60" w:type="dxa"/>
            </w:tcMar>
            <w:vAlign w:val="center"/>
          </w:tcPr>
          <w:p>
            <w:pPr>
              <w:pStyle w:val="DMETW19879BIPLO"/>
              <w:jc w:val="right"/>
              <w:rPr>
                <w:rFonts w:ascii="Verdana" w:eastAsia="Verdana" w:hAnsi="Verdana" w:cs="Verdana"/>
                <w:noProof/>
                <w:color w:val="FFFFFF"/>
              </w:rPr>
            </w:pPr>
            <w:r>
              <w:rPr>
                <w:rFonts w:ascii="Verdana" w:hAnsi="Verdana"/>
                <w:noProof/>
                <w:color w:val="FFFFFF"/>
              </w:rPr>
              <w:t>31.12.2019 г.</w:t>
            </w:r>
          </w:p>
        </w:tc>
      </w:tr>
      <w:tr>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pPr>
              <w:pStyle w:val="DMETW19879BIPLO"/>
              <w:rPr>
                <w:rFonts w:ascii="Verdana" w:eastAsia="Verdana" w:hAnsi="Verdana" w:cs="Verdana"/>
                <w:i/>
                <w:noProof/>
                <w:color w:val="000000"/>
                <w:sz w:val="18"/>
              </w:rPr>
            </w:pPr>
            <w:r>
              <w:rPr>
                <w:rFonts w:ascii="Verdana" w:hAnsi="Verdana"/>
                <w:i/>
                <w:noProof/>
                <w:color w:val="000000"/>
                <w:sz w:val="18"/>
              </w:rPr>
              <w:t>Заеми за финансова помощ</w:t>
            </w:r>
          </w:p>
        </w:tc>
        <w:tc>
          <w:tcPr>
            <w:tcW w:w="1878" w:type="dxa"/>
            <w:tcBorders>
              <w:top w:val="nil"/>
              <w:left w:val="nil"/>
              <w:bottom w:val="nil"/>
              <w:right w:val="nil"/>
              <w:tl2br w:val="nil"/>
              <w:tr2bl w:val="nil"/>
            </w:tcBorders>
            <w:shd w:val="clear" w:color="auto" w:fill="auto"/>
            <w:tcMar>
              <w:left w:w="60" w:type="dxa"/>
              <w:right w:w="60" w:type="dxa"/>
            </w:tcMar>
            <w:vAlign w:val="center"/>
          </w:tcPr>
          <w:p>
            <w:pPr>
              <w:pStyle w:val="DMETW19879BIPLO"/>
              <w:jc w:val="center"/>
              <w:rPr>
                <w:rFonts w:ascii="Verdana" w:eastAsia="Verdana" w:hAnsi="Verdana" w:cs="Verdana"/>
                <w:i/>
                <w:noProof/>
                <w:color w:val="000000"/>
                <w:sz w:val="18"/>
              </w:rPr>
            </w:pPr>
            <w:r>
              <w:rPr>
                <w:rFonts w:ascii="Verdana" w:hAnsi="Verdana"/>
                <w:i/>
                <w:noProof/>
                <w:color w:val="000000"/>
                <w:sz w:val="18"/>
              </w:rPr>
              <w:t>2.4.3.1</w:t>
            </w:r>
          </w:p>
        </w:tc>
        <w:tc>
          <w:tcPr>
            <w:tcW w:w="1791" w:type="dxa"/>
            <w:tcBorders>
              <w:top w:val="nil"/>
              <w:left w:val="nil"/>
              <w:bottom w:val="nil"/>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i/>
                <w:noProof/>
                <w:color w:val="000000"/>
                <w:sz w:val="18"/>
              </w:rPr>
            </w:pPr>
            <w:r>
              <w:rPr>
                <w:rFonts w:ascii="Verdana" w:hAnsi="Verdana"/>
                <w:i/>
                <w:noProof/>
                <w:color w:val="000000"/>
                <w:sz w:val="18"/>
              </w:rPr>
              <w:t>93 193</w:t>
            </w:r>
          </w:p>
        </w:tc>
        <w:tc>
          <w:tcPr>
            <w:tcW w:w="1489" w:type="dxa"/>
            <w:tcBorders>
              <w:top w:val="nil"/>
              <w:left w:val="nil"/>
              <w:bottom w:val="nil"/>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i/>
                <w:noProof/>
                <w:color w:val="000000"/>
                <w:sz w:val="18"/>
              </w:rPr>
            </w:pPr>
            <w:r>
              <w:rPr>
                <w:rFonts w:ascii="Verdana" w:hAnsi="Verdana"/>
                <w:i/>
                <w:noProof/>
                <w:color w:val="000000"/>
                <w:sz w:val="18"/>
              </w:rPr>
              <w:t>52 564</w:t>
            </w:r>
          </w:p>
        </w:tc>
      </w:tr>
      <w:tr>
        <w:trPr>
          <w:trHeight w:val="255"/>
        </w:trPr>
        <w:tc>
          <w:tcPr>
            <w:tcW w:w="460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LO"/>
              <w:rPr>
                <w:rFonts w:ascii="Verdana" w:eastAsia="Verdana" w:hAnsi="Verdana" w:cs="Verdana"/>
                <w:i/>
                <w:noProof/>
                <w:color w:val="000000"/>
                <w:sz w:val="18"/>
              </w:rPr>
            </w:pPr>
            <w:r>
              <w:rPr>
                <w:rFonts w:ascii="Verdana" w:hAnsi="Verdana"/>
                <w:i/>
                <w:noProof/>
                <w:color w:val="000000"/>
                <w:sz w:val="18"/>
              </w:rPr>
              <w:t>Заеми за бюджетни програми и срочни депозити</w:t>
            </w:r>
          </w:p>
        </w:tc>
        <w:tc>
          <w:tcPr>
            <w:tcW w:w="187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LO"/>
              <w:jc w:val="center"/>
              <w:rPr>
                <w:rFonts w:ascii="Verdana" w:eastAsia="Verdana" w:hAnsi="Verdana" w:cs="Verdana"/>
                <w:i/>
                <w:noProof/>
                <w:color w:val="000000"/>
                <w:sz w:val="18"/>
              </w:rPr>
            </w:pPr>
            <w:r>
              <w:rPr>
                <w:rFonts w:ascii="Verdana" w:hAnsi="Verdana"/>
                <w:i/>
                <w:noProof/>
                <w:color w:val="000000"/>
                <w:sz w:val="18"/>
              </w:rPr>
              <w:t>2.4.3.2</w:t>
            </w:r>
          </w:p>
        </w:tc>
        <w:tc>
          <w:tcPr>
            <w:tcW w:w="1791"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i/>
                <w:noProof/>
                <w:color w:val="000000"/>
                <w:sz w:val="18"/>
              </w:rPr>
            </w:pPr>
            <w:r>
              <w:rPr>
                <w:rFonts w:ascii="Verdana" w:hAnsi="Verdana"/>
                <w:i/>
                <w:noProof/>
                <w:color w:val="000000"/>
                <w:sz w:val="18"/>
              </w:rPr>
              <w:t xml:space="preserve"> 116</w:t>
            </w:r>
          </w:p>
        </w:tc>
        <w:tc>
          <w:tcPr>
            <w:tcW w:w="1489"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i/>
                <w:noProof/>
                <w:color w:val="000000"/>
                <w:sz w:val="18"/>
              </w:rPr>
            </w:pPr>
            <w:r>
              <w:rPr>
                <w:rFonts w:ascii="Verdana" w:hAnsi="Verdana"/>
                <w:i/>
                <w:noProof/>
                <w:color w:val="000000"/>
                <w:sz w:val="18"/>
              </w:rPr>
              <w:t xml:space="preserve"> 121</w:t>
            </w:r>
          </w:p>
        </w:tc>
      </w:tr>
      <w:tr>
        <w:trPr>
          <w:trHeight w:val="255"/>
        </w:trPr>
        <w:tc>
          <w:tcPr>
            <w:tcW w:w="46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9BIPLO"/>
              <w:rPr>
                <w:rFonts w:ascii="Verdana" w:eastAsia="Verdana" w:hAnsi="Verdana" w:cs="Verdana"/>
                <w:b/>
                <w:noProof/>
                <w:color w:val="000000"/>
                <w:sz w:val="18"/>
              </w:rPr>
            </w:pPr>
            <w:r>
              <w:rPr>
                <w:rFonts w:ascii="Verdana" w:hAnsi="Verdana"/>
                <w:b/>
                <w:noProof/>
                <w:color w:val="000000"/>
                <w:sz w:val="18"/>
              </w:rPr>
              <w:t>Общо</w:t>
            </w:r>
          </w:p>
        </w:tc>
        <w:tc>
          <w:tcPr>
            <w:tcW w:w="1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b/>
                <w:noProof/>
                <w:color w:val="000000"/>
                <w:sz w:val="18"/>
              </w:rPr>
            </w:pPr>
          </w:p>
        </w:tc>
        <w:tc>
          <w:tcPr>
            <w:tcW w:w="17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b/>
                <w:noProof/>
                <w:color w:val="000000"/>
                <w:sz w:val="18"/>
              </w:rPr>
            </w:pPr>
            <w:r>
              <w:rPr>
                <w:rFonts w:ascii="Verdana" w:hAnsi="Verdana"/>
                <w:b/>
                <w:noProof/>
                <w:color w:val="000000"/>
                <w:sz w:val="18"/>
              </w:rPr>
              <w:t>93 309</w:t>
            </w:r>
          </w:p>
        </w:tc>
        <w:tc>
          <w:tcPr>
            <w:tcW w:w="14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b/>
                <w:noProof/>
                <w:color w:val="000000"/>
                <w:sz w:val="18"/>
              </w:rPr>
            </w:pPr>
            <w:r>
              <w:rPr>
                <w:rFonts w:ascii="Verdana" w:hAnsi="Verdana"/>
                <w:b/>
                <w:noProof/>
                <w:color w:val="000000"/>
                <w:sz w:val="18"/>
              </w:rPr>
              <w:t>52 684</w:t>
            </w:r>
          </w:p>
        </w:tc>
      </w:tr>
      <w:tr>
        <w:trPr>
          <w:trHeight w:val="255"/>
        </w:trPr>
        <w:tc>
          <w:tcPr>
            <w:tcW w:w="460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9BIPLO"/>
              <w:rPr>
                <w:rFonts w:ascii="Verdana" w:eastAsia="Verdana" w:hAnsi="Verdana" w:cs="Verdana"/>
                <w:i/>
                <w:noProof/>
                <w:color w:val="016794"/>
                <w:sz w:val="18"/>
              </w:rPr>
            </w:pPr>
            <w:r>
              <w:rPr>
                <w:rFonts w:ascii="Verdana" w:hAnsi="Verdana"/>
                <w:i/>
                <w:noProof/>
                <w:color w:val="016794"/>
                <w:sz w:val="18"/>
              </w:rPr>
              <w:t>Нетекущи</w:t>
            </w:r>
          </w:p>
        </w:tc>
        <w:tc>
          <w:tcPr>
            <w:tcW w:w="1878"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i/>
                <w:noProof/>
                <w:color w:val="016794"/>
                <w:sz w:val="18"/>
              </w:rPr>
            </w:pPr>
          </w:p>
        </w:tc>
        <w:tc>
          <w:tcPr>
            <w:tcW w:w="1791"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i/>
                <w:noProof/>
                <w:color w:val="016794"/>
                <w:sz w:val="18"/>
              </w:rPr>
            </w:pPr>
            <w:r>
              <w:rPr>
                <w:rFonts w:ascii="Verdana" w:hAnsi="Verdana"/>
                <w:i/>
                <w:noProof/>
                <w:color w:val="016794"/>
                <w:sz w:val="18"/>
              </w:rPr>
              <w:t>82 887</w:t>
            </w:r>
          </w:p>
        </w:tc>
        <w:tc>
          <w:tcPr>
            <w:tcW w:w="1489"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i/>
                <w:noProof/>
                <w:color w:val="016794"/>
                <w:sz w:val="18"/>
              </w:rPr>
            </w:pPr>
            <w:r>
              <w:rPr>
                <w:rFonts w:ascii="Verdana" w:hAnsi="Verdana"/>
                <w:i/>
                <w:noProof/>
                <w:color w:val="016794"/>
                <w:sz w:val="18"/>
              </w:rPr>
              <w:t>51 368</w:t>
            </w:r>
          </w:p>
        </w:tc>
      </w:tr>
      <w:tr>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pPr>
              <w:pStyle w:val="DMETW19879BIPLO"/>
              <w:rPr>
                <w:rFonts w:ascii="Verdana" w:eastAsia="Verdana" w:hAnsi="Verdana" w:cs="Verdana"/>
                <w:i/>
                <w:noProof/>
                <w:color w:val="016794"/>
                <w:sz w:val="18"/>
              </w:rPr>
            </w:pPr>
            <w:r>
              <w:rPr>
                <w:rFonts w:ascii="Verdana" w:hAnsi="Verdana"/>
                <w:i/>
                <w:noProof/>
                <w:color w:val="016794"/>
                <w:sz w:val="18"/>
              </w:rPr>
              <w:t>Текущи</w:t>
            </w:r>
          </w:p>
        </w:tc>
        <w:tc>
          <w:tcPr>
            <w:tcW w:w="1878" w:type="dxa"/>
            <w:tcBorders>
              <w:top w:val="nil"/>
              <w:left w:val="nil"/>
              <w:bottom w:val="nil"/>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i/>
                <w:noProof/>
                <w:color w:val="016794"/>
                <w:sz w:val="18"/>
              </w:rPr>
            </w:pPr>
          </w:p>
        </w:tc>
        <w:tc>
          <w:tcPr>
            <w:tcW w:w="1791" w:type="dxa"/>
            <w:tcBorders>
              <w:top w:val="nil"/>
              <w:left w:val="nil"/>
              <w:bottom w:val="nil"/>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i/>
                <w:noProof/>
                <w:color w:val="016794"/>
                <w:sz w:val="18"/>
              </w:rPr>
            </w:pPr>
            <w:r>
              <w:rPr>
                <w:rFonts w:ascii="Verdana" w:hAnsi="Verdana"/>
                <w:i/>
                <w:noProof/>
                <w:color w:val="016794"/>
                <w:sz w:val="18"/>
              </w:rPr>
              <w:t>10 422</w:t>
            </w:r>
          </w:p>
        </w:tc>
        <w:tc>
          <w:tcPr>
            <w:tcW w:w="1489" w:type="dxa"/>
            <w:tcBorders>
              <w:top w:val="nil"/>
              <w:left w:val="nil"/>
              <w:bottom w:val="nil"/>
              <w:right w:val="nil"/>
              <w:tl2br w:val="nil"/>
              <w:tr2bl w:val="nil"/>
            </w:tcBorders>
            <w:shd w:val="clear" w:color="auto" w:fill="auto"/>
            <w:tcMar>
              <w:left w:w="60" w:type="dxa"/>
              <w:right w:w="60" w:type="dxa"/>
            </w:tcMar>
            <w:vAlign w:val="bottom"/>
          </w:tcPr>
          <w:p>
            <w:pPr>
              <w:pStyle w:val="DMETW19879BIPLO"/>
              <w:jc w:val="right"/>
              <w:rPr>
                <w:rFonts w:ascii="Verdana" w:eastAsia="Verdana" w:hAnsi="Verdana" w:cs="Verdana"/>
                <w:i/>
                <w:noProof/>
                <w:color w:val="016794"/>
                <w:sz w:val="18"/>
              </w:rPr>
            </w:pPr>
            <w:r>
              <w:rPr>
                <w:rFonts w:ascii="Verdana" w:hAnsi="Verdana"/>
                <w:i/>
                <w:noProof/>
                <w:color w:val="016794"/>
                <w:sz w:val="18"/>
              </w:rPr>
              <w:t>1 316</w:t>
            </w:r>
          </w:p>
        </w:tc>
      </w:tr>
    </w:tbl>
    <w:p>
      <w:pPr>
        <w:pStyle w:val="HEADER4NOTES"/>
        <w:spacing w:after="0"/>
        <w:rPr>
          <w:noProof/>
        </w:rPr>
      </w:pPr>
      <w:r>
        <w:rPr>
          <w:noProof/>
        </w:rPr>
        <w:t>Заеми за финансова помощ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9"/>
        <w:gridCol w:w="1243"/>
        <w:gridCol w:w="1188"/>
        <w:gridCol w:w="996"/>
        <w:gridCol w:w="959"/>
        <w:gridCol w:w="1124"/>
        <w:gridCol w:w="1279"/>
      </w:tblGrid>
      <w:tr>
        <w:trPr>
          <w:trHeight w:hRule="exact" w:val="255"/>
        </w:trPr>
        <w:tc>
          <w:tcPr>
            <w:tcW w:w="2969" w:type="dxa"/>
            <w:tcBorders>
              <w:top w:val="nil"/>
              <w:left w:val="nil"/>
              <w:bottom w:val="nil"/>
              <w:right w:val="nil"/>
              <w:tl2br w:val="nil"/>
              <w:tr2bl w:val="nil"/>
            </w:tcBorders>
            <w:shd w:val="clear" w:color="auto" w:fill="auto"/>
            <w:tcMar>
              <w:left w:w="60" w:type="dxa"/>
              <w:right w:w="60" w:type="dxa"/>
            </w:tcMar>
            <w:vAlign w:val="bottom"/>
          </w:tcPr>
          <w:p>
            <w:pPr>
              <w:pStyle w:val="DMETW19879BIPLGFBF"/>
              <w:rPr>
                <w:rFonts w:cs="Calibri"/>
                <w:noProof/>
                <w:color w:val="000000"/>
              </w:rPr>
            </w:pPr>
            <w:bookmarkStart w:id="103" w:name="DOC_TBL00019_1_1"/>
            <w:bookmarkEnd w:id="103"/>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9879BIPLGFBF"/>
              <w:rPr>
                <w:rFonts w:cs="Calibri"/>
                <w:noProof/>
                <w:color w:val="000000"/>
              </w:rPr>
            </w:pP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9879BIPLGFBF"/>
              <w:rPr>
                <w:rFonts w:cs="Calibri"/>
                <w:noProof/>
                <w:color w:val="000000"/>
              </w:rPr>
            </w:pPr>
          </w:p>
        </w:tc>
        <w:tc>
          <w:tcPr>
            <w:tcW w:w="996" w:type="dxa"/>
            <w:tcBorders>
              <w:top w:val="nil"/>
              <w:left w:val="nil"/>
              <w:bottom w:val="nil"/>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noProof/>
                <w:color w:val="000000"/>
              </w:rPr>
            </w:pP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9879BIPLGFBF"/>
              <w:rPr>
                <w:rFonts w:cs="Calibri"/>
                <w:noProof/>
                <w:color w:val="000000"/>
              </w:rPr>
            </w:pP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9879BIPLGFBF"/>
              <w:rPr>
                <w:rFonts w:cs="Calibri"/>
                <w:noProof/>
                <w:color w:val="000000"/>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9879BIPLGFBF"/>
              <w:rPr>
                <w:rFonts w:cs="Calibri"/>
                <w:noProof/>
                <w:color w:val="000000"/>
                <w:lang w:bidi="en-GB"/>
              </w:rPr>
            </w:pPr>
          </w:p>
        </w:tc>
      </w:tr>
      <w:tr>
        <w:trPr>
          <w:trHeight w:hRule="exac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noProof/>
                <w:color w:val="000000"/>
              </w:rPr>
            </w:pPr>
          </w:p>
        </w:tc>
        <w:tc>
          <w:tcPr>
            <w:tcW w:w="1243" w:type="dxa"/>
            <w:tcBorders>
              <w:top w:val="nil"/>
              <w:left w:val="nil"/>
              <w:bottom w:val="nil"/>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noProof/>
                <w:color w:val="000000"/>
              </w:rPr>
            </w:pPr>
          </w:p>
        </w:tc>
        <w:tc>
          <w:tcPr>
            <w:tcW w:w="1188" w:type="dxa"/>
            <w:tcBorders>
              <w:top w:val="nil"/>
              <w:left w:val="nil"/>
              <w:bottom w:val="nil"/>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noProof/>
                <w:color w:val="000000"/>
              </w:rPr>
            </w:pP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9879BIPLGFBF"/>
              <w:rPr>
                <w:rFonts w:ascii="Arial" w:eastAsia="Arial" w:hAnsi="Arial" w:cs="Arial"/>
                <w:noProof/>
                <w:color w:val="000000"/>
              </w:rPr>
            </w:pP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9879BIPLGFBF"/>
              <w:rPr>
                <w:rFonts w:ascii="Arial" w:eastAsia="Arial" w:hAnsi="Arial" w:cs="Arial"/>
                <w:noProof/>
                <w:color w:val="000000"/>
              </w:rPr>
            </w:pP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9879BIPLGFBF"/>
              <w:rPr>
                <w:rFonts w:ascii="Arial" w:eastAsia="Arial" w:hAnsi="Arial" w:cs="Arial"/>
                <w:noProof/>
                <w:color w:val="000000"/>
              </w:rPr>
            </w:pP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2969" w:type="dxa"/>
            <w:tcBorders>
              <w:top w:val="nil"/>
              <w:left w:val="nil"/>
              <w:bottom w:val="nil"/>
              <w:right w:val="nil"/>
              <w:tl2br w:val="nil"/>
              <w:tr2bl w:val="nil"/>
            </w:tcBorders>
            <w:shd w:val="solid" w:color="016794" w:fill="FFFFFF"/>
            <w:tcMar>
              <w:left w:w="60" w:type="dxa"/>
              <w:right w:w="60" w:type="dxa"/>
            </w:tcMar>
            <w:vAlign w:val="center"/>
          </w:tcPr>
          <w:p>
            <w:pPr>
              <w:pStyle w:val="DMETW19879BIPLGFBF"/>
              <w:jc w:val="right"/>
              <w:rPr>
                <w:rFonts w:ascii="Verdana" w:eastAsia="Verdana" w:hAnsi="Verdana" w:cs="Verdana"/>
                <w:noProof/>
                <w:color w:val="FFFFFF"/>
              </w:rPr>
            </w:pPr>
          </w:p>
        </w:tc>
        <w:tc>
          <w:tcPr>
            <w:tcW w:w="1243" w:type="dxa"/>
            <w:tcBorders>
              <w:top w:val="nil"/>
              <w:left w:val="nil"/>
              <w:bottom w:val="nil"/>
              <w:right w:val="nil"/>
              <w:tl2br w:val="nil"/>
              <w:tr2bl w:val="nil"/>
            </w:tcBorders>
            <w:shd w:val="solid" w:color="016794" w:fill="FFFFFF"/>
            <w:tcMar>
              <w:left w:w="60" w:type="dxa"/>
              <w:right w:w="60" w:type="dxa"/>
            </w:tcMar>
            <w:vAlign w:val="center"/>
          </w:tcPr>
          <w:p>
            <w:pPr>
              <w:pStyle w:val="DMETW19879BIPLGFBF"/>
              <w:jc w:val="right"/>
              <w:rPr>
                <w:rFonts w:ascii="Verdana" w:eastAsia="Verdana" w:hAnsi="Verdana" w:cs="Verdana"/>
                <w:noProof/>
                <w:color w:val="FFFFFF"/>
                <w:sz w:val="18"/>
              </w:rPr>
            </w:pPr>
            <w:r>
              <w:rPr>
                <w:rFonts w:ascii="Verdana" w:hAnsi="Verdana"/>
                <w:noProof/>
                <w:color w:val="FFFFFF"/>
                <w:sz w:val="18"/>
              </w:rPr>
              <w:t>ЕМФС</w:t>
            </w:r>
          </w:p>
        </w:tc>
        <w:tc>
          <w:tcPr>
            <w:tcW w:w="1188" w:type="dxa"/>
            <w:tcBorders>
              <w:top w:val="nil"/>
              <w:left w:val="nil"/>
              <w:bottom w:val="nil"/>
              <w:right w:val="nil"/>
              <w:tl2br w:val="nil"/>
              <w:tr2bl w:val="nil"/>
            </w:tcBorders>
            <w:shd w:val="solid" w:color="016794" w:fill="FFFFFF"/>
            <w:tcMar>
              <w:left w:w="60" w:type="dxa"/>
              <w:right w:w="60" w:type="dxa"/>
            </w:tcMar>
            <w:vAlign w:val="center"/>
          </w:tcPr>
          <w:p>
            <w:pPr>
              <w:pStyle w:val="DMETW19879BIPLGFBF"/>
              <w:jc w:val="right"/>
              <w:rPr>
                <w:rFonts w:ascii="Verdana" w:eastAsia="Verdana" w:hAnsi="Verdana" w:cs="Verdana"/>
                <w:noProof/>
                <w:color w:val="FFFFFF"/>
                <w:sz w:val="18"/>
              </w:rPr>
            </w:pPr>
            <w:r>
              <w:rPr>
                <w:rFonts w:ascii="Verdana" w:hAnsi="Verdana"/>
                <w:noProof/>
                <w:color w:val="FFFFFF"/>
                <w:sz w:val="18"/>
              </w:rPr>
              <w:t>SURE</w:t>
            </w:r>
          </w:p>
        </w:tc>
        <w:tc>
          <w:tcPr>
            <w:tcW w:w="996" w:type="dxa"/>
            <w:tcBorders>
              <w:top w:val="nil"/>
              <w:left w:val="nil"/>
              <w:bottom w:val="nil"/>
              <w:right w:val="nil"/>
              <w:tl2br w:val="nil"/>
              <w:tr2bl w:val="nil"/>
            </w:tcBorders>
            <w:shd w:val="solid" w:color="016794" w:fill="FFFFFF"/>
            <w:tcMar>
              <w:left w:w="60" w:type="dxa"/>
              <w:right w:w="60" w:type="dxa"/>
            </w:tcMar>
            <w:vAlign w:val="center"/>
          </w:tcPr>
          <w:p>
            <w:pPr>
              <w:pStyle w:val="DMETW19879BIPLGFBF"/>
              <w:jc w:val="right"/>
              <w:rPr>
                <w:rFonts w:ascii="Verdana" w:eastAsia="Verdana" w:hAnsi="Verdana" w:cs="Verdana"/>
                <w:noProof/>
                <w:color w:val="FFFFFF"/>
                <w:sz w:val="18"/>
              </w:rPr>
            </w:pPr>
            <w:r>
              <w:rPr>
                <w:rFonts w:ascii="Verdana" w:hAnsi="Verdana"/>
                <w:noProof/>
                <w:color w:val="FFFFFF"/>
                <w:sz w:val="18"/>
              </w:rPr>
              <w:t>ПБ</w:t>
            </w:r>
          </w:p>
        </w:tc>
        <w:tc>
          <w:tcPr>
            <w:tcW w:w="959" w:type="dxa"/>
            <w:tcBorders>
              <w:top w:val="nil"/>
              <w:left w:val="nil"/>
              <w:bottom w:val="nil"/>
              <w:right w:val="nil"/>
              <w:tl2br w:val="nil"/>
              <w:tr2bl w:val="nil"/>
            </w:tcBorders>
            <w:shd w:val="solid" w:color="016794" w:fill="FFFFFF"/>
            <w:tcMar>
              <w:left w:w="60" w:type="dxa"/>
              <w:right w:w="60" w:type="dxa"/>
            </w:tcMar>
            <w:vAlign w:val="center"/>
          </w:tcPr>
          <w:p>
            <w:pPr>
              <w:pStyle w:val="DMETW19879BIPLGFBF"/>
              <w:jc w:val="right"/>
              <w:rPr>
                <w:rFonts w:ascii="Verdana" w:eastAsia="Verdana" w:hAnsi="Verdana" w:cs="Verdana"/>
                <w:noProof/>
                <w:color w:val="FFFFFF"/>
                <w:sz w:val="18"/>
              </w:rPr>
            </w:pPr>
            <w:r>
              <w:rPr>
                <w:rFonts w:ascii="Verdana" w:hAnsi="Verdana"/>
                <w:noProof/>
                <w:color w:val="FFFFFF"/>
                <w:sz w:val="18"/>
              </w:rPr>
              <w:t>МФП</w:t>
            </w:r>
          </w:p>
        </w:tc>
        <w:tc>
          <w:tcPr>
            <w:tcW w:w="1124" w:type="dxa"/>
            <w:tcBorders>
              <w:top w:val="nil"/>
              <w:left w:val="nil"/>
              <w:bottom w:val="nil"/>
              <w:right w:val="nil"/>
              <w:tl2br w:val="nil"/>
              <w:tr2bl w:val="nil"/>
            </w:tcBorders>
            <w:shd w:val="solid" w:color="016794" w:fill="FFFFFF"/>
            <w:tcMar>
              <w:left w:w="60" w:type="dxa"/>
              <w:right w:w="60" w:type="dxa"/>
            </w:tcMar>
            <w:vAlign w:val="center"/>
          </w:tcPr>
          <w:p>
            <w:pPr>
              <w:pStyle w:val="DMETW19879BIPLGFBF"/>
              <w:jc w:val="right"/>
              <w:rPr>
                <w:rFonts w:ascii="Verdana" w:eastAsia="Verdana" w:hAnsi="Verdana" w:cs="Verdana"/>
                <w:noProof/>
                <w:color w:val="FFFFFF"/>
                <w:sz w:val="18"/>
              </w:rPr>
            </w:pPr>
            <w:r>
              <w:rPr>
                <w:rFonts w:ascii="Verdana" w:hAnsi="Verdana"/>
                <w:noProof/>
                <w:color w:val="FFFFFF"/>
                <w:sz w:val="18"/>
              </w:rPr>
              <w:t>Евратом</w:t>
            </w:r>
          </w:p>
        </w:tc>
        <w:tc>
          <w:tcPr>
            <w:tcW w:w="1279" w:type="dxa"/>
            <w:tcBorders>
              <w:top w:val="nil"/>
              <w:left w:val="nil"/>
              <w:bottom w:val="nil"/>
              <w:right w:val="nil"/>
              <w:tl2br w:val="nil"/>
              <w:tr2bl w:val="nil"/>
            </w:tcBorders>
            <w:shd w:val="solid" w:color="016794" w:fill="FFFFFF"/>
            <w:tcMar>
              <w:left w:w="60" w:type="dxa"/>
              <w:right w:w="60" w:type="dxa"/>
            </w:tcMar>
            <w:vAlign w:val="center"/>
          </w:tcPr>
          <w:p>
            <w:pPr>
              <w:pStyle w:val="DMETW19879BIPLGFBF"/>
              <w:jc w:val="right"/>
              <w:rPr>
                <w:rFonts w:ascii="Verdana" w:eastAsia="Verdana" w:hAnsi="Verdana" w:cs="Verdana"/>
                <w:noProof/>
                <w:color w:val="FFFFFF"/>
                <w:sz w:val="18"/>
              </w:rPr>
            </w:pPr>
            <w:r>
              <w:rPr>
                <w:rFonts w:ascii="Verdana" w:hAnsi="Verdana"/>
                <w:noProof/>
                <w:color w:val="FFFFFF"/>
                <w:sz w:val="18"/>
              </w:rPr>
              <w:t>Общо</w:t>
            </w:r>
          </w:p>
        </w:tc>
      </w:tr>
      <w:tr>
        <w:trPr>
          <w:trHeight w:hRule="exac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i/>
                <w:noProof/>
                <w:color w:val="000000"/>
                <w:sz w:val="18"/>
              </w:rPr>
            </w:pPr>
            <w:r>
              <w:rPr>
                <w:rFonts w:ascii="Verdana" w:hAnsi="Verdana"/>
                <w:i/>
                <w:noProof/>
                <w:color w:val="000000"/>
                <w:sz w:val="18"/>
              </w:rPr>
              <w:t>Общо към 31.12.2019 г.</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47 394</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201</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4 754</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214</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52 564</w:t>
            </w:r>
          </w:p>
        </w:tc>
      </w:tr>
      <w:tr>
        <w:trPr>
          <w:trHeight w:hRule="exac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i/>
                <w:noProof/>
                <w:color w:val="000000"/>
                <w:sz w:val="18"/>
              </w:rPr>
            </w:pPr>
            <w:r>
              <w:rPr>
                <w:rFonts w:ascii="Verdana" w:hAnsi="Verdana"/>
                <w:i/>
                <w:noProof/>
                <w:color w:val="000000"/>
                <w:sz w:val="18"/>
              </w:rPr>
              <w:t>Нови заеми</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39 500</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1 675</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100</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41 275</w:t>
            </w:r>
          </w:p>
        </w:tc>
      </w:tr>
      <w:tr>
        <w:trPr>
          <w:trHeight w:hRule="exac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i/>
                <w:noProof/>
                <w:color w:val="000000"/>
                <w:sz w:val="18"/>
              </w:rPr>
            </w:pPr>
            <w:r>
              <w:rPr>
                <w:rFonts w:ascii="Verdana" w:hAnsi="Verdana"/>
                <w:i/>
                <w:noProof/>
                <w:color w:val="000000"/>
                <w:sz w:val="18"/>
              </w:rPr>
              <w:t>Възстановени суми</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(617)</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(35)</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(651)</w:t>
            </w:r>
          </w:p>
        </w:tc>
      </w:tr>
      <w:tr>
        <w:trPr>
          <w:trHeight w:hRule="exac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i/>
                <w:noProof/>
                <w:color w:val="000000"/>
                <w:sz w:val="18"/>
              </w:rPr>
            </w:pPr>
            <w:r>
              <w:rPr>
                <w:rFonts w:ascii="Verdana" w:hAnsi="Verdana"/>
                <w:i/>
                <w:noProof/>
                <w:color w:val="000000"/>
                <w:sz w:val="18"/>
              </w:rPr>
              <w:t>Курсови разлики</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i/>
                <w:noProof/>
                <w:color w:val="000000"/>
                <w:sz w:val="18"/>
              </w:rPr>
            </w:pPr>
            <w:r>
              <w:rPr>
                <w:rFonts w:ascii="Verdana" w:hAnsi="Verdana"/>
                <w:i/>
                <w:noProof/>
                <w:color w:val="000000"/>
                <w:sz w:val="18"/>
              </w:rPr>
              <w:t>Промени в балансовата стойност</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2</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3</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0</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0</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 xml:space="preserve"> 6</w:t>
            </w:r>
          </w:p>
        </w:tc>
      </w:tr>
      <w:tr>
        <w:trPr>
          <w:trHeight w:hRule="exact" w:val="255"/>
        </w:trPr>
        <w:tc>
          <w:tcPr>
            <w:tcW w:w="296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i/>
                <w:noProof/>
                <w:color w:val="000000"/>
                <w:sz w:val="18"/>
              </w:rPr>
            </w:pPr>
            <w:r>
              <w:rPr>
                <w:rFonts w:ascii="Verdana" w:hAnsi="Verdana"/>
                <w:i/>
                <w:noProof/>
                <w:color w:val="000000"/>
                <w:sz w:val="18"/>
              </w:rPr>
              <w:t>Обезценка</w:t>
            </w:r>
          </w:p>
        </w:tc>
        <w:tc>
          <w:tcPr>
            <w:tcW w:w="124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959"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1124"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c>
          <w:tcPr>
            <w:tcW w:w="1279"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55"/>
        </w:trPr>
        <w:tc>
          <w:tcPr>
            <w:tcW w:w="29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LGFBF"/>
              <w:rPr>
                <w:rFonts w:ascii="Verdana" w:eastAsia="Verdana" w:hAnsi="Verdana" w:cs="Verdana"/>
                <w:b/>
                <w:noProof/>
                <w:color w:val="000000"/>
                <w:sz w:val="18"/>
              </w:rPr>
            </w:pPr>
            <w:r>
              <w:rPr>
                <w:rFonts w:ascii="Verdana" w:hAnsi="Verdana"/>
                <w:b/>
                <w:noProof/>
                <w:color w:val="000000"/>
                <w:sz w:val="18"/>
              </w:rPr>
              <w:t>Общо към 31.12.2020 г.</w:t>
            </w:r>
          </w:p>
        </w:tc>
        <w:tc>
          <w:tcPr>
            <w:tcW w:w="12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b/>
                <w:noProof/>
                <w:color w:val="000000"/>
                <w:sz w:val="18"/>
              </w:rPr>
            </w:pPr>
            <w:r>
              <w:rPr>
                <w:rFonts w:ascii="Verdana" w:hAnsi="Verdana"/>
                <w:b/>
                <w:noProof/>
                <w:color w:val="000000"/>
                <w:sz w:val="18"/>
              </w:rPr>
              <w:t>47 396</w:t>
            </w:r>
          </w:p>
        </w:tc>
        <w:tc>
          <w:tcPr>
            <w:tcW w:w="1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b/>
                <w:noProof/>
                <w:color w:val="000000"/>
                <w:sz w:val="18"/>
              </w:rPr>
            </w:pPr>
            <w:r>
              <w:rPr>
                <w:rFonts w:ascii="Verdana" w:hAnsi="Verdana"/>
                <w:b/>
                <w:noProof/>
                <w:color w:val="000000"/>
                <w:sz w:val="18"/>
              </w:rPr>
              <w:t>39 503</w:t>
            </w:r>
          </w:p>
        </w:tc>
        <w:tc>
          <w:tcPr>
            <w:tcW w:w="9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b/>
                <w:noProof/>
                <w:color w:val="000000"/>
                <w:sz w:val="18"/>
              </w:rPr>
            </w:pPr>
            <w:r>
              <w:rPr>
                <w:rFonts w:ascii="Verdana" w:hAnsi="Verdana"/>
                <w:b/>
                <w:noProof/>
                <w:color w:val="000000"/>
                <w:sz w:val="18"/>
              </w:rPr>
              <w:t xml:space="preserve"> 201</w:t>
            </w:r>
          </w:p>
        </w:tc>
        <w:tc>
          <w:tcPr>
            <w:tcW w:w="9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b/>
                <w:noProof/>
                <w:color w:val="000000"/>
                <w:sz w:val="18"/>
              </w:rPr>
            </w:pPr>
            <w:r>
              <w:rPr>
                <w:rFonts w:ascii="Verdana" w:hAnsi="Verdana"/>
                <w:b/>
                <w:noProof/>
                <w:color w:val="000000"/>
                <w:sz w:val="18"/>
              </w:rPr>
              <w:t>5 813</w:t>
            </w:r>
          </w:p>
        </w:tc>
        <w:tc>
          <w:tcPr>
            <w:tcW w:w="11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b/>
                <w:noProof/>
                <w:color w:val="000000"/>
                <w:sz w:val="18"/>
              </w:rPr>
            </w:pPr>
            <w:r>
              <w:rPr>
                <w:rFonts w:ascii="Verdana" w:hAnsi="Verdana"/>
                <w:b/>
                <w:noProof/>
                <w:color w:val="000000"/>
                <w:sz w:val="18"/>
              </w:rPr>
              <w:t xml:space="preserve"> 279</w:t>
            </w:r>
          </w:p>
        </w:tc>
        <w:tc>
          <w:tcPr>
            <w:tcW w:w="12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b/>
                <w:noProof/>
                <w:color w:val="000000"/>
                <w:sz w:val="18"/>
              </w:rPr>
            </w:pPr>
            <w:r>
              <w:rPr>
                <w:rFonts w:ascii="Verdana" w:hAnsi="Verdana"/>
                <w:b/>
                <w:noProof/>
                <w:color w:val="000000"/>
                <w:sz w:val="18"/>
              </w:rPr>
              <w:t>93 193</w:t>
            </w:r>
          </w:p>
        </w:tc>
      </w:tr>
      <w:tr>
        <w:trPr>
          <w:trHeight w:hRule="exact" w:val="255"/>
        </w:trPr>
        <w:tc>
          <w:tcPr>
            <w:tcW w:w="296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i/>
                <w:noProof/>
                <w:color w:val="016794"/>
                <w:sz w:val="18"/>
              </w:rPr>
            </w:pPr>
            <w:r>
              <w:rPr>
                <w:rFonts w:ascii="Verdana" w:hAnsi="Verdana"/>
                <w:i/>
                <w:noProof/>
                <w:color w:val="016794"/>
                <w:sz w:val="18"/>
              </w:rPr>
              <w:t>Нетекущи</w:t>
            </w:r>
          </w:p>
        </w:tc>
        <w:tc>
          <w:tcPr>
            <w:tcW w:w="1243"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37 050</w:t>
            </w:r>
          </w:p>
        </w:tc>
        <w:tc>
          <w:tcPr>
            <w:tcW w:w="1188"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39 500</w:t>
            </w:r>
          </w:p>
        </w:tc>
        <w:tc>
          <w:tcPr>
            <w:tcW w:w="996"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 xml:space="preserve"> 200</w:t>
            </w:r>
          </w:p>
        </w:tc>
        <w:tc>
          <w:tcPr>
            <w:tcW w:w="959"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5 783</w:t>
            </w:r>
          </w:p>
        </w:tc>
        <w:tc>
          <w:tcPr>
            <w:tcW w:w="112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 xml:space="preserve"> 250</w:t>
            </w:r>
          </w:p>
        </w:tc>
        <w:tc>
          <w:tcPr>
            <w:tcW w:w="1279"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82 783</w:t>
            </w:r>
          </w:p>
        </w:tc>
      </w:tr>
      <w:tr>
        <w:trPr>
          <w:trHeight w:hRule="exac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9879BIPLGFBF"/>
              <w:rPr>
                <w:rFonts w:ascii="Verdana" w:eastAsia="Verdana" w:hAnsi="Verdana" w:cs="Verdana"/>
                <w:i/>
                <w:noProof/>
                <w:color w:val="016794"/>
                <w:sz w:val="18"/>
              </w:rPr>
            </w:pPr>
            <w:r>
              <w:rPr>
                <w:rFonts w:ascii="Verdana" w:hAnsi="Verdana"/>
                <w:i/>
                <w:noProof/>
                <w:color w:val="016794"/>
                <w:sz w:val="18"/>
              </w:rPr>
              <w:t>Текущи</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10 346</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 xml:space="preserve"> 3</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 xml:space="preserve"> 1</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 xml:space="preserve"> 30</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 xml:space="preserve"> 29</w:t>
            </w:r>
          </w:p>
        </w:tc>
        <w:tc>
          <w:tcPr>
            <w:tcW w:w="1279" w:type="dxa"/>
            <w:tcBorders>
              <w:top w:val="nil"/>
              <w:left w:val="nil"/>
              <w:bottom w:val="nil"/>
              <w:right w:val="nil"/>
              <w:tl2br w:val="nil"/>
              <w:tr2bl w:val="nil"/>
            </w:tcBorders>
            <w:shd w:val="clear" w:color="auto" w:fill="auto"/>
            <w:tcMar>
              <w:left w:w="60" w:type="dxa"/>
              <w:right w:w="60" w:type="dxa"/>
            </w:tcMar>
            <w:vAlign w:val="bottom"/>
          </w:tcPr>
          <w:p>
            <w:pPr>
              <w:pStyle w:val="DMETW19879BIPLGFBF"/>
              <w:jc w:val="right"/>
              <w:rPr>
                <w:rFonts w:ascii="Verdana" w:eastAsia="Verdana" w:hAnsi="Verdana" w:cs="Verdana"/>
                <w:i/>
                <w:noProof/>
                <w:color w:val="016794"/>
                <w:sz w:val="18"/>
              </w:rPr>
            </w:pPr>
            <w:r>
              <w:rPr>
                <w:rFonts w:ascii="Verdana" w:hAnsi="Verdana"/>
                <w:i/>
                <w:noProof/>
                <w:color w:val="016794"/>
                <w:sz w:val="18"/>
              </w:rPr>
              <w:t>10 410</w:t>
            </w:r>
          </w:p>
        </w:tc>
      </w:tr>
    </w:tbl>
    <w:p>
      <w:pPr>
        <w:pStyle w:val="DGTextstand-alone"/>
        <w:spacing w:before="120" w:after="120"/>
      </w:pPr>
      <w:r>
        <w:t>Номиналната стойност на заемите за финансова помощ към 31 декември 2020 г. възлиза на общо 92 565 милиона евро (2019 г.: 51 941 милиона евро). Промяната в балансовата стойност съответства на промяната в начислените лихви.</w:t>
      </w:r>
    </w:p>
    <w:p>
      <w:pPr>
        <w:pStyle w:val="DGTextstand-alone"/>
        <w:spacing w:before="120" w:after="120"/>
      </w:pPr>
      <w:r>
        <w:t>Европейският механизъм за финансово стабилизиране (ЕМФС) предоставя възможност за оказване на финансова помощ на държава членка, изпитваща трудности или сериозно застрашена от големи трудности, причинени от извънредни обстоятелства извън нейния контрол. Тази помощ може да бъде под формата на заем или кредитна линия. Съгласно заключенията на Съвета по икономическите и финансовите въпроси от 9 май 2010 г. механизмът не може да надвишава 60 милиарда евро, но правното ограничение ограничава непогасените отпуснати заеми или кредитните линии до наличния под тавана за собствените ресурси марж. Получените заеми, свързани със заеми, отпуснати по линия на ЕМФС, са гарантирани от бюджета на ЕС. Не е предвидено ЕМФС да участва в нови програми за финансиране или да сключва нови споразумения за заем.</w:t>
      </w:r>
    </w:p>
    <w:p>
      <w:pPr>
        <w:pStyle w:val="DGTextstand-alone"/>
        <w:spacing w:before="120" w:after="120"/>
      </w:pPr>
      <w:r>
        <w:t>Подкрепата с цел смекчаване на рисковете от безработица при извънредни обстоятелства (SURE) е новият европейски инструмент, който помага на хората да запазят работата си и подпомага работните места, засегнати от пандемията от коронавируса. Инструментът дава възможност на държавите членки да искат финансова помощ от ЕС за подпомагане на финансирането на внезапното и драстично увеличаване на националните публични разходи във връзка с националните режими на работа при непълно работно време и подобни мерки, включително за самостоятелно заети лица, или във връзка с някои мерки в областта на здравето, и по-специално на работното място, в отговор на кризата. Той може да предостави финансова помощ в размер до 100 милиарда евро под формата на заеми за засегнатите държави членки. Инструментът е подкрепен с гаранции в размер на 25 милиарда евро, които държавите членки са предоставили на Комисията. В съответствие с Регламент (ЕС) 2020/672 на Съвета Комисията може да сключи споразумение за заем с държава членка едва след като Комисията е предложила — и Съветът е приел — решение за изпълнение за финансовата помощ по линия на SURE. Към 31 декември 2020 г. Съветът бе одобрил финансова помощ в размер на 90 363 милиона евро, от които Комисията бе подписала споразумения за заем с държавите членки на стойност 85 863 милиона евро и бе отпуснала 39 500 милиона евро на държавите членки (номинални суми). Останалите суми по подписаните споразумения за заем се отпускат в хода на 2021 г. За условните задължения, свързани със заемите по линия на SURE, вж. също бележка </w:t>
      </w:r>
      <w:r>
        <w:rPr>
          <w:b/>
        </w:rPr>
        <w:t>4.1.2</w:t>
      </w:r>
      <w:r>
        <w:t>.</w:t>
      </w:r>
    </w:p>
    <w:p>
      <w:pPr>
        <w:pStyle w:val="DGTextstand-alone"/>
        <w:spacing w:before="120" w:after="120"/>
      </w:pPr>
      <w:r>
        <w:t xml:space="preserve">Инструментът за платежния баланс (ПБ), който е основан на политиката финансов инструмент, осигурява средносрочна финансова помощ за държавите — членки на ЕС, които не са приели еврото. Благодарение на него могат да се отпускат заеми на държавите членки, които изпитват или са сериозно застрашени от трудности със своите платежни баланси или капиталови движения. Максималният размер на непогасените отпуснати заеми по инструмента е ограничен до 50 милиарда евро. Получените заеми, свързани с тези заеми по линия на ПБ, са гарантирани от бюджета на ЕС. </w:t>
      </w:r>
    </w:p>
    <w:p>
      <w:pPr>
        <w:pStyle w:val="DGTextstand-alone"/>
        <w:spacing w:before="120" w:after="120"/>
      </w:pPr>
      <w:r>
        <w:t>МФП (макрофинансовата помощ) е форма на финансова помощ, предоставяна от ЕС на партньорски държави, които изпитват криза с платежния си баланс. Тя се предоставя под формата на средносрочни или дългосрочни заеми или безвъзмездни средства или на подходяща комбинация от двете и обикновено допълва финансирането, осигурено в контекста на подкрепяна от МВФ програма за корекция и реформи. Тези заеми са гарантирани от Гаранционния фонд за външни дейности. През годината, която приключи на 31 декември 2020 г., бяха отпуснати допълнителни суми по заеми по линия на МФП в размер на общо 1 675 милиона евро — 1 100 милиона евро за Украйна, 250 милиона евро за Йордания и 325 милиона евро за други държави. За условните задължения, свързани със заемите за МФП, вж. също бележка </w:t>
      </w:r>
      <w:r>
        <w:rPr>
          <w:b/>
        </w:rPr>
        <w:t>4.1.2</w:t>
      </w:r>
      <w:r>
        <w:t>.</w:t>
      </w:r>
    </w:p>
    <w:p>
      <w:pPr>
        <w:pStyle w:val="DGTextstand-alone"/>
        <w:spacing w:before="120" w:after="120"/>
      </w:pPr>
      <w:r>
        <w:t>Европейската общност за атомна енергия (Евратом, представлявана от Комисията) отпуска заеми както на държави, които са членки на ЕС, така и на държави, които не са членки на ЕС, а също и на субекти от двата вида държави, с цел финансиране на проекти, свързани с енергийни съоръжения. Получени бяха гаранции от трети страни на стойност 279 милиона евро (2019 г.: 214 милиона евро) за покриване на заемите от Евратом. За условните задължения, свързани със заемите от Евратом, вж. също бележка </w:t>
      </w:r>
      <w:r>
        <w:rPr>
          <w:b/>
        </w:rPr>
        <w:t>4.1.2</w:t>
      </w:r>
      <w:r>
        <w:t>.</w:t>
      </w:r>
    </w:p>
    <w:p>
      <w:pPr>
        <w:pStyle w:val="HEADER5"/>
        <w:keepNext/>
        <w:spacing w:before="360"/>
        <w:rPr>
          <w:noProof/>
        </w:rPr>
      </w:pPr>
      <w:r>
        <w:rPr>
          <w:noProof/>
        </w:rPr>
        <w:t>Ефективни лихвени проценти за заемите (изразени като лихвен диапазон)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pPr>
              <w:pStyle w:val="DMETW19879BIPBORR2"/>
              <w:keepNext/>
              <w:jc w:val="right"/>
              <w:rPr>
                <w:rFonts w:ascii="Verdana" w:eastAsia="Verdana" w:hAnsi="Verdana" w:cs="Verdana"/>
                <w:noProof/>
                <w:color w:val="FFFFFF"/>
              </w:rPr>
            </w:pPr>
            <w:bookmarkStart w:id="104" w:name="DOC_TBL00020_1_1"/>
            <w:bookmarkEnd w:id="104"/>
          </w:p>
        </w:tc>
        <w:tc>
          <w:tcPr>
            <w:tcW w:w="2214" w:type="dxa"/>
            <w:tcBorders>
              <w:top w:val="nil"/>
              <w:left w:val="nil"/>
              <w:bottom w:val="nil"/>
              <w:right w:val="nil"/>
              <w:tl2br w:val="nil"/>
              <w:tr2bl w:val="nil"/>
            </w:tcBorders>
            <w:shd w:val="solid" w:color="016794" w:fill="FFFFFF"/>
            <w:tcMar>
              <w:left w:w="60" w:type="dxa"/>
              <w:right w:w="60" w:type="dxa"/>
            </w:tcMar>
            <w:vAlign w:val="center"/>
          </w:tcPr>
          <w:p>
            <w:pPr>
              <w:pStyle w:val="DMETW19879BIPBORR2"/>
              <w:keepNext/>
              <w:jc w:val="right"/>
              <w:rPr>
                <w:rFonts w:ascii="Verdana" w:eastAsia="Verdana" w:hAnsi="Verdana" w:cs="Verdana"/>
                <w:noProof/>
                <w:color w:val="FFFFFF"/>
              </w:rPr>
            </w:pPr>
            <w:r>
              <w:rPr>
                <w:rFonts w:ascii="Verdana" w:hAnsi="Verdana"/>
                <w:noProof/>
                <w:color w:val="FFFFFF"/>
              </w:rPr>
              <w:t>31.12.2020 г.</w:t>
            </w:r>
          </w:p>
        </w:tc>
        <w:tc>
          <w:tcPr>
            <w:tcW w:w="2112" w:type="dxa"/>
            <w:tcBorders>
              <w:top w:val="nil"/>
              <w:left w:val="nil"/>
              <w:bottom w:val="nil"/>
              <w:right w:val="nil"/>
              <w:tl2br w:val="nil"/>
              <w:tr2bl w:val="nil"/>
            </w:tcBorders>
            <w:shd w:val="solid" w:color="016794" w:fill="FFFFFF"/>
            <w:tcMar>
              <w:left w:w="60" w:type="dxa"/>
              <w:right w:w="60" w:type="dxa"/>
            </w:tcMar>
            <w:vAlign w:val="center"/>
          </w:tcPr>
          <w:p>
            <w:pPr>
              <w:pStyle w:val="DMETW19879BIPBORR2"/>
              <w:keepNext/>
              <w:jc w:val="right"/>
              <w:rPr>
                <w:rFonts w:ascii="Verdana" w:eastAsia="Verdana" w:hAnsi="Verdana" w:cs="Verdana"/>
                <w:noProof/>
                <w:color w:val="FFFFFF"/>
              </w:rPr>
            </w:pPr>
            <w:r>
              <w:rPr>
                <w:rFonts w:ascii="Verdana" w:hAnsi="Verdana"/>
                <w:noProof/>
                <w:color w:val="FFFFFF"/>
              </w:rPr>
              <w:t>31.12.2019 г.</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rPr>
                <w:rFonts w:ascii="Verdana" w:eastAsia="Verdana" w:hAnsi="Verdana" w:cs="Verdana"/>
                <w:i/>
                <w:noProof/>
                <w:color w:val="000000"/>
                <w:sz w:val="18"/>
              </w:rPr>
            </w:pPr>
            <w:r>
              <w:rPr>
                <w:rFonts w:ascii="Verdana" w:hAnsi="Verdana"/>
                <w:i/>
                <w:noProof/>
                <w:color w:val="000000"/>
                <w:sz w:val="18"/>
              </w:rPr>
              <w:t>Европейски механизъм за финансово стабилизиране (ЕМФС)</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jc w:val="right"/>
              <w:rPr>
                <w:rFonts w:ascii="Verdana" w:eastAsia="Verdana" w:hAnsi="Verdana" w:cs="Verdana"/>
                <w:i/>
                <w:noProof/>
                <w:color w:val="000000"/>
                <w:sz w:val="18"/>
              </w:rPr>
            </w:pPr>
            <w:r>
              <w:rPr>
                <w:rFonts w:ascii="Verdana" w:hAnsi="Verdana"/>
                <w:i/>
                <w:noProof/>
                <w:color w:val="000000"/>
                <w:sz w:val="18"/>
              </w:rPr>
              <w:t>0,50 % — 3,75 %</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jc w:val="right"/>
              <w:rPr>
                <w:rFonts w:ascii="Verdana" w:eastAsia="Verdana" w:hAnsi="Verdana" w:cs="Verdana"/>
                <w:i/>
                <w:noProof/>
                <w:color w:val="000000"/>
                <w:sz w:val="18"/>
              </w:rPr>
            </w:pPr>
            <w:r>
              <w:rPr>
                <w:rFonts w:ascii="Verdana" w:hAnsi="Verdana"/>
                <w:i/>
                <w:noProof/>
                <w:color w:val="000000"/>
                <w:sz w:val="18"/>
              </w:rPr>
              <w:t>0,50 % — 3,75 %</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rPr>
                <w:rFonts w:ascii="Verdana" w:eastAsia="Verdana" w:hAnsi="Verdana" w:cs="Verdana"/>
                <w:i/>
                <w:noProof/>
                <w:color w:val="000000"/>
                <w:sz w:val="18"/>
              </w:rPr>
            </w:pPr>
            <w:r>
              <w:rPr>
                <w:rFonts w:ascii="Verdana" w:hAnsi="Verdana"/>
                <w:i/>
                <w:noProof/>
                <w:color w:val="000000"/>
                <w:sz w:val="18"/>
              </w:rPr>
              <w:t>Подкрепа с цел смекчаване на рисковете от безработица при извънредни обстоятелства (SURE)</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jc w:val="right"/>
              <w:rPr>
                <w:rFonts w:ascii="Verdana" w:eastAsia="Verdana" w:hAnsi="Verdana" w:cs="Verdana"/>
                <w:i/>
                <w:noProof/>
                <w:color w:val="000000"/>
                <w:sz w:val="18"/>
              </w:rPr>
            </w:pPr>
            <w:r>
              <w:rPr>
                <w:rFonts w:ascii="Verdana" w:hAnsi="Verdana"/>
                <w:i/>
                <w:noProof/>
                <w:color w:val="000000"/>
                <w:sz w:val="18"/>
              </w:rPr>
              <w:t>0,00 % — 0,30 %</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rPr>
                <w:rFonts w:ascii="Verdana" w:eastAsia="Verdana" w:hAnsi="Verdana" w:cs="Verdana"/>
                <w:i/>
                <w:noProof/>
                <w:color w:val="000000"/>
                <w:sz w:val="18"/>
              </w:rPr>
            </w:pPr>
            <w:r>
              <w:rPr>
                <w:rFonts w:ascii="Verdana" w:hAnsi="Verdana"/>
                <w:i/>
                <w:noProof/>
                <w:color w:val="000000"/>
                <w:sz w:val="18"/>
              </w:rPr>
              <w:t>Платежен баланс (ПБ)</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jc w:val="right"/>
              <w:rPr>
                <w:rFonts w:ascii="Verdana" w:eastAsia="Verdana" w:hAnsi="Verdana" w:cs="Verdana"/>
                <w:i/>
                <w:noProof/>
                <w:color w:val="000000"/>
                <w:sz w:val="18"/>
              </w:rPr>
            </w:pPr>
            <w:r>
              <w:rPr>
                <w:rFonts w:ascii="Verdana" w:hAnsi="Verdana"/>
                <w:i/>
                <w:noProof/>
                <w:color w:val="000000"/>
                <w:sz w:val="18"/>
              </w:rPr>
              <w:t>2,88 %</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jc w:val="right"/>
              <w:rPr>
                <w:rFonts w:ascii="Verdana" w:eastAsia="Verdana" w:hAnsi="Verdana" w:cs="Verdana"/>
                <w:i/>
                <w:noProof/>
                <w:color w:val="000000"/>
                <w:sz w:val="18"/>
              </w:rPr>
            </w:pPr>
            <w:r>
              <w:rPr>
                <w:rFonts w:ascii="Verdana" w:hAnsi="Verdana"/>
                <w:i/>
                <w:noProof/>
                <w:color w:val="000000"/>
                <w:sz w:val="18"/>
              </w:rPr>
              <w:t>2,88 %</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rPr>
                <w:rFonts w:ascii="Verdana" w:eastAsia="Verdana" w:hAnsi="Verdana" w:cs="Verdana"/>
                <w:i/>
                <w:noProof/>
                <w:color w:val="000000"/>
                <w:sz w:val="18"/>
              </w:rPr>
            </w:pPr>
            <w:r>
              <w:rPr>
                <w:rFonts w:ascii="Verdana" w:hAnsi="Verdana"/>
                <w:i/>
                <w:noProof/>
                <w:color w:val="000000"/>
                <w:sz w:val="18"/>
              </w:rPr>
              <w:t>Макрофинансова помощ (МФП)</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jc w:val="right"/>
              <w:rPr>
                <w:rFonts w:ascii="Verdana" w:eastAsia="Verdana" w:hAnsi="Verdana" w:cs="Verdana"/>
                <w:i/>
                <w:noProof/>
                <w:color w:val="000000"/>
                <w:sz w:val="18"/>
              </w:rPr>
            </w:pPr>
            <w:r>
              <w:rPr>
                <w:rFonts w:ascii="Verdana" w:hAnsi="Verdana"/>
                <w:i/>
                <w:noProof/>
                <w:color w:val="000000"/>
                <w:sz w:val="18"/>
              </w:rPr>
              <w:t>0,00 % — 3,69 %</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jc w:val="right"/>
              <w:rPr>
                <w:rFonts w:ascii="Verdana" w:eastAsia="Verdana" w:hAnsi="Verdana" w:cs="Verdana"/>
                <w:i/>
                <w:noProof/>
                <w:color w:val="000000"/>
                <w:sz w:val="18"/>
              </w:rPr>
            </w:pPr>
            <w:r>
              <w:rPr>
                <w:rFonts w:ascii="Verdana" w:hAnsi="Verdana"/>
                <w:i/>
                <w:noProof/>
                <w:color w:val="000000"/>
                <w:sz w:val="18"/>
              </w:rPr>
              <w:t>0,00 % — 3,82 %</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rPr>
                <w:rFonts w:ascii="Verdana" w:eastAsia="Verdana" w:hAnsi="Verdana" w:cs="Verdana"/>
                <w:i/>
                <w:noProof/>
                <w:color w:val="000000"/>
                <w:sz w:val="18"/>
              </w:rPr>
            </w:pPr>
            <w:r>
              <w:rPr>
                <w:rFonts w:ascii="Verdana" w:hAnsi="Verdana"/>
                <w:i/>
                <w:noProof/>
                <w:color w:val="000000"/>
                <w:sz w:val="18"/>
              </w:rPr>
              <w:t>Евратом</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jc w:val="right"/>
              <w:rPr>
                <w:rFonts w:ascii="Verdana" w:eastAsia="Verdana" w:hAnsi="Verdana" w:cs="Verdana"/>
                <w:i/>
                <w:noProof/>
                <w:color w:val="000000"/>
                <w:sz w:val="18"/>
              </w:rPr>
            </w:pPr>
            <w:r>
              <w:rPr>
                <w:rFonts w:ascii="Verdana" w:hAnsi="Verdana"/>
                <w:i/>
                <w:noProof/>
                <w:color w:val="000000"/>
                <w:sz w:val="18"/>
              </w:rPr>
              <w:t>0,00 % — 5,76 %</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9879BIPBORR2"/>
              <w:keepNext/>
              <w:jc w:val="right"/>
              <w:rPr>
                <w:rFonts w:ascii="Verdana" w:eastAsia="Verdana" w:hAnsi="Verdana" w:cs="Verdana"/>
                <w:i/>
                <w:noProof/>
                <w:color w:val="000000"/>
                <w:sz w:val="18"/>
              </w:rPr>
            </w:pPr>
            <w:r>
              <w:rPr>
                <w:rFonts w:ascii="Verdana" w:hAnsi="Verdana"/>
                <w:i/>
                <w:noProof/>
                <w:color w:val="000000"/>
                <w:sz w:val="18"/>
              </w:rPr>
              <w:t>0,08 % — 5,76 %</w:t>
            </w:r>
          </w:p>
        </w:tc>
      </w:tr>
    </w:tbl>
    <w:p>
      <w:pPr>
        <w:pStyle w:val="HEADER5"/>
        <w:keepNext/>
        <w:rPr>
          <w:noProof/>
        </w:rPr>
      </w:pPr>
    </w:p>
    <w:p>
      <w:pPr>
        <w:pStyle w:val="HEADER4NOTES"/>
        <w:spacing w:after="0"/>
        <w:rPr>
          <w:noProof/>
        </w:rPr>
      </w:pPr>
      <w:r>
        <w:rPr>
          <w:noProof/>
        </w:rPr>
        <w:t>Заеми за бюджетни програми и срочни депозити</w:t>
      </w:r>
    </w:p>
    <w:p>
      <w:pPr>
        <w:pStyle w:val="DGTextstand-alone"/>
      </w:pPr>
      <w:r>
        <w:t xml:space="preserve">Заемите за бюджетни програми включват: заеми, които се отпускат при преференциални условия като част от сътрудничеството с държави извън ЕС (напр. в рамките на </w:t>
      </w:r>
      <w:r>
        <w:rPr>
          <w:color w:val="000000"/>
          <w:shd w:val="clear" w:color="auto" w:fill="FFFFFF"/>
        </w:rPr>
        <w:t>eвро-средиземноморското партньорство</w:t>
      </w:r>
      <w:r>
        <w:t xml:space="preserve"> по линия на програмата MEDA), както и заеми, отпуснати по Програмата на ЕС за заетост и социални иновации и по </w:t>
      </w:r>
      <w:r>
        <w:rPr>
          <w:color w:val="000000"/>
          <w:shd w:val="clear" w:color="auto" w:fill="FFFFFF"/>
        </w:rPr>
        <w:t>инициативата на ЕС за финансиране на електрифицирането</w:t>
      </w:r>
      <w:r>
        <w:t>.</w:t>
      </w:r>
    </w:p>
    <w:p>
      <w:pPr>
        <w:pStyle w:val="DGTextstand-alone"/>
      </w:pPr>
      <w:r>
        <w:t>Срочните депозити включват сумите със срок над 3 месеца, които не отговарят на определението за парични еквиваленти.</w:t>
      </w:r>
    </w:p>
    <w:p>
      <w:pPr>
        <w:pStyle w:val="DGTextstand-alone"/>
      </w:pPr>
      <w:r>
        <w:t>Номиналната стойност на заемите за бюджетни програми и срочните депозити възлиза на 768 милиона евро (2019 г.: 728 милиона евро).</w:t>
      </w:r>
    </w:p>
    <w:p>
      <w:pPr>
        <w:pStyle w:val="DGTextstand-alone"/>
      </w:pPr>
    </w:p>
    <w:p>
      <w:pPr>
        <w:pStyle w:val="HEADER5"/>
        <w:spacing w:before="360"/>
        <w:rPr>
          <w:noProof/>
        </w:rPr>
      </w:pPr>
      <w:r>
        <w:rPr>
          <w:noProof/>
        </w:rPr>
        <w:t>Обезценка на заемите за бюджетни програми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84"/>
        <w:gridCol w:w="1301"/>
        <w:gridCol w:w="1096"/>
        <w:gridCol w:w="1096"/>
        <w:gridCol w:w="1015"/>
        <w:gridCol w:w="864"/>
        <w:gridCol w:w="1302"/>
      </w:tblGrid>
      <w:tr>
        <w:trPr>
          <w:trHeight w:hRule="exact" w:val="255"/>
        </w:trPr>
        <w:tc>
          <w:tcPr>
            <w:tcW w:w="3084"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cs="Calibri"/>
                <w:noProof/>
                <w:color w:val="000000"/>
              </w:rPr>
            </w:pPr>
            <w:bookmarkStart w:id="105" w:name="DOC_TBL00021_1_1"/>
            <w:bookmarkEnd w:id="105"/>
          </w:p>
        </w:tc>
        <w:tc>
          <w:tcPr>
            <w:tcW w:w="1301"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cs="Calibri"/>
                <w:noProof/>
                <w:color w:val="000000"/>
              </w:rPr>
            </w:pPr>
          </w:p>
        </w:tc>
        <w:tc>
          <w:tcPr>
            <w:tcW w:w="1096"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cs="Calibri"/>
                <w:noProof/>
                <w:color w:val="000000"/>
              </w:rPr>
            </w:pPr>
          </w:p>
        </w:tc>
        <w:tc>
          <w:tcPr>
            <w:tcW w:w="1096"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cs="Calibri"/>
                <w:noProof/>
                <w:color w:val="000000"/>
              </w:rPr>
            </w:pPr>
          </w:p>
        </w:tc>
        <w:tc>
          <w:tcPr>
            <w:tcW w:w="1015"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cs="Calibri"/>
                <w:noProof/>
                <w:color w:val="000000"/>
              </w:rPr>
            </w:pPr>
          </w:p>
        </w:tc>
        <w:tc>
          <w:tcPr>
            <w:tcW w:w="864"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cs="Calibri"/>
                <w:noProof/>
                <w:color w:val="000000"/>
              </w:rPr>
            </w:pPr>
          </w:p>
        </w:tc>
        <w:tc>
          <w:tcPr>
            <w:tcW w:w="1302"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cs="Calibri"/>
                <w:noProof/>
                <w:color w:val="000000"/>
                <w:lang w:bidi="en-GB"/>
              </w:rPr>
            </w:pPr>
          </w:p>
        </w:tc>
      </w:tr>
      <w:tr>
        <w:trPr>
          <w:trHeight w:hRule="exact" w:val="255"/>
        </w:trPr>
        <w:tc>
          <w:tcPr>
            <w:tcW w:w="3084"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ascii="Arial" w:eastAsia="Arial" w:hAnsi="Arial" w:cs="Arial"/>
                <w:noProof/>
                <w:color w:val="000000"/>
              </w:rPr>
            </w:pPr>
          </w:p>
        </w:tc>
        <w:tc>
          <w:tcPr>
            <w:tcW w:w="1301"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ascii="Arial" w:eastAsia="Arial" w:hAnsi="Arial" w:cs="Arial"/>
                <w:noProof/>
                <w:color w:val="000000"/>
              </w:rPr>
            </w:pPr>
          </w:p>
        </w:tc>
        <w:tc>
          <w:tcPr>
            <w:tcW w:w="1096"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ascii="Arial" w:eastAsia="Arial" w:hAnsi="Arial" w:cs="Arial"/>
                <w:noProof/>
                <w:color w:val="000000"/>
              </w:rPr>
            </w:pPr>
          </w:p>
        </w:tc>
        <w:tc>
          <w:tcPr>
            <w:tcW w:w="1096"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ascii="Arial" w:eastAsia="Arial" w:hAnsi="Arial" w:cs="Arial"/>
                <w:noProof/>
                <w:color w:val="000000"/>
              </w:rPr>
            </w:pPr>
          </w:p>
        </w:tc>
        <w:tc>
          <w:tcPr>
            <w:tcW w:w="1015"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ascii="Arial" w:eastAsia="Arial" w:hAnsi="Arial" w:cs="Arial"/>
                <w:noProof/>
                <w:color w:val="000000"/>
              </w:rPr>
            </w:pPr>
          </w:p>
        </w:tc>
        <w:tc>
          <w:tcPr>
            <w:tcW w:w="864" w:type="dxa"/>
            <w:tcBorders>
              <w:top w:val="nil"/>
              <w:left w:val="nil"/>
              <w:bottom w:val="nil"/>
              <w:right w:val="nil"/>
              <w:tl2br w:val="nil"/>
              <w:tr2bl w:val="nil"/>
            </w:tcBorders>
            <w:shd w:val="clear" w:color="auto" w:fill="auto"/>
            <w:tcMar>
              <w:left w:w="60" w:type="dxa"/>
              <w:right w:w="60" w:type="dxa"/>
            </w:tcMar>
            <w:vAlign w:val="bottom"/>
          </w:tcPr>
          <w:p>
            <w:pPr>
              <w:pStyle w:val="DMETW19879BIPIMP"/>
              <w:rPr>
                <w:rFonts w:ascii="Arial" w:eastAsia="Arial" w:hAnsi="Arial" w:cs="Arial"/>
                <w:noProof/>
                <w:color w:val="000000"/>
              </w:rPr>
            </w:pPr>
          </w:p>
        </w:tc>
        <w:tc>
          <w:tcPr>
            <w:tcW w:w="1302"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3084" w:type="dxa"/>
            <w:tcBorders>
              <w:top w:val="nil"/>
              <w:left w:val="nil"/>
              <w:bottom w:val="nil"/>
              <w:right w:val="nil"/>
              <w:tl2br w:val="nil"/>
              <w:tr2bl w:val="nil"/>
            </w:tcBorders>
            <w:shd w:val="solid" w:color="016794" w:fill="FFFFFF"/>
            <w:tcMar>
              <w:left w:w="60" w:type="dxa"/>
              <w:right w:w="60" w:type="dxa"/>
            </w:tcMar>
            <w:vAlign w:val="center"/>
          </w:tcPr>
          <w:p>
            <w:pPr>
              <w:pStyle w:val="DMETW19879BIPIMP"/>
              <w:rPr>
                <w:rFonts w:ascii="Verdana" w:eastAsia="Verdana" w:hAnsi="Verdana" w:cs="Verdana"/>
                <w:noProof/>
                <w:color w:val="FFFFFF"/>
                <w:sz w:val="16"/>
              </w:rPr>
            </w:pPr>
          </w:p>
        </w:tc>
        <w:tc>
          <w:tcPr>
            <w:tcW w:w="1301" w:type="dxa"/>
            <w:tcBorders>
              <w:top w:val="nil"/>
              <w:left w:val="nil"/>
              <w:bottom w:val="nil"/>
              <w:right w:val="nil"/>
              <w:tl2br w:val="nil"/>
              <w:tr2bl w:val="nil"/>
            </w:tcBorders>
            <w:shd w:val="solid" w:color="016794" w:fill="FFFFFF"/>
            <w:tcMar>
              <w:left w:w="60" w:type="dxa"/>
              <w:right w:w="60" w:type="dxa"/>
            </w:tcMar>
            <w:vAlign w:val="center"/>
          </w:tcPr>
          <w:p>
            <w:pPr>
              <w:pStyle w:val="DMETW19879BIPIMP"/>
              <w:jc w:val="right"/>
              <w:rPr>
                <w:rFonts w:ascii="Verdana" w:eastAsia="Verdana" w:hAnsi="Verdana" w:cs="Verdana"/>
                <w:noProof/>
                <w:color w:val="FFFFFF"/>
              </w:rPr>
            </w:pPr>
            <w:r>
              <w:rPr>
                <w:rFonts w:ascii="Verdana" w:hAnsi="Verdana"/>
                <w:noProof/>
                <w:color w:val="FFFFFF"/>
              </w:rPr>
              <w:t>31.12.2019 г.</w:t>
            </w:r>
          </w:p>
        </w:tc>
        <w:tc>
          <w:tcPr>
            <w:tcW w:w="1096" w:type="dxa"/>
            <w:tcBorders>
              <w:top w:val="nil"/>
              <w:left w:val="nil"/>
              <w:bottom w:val="nil"/>
              <w:right w:val="nil"/>
              <w:tl2br w:val="nil"/>
              <w:tr2bl w:val="nil"/>
            </w:tcBorders>
            <w:shd w:val="solid" w:color="016794" w:fill="FFFFFF"/>
            <w:tcMar>
              <w:left w:w="60" w:type="dxa"/>
              <w:right w:w="60" w:type="dxa"/>
            </w:tcMar>
            <w:vAlign w:val="center"/>
          </w:tcPr>
          <w:p>
            <w:pPr>
              <w:pStyle w:val="DMETW19879BIPIMP"/>
              <w:jc w:val="right"/>
              <w:rPr>
                <w:rFonts w:ascii="Verdana" w:eastAsia="Verdana" w:hAnsi="Verdana" w:cs="Verdana"/>
                <w:noProof/>
                <w:color w:val="FFFFFF"/>
              </w:rPr>
            </w:pPr>
            <w:r>
              <w:rPr>
                <w:rFonts w:ascii="Verdana" w:hAnsi="Verdana"/>
                <w:noProof/>
                <w:color w:val="FFFFFF"/>
              </w:rPr>
              <w:t>Новопридобити активи</w:t>
            </w:r>
          </w:p>
        </w:tc>
        <w:tc>
          <w:tcPr>
            <w:tcW w:w="1096" w:type="dxa"/>
            <w:tcBorders>
              <w:top w:val="nil"/>
              <w:left w:val="nil"/>
              <w:bottom w:val="nil"/>
              <w:right w:val="nil"/>
              <w:tl2br w:val="nil"/>
              <w:tr2bl w:val="nil"/>
            </w:tcBorders>
            <w:shd w:val="solid" w:color="016794" w:fill="FFFFFF"/>
            <w:tcMar>
              <w:left w:w="60" w:type="dxa"/>
              <w:right w:w="60" w:type="dxa"/>
            </w:tcMar>
            <w:vAlign w:val="center"/>
          </w:tcPr>
          <w:p>
            <w:pPr>
              <w:pStyle w:val="DMETW19879BIPIMP"/>
              <w:jc w:val="right"/>
              <w:rPr>
                <w:rFonts w:ascii="Verdana" w:eastAsia="Verdana" w:hAnsi="Verdana" w:cs="Verdana"/>
                <w:noProof/>
                <w:color w:val="FFFFFF"/>
              </w:rPr>
            </w:pPr>
            <w:r>
              <w:rPr>
                <w:rFonts w:ascii="Verdana" w:hAnsi="Verdana"/>
                <w:noProof/>
                <w:color w:val="FFFFFF"/>
              </w:rPr>
              <w:t>Сторниране</w:t>
            </w:r>
          </w:p>
        </w:tc>
        <w:tc>
          <w:tcPr>
            <w:tcW w:w="1015" w:type="dxa"/>
            <w:tcBorders>
              <w:top w:val="nil"/>
              <w:left w:val="nil"/>
              <w:bottom w:val="nil"/>
              <w:right w:val="nil"/>
              <w:tl2br w:val="nil"/>
              <w:tr2bl w:val="nil"/>
            </w:tcBorders>
            <w:shd w:val="solid" w:color="016794" w:fill="FFFFFF"/>
            <w:tcMar>
              <w:left w:w="60" w:type="dxa"/>
              <w:right w:w="60" w:type="dxa"/>
            </w:tcMar>
            <w:vAlign w:val="center"/>
          </w:tcPr>
          <w:p>
            <w:pPr>
              <w:pStyle w:val="DMETW19879BIPIMP"/>
              <w:jc w:val="right"/>
              <w:rPr>
                <w:rFonts w:ascii="Verdana" w:eastAsia="Verdana" w:hAnsi="Verdana" w:cs="Verdana"/>
                <w:noProof/>
                <w:color w:val="FFFFFF"/>
              </w:rPr>
            </w:pPr>
            <w:r>
              <w:rPr>
                <w:rFonts w:ascii="Verdana" w:hAnsi="Verdana"/>
                <w:noProof/>
                <w:color w:val="FFFFFF"/>
              </w:rPr>
              <w:t xml:space="preserve">Отписване </w:t>
            </w:r>
          </w:p>
        </w:tc>
        <w:tc>
          <w:tcPr>
            <w:tcW w:w="864" w:type="dxa"/>
            <w:tcBorders>
              <w:top w:val="nil"/>
              <w:left w:val="nil"/>
              <w:bottom w:val="nil"/>
              <w:right w:val="nil"/>
              <w:tl2br w:val="nil"/>
              <w:tr2bl w:val="nil"/>
            </w:tcBorders>
            <w:shd w:val="solid" w:color="016794" w:fill="FFFFFF"/>
            <w:tcMar>
              <w:left w:w="60" w:type="dxa"/>
              <w:right w:w="60" w:type="dxa"/>
            </w:tcMar>
            <w:vAlign w:val="center"/>
          </w:tcPr>
          <w:p>
            <w:pPr>
              <w:pStyle w:val="DMETW19879BIPIMP"/>
              <w:jc w:val="right"/>
              <w:rPr>
                <w:rFonts w:ascii="Verdana" w:eastAsia="Verdana" w:hAnsi="Verdana" w:cs="Verdana"/>
                <w:noProof/>
                <w:color w:val="FFFFFF"/>
              </w:rPr>
            </w:pPr>
            <w:r>
              <w:rPr>
                <w:rFonts w:ascii="Verdana" w:hAnsi="Verdana"/>
                <w:noProof/>
                <w:color w:val="FFFFFF"/>
              </w:rPr>
              <w:t>Други</w:t>
            </w:r>
          </w:p>
        </w:tc>
        <w:tc>
          <w:tcPr>
            <w:tcW w:w="1302" w:type="dxa"/>
            <w:tcBorders>
              <w:top w:val="nil"/>
              <w:left w:val="nil"/>
              <w:bottom w:val="nil"/>
              <w:right w:val="nil"/>
              <w:tl2br w:val="nil"/>
              <w:tr2bl w:val="nil"/>
            </w:tcBorders>
            <w:shd w:val="solid" w:color="016794" w:fill="FFFFFF"/>
            <w:tcMar>
              <w:left w:w="60" w:type="dxa"/>
              <w:right w:w="60" w:type="dxa"/>
            </w:tcMar>
            <w:vAlign w:val="center"/>
          </w:tcPr>
          <w:p>
            <w:pPr>
              <w:pStyle w:val="DMETW19879BIPIMP"/>
              <w:jc w:val="right"/>
              <w:rPr>
                <w:rFonts w:ascii="Verdana" w:eastAsia="Verdana" w:hAnsi="Verdana" w:cs="Verdana"/>
                <w:noProof/>
                <w:color w:val="FFFFFF"/>
              </w:rPr>
            </w:pPr>
            <w:r>
              <w:rPr>
                <w:rFonts w:ascii="Verdana" w:hAnsi="Verdana"/>
                <w:noProof/>
                <w:color w:val="FFFFFF"/>
              </w:rPr>
              <w:t>31.12.2020 г.</w:t>
            </w:r>
          </w:p>
        </w:tc>
      </w:tr>
      <w:tr>
        <w:trPr>
          <w:trHeight w:hRule="exact" w:val="255"/>
        </w:trPr>
        <w:tc>
          <w:tcPr>
            <w:tcW w:w="3084" w:type="dxa"/>
            <w:tcBorders>
              <w:top w:val="nil"/>
              <w:left w:val="nil"/>
              <w:bottom w:val="nil"/>
              <w:right w:val="nil"/>
              <w:tl2br w:val="nil"/>
              <w:tr2bl w:val="nil"/>
            </w:tcBorders>
            <w:shd w:val="clear" w:color="auto" w:fill="auto"/>
            <w:tcMar>
              <w:left w:w="60" w:type="dxa"/>
              <w:right w:w="60" w:type="dxa"/>
            </w:tcMar>
            <w:vAlign w:val="center"/>
          </w:tcPr>
          <w:p>
            <w:pPr>
              <w:pStyle w:val="DMETW19879BIPIMP"/>
              <w:rPr>
                <w:rFonts w:ascii="Verdana" w:eastAsia="Verdana" w:hAnsi="Verdana" w:cs="Verdana"/>
                <w:i/>
                <w:noProof/>
                <w:color w:val="000000"/>
                <w:sz w:val="18"/>
              </w:rPr>
            </w:pPr>
            <w:r>
              <w:rPr>
                <w:rFonts w:ascii="Verdana" w:hAnsi="Verdana"/>
                <w:i/>
                <w:noProof/>
                <w:color w:val="000000"/>
                <w:sz w:val="18"/>
              </w:rPr>
              <w:t>Заеми за бюджетни програми</w:t>
            </w:r>
          </w:p>
        </w:tc>
        <w:tc>
          <w:tcPr>
            <w:tcW w:w="1301"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 xml:space="preserve"> 10</w:t>
            </w:r>
          </w:p>
        </w:tc>
        <w:tc>
          <w:tcPr>
            <w:tcW w:w="1096"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 xml:space="preserve"> 3</w:t>
            </w:r>
          </w:p>
        </w:tc>
        <w:tc>
          <w:tcPr>
            <w:tcW w:w="1096"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w:t>
            </w:r>
          </w:p>
        </w:tc>
        <w:tc>
          <w:tcPr>
            <w:tcW w:w="1015"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w:t>
            </w:r>
          </w:p>
        </w:tc>
        <w:tc>
          <w:tcPr>
            <w:tcW w:w="864"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w:t>
            </w:r>
          </w:p>
        </w:tc>
        <w:tc>
          <w:tcPr>
            <w:tcW w:w="1302"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 xml:space="preserve"> 13</w:t>
            </w:r>
          </w:p>
        </w:tc>
      </w:tr>
      <w:tr>
        <w:trPr>
          <w:trHeight w:hRule="exact" w:val="255"/>
        </w:trPr>
        <w:tc>
          <w:tcPr>
            <w:tcW w:w="3084" w:type="dxa"/>
            <w:tcBorders>
              <w:top w:val="nil"/>
              <w:left w:val="nil"/>
              <w:bottom w:val="nil"/>
              <w:right w:val="nil"/>
              <w:tl2br w:val="nil"/>
              <w:tr2bl w:val="nil"/>
            </w:tcBorders>
            <w:shd w:val="clear" w:color="auto" w:fill="auto"/>
            <w:tcMar>
              <w:left w:w="60" w:type="dxa"/>
              <w:right w:w="60" w:type="dxa"/>
            </w:tcMar>
            <w:vAlign w:val="center"/>
          </w:tcPr>
          <w:p>
            <w:pPr>
              <w:pStyle w:val="DMETW19879BIPIMP"/>
              <w:rPr>
                <w:rFonts w:ascii="Verdana" w:eastAsia="Verdana" w:hAnsi="Verdana" w:cs="Verdana"/>
                <w:i/>
                <w:noProof/>
                <w:color w:val="000000"/>
                <w:sz w:val="18"/>
              </w:rPr>
            </w:pPr>
            <w:r>
              <w:rPr>
                <w:rFonts w:ascii="Verdana" w:hAnsi="Verdana"/>
                <w:i/>
                <w:noProof/>
                <w:color w:val="000000"/>
                <w:sz w:val="18"/>
              </w:rPr>
              <w:t>Суброгирани заеми</w:t>
            </w:r>
          </w:p>
        </w:tc>
        <w:tc>
          <w:tcPr>
            <w:tcW w:w="1301"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 xml:space="preserve"> 658</w:t>
            </w:r>
          </w:p>
        </w:tc>
        <w:tc>
          <w:tcPr>
            <w:tcW w:w="1096"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 xml:space="preserve"> 73</w:t>
            </w:r>
          </w:p>
        </w:tc>
        <w:tc>
          <w:tcPr>
            <w:tcW w:w="1096"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w:t>
            </w:r>
          </w:p>
        </w:tc>
        <w:tc>
          <w:tcPr>
            <w:tcW w:w="1015"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w:t>
            </w:r>
          </w:p>
        </w:tc>
        <w:tc>
          <w:tcPr>
            <w:tcW w:w="864"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 xml:space="preserve"> (4)</w:t>
            </w:r>
          </w:p>
        </w:tc>
        <w:tc>
          <w:tcPr>
            <w:tcW w:w="1302" w:type="dxa"/>
            <w:tcBorders>
              <w:top w:val="nil"/>
              <w:left w:val="nil"/>
              <w:bottom w:val="nil"/>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i/>
                <w:noProof/>
                <w:color w:val="000000"/>
                <w:sz w:val="18"/>
              </w:rPr>
            </w:pPr>
            <w:r>
              <w:rPr>
                <w:rFonts w:ascii="Verdana" w:hAnsi="Verdana"/>
                <w:i/>
                <w:noProof/>
                <w:color w:val="000000"/>
                <w:sz w:val="18"/>
              </w:rPr>
              <w:t xml:space="preserve"> 726</w:t>
            </w:r>
          </w:p>
        </w:tc>
      </w:tr>
      <w:tr>
        <w:trPr>
          <w:trHeight w:hRule="exact" w:val="255"/>
        </w:trPr>
        <w:tc>
          <w:tcPr>
            <w:tcW w:w="30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9BIPIMP"/>
              <w:rPr>
                <w:rFonts w:ascii="Verdana" w:eastAsia="Verdana" w:hAnsi="Verdana" w:cs="Verdana"/>
                <w:b/>
                <w:noProof/>
                <w:color w:val="000000"/>
                <w:sz w:val="18"/>
              </w:rPr>
            </w:pPr>
            <w:r>
              <w:rPr>
                <w:rFonts w:ascii="Verdana" w:hAnsi="Verdana"/>
                <w:b/>
                <w:noProof/>
                <w:color w:val="000000"/>
                <w:sz w:val="18"/>
              </w:rPr>
              <w:t>Общо</w:t>
            </w:r>
          </w:p>
        </w:tc>
        <w:tc>
          <w:tcPr>
            <w:tcW w:w="13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b/>
                <w:noProof/>
                <w:color w:val="000000"/>
                <w:sz w:val="18"/>
              </w:rPr>
            </w:pPr>
            <w:r>
              <w:rPr>
                <w:rFonts w:ascii="Verdana" w:hAnsi="Verdana"/>
                <w:b/>
                <w:noProof/>
                <w:color w:val="000000"/>
                <w:sz w:val="18"/>
              </w:rPr>
              <w:t xml:space="preserve"> 668</w:t>
            </w:r>
          </w:p>
        </w:tc>
        <w:tc>
          <w:tcPr>
            <w:tcW w:w="10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b/>
                <w:noProof/>
                <w:color w:val="000000"/>
                <w:sz w:val="18"/>
              </w:rPr>
            </w:pPr>
            <w:r>
              <w:rPr>
                <w:rFonts w:ascii="Verdana" w:hAnsi="Verdana"/>
                <w:b/>
                <w:noProof/>
                <w:color w:val="000000"/>
                <w:sz w:val="18"/>
              </w:rPr>
              <w:t xml:space="preserve"> 76</w:t>
            </w:r>
          </w:p>
        </w:tc>
        <w:tc>
          <w:tcPr>
            <w:tcW w:w="10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b/>
                <w:noProof/>
                <w:color w:val="000000"/>
                <w:sz w:val="18"/>
              </w:rPr>
            </w:pPr>
            <w:r>
              <w:rPr>
                <w:rFonts w:ascii="Verdana" w:hAnsi="Verdana"/>
                <w:b/>
                <w:noProof/>
                <w:color w:val="000000"/>
                <w:sz w:val="18"/>
              </w:rPr>
              <w:t>–</w:t>
            </w:r>
          </w:p>
        </w:tc>
        <w:tc>
          <w:tcPr>
            <w:tcW w:w="10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b/>
                <w:noProof/>
                <w:color w:val="000000"/>
                <w:sz w:val="18"/>
              </w:rPr>
            </w:pPr>
            <w:r>
              <w:rPr>
                <w:rFonts w:ascii="Verdana" w:hAnsi="Verdana"/>
                <w:b/>
                <w:noProof/>
                <w:color w:val="000000"/>
                <w:sz w:val="18"/>
              </w:rPr>
              <w:t>–</w:t>
            </w:r>
          </w:p>
        </w:tc>
        <w:tc>
          <w:tcPr>
            <w:tcW w:w="8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b/>
                <w:noProof/>
                <w:color w:val="000000"/>
                <w:sz w:val="18"/>
              </w:rPr>
            </w:pPr>
            <w:r>
              <w:rPr>
                <w:rFonts w:ascii="Verdana" w:hAnsi="Verdana"/>
                <w:b/>
                <w:noProof/>
                <w:color w:val="000000"/>
                <w:sz w:val="18"/>
              </w:rPr>
              <w:t xml:space="preserve"> (4)</w:t>
            </w:r>
          </w:p>
        </w:tc>
        <w:tc>
          <w:tcPr>
            <w:tcW w:w="13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79BIPIMP"/>
              <w:jc w:val="right"/>
              <w:rPr>
                <w:rFonts w:ascii="Verdana" w:eastAsia="Verdana" w:hAnsi="Verdana" w:cs="Verdana"/>
                <w:b/>
                <w:noProof/>
                <w:color w:val="000000"/>
                <w:sz w:val="18"/>
              </w:rPr>
            </w:pPr>
            <w:r>
              <w:rPr>
                <w:rFonts w:ascii="Verdana" w:hAnsi="Verdana"/>
                <w:b/>
                <w:noProof/>
                <w:color w:val="000000"/>
                <w:sz w:val="18"/>
              </w:rPr>
              <w:t xml:space="preserve"> 739</w:t>
            </w:r>
          </w:p>
        </w:tc>
      </w:tr>
    </w:tbl>
    <w:p>
      <w:pPr>
        <w:pStyle w:val="HEADER5"/>
        <w:rPr>
          <w:noProof/>
        </w:rPr>
      </w:pPr>
    </w:p>
    <w:p>
      <w:pPr>
        <w:pStyle w:val="DGTextstand-alone"/>
        <w:spacing w:after="0"/>
      </w:pPr>
      <w:r>
        <w:t>Суброгираните заеми са необслужвани заеми, които са отпуснати от ЕИБ и са гарантирани от бюджета на ЕС. Всички права по тези заеми са суброгирани на ЕС след плащането по исканията за задействане на гаранцията, извършено от Гаранционния фонд за външни дейности или от Гаранционния фонд на ЕФСИ. Тези заеми са изцяло обезценени със сума в размер на 726 милиона евро (2019 г.: 658 милиона евро). Задействаните гаранции са частично покрити от финансовите провизии, направени през предходни години. Съгласно съответните споразумения между ЕС и ЕИБ, ЕИБ предприема действия по събиране от името на ЕС с цел да събере дължимите суми.</w:t>
      </w:r>
    </w:p>
    <w:bookmarkEnd w:id="96"/>
    <w:p>
      <w:pPr>
        <w:rPr>
          <w:rFonts w:ascii="Verdana" w:eastAsia="Calibri" w:hAnsi="Verdana"/>
          <w:noProof/>
          <w:sz w:val="18"/>
          <w:szCs w:val="18"/>
          <w:bdr w:val="nil"/>
          <w:lang w:eastAsia="en-US"/>
        </w:rPr>
      </w:pPr>
    </w:p>
    <w:p>
      <w:pPr>
        <w:pStyle w:val="DGTextstand-alone"/>
        <w:spacing w:after="0"/>
        <w:sectPr>
          <w:headerReference w:type="even" r:id="rId152"/>
          <w:headerReference w:type="default" r:id="rId153"/>
          <w:footerReference w:type="even" r:id="rId154"/>
          <w:footerReference w:type="default" r:id="rId155"/>
          <w:headerReference w:type="first" r:id="rId156"/>
          <w:footerReference w:type="first" r:id="rId157"/>
          <w:pgSz w:w="11906" w:h="16838"/>
          <w:pgMar w:top="1134" w:right="1134" w:bottom="1134" w:left="1134" w:header="709" w:footer="709" w:gutter="0"/>
          <w:cols w:space="708"/>
          <w:docGrid w:linePitch="360"/>
        </w:sectPr>
      </w:pPr>
    </w:p>
    <w:p>
      <w:pPr>
        <w:pStyle w:val="HEADER2NOTES"/>
        <w:spacing w:before="0"/>
        <w:rPr>
          <w:noProof/>
        </w:rPr>
      </w:pPr>
      <w:bookmarkStart w:id="106" w:name="_DMBM_19785"/>
      <w:r>
        <w:rPr>
          <w:noProof/>
        </w:rPr>
        <w:br w:type="page"/>
        <w:t>ПРЕДВАРИТЕЛНО ФИНАНСИРАНЕ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9"/>
        <w:gridCol w:w="767"/>
        <w:gridCol w:w="2396"/>
        <w:gridCol w:w="2396"/>
      </w:tblGrid>
      <w:tr>
        <w:trPr>
          <w:trHeight w:val="255"/>
        </w:trPr>
        <w:tc>
          <w:tcPr>
            <w:tcW w:w="4199" w:type="dxa"/>
            <w:tcBorders>
              <w:top w:val="nil"/>
              <w:left w:val="nil"/>
              <w:bottom w:val="nil"/>
              <w:right w:val="nil"/>
            </w:tcBorders>
            <w:tcMar>
              <w:top w:w="0" w:type="dxa"/>
              <w:left w:w="60" w:type="dxa"/>
              <w:bottom w:w="0" w:type="dxa"/>
              <w:right w:w="60" w:type="dxa"/>
            </w:tcMar>
            <w:vAlign w:val="center"/>
          </w:tcPr>
          <w:p>
            <w:pPr>
              <w:pStyle w:val="DMETW19880BIPPF"/>
              <w:rPr>
                <w:rFonts w:ascii="Verdana" w:eastAsia="Times New Roman" w:hAnsi="Verdana" w:cs="Verdana"/>
                <w:i/>
                <w:noProof/>
                <w:color w:val="FFFFFF"/>
                <w:sz w:val="16"/>
              </w:rPr>
            </w:pPr>
            <w:bookmarkStart w:id="107" w:name="DOC_TBL00022_1_1"/>
            <w:bookmarkEnd w:id="107"/>
          </w:p>
        </w:tc>
        <w:tc>
          <w:tcPr>
            <w:tcW w:w="767" w:type="dxa"/>
            <w:tcBorders>
              <w:top w:val="nil"/>
              <w:left w:val="nil"/>
              <w:bottom w:val="nil"/>
              <w:right w:val="nil"/>
            </w:tcBorders>
            <w:tcMar>
              <w:top w:w="0" w:type="dxa"/>
              <w:left w:w="60" w:type="dxa"/>
              <w:bottom w:w="0" w:type="dxa"/>
              <w:right w:w="60" w:type="dxa"/>
            </w:tcMar>
            <w:vAlign w:val="bottom"/>
          </w:tcPr>
          <w:p>
            <w:pPr>
              <w:pStyle w:val="DMETW19880BIPPF"/>
              <w:rPr>
                <w:rFonts w:ascii="Arial" w:eastAsia="Times New Roman" w:hAnsi="Arial" w:cs="Arial"/>
                <w:noProof/>
                <w:color w:val="000000"/>
              </w:rPr>
            </w:pPr>
          </w:p>
        </w:tc>
        <w:tc>
          <w:tcPr>
            <w:tcW w:w="2396" w:type="dxa"/>
            <w:tcBorders>
              <w:top w:val="nil"/>
              <w:left w:val="nil"/>
              <w:bottom w:val="nil"/>
              <w:right w:val="nil"/>
            </w:tcBorders>
            <w:tcMar>
              <w:top w:w="0" w:type="dxa"/>
              <w:left w:w="60" w:type="dxa"/>
              <w:bottom w:w="0" w:type="dxa"/>
              <w:right w:w="60" w:type="dxa"/>
            </w:tcMar>
            <w:vAlign w:val="bottom"/>
          </w:tcPr>
          <w:p>
            <w:pPr>
              <w:pStyle w:val="DMETW19880BIPPF"/>
              <w:rPr>
                <w:rFonts w:ascii="Arial" w:eastAsia="Times New Roman" w:hAnsi="Arial" w:cs="Arial"/>
                <w:noProof/>
                <w:color w:val="000000"/>
              </w:rPr>
            </w:pPr>
          </w:p>
        </w:tc>
        <w:tc>
          <w:tcPr>
            <w:tcW w:w="2396" w:type="dxa"/>
            <w:tcBorders>
              <w:top w:val="nil"/>
              <w:left w:val="nil"/>
              <w:bottom w:val="nil"/>
              <w:right w:val="nil"/>
            </w:tcBorders>
            <w:tcMar>
              <w:top w:w="0" w:type="dxa"/>
              <w:left w:w="60" w:type="dxa"/>
              <w:bottom w:w="0" w:type="dxa"/>
              <w:right w:w="60" w:type="dxa"/>
            </w:tcMar>
            <w:vAlign w:val="bottom"/>
          </w:tcPr>
          <w:p>
            <w:pPr>
              <w:pStyle w:val="DMETW19880BIPPF"/>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4199" w:type="dxa"/>
            <w:tcBorders>
              <w:top w:val="nil"/>
              <w:left w:val="nil"/>
              <w:bottom w:val="nil"/>
              <w:right w:val="nil"/>
            </w:tcBorders>
            <w:shd w:val="solid" w:color="016794" w:fill="FFFFFF"/>
            <w:tcMar>
              <w:top w:w="0" w:type="dxa"/>
              <w:left w:w="60" w:type="dxa"/>
              <w:bottom w:w="0" w:type="dxa"/>
              <w:right w:w="60" w:type="dxa"/>
            </w:tcMar>
            <w:vAlign w:val="center"/>
          </w:tcPr>
          <w:p>
            <w:pPr>
              <w:pStyle w:val="DMETW19880BIPPF"/>
              <w:rPr>
                <w:rFonts w:ascii="Verdana" w:eastAsia="Times New Roman" w:hAnsi="Verdana" w:cs="Verdana"/>
                <w:noProof/>
                <w:color w:val="FFFFFF"/>
              </w:rPr>
            </w:pPr>
          </w:p>
        </w:tc>
        <w:tc>
          <w:tcPr>
            <w:tcW w:w="767" w:type="dxa"/>
            <w:tcBorders>
              <w:top w:val="nil"/>
              <w:left w:val="nil"/>
              <w:bottom w:val="nil"/>
              <w:right w:val="nil"/>
            </w:tcBorders>
            <w:shd w:val="solid" w:color="016794" w:fill="FFFFFF"/>
            <w:tcMar>
              <w:top w:w="0" w:type="dxa"/>
              <w:left w:w="60" w:type="dxa"/>
              <w:bottom w:w="0" w:type="dxa"/>
              <w:right w:w="60" w:type="dxa"/>
            </w:tcMar>
            <w:vAlign w:val="center"/>
          </w:tcPr>
          <w:p>
            <w:pPr>
              <w:pStyle w:val="DMETW19880BIPPF"/>
              <w:jc w:val="center"/>
              <w:rPr>
                <w:rFonts w:ascii="Verdana" w:eastAsia="Times New Roman" w:hAnsi="Verdana" w:cs="Verdana"/>
                <w:noProof/>
                <w:color w:val="FFFFFF"/>
              </w:rPr>
            </w:pPr>
            <w:r>
              <w:rPr>
                <w:rFonts w:ascii="Verdana" w:hAnsi="Verdana"/>
                <w:noProof/>
                <w:color w:val="FFFFFF"/>
              </w:rPr>
              <w:t>Бележка</w:t>
            </w:r>
          </w:p>
        </w:tc>
        <w:tc>
          <w:tcPr>
            <w:tcW w:w="2396" w:type="dxa"/>
            <w:tcBorders>
              <w:top w:val="nil"/>
              <w:left w:val="nil"/>
              <w:bottom w:val="nil"/>
              <w:right w:val="nil"/>
            </w:tcBorders>
            <w:shd w:val="solid" w:color="016794" w:fill="FFFFFF"/>
            <w:tcMar>
              <w:top w:w="0" w:type="dxa"/>
              <w:left w:w="60" w:type="dxa"/>
              <w:bottom w:w="0" w:type="dxa"/>
              <w:right w:w="60" w:type="dxa"/>
            </w:tcMar>
            <w:vAlign w:val="center"/>
          </w:tcPr>
          <w:p>
            <w:pPr>
              <w:pStyle w:val="DMETW19880BIPPF"/>
              <w:jc w:val="right"/>
              <w:rPr>
                <w:rFonts w:ascii="Verdana" w:eastAsia="Times New Roman" w:hAnsi="Verdana" w:cs="Verdana"/>
                <w:noProof/>
                <w:color w:val="FFFFFF"/>
              </w:rPr>
            </w:pPr>
            <w:r>
              <w:rPr>
                <w:rFonts w:ascii="Verdana" w:hAnsi="Verdana"/>
                <w:noProof/>
                <w:color w:val="FFFFFF"/>
              </w:rPr>
              <w:t>31.12.2020 г.</w:t>
            </w:r>
          </w:p>
        </w:tc>
        <w:tc>
          <w:tcPr>
            <w:tcW w:w="2396" w:type="dxa"/>
            <w:tcBorders>
              <w:top w:val="nil"/>
              <w:left w:val="nil"/>
              <w:bottom w:val="nil"/>
              <w:right w:val="nil"/>
            </w:tcBorders>
            <w:shd w:val="solid" w:color="016794" w:fill="FFFFFF"/>
            <w:tcMar>
              <w:top w:w="0" w:type="dxa"/>
              <w:left w:w="60" w:type="dxa"/>
              <w:bottom w:w="0" w:type="dxa"/>
              <w:right w:w="60" w:type="dxa"/>
            </w:tcMar>
            <w:vAlign w:val="center"/>
          </w:tcPr>
          <w:p>
            <w:pPr>
              <w:pStyle w:val="DMETW19880BIPPF"/>
              <w:jc w:val="right"/>
              <w:rPr>
                <w:rFonts w:ascii="Verdana" w:eastAsia="Times New Roman" w:hAnsi="Verdana" w:cs="Verdana"/>
                <w:noProof/>
                <w:color w:val="FFFFFF"/>
              </w:rPr>
            </w:pPr>
            <w:r>
              <w:rPr>
                <w:rFonts w:ascii="Verdana" w:hAnsi="Verdana"/>
                <w:noProof/>
                <w:color w:val="FFFFFF"/>
              </w:rPr>
              <w:t>31.12.2019 г.</w:t>
            </w:r>
          </w:p>
        </w:tc>
      </w:tr>
      <w:tr>
        <w:trPr>
          <w:trHeight w:val="255"/>
        </w:trPr>
        <w:tc>
          <w:tcPr>
            <w:tcW w:w="4199" w:type="dxa"/>
            <w:tcBorders>
              <w:top w:val="nil"/>
              <w:left w:val="nil"/>
              <w:bottom w:val="nil"/>
              <w:right w:val="nil"/>
            </w:tcBorders>
            <w:tcMar>
              <w:top w:w="0" w:type="dxa"/>
              <w:left w:w="60" w:type="dxa"/>
              <w:bottom w:w="0" w:type="dxa"/>
              <w:right w:w="60" w:type="dxa"/>
            </w:tcMar>
            <w:vAlign w:val="center"/>
          </w:tcPr>
          <w:p>
            <w:pPr>
              <w:pStyle w:val="DMETW19880BIPPF"/>
              <w:rPr>
                <w:rFonts w:ascii="Verdana" w:eastAsia="Times New Roman" w:hAnsi="Verdana" w:cs="Verdana"/>
                <w:b/>
                <w:noProof/>
                <w:color w:val="000000"/>
                <w:sz w:val="18"/>
              </w:rPr>
            </w:pPr>
            <w:r>
              <w:rPr>
                <w:rFonts w:ascii="Verdana" w:hAnsi="Verdana"/>
                <w:b/>
                <w:noProof/>
                <w:color w:val="000000"/>
                <w:sz w:val="18"/>
              </w:rPr>
              <w:t>Нетекущи</w:t>
            </w:r>
          </w:p>
        </w:tc>
        <w:tc>
          <w:tcPr>
            <w:tcW w:w="767" w:type="dxa"/>
            <w:tcBorders>
              <w:top w:val="nil"/>
              <w:left w:val="nil"/>
              <w:bottom w:val="nil"/>
              <w:right w:val="nil"/>
            </w:tcBorders>
            <w:tcMar>
              <w:top w:w="0" w:type="dxa"/>
              <w:left w:w="60" w:type="dxa"/>
              <w:bottom w:w="0" w:type="dxa"/>
              <w:right w:w="60" w:type="dxa"/>
            </w:tcMar>
            <w:vAlign w:val="center"/>
          </w:tcPr>
          <w:p>
            <w:pPr>
              <w:pStyle w:val="DMETW19880BIPPF"/>
              <w:jc w:val="center"/>
              <w:rPr>
                <w:rFonts w:ascii="Verdana" w:eastAsia="Times New Roman" w:hAnsi="Verdana" w:cs="Verdana"/>
                <w:b/>
                <w:noProof/>
                <w:color w:val="000000"/>
                <w:sz w:val="18"/>
              </w:rPr>
            </w:pPr>
          </w:p>
        </w:tc>
        <w:tc>
          <w:tcPr>
            <w:tcW w:w="2396" w:type="dxa"/>
            <w:tcBorders>
              <w:top w:val="nil"/>
              <w:left w:val="nil"/>
              <w:bottom w:val="nil"/>
              <w:right w:val="nil"/>
            </w:tcBorders>
            <w:tcMar>
              <w:top w:w="0" w:type="dxa"/>
              <w:left w:w="60" w:type="dxa"/>
              <w:bottom w:w="0" w:type="dxa"/>
              <w:right w:w="60" w:type="dxa"/>
            </w:tcMar>
            <w:vAlign w:val="center"/>
          </w:tcPr>
          <w:p>
            <w:pPr>
              <w:pStyle w:val="DMETW19880BIPPF"/>
              <w:rPr>
                <w:rFonts w:ascii="Arial" w:eastAsia="Times New Roman" w:hAnsi="Arial" w:cs="Arial"/>
                <w:noProof/>
                <w:color w:val="000000"/>
              </w:rPr>
            </w:pPr>
          </w:p>
        </w:tc>
        <w:tc>
          <w:tcPr>
            <w:tcW w:w="2396" w:type="dxa"/>
            <w:tcBorders>
              <w:top w:val="nil"/>
              <w:left w:val="nil"/>
              <w:bottom w:val="nil"/>
              <w:right w:val="nil"/>
            </w:tcBorders>
            <w:tcMar>
              <w:top w:w="0" w:type="dxa"/>
              <w:left w:w="60" w:type="dxa"/>
              <w:bottom w:w="0" w:type="dxa"/>
              <w:right w:w="60" w:type="dxa"/>
            </w:tcMar>
            <w:vAlign w:val="center"/>
          </w:tcPr>
          <w:p>
            <w:pPr>
              <w:pStyle w:val="DMETW19880BIPPF"/>
              <w:rPr>
                <w:rFonts w:ascii="Arial" w:eastAsia="Times New Roman" w:hAnsi="Arial" w:cs="Arial"/>
                <w:noProof/>
                <w:color w:val="000000"/>
              </w:rPr>
            </w:pPr>
          </w:p>
        </w:tc>
      </w:tr>
      <w:tr>
        <w:trPr>
          <w:trHeight w:val="255"/>
        </w:trPr>
        <w:tc>
          <w:tcPr>
            <w:tcW w:w="4199" w:type="dxa"/>
            <w:tcBorders>
              <w:top w:val="nil"/>
              <w:left w:val="nil"/>
              <w:bottom w:val="nil"/>
              <w:right w:val="nil"/>
            </w:tcBorders>
            <w:tcMar>
              <w:top w:w="0" w:type="dxa"/>
              <w:left w:w="60" w:type="dxa"/>
              <w:bottom w:w="0" w:type="dxa"/>
              <w:right w:w="60" w:type="dxa"/>
            </w:tcMar>
            <w:vAlign w:val="center"/>
          </w:tcPr>
          <w:p>
            <w:pPr>
              <w:pStyle w:val="DMETW19880BIPPF"/>
              <w:rPr>
                <w:rFonts w:ascii="Verdana" w:eastAsia="Times New Roman" w:hAnsi="Verdana" w:cs="Verdana"/>
                <w:i/>
                <w:noProof/>
                <w:color w:val="000000"/>
                <w:sz w:val="18"/>
              </w:rPr>
            </w:pPr>
            <w:r>
              <w:rPr>
                <w:rFonts w:ascii="Verdana" w:hAnsi="Verdana"/>
                <w:i/>
                <w:noProof/>
                <w:color w:val="000000"/>
                <w:sz w:val="18"/>
              </w:rPr>
              <w:t>Предварително финансиране</w:t>
            </w:r>
          </w:p>
        </w:tc>
        <w:tc>
          <w:tcPr>
            <w:tcW w:w="767" w:type="dxa"/>
            <w:tcBorders>
              <w:top w:val="nil"/>
              <w:left w:val="nil"/>
              <w:bottom w:val="nil"/>
              <w:right w:val="nil"/>
            </w:tcBorders>
            <w:tcMar>
              <w:top w:w="0" w:type="dxa"/>
              <w:left w:w="60" w:type="dxa"/>
              <w:bottom w:w="0" w:type="dxa"/>
              <w:right w:w="60" w:type="dxa"/>
            </w:tcMar>
            <w:vAlign w:val="center"/>
          </w:tcPr>
          <w:p>
            <w:pPr>
              <w:pStyle w:val="DMETW19880BIPPF"/>
              <w:jc w:val="center"/>
              <w:rPr>
                <w:rFonts w:ascii="Verdana" w:eastAsia="Times New Roman" w:hAnsi="Verdana" w:cs="Verdana"/>
                <w:i/>
                <w:noProof/>
                <w:color w:val="000000"/>
                <w:sz w:val="18"/>
              </w:rPr>
            </w:pPr>
            <w:r>
              <w:rPr>
                <w:rFonts w:ascii="Verdana" w:hAnsi="Verdana"/>
                <w:i/>
                <w:noProof/>
                <w:color w:val="000000"/>
                <w:sz w:val="18"/>
              </w:rPr>
              <w:t>2.5.1</w:t>
            </w:r>
          </w:p>
        </w:tc>
        <w:tc>
          <w:tcPr>
            <w:tcW w:w="2396" w:type="dxa"/>
            <w:tcBorders>
              <w:top w:val="nil"/>
              <w:left w:val="nil"/>
              <w:bottom w:val="nil"/>
              <w:right w:val="nil"/>
            </w:tcBorders>
            <w:tcMar>
              <w:top w:w="0" w:type="dxa"/>
              <w:left w:w="60" w:type="dxa"/>
              <w:bottom w:w="0" w:type="dxa"/>
              <w:right w:w="60" w:type="dxa"/>
            </w:tcMar>
            <w:vAlign w:val="center"/>
          </w:tcPr>
          <w:p>
            <w:pPr>
              <w:pStyle w:val="DMETW19880BIPPF"/>
              <w:jc w:val="right"/>
              <w:rPr>
                <w:rFonts w:ascii="Verdana" w:eastAsia="Times New Roman" w:hAnsi="Verdana" w:cs="Verdana"/>
                <w:i/>
                <w:noProof/>
                <w:color w:val="000000"/>
                <w:sz w:val="18"/>
              </w:rPr>
            </w:pPr>
            <w:r>
              <w:rPr>
                <w:rFonts w:ascii="Verdana" w:hAnsi="Verdana"/>
                <w:i/>
                <w:noProof/>
                <w:color w:val="000000"/>
                <w:sz w:val="18"/>
              </w:rPr>
              <w:t>30 574</w:t>
            </w:r>
          </w:p>
        </w:tc>
        <w:tc>
          <w:tcPr>
            <w:tcW w:w="2396" w:type="dxa"/>
            <w:tcBorders>
              <w:top w:val="nil"/>
              <w:left w:val="nil"/>
              <w:bottom w:val="nil"/>
              <w:right w:val="nil"/>
            </w:tcBorders>
            <w:tcMar>
              <w:top w:w="0" w:type="dxa"/>
              <w:left w:w="60" w:type="dxa"/>
              <w:bottom w:w="0" w:type="dxa"/>
              <w:right w:w="60" w:type="dxa"/>
            </w:tcMar>
            <w:vAlign w:val="center"/>
          </w:tcPr>
          <w:p>
            <w:pPr>
              <w:pStyle w:val="DMETW19880BIPPF"/>
              <w:jc w:val="right"/>
              <w:rPr>
                <w:rFonts w:ascii="Verdana" w:eastAsia="Times New Roman" w:hAnsi="Verdana" w:cs="Verdana"/>
                <w:i/>
                <w:noProof/>
                <w:color w:val="000000"/>
                <w:sz w:val="18"/>
              </w:rPr>
            </w:pPr>
            <w:r>
              <w:rPr>
                <w:rFonts w:ascii="Verdana" w:hAnsi="Verdana"/>
                <w:i/>
                <w:noProof/>
                <w:color w:val="000000"/>
                <w:sz w:val="18"/>
              </w:rPr>
              <w:t>22 135</w:t>
            </w:r>
          </w:p>
        </w:tc>
      </w:tr>
      <w:tr>
        <w:trPr>
          <w:trHeight w:val="255"/>
        </w:trPr>
        <w:tc>
          <w:tcPr>
            <w:tcW w:w="4199" w:type="dxa"/>
            <w:tcBorders>
              <w:top w:val="nil"/>
              <w:left w:val="nil"/>
              <w:bottom w:val="nil"/>
              <w:right w:val="nil"/>
            </w:tcBorders>
            <w:tcMar>
              <w:top w:w="0" w:type="dxa"/>
              <w:left w:w="60" w:type="dxa"/>
              <w:bottom w:w="0" w:type="dxa"/>
              <w:right w:w="60" w:type="dxa"/>
            </w:tcMar>
            <w:vAlign w:val="center"/>
          </w:tcPr>
          <w:p>
            <w:pPr>
              <w:pStyle w:val="DMETW19880BIPPF"/>
              <w:rPr>
                <w:rFonts w:ascii="Verdana" w:eastAsia="Times New Roman" w:hAnsi="Verdana" w:cs="Verdana"/>
                <w:i/>
                <w:noProof/>
                <w:color w:val="000000"/>
                <w:sz w:val="18"/>
              </w:rPr>
            </w:pPr>
            <w:r>
              <w:rPr>
                <w:rFonts w:ascii="Verdana" w:hAnsi="Verdana"/>
                <w:i/>
                <w:noProof/>
                <w:color w:val="000000"/>
                <w:sz w:val="18"/>
              </w:rPr>
              <w:t>Други средства, предоставени авансово на държавите членки</w:t>
            </w:r>
          </w:p>
        </w:tc>
        <w:tc>
          <w:tcPr>
            <w:tcW w:w="767" w:type="dxa"/>
            <w:tcBorders>
              <w:top w:val="nil"/>
              <w:left w:val="nil"/>
              <w:bottom w:val="nil"/>
              <w:right w:val="nil"/>
            </w:tcBorders>
            <w:tcMar>
              <w:top w:w="0" w:type="dxa"/>
              <w:left w:w="60" w:type="dxa"/>
              <w:bottom w:w="0" w:type="dxa"/>
              <w:right w:w="60" w:type="dxa"/>
            </w:tcMar>
            <w:vAlign w:val="center"/>
          </w:tcPr>
          <w:p>
            <w:pPr>
              <w:pStyle w:val="DMETW19880BIPPF"/>
              <w:jc w:val="center"/>
              <w:rPr>
                <w:rFonts w:ascii="Verdana" w:eastAsia="Times New Roman" w:hAnsi="Verdana" w:cs="Verdana"/>
                <w:i/>
                <w:noProof/>
                <w:color w:val="000000"/>
                <w:sz w:val="18"/>
              </w:rPr>
            </w:pPr>
            <w:r>
              <w:rPr>
                <w:rFonts w:ascii="Verdana" w:hAnsi="Verdana"/>
                <w:i/>
                <w:noProof/>
                <w:color w:val="000000"/>
                <w:sz w:val="18"/>
              </w:rPr>
              <w:t>2.5.2</w:t>
            </w:r>
          </w:p>
        </w:tc>
        <w:tc>
          <w:tcPr>
            <w:tcW w:w="2396" w:type="dxa"/>
            <w:tcBorders>
              <w:top w:val="nil"/>
              <w:left w:val="nil"/>
              <w:bottom w:val="nil"/>
              <w:right w:val="nil"/>
            </w:tcBorders>
            <w:tcMar>
              <w:top w:w="0" w:type="dxa"/>
              <w:left w:w="60" w:type="dxa"/>
              <w:bottom w:w="0" w:type="dxa"/>
              <w:right w:w="60" w:type="dxa"/>
            </w:tcMar>
            <w:vAlign w:val="center"/>
          </w:tcPr>
          <w:p>
            <w:pPr>
              <w:pStyle w:val="DMETW19880BIPPF"/>
              <w:jc w:val="right"/>
              <w:rPr>
                <w:rFonts w:ascii="Verdana" w:eastAsia="Times New Roman" w:hAnsi="Verdana" w:cs="Verdana"/>
                <w:i/>
                <w:noProof/>
                <w:color w:val="000000"/>
                <w:sz w:val="18"/>
              </w:rPr>
            </w:pPr>
            <w:r>
              <w:rPr>
                <w:rFonts w:ascii="Verdana" w:hAnsi="Verdana"/>
                <w:i/>
                <w:noProof/>
                <w:color w:val="000000"/>
                <w:sz w:val="18"/>
              </w:rPr>
              <w:t>3 825</w:t>
            </w:r>
          </w:p>
        </w:tc>
        <w:tc>
          <w:tcPr>
            <w:tcW w:w="2396" w:type="dxa"/>
            <w:tcBorders>
              <w:top w:val="nil"/>
              <w:left w:val="nil"/>
              <w:bottom w:val="nil"/>
              <w:right w:val="nil"/>
            </w:tcBorders>
            <w:tcMar>
              <w:top w:w="0" w:type="dxa"/>
              <w:left w:w="60" w:type="dxa"/>
              <w:bottom w:w="0" w:type="dxa"/>
              <w:right w:w="60" w:type="dxa"/>
            </w:tcMar>
            <w:vAlign w:val="center"/>
          </w:tcPr>
          <w:p>
            <w:pPr>
              <w:pStyle w:val="DMETW19880BIPPF"/>
              <w:jc w:val="right"/>
              <w:rPr>
                <w:rFonts w:ascii="Verdana" w:eastAsia="Times New Roman" w:hAnsi="Verdana" w:cs="Verdana"/>
                <w:i/>
                <w:noProof/>
                <w:color w:val="000000"/>
                <w:sz w:val="18"/>
              </w:rPr>
            </w:pPr>
            <w:r>
              <w:rPr>
                <w:rFonts w:ascii="Verdana" w:hAnsi="Verdana"/>
                <w:i/>
                <w:noProof/>
                <w:color w:val="000000"/>
                <w:sz w:val="18"/>
              </w:rPr>
              <w:t>4 045</w:t>
            </w:r>
          </w:p>
        </w:tc>
      </w:tr>
      <w:tr>
        <w:trPr>
          <w:trHeight w:val="255"/>
        </w:trPr>
        <w:tc>
          <w:tcPr>
            <w:tcW w:w="4199" w:type="dxa"/>
            <w:tcBorders>
              <w:top w:val="nil"/>
              <w:left w:val="nil"/>
              <w:bottom w:val="nil"/>
              <w:right w:val="nil"/>
            </w:tcBorders>
            <w:tcMar>
              <w:top w:w="0" w:type="dxa"/>
              <w:left w:w="60" w:type="dxa"/>
              <w:bottom w:w="0" w:type="dxa"/>
              <w:right w:w="60" w:type="dxa"/>
            </w:tcMar>
            <w:vAlign w:val="center"/>
          </w:tcPr>
          <w:p>
            <w:pPr>
              <w:pStyle w:val="DMETW19880BIPPF"/>
              <w:rPr>
                <w:rFonts w:ascii="Verdana" w:eastAsia="Times New Roman" w:hAnsi="Verdana" w:cs="Verdana"/>
                <w:i/>
                <w:noProof/>
                <w:color w:val="000000"/>
                <w:sz w:val="18"/>
              </w:rPr>
            </w:pPr>
            <w:r>
              <w:rPr>
                <w:rFonts w:ascii="Verdana" w:hAnsi="Verdana"/>
                <w:i/>
                <w:noProof/>
                <w:color w:val="000000"/>
                <w:sz w:val="18"/>
              </w:rPr>
              <w:t>Принос към доверителните фондове</w:t>
            </w:r>
          </w:p>
        </w:tc>
        <w:tc>
          <w:tcPr>
            <w:tcW w:w="767" w:type="dxa"/>
            <w:tcBorders>
              <w:top w:val="nil"/>
              <w:left w:val="nil"/>
              <w:bottom w:val="nil"/>
              <w:right w:val="nil"/>
            </w:tcBorders>
            <w:tcMar>
              <w:top w:w="0" w:type="dxa"/>
              <w:left w:w="60" w:type="dxa"/>
              <w:bottom w:w="0" w:type="dxa"/>
              <w:right w:w="60" w:type="dxa"/>
            </w:tcMar>
            <w:vAlign w:val="center"/>
          </w:tcPr>
          <w:p>
            <w:pPr>
              <w:pStyle w:val="DMETW19880BIPPF"/>
              <w:jc w:val="center"/>
              <w:rPr>
                <w:rFonts w:ascii="Verdana" w:eastAsia="Times New Roman" w:hAnsi="Verdana" w:cs="Verdana"/>
                <w:i/>
                <w:noProof/>
                <w:color w:val="000000"/>
                <w:sz w:val="18"/>
              </w:rPr>
            </w:pPr>
          </w:p>
        </w:tc>
        <w:tc>
          <w:tcPr>
            <w:tcW w:w="2396" w:type="dxa"/>
            <w:tcBorders>
              <w:top w:val="nil"/>
              <w:left w:val="nil"/>
              <w:bottom w:val="nil"/>
              <w:right w:val="nil"/>
            </w:tcBorders>
            <w:tcMar>
              <w:top w:w="0" w:type="dxa"/>
              <w:left w:w="60" w:type="dxa"/>
              <w:bottom w:w="0" w:type="dxa"/>
              <w:right w:w="60" w:type="dxa"/>
            </w:tcMar>
            <w:vAlign w:val="center"/>
          </w:tcPr>
          <w:p>
            <w:pPr>
              <w:pStyle w:val="DMETW19880BIPPF"/>
              <w:jc w:val="right"/>
              <w:rPr>
                <w:rFonts w:ascii="Verdana" w:eastAsia="Times New Roman" w:hAnsi="Verdana" w:cs="Verdana"/>
                <w:i/>
                <w:noProof/>
                <w:color w:val="000000"/>
                <w:sz w:val="18"/>
              </w:rPr>
            </w:pPr>
            <w:r>
              <w:rPr>
                <w:rFonts w:ascii="Verdana" w:hAnsi="Verdana"/>
                <w:i/>
                <w:noProof/>
                <w:color w:val="000000"/>
                <w:sz w:val="18"/>
              </w:rPr>
              <w:t xml:space="preserve"> 119</w:t>
            </w:r>
          </w:p>
        </w:tc>
        <w:tc>
          <w:tcPr>
            <w:tcW w:w="2396" w:type="dxa"/>
            <w:tcBorders>
              <w:top w:val="nil"/>
              <w:left w:val="nil"/>
              <w:bottom w:val="nil"/>
              <w:right w:val="nil"/>
            </w:tcBorders>
            <w:tcMar>
              <w:top w:w="0" w:type="dxa"/>
              <w:left w:w="60" w:type="dxa"/>
              <w:bottom w:w="0" w:type="dxa"/>
              <w:right w:w="60" w:type="dxa"/>
            </w:tcMar>
            <w:vAlign w:val="center"/>
          </w:tcPr>
          <w:p>
            <w:pPr>
              <w:pStyle w:val="DMETW19880BIPPF"/>
              <w:jc w:val="right"/>
              <w:rPr>
                <w:rFonts w:ascii="Verdana" w:eastAsia="Times New Roman" w:hAnsi="Verdana" w:cs="Verdana"/>
                <w:i/>
                <w:noProof/>
                <w:color w:val="000000"/>
                <w:sz w:val="18"/>
              </w:rPr>
            </w:pPr>
            <w:r>
              <w:rPr>
                <w:rFonts w:ascii="Verdana" w:hAnsi="Verdana"/>
                <w:i/>
                <w:noProof/>
                <w:color w:val="000000"/>
                <w:sz w:val="18"/>
              </w:rPr>
              <w:t xml:space="preserve"> 60</w:t>
            </w:r>
          </w:p>
        </w:tc>
      </w:tr>
      <w:tr>
        <w:trPr>
          <w:trHeight w:val="255"/>
        </w:trPr>
        <w:tc>
          <w:tcPr>
            <w:tcW w:w="4199" w:type="dxa"/>
            <w:tcBorders>
              <w:top w:val="nil"/>
              <w:left w:val="nil"/>
              <w:bottom w:val="nil"/>
              <w:right w:val="nil"/>
            </w:tcBorders>
            <w:shd w:val="solid" w:color="CCE1EA" w:fill="FFFFFF"/>
            <w:tcMar>
              <w:top w:w="0" w:type="dxa"/>
              <w:left w:w="60" w:type="dxa"/>
              <w:bottom w:w="0" w:type="dxa"/>
              <w:right w:w="60" w:type="dxa"/>
            </w:tcMar>
            <w:vAlign w:val="center"/>
          </w:tcPr>
          <w:p>
            <w:pPr>
              <w:pStyle w:val="DMETW19880BIPPF"/>
              <w:rPr>
                <w:rFonts w:ascii="Verdana" w:eastAsia="Times New Roman" w:hAnsi="Verdana" w:cs="Verdana"/>
                <w:b/>
                <w:noProof/>
                <w:color w:val="000000"/>
                <w:sz w:val="18"/>
              </w:rPr>
            </w:pPr>
          </w:p>
        </w:tc>
        <w:tc>
          <w:tcPr>
            <w:tcW w:w="767" w:type="dxa"/>
            <w:tcBorders>
              <w:top w:val="nil"/>
              <w:left w:val="nil"/>
              <w:bottom w:val="nil"/>
              <w:right w:val="nil"/>
            </w:tcBorders>
            <w:shd w:val="solid" w:color="CCE1EA" w:fill="FFFFFF"/>
            <w:tcMar>
              <w:top w:w="0" w:type="dxa"/>
              <w:left w:w="60" w:type="dxa"/>
              <w:bottom w:w="0" w:type="dxa"/>
              <w:right w:w="60" w:type="dxa"/>
            </w:tcMar>
            <w:vAlign w:val="center"/>
          </w:tcPr>
          <w:p>
            <w:pPr>
              <w:pStyle w:val="DMETW19880BIPPF"/>
              <w:jc w:val="center"/>
              <w:rPr>
                <w:rFonts w:ascii="Verdana" w:eastAsia="Times New Roman" w:hAnsi="Verdana" w:cs="Verdana"/>
                <w:noProof/>
                <w:color w:val="000000"/>
                <w:sz w:val="18"/>
              </w:rPr>
            </w:pPr>
          </w:p>
        </w:tc>
        <w:tc>
          <w:tcPr>
            <w:tcW w:w="2396" w:type="dxa"/>
            <w:tcBorders>
              <w:top w:val="nil"/>
              <w:left w:val="nil"/>
              <w:bottom w:val="nil"/>
              <w:right w:val="nil"/>
            </w:tcBorders>
            <w:shd w:val="solid" w:color="CCE1EA" w:fill="FFFFFF"/>
            <w:tcMar>
              <w:top w:w="0" w:type="dxa"/>
              <w:left w:w="60" w:type="dxa"/>
              <w:bottom w:w="0" w:type="dxa"/>
              <w:right w:w="60" w:type="dxa"/>
            </w:tcMar>
            <w:vAlign w:val="center"/>
          </w:tcPr>
          <w:p>
            <w:pPr>
              <w:pStyle w:val="DMETW19880BIPPF"/>
              <w:jc w:val="right"/>
              <w:rPr>
                <w:rFonts w:ascii="Verdana" w:eastAsia="Times New Roman" w:hAnsi="Verdana" w:cs="Verdana"/>
                <w:b/>
                <w:noProof/>
                <w:color w:val="000000"/>
                <w:sz w:val="18"/>
              </w:rPr>
            </w:pPr>
            <w:r>
              <w:rPr>
                <w:rFonts w:ascii="Verdana" w:hAnsi="Verdana"/>
                <w:b/>
                <w:noProof/>
                <w:color w:val="000000"/>
                <w:sz w:val="18"/>
              </w:rPr>
              <w:t>34 519</w:t>
            </w:r>
          </w:p>
        </w:tc>
        <w:tc>
          <w:tcPr>
            <w:tcW w:w="2396" w:type="dxa"/>
            <w:tcBorders>
              <w:top w:val="nil"/>
              <w:left w:val="nil"/>
              <w:bottom w:val="nil"/>
              <w:right w:val="nil"/>
            </w:tcBorders>
            <w:shd w:val="solid" w:color="CCE1EA" w:fill="FFFFFF"/>
            <w:tcMar>
              <w:top w:w="0" w:type="dxa"/>
              <w:left w:w="60" w:type="dxa"/>
              <w:bottom w:w="0" w:type="dxa"/>
              <w:right w:w="60" w:type="dxa"/>
            </w:tcMar>
            <w:vAlign w:val="center"/>
          </w:tcPr>
          <w:p>
            <w:pPr>
              <w:pStyle w:val="DMETW19880BIPPF"/>
              <w:jc w:val="right"/>
              <w:rPr>
                <w:rFonts w:ascii="Verdana" w:eastAsia="Times New Roman" w:hAnsi="Verdana" w:cs="Verdana"/>
                <w:b/>
                <w:noProof/>
                <w:color w:val="000000"/>
                <w:sz w:val="18"/>
              </w:rPr>
            </w:pPr>
            <w:r>
              <w:rPr>
                <w:rFonts w:ascii="Verdana" w:hAnsi="Verdana"/>
                <w:b/>
                <w:noProof/>
                <w:color w:val="000000"/>
                <w:sz w:val="18"/>
              </w:rPr>
              <w:t>26 240</w:t>
            </w:r>
          </w:p>
        </w:tc>
      </w:tr>
      <w:tr>
        <w:trPr>
          <w:trHeight w:val="255"/>
        </w:trPr>
        <w:tc>
          <w:tcPr>
            <w:tcW w:w="4199" w:type="dxa"/>
            <w:tcBorders>
              <w:top w:val="nil"/>
              <w:left w:val="nil"/>
              <w:bottom w:val="nil"/>
              <w:right w:val="nil"/>
            </w:tcBorders>
            <w:tcMar>
              <w:top w:w="0" w:type="dxa"/>
              <w:left w:w="60" w:type="dxa"/>
              <w:bottom w:w="0" w:type="dxa"/>
              <w:right w:w="60" w:type="dxa"/>
            </w:tcMar>
            <w:vAlign w:val="center"/>
          </w:tcPr>
          <w:p>
            <w:pPr>
              <w:pStyle w:val="DMETW19880BIPPF"/>
              <w:rPr>
                <w:rFonts w:ascii="Verdana" w:eastAsia="Times New Roman" w:hAnsi="Verdana" w:cs="Verdana"/>
                <w:b/>
                <w:noProof/>
                <w:color w:val="000000"/>
                <w:sz w:val="18"/>
              </w:rPr>
            </w:pPr>
            <w:r>
              <w:rPr>
                <w:rFonts w:ascii="Verdana" w:hAnsi="Verdana"/>
                <w:b/>
                <w:noProof/>
                <w:color w:val="000000"/>
                <w:sz w:val="18"/>
              </w:rPr>
              <w:t>Текущи</w:t>
            </w:r>
          </w:p>
        </w:tc>
        <w:tc>
          <w:tcPr>
            <w:tcW w:w="767" w:type="dxa"/>
            <w:tcBorders>
              <w:top w:val="nil"/>
              <w:left w:val="nil"/>
              <w:bottom w:val="nil"/>
              <w:right w:val="nil"/>
            </w:tcBorders>
            <w:tcMar>
              <w:top w:w="0" w:type="dxa"/>
              <w:left w:w="60" w:type="dxa"/>
              <w:bottom w:w="0" w:type="dxa"/>
              <w:right w:w="60" w:type="dxa"/>
            </w:tcMar>
            <w:vAlign w:val="center"/>
          </w:tcPr>
          <w:p>
            <w:pPr>
              <w:pStyle w:val="DMETW19880BIPPF"/>
              <w:jc w:val="center"/>
              <w:rPr>
                <w:rFonts w:ascii="Verdana" w:eastAsia="Times New Roman" w:hAnsi="Verdana" w:cs="Verdana"/>
                <w:b/>
                <w:noProof/>
                <w:color w:val="000000"/>
                <w:sz w:val="18"/>
              </w:rPr>
            </w:pPr>
          </w:p>
        </w:tc>
        <w:tc>
          <w:tcPr>
            <w:tcW w:w="2396" w:type="dxa"/>
            <w:tcBorders>
              <w:top w:val="nil"/>
              <w:left w:val="nil"/>
              <w:bottom w:val="nil"/>
              <w:right w:val="nil"/>
            </w:tcBorders>
            <w:tcMar>
              <w:top w:w="0" w:type="dxa"/>
              <w:left w:w="60" w:type="dxa"/>
              <w:bottom w:w="0" w:type="dxa"/>
              <w:right w:w="60" w:type="dxa"/>
            </w:tcMar>
            <w:vAlign w:val="center"/>
          </w:tcPr>
          <w:p>
            <w:pPr>
              <w:pStyle w:val="DMETW19880BIPPF"/>
              <w:rPr>
                <w:rFonts w:ascii="Arial" w:eastAsia="Times New Roman" w:hAnsi="Arial" w:cs="Arial"/>
                <w:noProof/>
                <w:color w:val="000000"/>
              </w:rPr>
            </w:pPr>
          </w:p>
        </w:tc>
        <w:tc>
          <w:tcPr>
            <w:tcW w:w="2396" w:type="dxa"/>
            <w:tcBorders>
              <w:top w:val="nil"/>
              <w:left w:val="nil"/>
              <w:bottom w:val="nil"/>
              <w:right w:val="nil"/>
            </w:tcBorders>
            <w:tcMar>
              <w:top w:w="0" w:type="dxa"/>
              <w:left w:w="60" w:type="dxa"/>
              <w:bottom w:w="0" w:type="dxa"/>
              <w:right w:w="60" w:type="dxa"/>
            </w:tcMar>
            <w:vAlign w:val="center"/>
          </w:tcPr>
          <w:p>
            <w:pPr>
              <w:pStyle w:val="DMETW19880BIPPF"/>
              <w:rPr>
                <w:rFonts w:ascii="Arial" w:eastAsia="Times New Roman" w:hAnsi="Arial" w:cs="Arial"/>
                <w:noProof/>
                <w:color w:val="000000"/>
              </w:rPr>
            </w:pPr>
          </w:p>
        </w:tc>
      </w:tr>
      <w:tr>
        <w:trPr>
          <w:trHeight w:val="255"/>
        </w:trPr>
        <w:tc>
          <w:tcPr>
            <w:tcW w:w="4199" w:type="dxa"/>
            <w:tcBorders>
              <w:top w:val="nil"/>
              <w:left w:val="nil"/>
              <w:bottom w:val="nil"/>
              <w:right w:val="nil"/>
            </w:tcBorders>
            <w:tcMar>
              <w:top w:w="0" w:type="dxa"/>
              <w:left w:w="60" w:type="dxa"/>
              <w:bottom w:w="0" w:type="dxa"/>
              <w:right w:w="60" w:type="dxa"/>
            </w:tcMar>
            <w:vAlign w:val="center"/>
          </w:tcPr>
          <w:p>
            <w:pPr>
              <w:pStyle w:val="DMETW19880BIPPF"/>
              <w:rPr>
                <w:rFonts w:ascii="Verdana" w:eastAsia="Times New Roman" w:hAnsi="Verdana" w:cs="Verdana"/>
                <w:i/>
                <w:noProof/>
                <w:color w:val="000000"/>
                <w:sz w:val="18"/>
              </w:rPr>
            </w:pPr>
            <w:r>
              <w:rPr>
                <w:rFonts w:ascii="Verdana" w:hAnsi="Verdana"/>
                <w:i/>
                <w:noProof/>
                <w:color w:val="000000"/>
                <w:sz w:val="18"/>
              </w:rPr>
              <w:t>Предварително финансиране</w:t>
            </w:r>
          </w:p>
        </w:tc>
        <w:tc>
          <w:tcPr>
            <w:tcW w:w="767" w:type="dxa"/>
            <w:tcBorders>
              <w:top w:val="nil"/>
              <w:left w:val="nil"/>
              <w:bottom w:val="nil"/>
              <w:right w:val="nil"/>
            </w:tcBorders>
            <w:tcMar>
              <w:top w:w="0" w:type="dxa"/>
              <w:left w:w="60" w:type="dxa"/>
              <w:bottom w:w="0" w:type="dxa"/>
              <w:right w:w="60" w:type="dxa"/>
            </w:tcMar>
            <w:vAlign w:val="center"/>
          </w:tcPr>
          <w:p>
            <w:pPr>
              <w:pStyle w:val="DMETW19880BIPPF"/>
              <w:jc w:val="center"/>
              <w:rPr>
                <w:rFonts w:ascii="Verdana" w:eastAsia="Times New Roman" w:hAnsi="Verdana" w:cs="Verdana"/>
                <w:i/>
                <w:noProof/>
                <w:color w:val="000000"/>
                <w:sz w:val="18"/>
              </w:rPr>
            </w:pPr>
            <w:r>
              <w:rPr>
                <w:rFonts w:ascii="Verdana" w:hAnsi="Verdana"/>
                <w:i/>
                <w:noProof/>
                <w:color w:val="000000"/>
                <w:sz w:val="18"/>
              </w:rPr>
              <w:t>2.5.1</w:t>
            </w:r>
          </w:p>
        </w:tc>
        <w:tc>
          <w:tcPr>
            <w:tcW w:w="2396" w:type="dxa"/>
            <w:tcBorders>
              <w:top w:val="nil"/>
              <w:left w:val="nil"/>
              <w:bottom w:val="nil"/>
              <w:right w:val="nil"/>
            </w:tcBorders>
            <w:tcMar>
              <w:top w:w="0" w:type="dxa"/>
              <w:left w:w="60" w:type="dxa"/>
              <w:bottom w:w="0" w:type="dxa"/>
              <w:right w:w="60" w:type="dxa"/>
            </w:tcMar>
            <w:vAlign w:val="center"/>
          </w:tcPr>
          <w:p>
            <w:pPr>
              <w:pStyle w:val="DMETW19880BIPPF"/>
              <w:jc w:val="right"/>
              <w:rPr>
                <w:rFonts w:ascii="Verdana" w:eastAsia="Times New Roman" w:hAnsi="Verdana" w:cs="Verdana"/>
                <w:i/>
                <w:noProof/>
                <w:color w:val="000000"/>
                <w:sz w:val="18"/>
              </w:rPr>
            </w:pPr>
            <w:r>
              <w:rPr>
                <w:rFonts w:ascii="Verdana" w:hAnsi="Verdana"/>
                <w:i/>
                <w:noProof/>
                <w:color w:val="000000"/>
                <w:sz w:val="18"/>
              </w:rPr>
              <w:t>24 902</w:t>
            </w:r>
          </w:p>
        </w:tc>
        <w:tc>
          <w:tcPr>
            <w:tcW w:w="2396" w:type="dxa"/>
            <w:tcBorders>
              <w:top w:val="nil"/>
              <w:left w:val="nil"/>
              <w:bottom w:val="nil"/>
              <w:right w:val="nil"/>
            </w:tcBorders>
            <w:tcMar>
              <w:top w:w="0" w:type="dxa"/>
              <w:left w:w="60" w:type="dxa"/>
              <w:bottom w:w="0" w:type="dxa"/>
              <w:right w:w="60" w:type="dxa"/>
            </w:tcMar>
            <w:vAlign w:val="center"/>
          </w:tcPr>
          <w:p>
            <w:pPr>
              <w:pStyle w:val="DMETW19880BIPPF"/>
              <w:jc w:val="right"/>
              <w:rPr>
                <w:rFonts w:ascii="Verdana" w:eastAsia="Times New Roman" w:hAnsi="Verdana" w:cs="Verdana"/>
                <w:i/>
                <w:noProof/>
                <w:color w:val="000000"/>
                <w:sz w:val="18"/>
              </w:rPr>
            </w:pPr>
            <w:r>
              <w:rPr>
                <w:rFonts w:ascii="Verdana" w:hAnsi="Verdana"/>
                <w:i/>
                <w:noProof/>
                <w:color w:val="000000"/>
                <w:sz w:val="18"/>
              </w:rPr>
              <w:t>22 314</w:t>
            </w:r>
          </w:p>
        </w:tc>
      </w:tr>
      <w:tr>
        <w:trPr>
          <w:trHeight w:val="255"/>
        </w:trPr>
        <w:tc>
          <w:tcPr>
            <w:tcW w:w="4199" w:type="dxa"/>
            <w:tcBorders>
              <w:top w:val="nil"/>
              <w:left w:val="nil"/>
              <w:bottom w:val="nil"/>
              <w:right w:val="nil"/>
            </w:tcBorders>
            <w:tcMar>
              <w:top w:w="0" w:type="dxa"/>
              <w:left w:w="60" w:type="dxa"/>
              <w:bottom w:w="0" w:type="dxa"/>
              <w:right w:w="60" w:type="dxa"/>
            </w:tcMar>
            <w:vAlign w:val="center"/>
          </w:tcPr>
          <w:p>
            <w:pPr>
              <w:pStyle w:val="DMETW19880BIPPF"/>
              <w:rPr>
                <w:rFonts w:ascii="Verdana" w:eastAsia="Times New Roman" w:hAnsi="Verdana" w:cs="Verdana"/>
                <w:i/>
                <w:noProof/>
                <w:color w:val="000000"/>
                <w:sz w:val="18"/>
              </w:rPr>
            </w:pPr>
            <w:r>
              <w:rPr>
                <w:rFonts w:ascii="Verdana" w:hAnsi="Verdana"/>
                <w:i/>
                <w:noProof/>
                <w:color w:val="000000"/>
                <w:sz w:val="18"/>
              </w:rPr>
              <w:t>Други средства, предоставени авансово на държавите членки</w:t>
            </w:r>
          </w:p>
        </w:tc>
        <w:tc>
          <w:tcPr>
            <w:tcW w:w="767" w:type="dxa"/>
            <w:tcBorders>
              <w:top w:val="nil"/>
              <w:left w:val="nil"/>
              <w:bottom w:val="nil"/>
              <w:right w:val="nil"/>
            </w:tcBorders>
            <w:tcMar>
              <w:top w:w="0" w:type="dxa"/>
              <w:left w:w="60" w:type="dxa"/>
              <w:bottom w:w="0" w:type="dxa"/>
              <w:right w:w="60" w:type="dxa"/>
            </w:tcMar>
            <w:vAlign w:val="center"/>
          </w:tcPr>
          <w:p>
            <w:pPr>
              <w:pStyle w:val="DMETW19880BIPPF"/>
              <w:jc w:val="center"/>
              <w:rPr>
                <w:rFonts w:ascii="Verdana" w:eastAsia="Times New Roman" w:hAnsi="Verdana" w:cs="Verdana"/>
                <w:i/>
                <w:noProof/>
                <w:color w:val="000000"/>
                <w:sz w:val="18"/>
              </w:rPr>
            </w:pPr>
            <w:r>
              <w:rPr>
                <w:rFonts w:ascii="Verdana" w:hAnsi="Verdana"/>
                <w:i/>
                <w:noProof/>
                <w:color w:val="000000"/>
                <w:sz w:val="18"/>
              </w:rPr>
              <w:t>2.5.2</w:t>
            </w:r>
          </w:p>
        </w:tc>
        <w:tc>
          <w:tcPr>
            <w:tcW w:w="2396" w:type="dxa"/>
            <w:tcBorders>
              <w:top w:val="nil"/>
              <w:left w:val="nil"/>
              <w:bottom w:val="nil"/>
              <w:right w:val="nil"/>
            </w:tcBorders>
            <w:tcMar>
              <w:top w:w="0" w:type="dxa"/>
              <w:left w:w="60" w:type="dxa"/>
              <w:bottom w:w="0" w:type="dxa"/>
              <w:right w:w="60" w:type="dxa"/>
            </w:tcMar>
            <w:vAlign w:val="center"/>
          </w:tcPr>
          <w:p>
            <w:pPr>
              <w:pStyle w:val="DMETW19880BIPPF"/>
              <w:jc w:val="right"/>
              <w:rPr>
                <w:rFonts w:ascii="Verdana" w:eastAsia="Times New Roman" w:hAnsi="Verdana" w:cs="Verdana"/>
                <w:i/>
                <w:noProof/>
                <w:color w:val="000000"/>
                <w:sz w:val="18"/>
              </w:rPr>
            </w:pPr>
            <w:r>
              <w:rPr>
                <w:rFonts w:ascii="Verdana" w:hAnsi="Verdana"/>
                <w:i/>
                <w:noProof/>
                <w:color w:val="000000"/>
                <w:sz w:val="18"/>
              </w:rPr>
              <w:t>3 327</w:t>
            </w:r>
          </w:p>
        </w:tc>
        <w:tc>
          <w:tcPr>
            <w:tcW w:w="2396" w:type="dxa"/>
            <w:tcBorders>
              <w:top w:val="nil"/>
              <w:left w:val="nil"/>
              <w:bottom w:val="nil"/>
              <w:right w:val="nil"/>
            </w:tcBorders>
            <w:tcMar>
              <w:top w:w="0" w:type="dxa"/>
              <w:left w:w="60" w:type="dxa"/>
              <w:bottom w:w="0" w:type="dxa"/>
              <w:right w:w="60" w:type="dxa"/>
            </w:tcMar>
            <w:vAlign w:val="center"/>
          </w:tcPr>
          <w:p>
            <w:pPr>
              <w:pStyle w:val="DMETW19880BIPPF"/>
              <w:jc w:val="right"/>
              <w:rPr>
                <w:rFonts w:ascii="Verdana" w:eastAsia="Times New Roman" w:hAnsi="Verdana" w:cs="Verdana"/>
                <w:i/>
                <w:noProof/>
                <w:color w:val="000000"/>
                <w:sz w:val="18"/>
              </w:rPr>
            </w:pPr>
            <w:r>
              <w:rPr>
                <w:rFonts w:ascii="Verdana" w:hAnsi="Verdana"/>
                <w:i/>
                <w:noProof/>
                <w:color w:val="000000"/>
                <w:sz w:val="18"/>
              </w:rPr>
              <w:t>2 892</w:t>
            </w:r>
          </w:p>
        </w:tc>
      </w:tr>
      <w:tr>
        <w:trPr>
          <w:trHeight w:val="255"/>
        </w:trPr>
        <w:tc>
          <w:tcPr>
            <w:tcW w:w="4199" w:type="dxa"/>
            <w:tcBorders>
              <w:top w:val="nil"/>
              <w:left w:val="nil"/>
              <w:bottom w:val="nil"/>
              <w:right w:val="nil"/>
            </w:tcBorders>
            <w:shd w:val="solid" w:color="CCE1EA" w:fill="FFFFFF"/>
            <w:tcMar>
              <w:top w:w="0" w:type="dxa"/>
              <w:left w:w="60" w:type="dxa"/>
              <w:bottom w:w="0" w:type="dxa"/>
              <w:right w:w="60" w:type="dxa"/>
            </w:tcMar>
            <w:vAlign w:val="center"/>
          </w:tcPr>
          <w:p>
            <w:pPr>
              <w:pStyle w:val="DMETW19880BIPPF"/>
              <w:rPr>
                <w:rFonts w:ascii="Verdana" w:eastAsia="Times New Roman" w:hAnsi="Verdana" w:cs="Verdana"/>
                <w:b/>
                <w:noProof/>
                <w:color w:val="000000"/>
                <w:sz w:val="18"/>
              </w:rPr>
            </w:pPr>
          </w:p>
        </w:tc>
        <w:tc>
          <w:tcPr>
            <w:tcW w:w="767" w:type="dxa"/>
            <w:tcBorders>
              <w:top w:val="nil"/>
              <w:left w:val="nil"/>
              <w:bottom w:val="nil"/>
              <w:right w:val="nil"/>
            </w:tcBorders>
            <w:shd w:val="solid" w:color="CCE1EA" w:fill="FFFFFF"/>
            <w:tcMar>
              <w:top w:w="0" w:type="dxa"/>
              <w:left w:w="60" w:type="dxa"/>
              <w:bottom w:w="0" w:type="dxa"/>
              <w:right w:w="60" w:type="dxa"/>
            </w:tcMar>
            <w:vAlign w:val="center"/>
          </w:tcPr>
          <w:p>
            <w:pPr>
              <w:pStyle w:val="DMETW19880BIPPF"/>
              <w:jc w:val="center"/>
              <w:rPr>
                <w:rFonts w:ascii="Verdana" w:eastAsia="Times New Roman" w:hAnsi="Verdana" w:cs="Verdana"/>
                <w:noProof/>
                <w:color w:val="000000"/>
                <w:sz w:val="18"/>
              </w:rPr>
            </w:pPr>
          </w:p>
        </w:tc>
        <w:tc>
          <w:tcPr>
            <w:tcW w:w="2396" w:type="dxa"/>
            <w:tcBorders>
              <w:top w:val="nil"/>
              <w:left w:val="nil"/>
              <w:bottom w:val="nil"/>
              <w:right w:val="nil"/>
            </w:tcBorders>
            <w:shd w:val="solid" w:color="CCE1EA" w:fill="FFFFFF"/>
            <w:tcMar>
              <w:top w:w="0" w:type="dxa"/>
              <w:left w:w="60" w:type="dxa"/>
              <w:bottom w:w="0" w:type="dxa"/>
              <w:right w:w="60" w:type="dxa"/>
            </w:tcMar>
            <w:vAlign w:val="center"/>
          </w:tcPr>
          <w:p>
            <w:pPr>
              <w:pStyle w:val="DMETW19880BIPPF"/>
              <w:jc w:val="right"/>
              <w:rPr>
                <w:rFonts w:ascii="Verdana" w:eastAsia="Times New Roman" w:hAnsi="Verdana" w:cs="Verdana"/>
                <w:b/>
                <w:noProof/>
                <w:color w:val="000000"/>
                <w:sz w:val="18"/>
              </w:rPr>
            </w:pPr>
            <w:r>
              <w:rPr>
                <w:rFonts w:ascii="Verdana" w:hAnsi="Verdana"/>
                <w:b/>
                <w:noProof/>
                <w:color w:val="000000"/>
                <w:sz w:val="18"/>
              </w:rPr>
              <w:t>28 229</w:t>
            </w:r>
          </w:p>
        </w:tc>
        <w:tc>
          <w:tcPr>
            <w:tcW w:w="2396" w:type="dxa"/>
            <w:tcBorders>
              <w:top w:val="nil"/>
              <w:left w:val="nil"/>
              <w:bottom w:val="nil"/>
              <w:right w:val="nil"/>
            </w:tcBorders>
            <w:shd w:val="solid" w:color="CCE1EA" w:fill="FFFFFF"/>
            <w:tcMar>
              <w:top w:w="0" w:type="dxa"/>
              <w:left w:w="60" w:type="dxa"/>
              <w:bottom w:w="0" w:type="dxa"/>
              <w:right w:w="60" w:type="dxa"/>
            </w:tcMar>
            <w:vAlign w:val="center"/>
          </w:tcPr>
          <w:p>
            <w:pPr>
              <w:pStyle w:val="DMETW19880BIPPF"/>
              <w:jc w:val="right"/>
              <w:rPr>
                <w:rFonts w:ascii="Verdana" w:eastAsia="Times New Roman" w:hAnsi="Verdana" w:cs="Verdana"/>
                <w:b/>
                <w:noProof/>
                <w:color w:val="000000"/>
                <w:sz w:val="18"/>
              </w:rPr>
            </w:pPr>
            <w:r>
              <w:rPr>
                <w:rFonts w:ascii="Verdana" w:hAnsi="Verdana"/>
                <w:b/>
                <w:noProof/>
                <w:color w:val="000000"/>
                <w:sz w:val="18"/>
              </w:rPr>
              <w:t>25 206</w:t>
            </w:r>
          </w:p>
        </w:tc>
      </w:tr>
      <w:tr>
        <w:trPr>
          <w:trHeight w:val="255"/>
        </w:trPr>
        <w:tc>
          <w:tcPr>
            <w:tcW w:w="4199" w:type="dxa"/>
            <w:tcBorders>
              <w:top w:val="nil"/>
              <w:left w:val="nil"/>
              <w:bottom w:val="single" w:sz="4" w:space="0" w:color="016794"/>
              <w:right w:val="nil"/>
            </w:tcBorders>
            <w:tcMar>
              <w:top w:w="0" w:type="dxa"/>
              <w:left w:w="60" w:type="dxa"/>
              <w:bottom w:w="0" w:type="dxa"/>
              <w:right w:w="60" w:type="dxa"/>
            </w:tcMar>
            <w:vAlign w:val="center"/>
          </w:tcPr>
          <w:p>
            <w:pPr>
              <w:pStyle w:val="DMETW19880BIPPF"/>
              <w:rPr>
                <w:rFonts w:ascii="Verdana" w:eastAsia="Times New Roman" w:hAnsi="Verdana" w:cs="Verdana"/>
                <w:b/>
                <w:noProof/>
                <w:color w:val="000000"/>
                <w:sz w:val="18"/>
              </w:rPr>
            </w:pPr>
            <w:r>
              <w:rPr>
                <w:rFonts w:ascii="Verdana" w:hAnsi="Verdana"/>
                <w:b/>
                <w:noProof/>
                <w:color w:val="000000"/>
                <w:sz w:val="18"/>
              </w:rPr>
              <w:t>Общо</w:t>
            </w:r>
          </w:p>
        </w:tc>
        <w:tc>
          <w:tcPr>
            <w:tcW w:w="767" w:type="dxa"/>
            <w:tcBorders>
              <w:top w:val="nil"/>
              <w:left w:val="nil"/>
              <w:bottom w:val="single" w:sz="4" w:space="0" w:color="016794"/>
              <w:right w:val="nil"/>
            </w:tcBorders>
            <w:tcMar>
              <w:top w:w="0" w:type="dxa"/>
              <w:left w:w="60" w:type="dxa"/>
              <w:bottom w:w="0" w:type="dxa"/>
              <w:right w:w="60" w:type="dxa"/>
            </w:tcMar>
            <w:vAlign w:val="center"/>
          </w:tcPr>
          <w:p>
            <w:pPr>
              <w:pStyle w:val="DMETW19880BIPPF"/>
              <w:jc w:val="center"/>
              <w:rPr>
                <w:rFonts w:ascii="Verdana" w:eastAsia="Times New Roman" w:hAnsi="Verdana" w:cs="Verdana"/>
                <w:noProof/>
                <w:color w:val="000000"/>
                <w:sz w:val="18"/>
              </w:rPr>
            </w:pPr>
          </w:p>
        </w:tc>
        <w:tc>
          <w:tcPr>
            <w:tcW w:w="2396" w:type="dxa"/>
            <w:tcBorders>
              <w:top w:val="nil"/>
              <w:left w:val="nil"/>
              <w:bottom w:val="single" w:sz="4" w:space="0" w:color="016794"/>
              <w:right w:val="nil"/>
            </w:tcBorders>
            <w:tcMar>
              <w:top w:w="0" w:type="dxa"/>
              <w:left w:w="60" w:type="dxa"/>
              <w:bottom w:w="0" w:type="dxa"/>
              <w:right w:w="60" w:type="dxa"/>
            </w:tcMar>
            <w:vAlign w:val="center"/>
          </w:tcPr>
          <w:p>
            <w:pPr>
              <w:pStyle w:val="DMETW19880BIPPF"/>
              <w:jc w:val="right"/>
              <w:rPr>
                <w:rFonts w:ascii="Verdana" w:eastAsia="Times New Roman" w:hAnsi="Verdana" w:cs="Verdana"/>
                <w:b/>
                <w:noProof/>
                <w:color w:val="000000"/>
                <w:sz w:val="18"/>
              </w:rPr>
            </w:pPr>
            <w:r>
              <w:rPr>
                <w:rFonts w:ascii="Verdana" w:hAnsi="Verdana"/>
                <w:b/>
                <w:noProof/>
                <w:color w:val="000000"/>
                <w:sz w:val="18"/>
              </w:rPr>
              <w:t>62 748</w:t>
            </w:r>
          </w:p>
        </w:tc>
        <w:tc>
          <w:tcPr>
            <w:tcW w:w="2396" w:type="dxa"/>
            <w:tcBorders>
              <w:top w:val="nil"/>
              <w:left w:val="nil"/>
              <w:bottom w:val="single" w:sz="4" w:space="0" w:color="016794"/>
              <w:right w:val="nil"/>
            </w:tcBorders>
            <w:tcMar>
              <w:top w:w="0" w:type="dxa"/>
              <w:left w:w="60" w:type="dxa"/>
              <w:bottom w:w="0" w:type="dxa"/>
              <w:right w:w="60" w:type="dxa"/>
            </w:tcMar>
            <w:vAlign w:val="center"/>
          </w:tcPr>
          <w:p>
            <w:pPr>
              <w:pStyle w:val="DMETW19880BIPPF"/>
              <w:jc w:val="right"/>
              <w:rPr>
                <w:rFonts w:ascii="Verdana" w:eastAsia="Times New Roman" w:hAnsi="Verdana" w:cs="Verdana"/>
                <w:b/>
                <w:noProof/>
                <w:color w:val="000000"/>
                <w:sz w:val="18"/>
              </w:rPr>
            </w:pPr>
            <w:r>
              <w:rPr>
                <w:rFonts w:ascii="Verdana" w:hAnsi="Verdana"/>
                <w:b/>
                <w:noProof/>
                <w:color w:val="000000"/>
                <w:sz w:val="18"/>
              </w:rPr>
              <w:t>51 446</w:t>
            </w:r>
          </w:p>
        </w:tc>
      </w:tr>
    </w:tbl>
    <w:p>
      <w:pPr>
        <w:pStyle w:val="DGTextstand-alone"/>
      </w:pPr>
      <w:r>
        <w:t xml:space="preserve">Нивото на предварителното финансиране за различните програми трябва да е достатъчно за осигуряване на средствата, необходими на бенефициера, за да започне проекта и да напредне по него, като същевременно се защитават финансовите интереси на ЕС и се вземат под внимание правните и оперативните ограничения и ограниченията, свързани с разходната ефективност. </w:t>
      </w:r>
    </w:p>
    <w:p>
      <w:pPr>
        <w:pStyle w:val="HEADER3NOTES"/>
        <w:rPr>
          <w:noProof/>
        </w:rPr>
      </w:pPr>
      <w:r>
        <w:rPr>
          <w:noProof/>
        </w:rPr>
        <w:t>Предварително финансиране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8"/>
        <w:gridCol w:w="1136"/>
        <w:gridCol w:w="1136"/>
        <w:gridCol w:w="1268"/>
        <w:gridCol w:w="1136"/>
        <w:gridCol w:w="1136"/>
        <w:gridCol w:w="1268"/>
      </w:tblGrid>
      <w:tr>
        <w:trPr>
          <w:trHeight w:val="255"/>
        </w:trPr>
        <w:tc>
          <w:tcPr>
            <w:tcW w:w="2678" w:type="dxa"/>
            <w:tcBorders>
              <w:top w:val="nil"/>
              <w:left w:val="nil"/>
              <w:bottom w:val="nil"/>
              <w:right w:val="nil"/>
            </w:tcBorders>
            <w:tcMar>
              <w:top w:w="0" w:type="dxa"/>
              <w:left w:w="60" w:type="dxa"/>
              <w:bottom w:w="0" w:type="dxa"/>
              <w:right w:w="60" w:type="dxa"/>
            </w:tcMar>
            <w:vAlign w:val="bottom"/>
          </w:tcPr>
          <w:p>
            <w:pPr>
              <w:pStyle w:val="DMETW19880BIPPFD"/>
              <w:rPr>
                <w:rFonts w:ascii="Arial" w:eastAsia="Times New Roman" w:hAnsi="Arial" w:cs="Arial"/>
                <w:noProof/>
                <w:color w:val="000000"/>
              </w:rPr>
            </w:pPr>
            <w:bookmarkStart w:id="108" w:name="DOC_TBL00023_1_1"/>
            <w:bookmarkEnd w:id="108"/>
          </w:p>
        </w:tc>
        <w:tc>
          <w:tcPr>
            <w:tcW w:w="1136" w:type="dxa"/>
            <w:tcBorders>
              <w:top w:val="nil"/>
              <w:left w:val="nil"/>
              <w:bottom w:val="nil"/>
              <w:right w:val="nil"/>
            </w:tcBorders>
            <w:tcMar>
              <w:top w:w="0" w:type="dxa"/>
              <w:left w:w="60" w:type="dxa"/>
              <w:bottom w:w="0" w:type="dxa"/>
              <w:right w:w="60" w:type="dxa"/>
            </w:tcMar>
            <w:vAlign w:val="bottom"/>
          </w:tcPr>
          <w:p>
            <w:pPr>
              <w:pStyle w:val="DMETW19880BIPPFD"/>
              <w:rPr>
                <w:rFonts w:ascii="Arial" w:eastAsia="Times New Roman" w:hAnsi="Arial" w:cs="Arial"/>
                <w:noProof/>
                <w:color w:val="000000"/>
              </w:rPr>
            </w:pPr>
          </w:p>
        </w:tc>
        <w:tc>
          <w:tcPr>
            <w:tcW w:w="1136" w:type="dxa"/>
            <w:tcBorders>
              <w:top w:val="nil"/>
              <w:left w:val="nil"/>
              <w:bottom w:val="nil"/>
              <w:right w:val="nil"/>
            </w:tcBorders>
            <w:tcMar>
              <w:top w:w="0" w:type="dxa"/>
              <w:left w:w="60" w:type="dxa"/>
              <w:bottom w:w="0" w:type="dxa"/>
              <w:right w:w="60" w:type="dxa"/>
            </w:tcMar>
            <w:vAlign w:val="bottom"/>
          </w:tcPr>
          <w:p>
            <w:pPr>
              <w:pStyle w:val="DMETW19880BIPPFD"/>
              <w:rPr>
                <w:rFonts w:ascii="Arial" w:eastAsia="Times New Roman" w:hAnsi="Arial" w:cs="Arial"/>
                <w:noProof/>
                <w:color w:val="000000"/>
              </w:rPr>
            </w:pPr>
          </w:p>
        </w:tc>
        <w:tc>
          <w:tcPr>
            <w:tcW w:w="1268" w:type="dxa"/>
            <w:tcBorders>
              <w:top w:val="nil"/>
              <w:left w:val="nil"/>
              <w:bottom w:val="nil"/>
              <w:right w:val="nil"/>
            </w:tcBorders>
            <w:tcMar>
              <w:top w:w="0" w:type="dxa"/>
              <w:left w:w="60" w:type="dxa"/>
              <w:bottom w:w="0" w:type="dxa"/>
              <w:right w:w="60" w:type="dxa"/>
            </w:tcMar>
            <w:vAlign w:val="bottom"/>
          </w:tcPr>
          <w:p>
            <w:pPr>
              <w:pStyle w:val="DMETW19880BIPPFD"/>
              <w:rPr>
                <w:rFonts w:ascii="Arial" w:eastAsia="Times New Roman" w:hAnsi="Arial" w:cs="Arial"/>
                <w:noProof/>
                <w:color w:val="000000"/>
              </w:rPr>
            </w:pPr>
          </w:p>
        </w:tc>
        <w:tc>
          <w:tcPr>
            <w:tcW w:w="1136" w:type="dxa"/>
            <w:tcBorders>
              <w:top w:val="nil"/>
              <w:left w:val="nil"/>
              <w:bottom w:val="nil"/>
              <w:right w:val="nil"/>
            </w:tcBorders>
            <w:tcMar>
              <w:top w:w="0" w:type="dxa"/>
              <w:left w:w="60" w:type="dxa"/>
              <w:bottom w:w="0" w:type="dxa"/>
              <w:right w:w="60" w:type="dxa"/>
            </w:tcMar>
            <w:vAlign w:val="bottom"/>
          </w:tcPr>
          <w:p>
            <w:pPr>
              <w:pStyle w:val="DMETW19880BIPPFD"/>
              <w:rPr>
                <w:rFonts w:ascii="Arial" w:eastAsia="Times New Roman" w:hAnsi="Arial" w:cs="Arial"/>
                <w:noProof/>
                <w:color w:val="000000"/>
              </w:rPr>
            </w:pPr>
          </w:p>
        </w:tc>
        <w:tc>
          <w:tcPr>
            <w:tcW w:w="1136" w:type="dxa"/>
            <w:tcBorders>
              <w:top w:val="nil"/>
              <w:left w:val="nil"/>
              <w:bottom w:val="nil"/>
              <w:right w:val="nil"/>
            </w:tcBorders>
            <w:tcMar>
              <w:top w:w="0" w:type="dxa"/>
              <w:left w:w="60" w:type="dxa"/>
              <w:bottom w:w="0" w:type="dxa"/>
              <w:right w:w="60" w:type="dxa"/>
            </w:tcMar>
            <w:vAlign w:val="bottom"/>
          </w:tcPr>
          <w:p>
            <w:pPr>
              <w:pStyle w:val="DMETW19880BIPPFD"/>
              <w:rPr>
                <w:rFonts w:ascii="Arial" w:eastAsia="Times New Roman" w:hAnsi="Arial" w:cs="Arial"/>
                <w:noProof/>
                <w:color w:val="000000"/>
              </w:rPr>
            </w:pPr>
          </w:p>
        </w:tc>
        <w:tc>
          <w:tcPr>
            <w:tcW w:w="1268" w:type="dxa"/>
            <w:tcBorders>
              <w:top w:val="nil"/>
              <w:left w:val="nil"/>
              <w:bottom w:val="nil"/>
              <w:right w:val="nil"/>
            </w:tcBorders>
            <w:tcMar>
              <w:top w:w="0" w:type="dxa"/>
              <w:left w:w="60" w:type="dxa"/>
              <w:bottom w:w="0" w:type="dxa"/>
              <w:right w:w="60" w:type="dxa"/>
            </w:tcMar>
            <w:vAlign w:val="bottom"/>
          </w:tcPr>
          <w:p>
            <w:pPr>
              <w:pStyle w:val="DMETW19880BIPPFD"/>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2678" w:type="dxa"/>
            <w:tcBorders>
              <w:top w:val="nil"/>
              <w:left w:val="nil"/>
              <w:bottom w:val="nil"/>
              <w:right w:val="nil"/>
            </w:tcBorders>
            <w:shd w:val="solid" w:color="016794" w:fill="FFFFFF"/>
            <w:tcMar>
              <w:top w:w="0" w:type="dxa"/>
              <w:left w:w="60" w:type="dxa"/>
              <w:bottom w:w="0" w:type="dxa"/>
              <w:right w:w="60" w:type="dxa"/>
            </w:tcMar>
            <w:vAlign w:val="center"/>
          </w:tcPr>
          <w:p>
            <w:pPr>
              <w:pStyle w:val="DMETW19880BIPPFD"/>
              <w:jc w:val="right"/>
              <w:rPr>
                <w:rFonts w:ascii="Verdana" w:eastAsia="Times New Roman" w:hAnsi="Verdana" w:cs="Verdana"/>
                <w:noProof/>
                <w:color w:val="FFFFFF"/>
                <w:sz w:val="16"/>
              </w:rPr>
            </w:pPr>
          </w:p>
        </w:tc>
        <w:tc>
          <w:tcPr>
            <w:tcW w:w="1136" w:type="dxa"/>
            <w:tcBorders>
              <w:top w:val="nil"/>
              <w:left w:val="nil"/>
              <w:bottom w:val="nil"/>
              <w:right w:val="nil"/>
            </w:tcBorders>
            <w:shd w:val="solid" w:color="016794" w:fill="FFFFFF"/>
            <w:tcMar>
              <w:top w:w="0" w:type="dxa"/>
              <w:left w:w="60" w:type="dxa"/>
              <w:bottom w:w="0" w:type="dxa"/>
              <w:right w:w="60" w:type="dxa"/>
            </w:tcMar>
            <w:vAlign w:val="center"/>
          </w:tcPr>
          <w:p>
            <w:pPr>
              <w:pStyle w:val="DMETW19880BIPPFD"/>
              <w:jc w:val="right"/>
              <w:rPr>
                <w:rFonts w:ascii="Verdana" w:eastAsia="Times New Roman" w:hAnsi="Verdana" w:cs="Verdana"/>
                <w:noProof/>
                <w:color w:val="FFFFFF"/>
                <w:sz w:val="16"/>
              </w:rPr>
            </w:pPr>
            <w:r>
              <w:rPr>
                <w:rFonts w:ascii="Verdana" w:hAnsi="Verdana"/>
                <w:noProof/>
                <w:color w:val="FFFFFF"/>
                <w:sz w:val="16"/>
              </w:rPr>
              <w:t>Брутна сума</w:t>
            </w:r>
          </w:p>
        </w:tc>
        <w:tc>
          <w:tcPr>
            <w:tcW w:w="1136" w:type="dxa"/>
            <w:tcBorders>
              <w:top w:val="nil"/>
              <w:left w:val="nil"/>
              <w:bottom w:val="nil"/>
              <w:right w:val="nil"/>
            </w:tcBorders>
            <w:shd w:val="solid" w:color="016794" w:fill="FFFFFF"/>
            <w:tcMar>
              <w:top w:w="0" w:type="dxa"/>
              <w:left w:w="60" w:type="dxa"/>
              <w:bottom w:w="0" w:type="dxa"/>
              <w:right w:w="60" w:type="dxa"/>
            </w:tcMar>
            <w:vAlign w:val="center"/>
          </w:tcPr>
          <w:p>
            <w:pPr>
              <w:pStyle w:val="DMETW19880BIPPFD"/>
              <w:jc w:val="right"/>
              <w:rPr>
                <w:rFonts w:ascii="Verdana" w:eastAsia="Times New Roman" w:hAnsi="Verdana" w:cs="Verdana"/>
                <w:noProof/>
                <w:color w:val="FFFFFF"/>
                <w:sz w:val="16"/>
              </w:rPr>
            </w:pPr>
            <w:r>
              <w:rPr>
                <w:rFonts w:ascii="Verdana" w:hAnsi="Verdana"/>
                <w:noProof/>
                <w:color w:val="FFFFFF"/>
                <w:sz w:val="16"/>
              </w:rPr>
              <w:t>Изчистени чрез начисления</w:t>
            </w:r>
          </w:p>
        </w:tc>
        <w:tc>
          <w:tcPr>
            <w:tcW w:w="1268" w:type="dxa"/>
            <w:tcBorders>
              <w:top w:val="nil"/>
              <w:left w:val="nil"/>
              <w:bottom w:val="nil"/>
              <w:right w:val="nil"/>
            </w:tcBorders>
            <w:shd w:val="solid" w:color="016794" w:fill="FFFFFF"/>
            <w:tcMar>
              <w:top w:w="0" w:type="dxa"/>
              <w:left w:w="60" w:type="dxa"/>
              <w:bottom w:w="0" w:type="dxa"/>
              <w:right w:w="60" w:type="dxa"/>
            </w:tcMar>
            <w:vAlign w:val="center"/>
          </w:tcPr>
          <w:p>
            <w:pPr>
              <w:pStyle w:val="DMETW19880BIPPFD"/>
              <w:jc w:val="right"/>
              <w:rPr>
                <w:rFonts w:ascii="Verdana" w:eastAsia="Times New Roman" w:hAnsi="Verdana" w:cs="Verdana"/>
                <w:noProof/>
                <w:color w:val="FFFFFF"/>
                <w:sz w:val="16"/>
              </w:rPr>
            </w:pPr>
            <w:r>
              <w:rPr>
                <w:rFonts w:ascii="Verdana" w:hAnsi="Verdana"/>
                <w:noProof/>
                <w:color w:val="FFFFFF"/>
                <w:sz w:val="16"/>
              </w:rPr>
              <w:t>Нетна сума към 31.12.2020 г.</w:t>
            </w:r>
          </w:p>
        </w:tc>
        <w:tc>
          <w:tcPr>
            <w:tcW w:w="1136" w:type="dxa"/>
            <w:tcBorders>
              <w:top w:val="nil"/>
              <w:left w:val="nil"/>
              <w:bottom w:val="nil"/>
              <w:right w:val="nil"/>
            </w:tcBorders>
            <w:shd w:val="solid" w:color="016794" w:fill="FFFFFF"/>
            <w:tcMar>
              <w:top w:w="0" w:type="dxa"/>
              <w:left w:w="60" w:type="dxa"/>
              <w:bottom w:w="0" w:type="dxa"/>
              <w:right w:w="60" w:type="dxa"/>
            </w:tcMar>
            <w:vAlign w:val="center"/>
          </w:tcPr>
          <w:p>
            <w:pPr>
              <w:pStyle w:val="DMETW19880BIPPFD"/>
              <w:jc w:val="right"/>
              <w:rPr>
                <w:rFonts w:ascii="Verdana" w:eastAsia="Times New Roman" w:hAnsi="Verdana" w:cs="Verdana"/>
                <w:noProof/>
                <w:color w:val="FFFFFF"/>
                <w:sz w:val="16"/>
              </w:rPr>
            </w:pPr>
            <w:r>
              <w:rPr>
                <w:rFonts w:ascii="Verdana" w:hAnsi="Verdana"/>
                <w:noProof/>
                <w:color w:val="FFFFFF"/>
                <w:sz w:val="16"/>
              </w:rPr>
              <w:t>Брутна сума</w:t>
            </w:r>
          </w:p>
        </w:tc>
        <w:tc>
          <w:tcPr>
            <w:tcW w:w="1136" w:type="dxa"/>
            <w:tcBorders>
              <w:top w:val="nil"/>
              <w:left w:val="nil"/>
              <w:bottom w:val="nil"/>
              <w:right w:val="nil"/>
            </w:tcBorders>
            <w:shd w:val="solid" w:color="016794" w:fill="FFFFFF"/>
            <w:tcMar>
              <w:top w:w="0" w:type="dxa"/>
              <w:left w:w="60" w:type="dxa"/>
              <w:bottom w:w="0" w:type="dxa"/>
              <w:right w:w="60" w:type="dxa"/>
            </w:tcMar>
            <w:vAlign w:val="center"/>
          </w:tcPr>
          <w:p>
            <w:pPr>
              <w:pStyle w:val="DMETW19880BIPPFD"/>
              <w:jc w:val="right"/>
              <w:rPr>
                <w:rFonts w:ascii="Verdana" w:eastAsia="Times New Roman" w:hAnsi="Verdana" w:cs="Verdana"/>
                <w:noProof/>
                <w:color w:val="FFFFFF"/>
                <w:sz w:val="16"/>
              </w:rPr>
            </w:pPr>
            <w:r>
              <w:rPr>
                <w:rFonts w:ascii="Verdana" w:hAnsi="Verdana"/>
                <w:noProof/>
                <w:color w:val="FFFFFF"/>
                <w:sz w:val="16"/>
              </w:rPr>
              <w:t>Изчистени чрез начисления</w:t>
            </w:r>
          </w:p>
        </w:tc>
        <w:tc>
          <w:tcPr>
            <w:tcW w:w="1268" w:type="dxa"/>
            <w:tcBorders>
              <w:top w:val="nil"/>
              <w:left w:val="nil"/>
              <w:bottom w:val="nil"/>
              <w:right w:val="nil"/>
            </w:tcBorders>
            <w:shd w:val="solid" w:color="016794" w:fill="FFFFFF"/>
            <w:tcMar>
              <w:top w:w="0" w:type="dxa"/>
              <w:left w:w="60" w:type="dxa"/>
              <w:bottom w:w="0" w:type="dxa"/>
              <w:right w:w="60" w:type="dxa"/>
            </w:tcMar>
            <w:vAlign w:val="center"/>
          </w:tcPr>
          <w:p>
            <w:pPr>
              <w:pStyle w:val="DMETW19880BIPPFD"/>
              <w:jc w:val="right"/>
              <w:rPr>
                <w:rFonts w:ascii="Verdana" w:eastAsia="Times New Roman" w:hAnsi="Verdana" w:cs="Verdana"/>
                <w:noProof/>
                <w:color w:val="FFFFFF"/>
                <w:sz w:val="16"/>
              </w:rPr>
            </w:pPr>
            <w:r>
              <w:rPr>
                <w:rFonts w:ascii="Verdana" w:hAnsi="Verdana"/>
                <w:noProof/>
                <w:color w:val="FFFFFF"/>
                <w:sz w:val="16"/>
              </w:rPr>
              <w:t>Нетна сума към 31.12.2019 г.</w:t>
            </w: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b/>
                <w:noProof/>
                <w:color w:val="000000"/>
                <w:sz w:val="16"/>
              </w:rPr>
            </w:pPr>
            <w:r>
              <w:rPr>
                <w:rFonts w:ascii="Verdana" w:hAnsi="Verdana"/>
                <w:b/>
                <w:noProof/>
                <w:color w:val="000000"/>
                <w:sz w:val="16"/>
              </w:rPr>
              <w:t>Споделено управление</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     ЕЗФРСР и други инструменти </w:t>
            </w:r>
          </w:p>
          <w:p>
            <w:pPr>
              <w:pStyle w:val="DMETW19880BIPPFD"/>
              <w:rPr>
                <w:rFonts w:ascii="Verdana" w:eastAsia="Times New Roman" w:hAnsi="Verdana" w:cs="Verdana"/>
                <w:i/>
                <w:noProof/>
                <w:color w:val="000000"/>
                <w:sz w:val="16"/>
              </w:rPr>
            </w:pPr>
            <w:r>
              <w:rPr>
                <w:rFonts w:ascii="Verdana" w:hAnsi="Verdana"/>
                <w:i/>
                <w:noProof/>
                <w:color w:val="000000"/>
                <w:sz w:val="16"/>
              </w:rPr>
              <w:t xml:space="preserve">     за развитие на селските райони</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3 193</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w:t>
            </w: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3 193</w:t>
            </w: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3 193</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w:t>
            </w: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3 193</w:t>
            </w: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     ЕФРР и КФ</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23 074</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(3 846)</w:t>
            </w: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19 229</w:t>
            </w: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17 985</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(3 540)</w:t>
            </w: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14 444</w:t>
            </w: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     EСФ</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8 222</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(1 348)</w:t>
            </w: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6 874</w:t>
            </w: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6 830</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(1 530)</w:t>
            </w: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5 301</w:t>
            </w:r>
          </w:p>
        </w:tc>
      </w:tr>
      <w:tr>
        <w:trPr>
          <w:trHeight w:val="255"/>
        </w:trPr>
        <w:tc>
          <w:tcPr>
            <w:tcW w:w="2678" w:type="dxa"/>
            <w:tcBorders>
              <w:top w:val="nil"/>
              <w:left w:val="nil"/>
              <w:bottom w:val="single" w:sz="4" w:space="0" w:color="016794"/>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     Други</w:t>
            </w:r>
          </w:p>
        </w:tc>
        <w:tc>
          <w:tcPr>
            <w:tcW w:w="1136"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4 192</w:t>
            </w:r>
          </w:p>
        </w:tc>
        <w:tc>
          <w:tcPr>
            <w:tcW w:w="1136"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(1 520)</w:t>
            </w:r>
          </w:p>
        </w:tc>
        <w:tc>
          <w:tcPr>
            <w:tcW w:w="1268" w:type="dxa"/>
            <w:tcBorders>
              <w:top w:val="nil"/>
              <w:left w:val="nil"/>
              <w:bottom w:val="single" w:sz="4" w:space="0" w:color="016794"/>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2 672</w:t>
            </w:r>
          </w:p>
        </w:tc>
        <w:tc>
          <w:tcPr>
            <w:tcW w:w="1136" w:type="dxa"/>
            <w:tcBorders>
              <w:top w:val="nil"/>
              <w:left w:val="single" w:sz="4" w:space="0" w:color="016794"/>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3 549</w:t>
            </w:r>
          </w:p>
        </w:tc>
        <w:tc>
          <w:tcPr>
            <w:tcW w:w="1136"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(1 463)</w:t>
            </w:r>
          </w:p>
        </w:tc>
        <w:tc>
          <w:tcPr>
            <w:tcW w:w="1268"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2 086</w:t>
            </w:r>
          </w:p>
        </w:tc>
      </w:tr>
      <w:tr>
        <w:trPr>
          <w:trHeight w:val="255"/>
        </w:trPr>
        <w:tc>
          <w:tcPr>
            <w:tcW w:w="267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rPr>
                <w:rFonts w:ascii="Verdana" w:eastAsia="Times New Roman" w:hAnsi="Verdana" w:cs="Verdana"/>
                <w:b/>
                <w:noProof/>
                <w:color w:val="000000"/>
                <w:sz w:val="16"/>
              </w:rPr>
            </w:pP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38 681</w:t>
            </w: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(6 713)</w:t>
            </w:r>
          </w:p>
        </w:tc>
        <w:tc>
          <w:tcPr>
            <w:tcW w:w="1268" w:type="dxa"/>
            <w:tcBorders>
              <w:top w:val="single" w:sz="4" w:space="0" w:color="016794"/>
              <w:left w:val="nil"/>
              <w:bottom w:val="single" w:sz="4" w:space="0" w:color="016794"/>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31 967</w:t>
            </w:r>
          </w:p>
        </w:tc>
        <w:tc>
          <w:tcPr>
            <w:tcW w:w="1136" w:type="dxa"/>
            <w:tcBorders>
              <w:top w:val="single" w:sz="4" w:space="0" w:color="016794"/>
              <w:left w:val="single" w:sz="4" w:space="0" w:color="016794"/>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31 557</w:t>
            </w: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(6 533)</w:t>
            </w:r>
          </w:p>
        </w:tc>
        <w:tc>
          <w:tcPr>
            <w:tcW w:w="126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25 024</w:t>
            </w:r>
          </w:p>
        </w:tc>
      </w:tr>
      <w:tr>
        <w:trPr>
          <w:trHeight w:val="255"/>
        </w:trPr>
        <w:tc>
          <w:tcPr>
            <w:tcW w:w="2678" w:type="dxa"/>
            <w:tcBorders>
              <w:top w:val="single" w:sz="4" w:space="0" w:color="016794"/>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b/>
                <w:noProof/>
                <w:color w:val="000000"/>
                <w:sz w:val="16"/>
              </w:rPr>
            </w:pPr>
            <w:r>
              <w:rPr>
                <w:rFonts w:ascii="Verdana" w:hAnsi="Verdana"/>
                <w:b/>
                <w:noProof/>
                <w:color w:val="000000"/>
                <w:sz w:val="16"/>
              </w:rPr>
              <w:t>Пряко управление</w:t>
            </w:r>
          </w:p>
        </w:tc>
        <w:tc>
          <w:tcPr>
            <w:tcW w:w="1136"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136"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268" w:type="dxa"/>
            <w:tcBorders>
              <w:top w:val="single" w:sz="4" w:space="0" w:color="016794"/>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136" w:type="dxa"/>
            <w:tcBorders>
              <w:top w:val="single" w:sz="4" w:space="0" w:color="016794"/>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136"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268"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Изпълнено от: </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     Комисията</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17 031</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(10 648)</w:t>
            </w: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6 382</w:t>
            </w: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12 839</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(8 344)</w:t>
            </w: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4 495</w:t>
            </w: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     Изпълнителните агенции на ЕС</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18 565</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(10 931)</w:t>
            </w: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7 633</w:t>
            </w: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16 522</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(10 339)</w:t>
            </w: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6 184</w:t>
            </w:r>
          </w:p>
        </w:tc>
      </w:tr>
      <w:tr>
        <w:trPr>
          <w:trHeight w:val="255"/>
        </w:trPr>
        <w:tc>
          <w:tcPr>
            <w:tcW w:w="2678" w:type="dxa"/>
            <w:tcBorders>
              <w:top w:val="nil"/>
              <w:left w:val="nil"/>
              <w:bottom w:val="single" w:sz="4" w:space="0" w:color="016794"/>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     Доверителни фондове</w:t>
            </w:r>
          </w:p>
        </w:tc>
        <w:tc>
          <w:tcPr>
            <w:tcW w:w="1136"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1 121</w:t>
            </w:r>
          </w:p>
        </w:tc>
        <w:tc>
          <w:tcPr>
            <w:tcW w:w="1136"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(843)</w:t>
            </w:r>
          </w:p>
        </w:tc>
        <w:tc>
          <w:tcPr>
            <w:tcW w:w="1268" w:type="dxa"/>
            <w:tcBorders>
              <w:top w:val="nil"/>
              <w:left w:val="nil"/>
              <w:bottom w:val="single" w:sz="4" w:space="0" w:color="016794"/>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278</w:t>
            </w:r>
          </w:p>
        </w:tc>
        <w:tc>
          <w:tcPr>
            <w:tcW w:w="1136" w:type="dxa"/>
            <w:tcBorders>
              <w:top w:val="nil"/>
              <w:left w:val="single" w:sz="4" w:space="0" w:color="016794"/>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858</w:t>
            </w:r>
          </w:p>
        </w:tc>
        <w:tc>
          <w:tcPr>
            <w:tcW w:w="1136"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(665)</w:t>
            </w:r>
          </w:p>
        </w:tc>
        <w:tc>
          <w:tcPr>
            <w:tcW w:w="1268"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194</w:t>
            </w:r>
          </w:p>
        </w:tc>
      </w:tr>
      <w:tr>
        <w:trPr>
          <w:trHeight w:val="255"/>
        </w:trPr>
        <w:tc>
          <w:tcPr>
            <w:tcW w:w="267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rPr>
                <w:rFonts w:ascii="Verdana" w:eastAsia="Times New Roman" w:hAnsi="Verdana" w:cs="Verdana"/>
                <w:b/>
                <w:noProof/>
                <w:color w:val="000000"/>
                <w:sz w:val="16"/>
              </w:rPr>
            </w:pP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36 716</w:t>
            </w: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(22 423)</w:t>
            </w:r>
          </w:p>
        </w:tc>
        <w:tc>
          <w:tcPr>
            <w:tcW w:w="1268" w:type="dxa"/>
            <w:tcBorders>
              <w:top w:val="single" w:sz="4" w:space="0" w:color="016794"/>
              <w:left w:val="nil"/>
              <w:bottom w:val="single" w:sz="4" w:space="0" w:color="016794"/>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14 294</w:t>
            </w:r>
          </w:p>
        </w:tc>
        <w:tc>
          <w:tcPr>
            <w:tcW w:w="1136" w:type="dxa"/>
            <w:tcBorders>
              <w:top w:val="single" w:sz="4" w:space="0" w:color="016794"/>
              <w:left w:val="single" w:sz="4" w:space="0" w:color="016794"/>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30 219</w:t>
            </w: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(19 347)</w:t>
            </w:r>
          </w:p>
        </w:tc>
        <w:tc>
          <w:tcPr>
            <w:tcW w:w="126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10 872</w:t>
            </w:r>
          </w:p>
        </w:tc>
      </w:tr>
      <w:tr>
        <w:trPr>
          <w:trHeight w:val="255"/>
        </w:trPr>
        <w:tc>
          <w:tcPr>
            <w:tcW w:w="2678" w:type="dxa"/>
            <w:tcBorders>
              <w:top w:val="single" w:sz="4" w:space="0" w:color="016794"/>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b/>
                <w:noProof/>
                <w:color w:val="000000"/>
                <w:sz w:val="16"/>
              </w:rPr>
            </w:pPr>
            <w:r>
              <w:rPr>
                <w:rFonts w:ascii="Verdana" w:hAnsi="Verdana"/>
                <w:b/>
                <w:noProof/>
                <w:color w:val="000000"/>
                <w:sz w:val="16"/>
              </w:rPr>
              <w:t>Непряко управление</w:t>
            </w:r>
          </w:p>
        </w:tc>
        <w:tc>
          <w:tcPr>
            <w:tcW w:w="1136"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136"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268" w:type="dxa"/>
            <w:tcBorders>
              <w:top w:val="single" w:sz="4" w:space="0" w:color="016794"/>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136" w:type="dxa"/>
            <w:tcBorders>
              <w:top w:val="single" w:sz="4" w:space="0" w:color="016794"/>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136"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c>
          <w:tcPr>
            <w:tcW w:w="1268"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Изпълнено от:</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     Други агенции и органи на ЕС</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1 243</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(781)</w:t>
            </w: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462</w:t>
            </w: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1 162</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(678)</w:t>
            </w: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484</w:t>
            </w: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     Трети държави</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1 515</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(1 043)</w:t>
            </w: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471</w:t>
            </w: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1 491</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(861)</w:t>
            </w: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 xml:space="preserve"> 630</w:t>
            </w: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     Международни организации</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9 068</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(6 020)</w:t>
            </w: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3 048</w:t>
            </w: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8 289</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(5 317)</w:t>
            </w: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2 972</w:t>
            </w:r>
          </w:p>
        </w:tc>
      </w:tr>
      <w:tr>
        <w:trPr>
          <w:trHeight w:val="255"/>
        </w:trPr>
        <w:tc>
          <w:tcPr>
            <w:tcW w:w="2678" w:type="dxa"/>
            <w:tcBorders>
              <w:top w:val="nil"/>
              <w:left w:val="nil"/>
              <w:bottom w:val="single" w:sz="4" w:space="0" w:color="016794"/>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00000"/>
                <w:sz w:val="16"/>
              </w:rPr>
            </w:pPr>
            <w:r>
              <w:rPr>
                <w:rFonts w:ascii="Verdana" w:hAnsi="Verdana"/>
                <w:i/>
                <w:noProof/>
                <w:color w:val="000000"/>
                <w:sz w:val="16"/>
              </w:rPr>
              <w:t xml:space="preserve">     Други субекти</w:t>
            </w:r>
          </w:p>
        </w:tc>
        <w:tc>
          <w:tcPr>
            <w:tcW w:w="1136"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11 665</w:t>
            </w:r>
          </w:p>
        </w:tc>
        <w:tc>
          <w:tcPr>
            <w:tcW w:w="1136"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(6 432)</w:t>
            </w:r>
          </w:p>
        </w:tc>
        <w:tc>
          <w:tcPr>
            <w:tcW w:w="1268" w:type="dxa"/>
            <w:tcBorders>
              <w:top w:val="nil"/>
              <w:left w:val="nil"/>
              <w:bottom w:val="single" w:sz="4" w:space="0" w:color="016794"/>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5 233</w:t>
            </w:r>
          </w:p>
        </w:tc>
        <w:tc>
          <w:tcPr>
            <w:tcW w:w="1136" w:type="dxa"/>
            <w:tcBorders>
              <w:top w:val="nil"/>
              <w:left w:val="single" w:sz="4" w:space="0" w:color="016794"/>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10 570</w:t>
            </w:r>
          </w:p>
        </w:tc>
        <w:tc>
          <w:tcPr>
            <w:tcW w:w="1136"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(6 104)</w:t>
            </w:r>
          </w:p>
        </w:tc>
        <w:tc>
          <w:tcPr>
            <w:tcW w:w="1268" w:type="dxa"/>
            <w:tcBorders>
              <w:top w:val="nil"/>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00000"/>
                <w:sz w:val="16"/>
              </w:rPr>
            </w:pPr>
            <w:r>
              <w:rPr>
                <w:rFonts w:ascii="Verdana" w:hAnsi="Verdana"/>
                <w:i/>
                <w:noProof/>
                <w:color w:val="000000"/>
                <w:sz w:val="16"/>
              </w:rPr>
              <w:t>4 467</w:t>
            </w:r>
          </w:p>
        </w:tc>
      </w:tr>
      <w:tr>
        <w:trPr>
          <w:trHeight w:val="255"/>
        </w:trPr>
        <w:tc>
          <w:tcPr>
            <w:tcW w:w="267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rPr>
                <w:rFonts w:ascii="Verdana" w:eastAsia="Times New Roman" w:hAnsi="Verdana" w:cs="Verdana"/>
                <w:b/>
                <w:noProof/>
                <w:color w:val="000000"/>
                <w:sz w:val="16"/>
              </w:rPr>
            </w:pP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23 491</w:t>
            </w: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(14 276)</w:t>
            </w:r>
          </w:p>
        </w:tc>
        <w:tc>
          <w:tcPr>
            <w:tcW w:w="1268" w:type="dxa"/>
            <w:tcBorders>
              <w:top w:val="single" w:sz="4" w:space="0" w:color="016794"/>
              <w:left w:val="nil"/>
              <w:bottom w:val="single" w:sz="4" w:space="0" w:color="016794"/>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9 215</w:t>
            </w:r>
          </w:p>
        </w:tc>
        <w:tc>
          <w:tcPr>
            <w:tcW w:w="1136" w:type="dxa"/>
            <w:tcBorders>
              <w:top w:val="single" w:sz="4" w:space="0" w:color="016794"/>
              <w:left w:val="single" w:sz="4" w:space="0" w:color="016794"/>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21 513</w:t>
            </w: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(12 960)</w:t>
            </w:r>
          </w:p>
        </w:tc>
        <w:tc>
          <w:tcPr>
            <w:tcW w:w="126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8 553</w:t>
            </w:r>
          </w:p>
        </w:tc>
      </w:tr>
      <w:tr>
        <w:trPr>
          <w:trHeight w:val="255"/>
        </w:trPr>
        <w:tc>
          <w:tcPr>
            <w:tcW w:w="267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rPr>
                <w:rFonts w:ascii="Verdana" w:eastAsia="Times New Roman" w:hAnsi="Verdana" w:cs="Verdana"/>
                <w:b/>
                <w:noProof/>
                <w:color w:val="000000"/>
                <w:sz w:val="16"/>
              </w:rPr>
            </w:pPr>
            <w:r>
              <w:rPr>
                <w:rFonts w:ascii="Verdana" w:hAnsi="Verdana"/>
                <w:b/>
                <w:noProof/>
                <w:color w:val="000000"/>
                <w:sz w:val="16"/>
              </w:rPr>
              <w:t>Общо</w:t>
            </w: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98 888</w:t>
            </w: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(43 412)</w:t>
            </w:r>
          </w:p>
        </w:tc>
        <w:tc>
          <w:tcPr>
            <w:tcW w:w="1268" w:type="dxa"/>
            <w:tcBorders>
              <w:top w:val="single" w:sz="4" w:space="0" w:color="016794"/>
              <w:left w:val="nil"/>
              <w:bottom w:val="single" w:sz="4" w:space="0" w:color="016794"/>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55 476</w:t>
            </w:r>
          </w:p>
        </w:tc>
        <w:tc>
          <w:tcPr>
            <w:tcW w:w="1136" w:type="dxa"/>
            <w:tcBorders>
              <w:top w:val="single" w:sz="4" w:space="0" w:color="016794"/>
              <w:left w:val="single" w:sz="4" w:space="0" w:color="016794"/>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83 289</w:t>
            </w:r>
          </w:p>
        </w:tc>
        <w:tc>
          <w:tcPr>
            <w:tcW w:w="113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(38 840)</w:t>
            </w:r>
          </w:p>
        </w:tc>
        <w:tc>
          <w:tcPr>
            <w:tcW w:w="126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0BIPPFD"/>
              <w:jc w:val="right"/>
              <w:rPr>
                <w:rFonts w:ascii="Verdana" w:eastAsia="Times New Roman" w:hAnsi="Verdana" w:cs="Verdana"/>
                <w:b/>
                <w:noProof/>
                <w:color w:val="000000"/>
                <w:sz w:val="16"/>
              </w:rPr>
            </w:pPr>
            <w:r>
              <w:rPr>
                <w:rFonts w:ascii="Verdana" w:hAnsi="Verdana"/>
                <w:b/>
                <w:noProof/>
                <w:color w:val="000000"/>
                <w:sz w:val="16"/>
              </w:rPr>
              <w:t>44 449</w:t>
            </w:r>
          </w:p>
        </w:tc>
      </w:tr>
      <w:tr>
        <w:trPr>
          <w:trHeight w:val="255"/>
        </w:trPr>
        <w:tc>
          <w:tcPr>
            <w:tcW w:w="2678" w:type="dxa"/>
            <w:tcBorders>
              <w:top w:val="single" w:sz="4" w:space="0" w:color="016794"/>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16794"/>
                <w:sz w:val="16"/>
              </w:rPr>
            </w:pPr>
            <w:r>
              <w:rPr>
                <w:rFonts w:ascii="Verdana" w:hAnsi="Verdana"/>
                <w:i/>
                <w:noProof/>
                <w:color w:val="016794"/>
                <w:sz w:val="16"/>
              </w:rPr>
              <w:t>Нетекущи</w:t>
            </w:r>
          </w:p>
        </w:tc>
        <w:tc>
          <w:tcPr>
            <w:tcW w:w="1136"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30 574</w:t>
            </w:r>
          </w:p>
        </w:tc>
        <w:tc>
          <w:tcPr>
            <w:tcW w:w="1136"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w:t>
            </w:r>
          </w:p>
        </w:tc>
        <w:tc>
          <w:tcPr>
            <w:tcW w:w="1268" w:type="dxa"/>
            <w:tcBorders>
              <w:top w:val="single" w:sz="4" w:space="0" w:color="016794"/>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30 574</w:t>
            </w:r>
          </w:p>
        </w:tc>
        <w:tc>
          <w:tcPr>
            <w:tcW w:w="1136" w:type="dxa"/>
            <w:tcBorders>
              <w:top w:val="single" w:sz="4" w:space="0" w:color="016794"/>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22 135</w:t>
            </w:r>
          </w:p>
        </w:tc>
        <w:tc>
          <w:tcPr>
            <w:tcW w:w="1136"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w:t>
            </w:r>
          </w:p>
        </w:tc>
        <w:tc>
          <w:tcPr>
            <w:tcW w:w="1268" w:type="dxa"/>
            <w:tcBorders>
              <w:top w:val="single" w:sz="4" w:space="0" w:color="016794"/>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22 135</w:t>
            </w:r>
          </w:p>
        </w:tc>
      </w:tr>
      <w:tr>
        <w:trPr>
          <w:trHeight w:val="255"/>
        </w:trPr>
        <w:tc>
          <w:tcPr>
            <w:tcW w:w="2678" w:type="dxa"/>
            <w:tcBorders>
              <w:top w:val="nil"/>
              <w:left w:val="nil"/>
              <w:bottom w:val="nil"/>
              <w:right w:val="nil"/>
            </w:tcBorders>
            <w:tcMar>
              <w:top w:w="0" w:type="dxa"/>
              <w:left w:w="60" w:type="dxa"/>
              <w:bottom w:w="0" w:type="dxa"/>
              <w:right w:w="60" w:type="dxa"/>
            </w:tcMar>
            <w:vAlign w:val="center"/>
          </w:tcPr>
          <w:p>
            <w:pPr>
              <w:pStyle w:val="DMETW19880BIPPFD"/>
              <w:rPr>
                <w:rFonts w:ascii="Verdana" w:eastAsia="Times New Roman" w:hAnsi="Verdana" w:cs="Verdana"/>
                <w:i/>
                <w:noProof/>
                <w:color w:val="016794"/>
                <w:sz w:val="16"/>
              </w:rPr>
            </w:pPr>
            <w:r>
              <w:rPr>
                <w:rFonts w:ascii="Verdana" w:hAnsi="Verdana"/>
                <w:i/>
                <w:noProof/>
                <w:color w:val="016794"/>
                <w:sz w:val="16"/>
              </w:rPr>
              <w:t>Текущи</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68 314</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(43 412)</w:t>
            </w:r>
          </w:p>
        </w:tc>
        <w:tc>
          <w:tcPr>
            <w:tcW w:w="1268" w:type="dxa"/>
            <w:tcBorders>
              <w:top w:val="nil"/>
              <w:left w:val="nil"/>
              <w:bottom w:val="nil"/>
              <w:right w:val="single" w:sz="4" w:space="0" w:color="016794"/>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24 902</w:t>
            </w:r>
          </w:p>
        </w:tc>
        <w:tc>
          <w:tcPr>
            <w:tcW w:w="1136" w:type="dxa"/>
            <w:tcBorders>
              <w:top w:val="nil"/>
              <w:left w:val="single" w:sz="4" w:space="0" w:color="016794"/>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61 154</w:t>
            </w:r>
          </w:p>
        </w:tc>
        <w:tc>
          <w:tcPr>
            <w:tcW w:w="1136"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(38 840)</w:t>
            </w:r>
          </w:p>
        </w:tc>
        <w:tc>
          <w:tcPr>
            <w:tcW w:w="1268" w:type="dxa"/>
            <w:tcBorders>
              <w:top w:val="nil"/>
              <w:left w:val="nil"/>
              <w:bottom w:val="nil"/>
              <w:right w:val="nil"/>
            </w:tcBorders>
            <w:tcMar>
              <w:top w:w="0" w:type="dxa"/>
              <w:left w:w="60" w:type="dxa"/>
              <w:bottom w:w="0" w:type="dxa"/>
              <w:right w:w="60" w:type="dxa"/>
            </w:tcMar>
            <w:vAlign w:val="center"/>
          </w:tcPr>
          <w:p>
            <w:pPr>
              <w:pStyle w:val="DMETW19880BIPPFD"/>
              <w:jc w:val="right"/>
              <w:rPr>
                <w:rFonts w:ascii="Verdana" w:eastAsia="Times New Roman" w:hAnsi="Verdana" w:cs="Verdana"/>
                <w:i/>
                <w:noProof/>
                <w:color w:val="016794"/>
                <w:sz w:val="16"/>
              </w:rPr>
            </w:pPr>
            <w:r>
              <w:rPr>
                <w:rFonts w:ascii="Verdana" w:hAnsi="Verdana"/>
                <w:i/>
                <w:noProof/>
                <w:color w:val="016794"/>
                <w:sz w:val="16"/>
              </w:rPr>
              <w:t>22 314</w:t>
            </w:r>
          </w:p>
        </w:tc>
      </w:tr>
    </w:tbl>
    <w:p>
      <w:pPr>
        <w:pStyle w:val="DGTextstand-alone"/>
      </w:pPr>
      <w:r>
        <w:t xml:space="preserve">Предварителното финансиране представлява платени средства, а следователно и изпълнение на бюджетни кредити за плащания. Както бе обяснено в бележка </w:t>
      </w:r>
      <w:r>
        <w:rPr>
          <w:b/>
        </w:rPr>
        <w:t>1.5.7</w:t>
      </w:r>
      <w:r>
        <w:t>, това са авансово платени средства, поради което те все още не са отчетени като разход. Поради това, въпреки че предварителното финансиране намалява оставащите RAL (вж. бележка </w:t>
      </w:r>
      <w:r>
        <w:rPr>
          <w:b/>
        </w:rPr>
        <w:t>5.1</w:t>
      </w:r>
      <w:r>
        <w:t>), то представлява разходи, които все още не са приети и не са признати в отчета за финансовия резултат.</w:t>
      </w:r>
    </w:p>
    <w:p>
      <w:pPr>
        <w:pStyle w:val="DGTextstand-alone"/>
      </w:pPr>
      <w:r>
        <w:t xml:space="preserve">Що се отнася до споделеното управление, почти цялото предварително финансиране се отнася до периода на програмиране 2014—2020 г. Съществува първоначално предварително финансиране, което няма да бъде изчистено (т.е. признато в отчета за финансовия резултат) преди края на периода на програмиране и се посочва като нетекущо предварително финансиране. </w:t>
      </w:r>
    </w:p>
    <w:p>
      <w:pPr>
        <w:pStyle w:val="DGTextstand-alone"/>
      </w:pPr>
      <w:r>
        <w:t xml:space="preserve">Що се отнася до областта на сближаването, съществува също така годишно предварително финансиране, което се изчиства на годишна база и се посочва като текущо предварително финансиране. Поради пандемията от COVID-19 обаче и въз основа на мерките по Инвестиционната инициатива в отговор на коронавируса неизползваната част от годишното предварително финансиране за 2019 г. не бе събрана през 2020 г., както се прави обикновено. Общата сума, която съответства на 6,6 милиарда евро, е показана при нетекущото предварително финансиране. Несъбирането през 2020 г. на годишното предварително финансиране за 2019 г. е важен фактор, обясняващ увеличението на предварителното финансиране под споделено управление към края на годината. </w:t>
      </w:r>
    </w:p>
    <w:p>
      <w:pPr>
        <w:pStyle w:val="DGTextstand-alone"/>
      </w:pPr>
      <w:r>
        <w:t xml:space="preserve">Новите плащания по предварителното финансиране, извършени в областта на сближаването, включват годишното предварително финансиране за 2020 г. (10 милиарда евро), но и плащанията от фонд „Солидарност“ на ЕС (1,1 милиарда евро). </w:t>
      </w:r>
    </w:p>
    <w:p>
      <w:pPr>
        <w:pStyle w:val="DGTextstand-alone"/>
      </w:pPr>
      <w:r>
        <w:t>Що се отнася до прякото управление, най-голямата част от предварителното финансиране е свързана с научните изследвания (предимно „Хоризонт 2020“, изпълнявана от Комисията и изпълнителните агенции на ЕС) и възлиза на 9,3 милиарда евро (2019 г.: 7,8 милиарда евро). Увеличението е следствие от споразуменията, сключени през 2020 г., за които са извършени плащания по предварителното финансиране.</w:t>
      </w:r>
    </w:p>
    <w:p>
      <w:pPr>
        <w:pStyle w:val="DGTextstand-alone"/>
      </w:pPr>
      <w:r>
        <w:t xml:space="preserve">Що се отнася до непрякото управление, предварителното финансиране обхваща предимно програми по линия на вътрешните политики, като „Галилео“ и EGNOS, но и инструменти, свързани с външните отношения, като ЕИС (Европейския инструмент за съседство), ИСР (Инструмента за сътрудничество за развитие) и ИПП (Инструмента за предприсъединителна помощ). Увеличението на предварителното финансиране за международни организации се отнася предимно до горепосочените инструменти в областта на външните отношения. </w:t>
      </w:r>
    </w:p>
    <w:p>
      <w:pPr>
        <w:pStyle w:val="HEADER5"/>
        <w:rPr>
          <w:b/>
          <w:noProof/>
        </w:rPr>
      </w:pPr>
      <w:r>
        <w:rPr>
          <w:noProof/>
        </w:rPr>
        <w:t>Гаранции, получени по отношение на предварително финансиране</w:t>
      </w:r>
    </w:p>
    <w:p>
      <w:pPr>
        <w:pStyle w:val="DGTextstand-alone"/>
      </w:pPr>
      <w:r>
        <w:t>Това са гаранции, които Комисията изисква в определени случаи от бенефициерите, които не са държави членки, при извършване на авансови плащания (предварително финансиране). За този вид гаранция се оповестяват две стойности: „номиналната“ и „текущата“ стойност. При номиналната стойност пораждащото събитие е свързано със съществуването на гаранцията. При текущата стойност пораждащото събитие за гаранцията е плащането по предварителното финансиране, извършено спрямо гаранцията, което след това се намалява с последващите изчиствания. Към 31 декември 2020 г. номиналната стойност на гаранциите, получени във връзка с предварително финансиране, възлизаше на 466 милиона евро, докато текущата стойност на тези гаранции бе 402 милиона евро (2019 г.: съответно 492 милиона евро и 406 милиона евро).</w:t>
      </w:r>
    </w:p>
    <w:p>
      <w:pPr>
        <w:pStyle w:val="DGTextstand-alone"/>
      </w:pPr>
      <w:r>
        <w:t>Някои суми предварително финансиране, платени по 7-та рамкова програма за научни изследвания и технологично развитие (7РП) и по програмата „Хоризонт 2020“, успешно се покриват от Гаранционен фонд за участниците (ГФУ). ГФУ е инструмент от взаимна полза, създаден с цел покриване на рисковете, свързани с неплащането на суми от страна на бенефициерите в хода на изпълнението на дейностите по линия на 7РП и „Хоризонт 2020“. Всички участници в непреки дейности, които получават безвъзмездни средства от ЕС, внасят 5 % от общия размер на получените средства в капитала на ГФУ.</w:t>
      </w:r>
    </w:p>
    <w:p>
      <w:pPr>
        <w:pStyle w:val="DGTextstand-alone"/>
      </w:pPr>
      <w:r>
        <w:t>Към 31 декември 2020 г. сумите по предварителното финансиране, покрити от ГФУ, възлизаха на общо 2,3 милиарда евро (2019 г.: 2,1 милиарда евро). ЕС (представляван от Комисията) действа като изпълнител за участниците в ГФУ, но Фондът се притежава от участниците.</w:t>
      </w:r>
    </w:p>
    <w:p>
      <w:pPr>
        <w:pStyle w:val="DGTextstand-alone"/>
      </w:pPr>
      <w:r>
        <w:t>Към края на годината ГФУ имаше активи на обща стойност 2,4 милиарда евро (2019 г.: 2,2 милиарда евро). Активите на ГФУ включват също финансови активи, които се управляват от Комисията. Тъй като ГФУ е отделен субект, активите му не се консолидират в годишните отчети на ЕС.</w:t>
      </w:r>
    </w:p>
    <w:p>
      <w:pPr>
        <w:pStyle w:val="HEADER3NOTES"/>
        <w:rPr>
          <w:noProof/>
        </w:rPr>
      </w:pPr>
      <w:r>
        <w:rPr>
          <w:noProof/>
        </w:rPr>
        <w:t>Други средства, предоставени авансово на държавите членки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3"/>
        <w:gridCol w:w="2102"/>
        <w:gridCol w:w="2103"/>
      </w:tblGrid>
      <w:tr>
        <w:trPr>
          <w:trHeight w:val="255"/>
        </w:trPr>
        <w:tc>
          <w:tcPr>
            <w:tcW w:w="5553" w:type="dxa"/>
            <w:tcBorders>
              <w:top w:val="nil"/>
              <w:left w:val="nil"/>
              <w:bottom w:val="nil"/>
              <w:right w:val="nil"/>
            </w:tcBorders>
            <w:tcMar>
              <w:top w:w="0" w:type="dxa"/>
              <w:left w:w="60" w:type="dxa"/>
              <w:bottom w:w="0" w:type="dxa"/>
              <w:right w:w="60" w:type="dxa"/>
            </w:tcMar>
            <w:vAlign w:val="bottom"/>
          </w:tcPr>
          <w:p>
            <w:pPr>
              <w:pStyle w:val="DMETW19540BIPFEIAS"/>
              <w:rPr>
                <w:rFonts w:ascii="Arial" w:eastAsia="Times New Roman" w:hAnsi="Arial" w:cs="Arial"/>
                <w:noProof/>
                <w:color w:val="000000"/>
              </w:rPr>
            </w:pPr>
            <w:bookmarkStart w:id="109" w:name="DOC_TBL00024_1_1"/>
            <w:bookmarkEnd w:id="109"/>
          </w:p>
        </w:tc>
        <w:tc>
          <w:tcPr>
            <w:tcW w:w="2102" w:type="dxa"/>
            <w:tcBorders>
              <w:top w:val="nil"/>
              <w:left w:val="nil"/>
              <w:bottom w:val="nil"/>
              <w:right w:val="nil"/>
            </w:tcBorders>
            <w:tcMar>
              <w:top w:w="0" w:type="dxa"/>
              <w:left w:w="60" w:type="dxa"/>
              <w:bottom w:w="0" w:type="dxa"/>
              <w:right w:w="60" w:type="dxa"/>
            </w:tcMar>
            <w:vAlign w:val="bottom"/>
          </w:tcPr>
          <w:p>
            <w:pPr>
              <w:pStyle w:val="DMETW19540BIPFEIAS"/>
              <w:rPr>
                <w:rFonts w:ascii="Arial" w:eastAsia="Times New Roman" w:hAnsi="Arial" w:cs="Arial"/>
                <w:noProof/>
                <w:color w:val="000000"/>
              </w:rPr>
            </w:pPr>
          </w:p>
        </w:tc>
        <w:tc>
          <w:tcPr>
            <w:tcW w:w="2103" w:type="dxa"/>
            <w:tcBorders>
              <w:top w:val="nil"/>
              <w:left w:val="nil"/>
              <w:bottom w:val="nil"/>
              <w:right w:val="nil"/>
            </w:tcBorders>
            <w:tcMar>
              <w:top w:w="0" w:type="dxa"/>
              <w:left w:w="60" w:type="dxa"/>
              <w:bottom w:w="0" w:type="dxa"/>
              <w:right w:w="60" w:type="dxa"/>
            </w:tcMar>
            <w:vAlign w:val="bottom"/>
          </w:tcPr>
          <w:p>
            <w:pPr>
              <w:pStyle w:val="DMETW19540BIPFEIAS"/>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5553" w:type="dxa"/>
            <w:tcBorders>
              <w:top w:val="nil"/>
              <w:left w:val="nil"/>
              <w:bottom w:val="nil"/>
              <w:right w:val="nil"/>
            </w:tcBorders>
            <w:shd w:val="solid" w:color="016794" w:fill="FFFFFF"/>
            <w:tcMar>
              <w:top w:w="0" w:type="dxa"/>
              <w:left w:w="60" w:type="dxa"/>
              <w:bottom w:w="0" w:type="dxa"/>
              <w:right w:w="60" w:type="dxa"/>
            </w:tcMar>
            <w:vAlign w:val="center"/>
          </w:tcPr>
          <w:p>
            <w:pPr>
              <w:pStyle w:val="DMETW19540BIPFEIAS"/>
              <w:jc w:val="center"/>
              <w:rPr>
                <w:rFonts w:ascii="Verdana" w:eastAsia="Times New Roman" w:hAnsi="Verdana" w:cs="Verdana"/>
                <w:noProof/>
                <w:color w:val="FFFFFF"/>
              </w:rPr>
            </w:pPr>
          </w:p>
        </w:tc>
        <w:tc>
          <w:tcPr>
            <w:tcW w:w="2102" w:type="dxa"/>
            <w:tcBorders>
              <w:top w:val="nil"/>
              <w:left w:val="nil"/>
              <w:bottom w:val="nil"/>
              <w:right w:val="nil"/>
            </w:tcBorders>
            <w:shd w:val="solid" w:color="016794" w:fill="FFFFFF"/>
            <w:tcMar>
              <w:top w:w="0" w:type="dxa"/>
              <w:left w:w="60" w:type="dxa"/>
              <w:bottom w:w="0" w:type="dxa"/>
              <w:right w:w="60" w:type="dxa"/>
            </w:tcMar>
            <w:vAlign w:val="center"/>
          </w:tcPr>
          <w:p>
            <w:pPr>
              <w:pStyle w:val="DMETW19540BIPFEIAS"/>
              <w:jc w:val="right"/>
              <w:rPr>
                <w:rFonts w:ascii="Verdana" w:eastAsia="Times New Roman" w:hAnsi="Verdana" w:cs="Verdana"/>
                <w:noProof/>
                <w:color w:val="FFFFFF"/>
              </w:rPr>
            </w:pPr>
            <w:r>
              <w:rPr>
                <w:rFonts w:ascii="Verdana" w:hAnsi="Verdana"/>
                <w:noProof/>
                <w:color w:val="FFFFFF"/>
              </w:rPr>
              <w:t>31.12.2020 г.</w:t>
            </w:r>
          </w:p>
        </w:tc>
        <w:tc>
          <w:tcPr>
            <w:tcW w:w="2103" w:type="dxa"/>
            <w:tcBorders>
              <w:top w:val="nil"/>
              <w:left w:val="nil"/>
              <w:bottom w:val="nil"/>
              <w:right w:val="nil"/>
            </w:tcBorders>
            <w:shd w:val="solid" w:color="016794" w:fill="FFFFFF"/>
            <w:tcMar>
              <w:top w:w="0" w:type="dxa"/>
              <w:left w:w="60" w:type="dxa"/>
              <w:bottom w:w="0" w:type="dxa"/>
              <w:right w:w="60" w:type="dxa"/>
            </w:tcMar>
            <w:vAlign w:val="center"/>
          </w:tcPr>
          <w:p>
            <w:pPr>
              <w:pStyle w:val="DMETW19540BIPFEIAS"/>
              <w:jc w:val="right"/>
              <w:rPr>
                <w:rFonts w:ascii="Verdana" w:eastAsia="Times New Roman" w:hAnsi="Verdana" w:cs="Verdana"/>
                <w:noProof/>
                <w:color w:val="FFFFFF"/>
              </w:rPr>
            </w:pPr>
            <w:r>
              <w:rPr>
                <w:rFonts w:ascii="Verdana" w:hAnsi="Verdana"/>
                <w:noProof/>
                <w:color w:val="FFFFFF"/>
              </w:rPr>
              <w:t>31.12.2019 г.</w:t>
            </w:r>
          </w:p>
        </w:tc>
      </w:tr>
      <w:tr>
        <w:trPr>
          <w:trHeight w:val="255"/>
        </w:trPr>
        <w:tc>
          <w:tcPr>
            <w:tcW w:w="5553" w:type="dxa"/>
            <w:tcBorders>
              <w:top w:val="nil"/>
              <w:left w:val="nil"/>
              <w:bottom w:val="nil"/>
              <w:right w:val="nil"/>
            </w:tcBorders>
            <w:tcMar>
              <w:top w:w="0" w:type="dxa"/>
              <w:left w:w="60" w:type="dxa"/>
              <w:bottom w:w="0" w:type="dxa"/>
              <w:right w:w="60" w:type="dxa"/>
            </w:tcMar>
            <w:vAlign w:val="center"/>
          </w:tcPr>
          <w:p>
            <w:pPr>
              <w:pStyle w:val="DMETW19540BIPFEIAS"/>
              <w:rPr>
                <w:rFonts w:ascii="Verdana" w:eastAsia="Times New Roman" w:hAnsi="Verdana" w:cs="Verdana"/>
                <w:i/>
                <w:noProof/>
                <w:color w:val="000000"/>
                <w:sz w:val="18"/>
              </w:rPr>
            </w:pPr>
            <w:r>
              <w:rPr>
                <w:rFonts w:ascii="Verdana" w:hAnsi="Verdana"/>
                <w:i/>
                <w:noProof/>
                <w:color w:val="000000"/>
                <w:sz w:val="18"/>
              </w:rPr>
              <w:t>Авансови средства, отпуснати на държавите членки, за финансовите инструменти под режим споделено управление</w:t>
            </w:r>
          </w:p>
        </w:tc>
        <w:tc>
          <w:tcPr>
            <w:tcW w:w="2102" w:type="dxa"/>
            <w:tcBorders>
              <w:top w:val="nil"/>
              <w:left w:val="nil"/>
              <w:bottom w:val="nil"/>
              <w:right w:val="nil"/>
            </w:tcBorders>
            <w:tcMar>
              <w:top w:w="0" w:type="dxa"/>
              <w:left w:w="60" w:type="dxa"/>
              <w:bottom w:w="0" w:type="dxa"/>
              <w:right w:w="60" w:type="dxa"/>
            </w:tcMar>
            <w:vAlign w:val="center"/>
          </w:tcPr>
          <w:p>
            <w:pPr>
              <w:pStyle w:val="DMETW19540BIPFEIAS"/>
              <w:jc w:val="right"/>
              <w:rPr>
                <w:rFonts w:ascii="Verdana" w:eastAsia="Times New Roman" w:hAnsi="Verdana" w:cs="Verdana"/>
                <w:i/>
                <w:noProof/>
                <w:color w:val="000000"/>
                <w:sz w:val="18"/>
              </w:rPr>
            </w:pPr>
            <w:r>
              <w:rPr>
                <w:rFonts w:ascii="Verdana" w:hAnsi="Verdana"/>
                <w:i/>
                <w:noProof/>
                <w:color w:val="000000"/>
                <w:sz w:val="18"/>
              </w:rPr>
              <w:t>3 520</w:t>
            </w:r>
          </w:p>
        </w:tc>
        <w:tc>
          <w:tcPr>
            <w:tcW w:w="2103" w:type="dxa"/>
            <w:tcBorders>
              <w:top w:val="nil"/>
              <w:left w:val="nil"/>
              <w:bottom w:val="nil"/>
              <w:right w:val="nil"/>
            </w:tcBorders>
            <w:tcMar>
              <w:top w:w="0" w:type="dxa"/>
              <w:left w:w="60" w:type="dxa"/>
              <w:bottom w:w="0" w:type="dxa"/>
              <w:right w:w="60" w:type="dxa"/>
            </w:tcMar>
            <w:vAlign w:val="center"/>
          </w:tcPr>
          <w:p>
            <w:pPr>
              <w:pStyle w:val="DMETW19540BIPFEIAS"/>
              <w:jc w:val="right"/>
              <w:rPr>
                <w:rFonts w:ascii="Verdana" w:eastAsia="Times New Roman" w:hAnsi="Verdana" w:cs="Verdana"/>
                <w:i/>
                <w:noProof/>
                <w:color w:val="000000"/>
                <w:sz w:val="18"/>
              </w:rPr>
            </w:pPr>
            <w:r>
              <w:rPr>
                <w:rFonts w:ascii="Verdana" w:hAnsi="Verdana"/>
                <w:i/>
                <w:noProof/>
                <w:color w:val="000000"/>
                <w:sz w:val="18"/>
              </w:rPr>
              <w:t>3 304</w:t>
            </w:r>
          </w:p>
        </w:tc>
      </w:tr>
      <w:tr>
        <w:trPr>
          <w:trHeight w:val="255"/>
        </w:trPr>
        <w:tc>
          <w:tcPr>
            <w:tcW w:w="5553" w:type="dxa"/>
            <w:tcBorders>
              <w:top w:val="nil"/>
              <w:left w:val="nil"/>
              <w:bottom w:val="single" w:sz="4" w:space="0" w:color="016794"/>
              <w:right w:val="nil"/>
            </w:tcBorders>
            <w:tcMar>
              <w:top w:w="0" w:type="dxa"/>
              <w:left w:w="60" w:type="dxa"/>
              <w:bottom w:w="0" w:type="dxa"/>
              <w:right w:w="60" w:type="dxa"/>
            </w:tcMar>
            <w:vAlign w:val="center"/>
          </w:tcPr>
          <w:p>
            <w:pPr>
              <w:pStyle w:val="DMETW19540BIPFEIAS"/>
              <w:rPr>
                <w:rFonts w:ascii="Verdana" w:eastAsia="Times New Roman" w:hAnsi="Verdana" w:cs="Verdana"/>
                <w:i/>
                <w:noProof/>
                <w:color w:val="000000"/>
                <w:sz w:val="18"/>
              </w:rPr>
            </w:pPr>
            <w:r>
              <w:rPr>
                <w:rFonts w:ascii="Verdana" w:hAnsi="Verdana"/>
                <w:i/>
                <w:noProof/>
                <w:color w:val="000000"/>
                <w:sz w:val="18"/>
              </w:rPr>
              <w:t>Схеми за помощ</w:t>
            </w:r>
          </w:p>
        </w:tc>
        <w:tc>
          <w:tcPr>
            <w:tcW w:w="2102" w:type="dxa"/>
            <w:tcBorders>
              <w:top w:val="nil"/>
              <w:left w:val="nil"/>
              <w:bottom w:val="single" w:sz="4" w:space="0" w:color="016794"/>
              <w:right w:val="nil"/>
            </w:tcBorders>
            <w:tcMar>
              <w:top w:w="0" w:type="dxa"/>
              <w:left w:w="60" w:type="dxa"/>
              <w:bottom w:w="0" w:type="dxa"/>
              <w:right w:w="60" w:type="dxa"/>
            </w:tcMar>
            <w:vAlign w:val="center"/>
          </w:tcPr>
          <w:p>
            <w:pPr>
              <w:pStyle w:val="DMETW19540BIPFEIAS"/>
              <w:jc w:val="right"/>
              <w:rPr>
                <w:rFonts w:ascii="Verdana" w:eastAsia="Times New Roman" w:hAnsi="Verdana" w:cs="Verdana"/>
                <w:i/>
                <w:noProof/>
                <w:color w:val="000000"/>
                <w:sz w:val="18"/>
              </w:rPr>
            </w:pPr>
            <w:r>
              <w:rPr>
                <w:rFonts w:ascii="Verdana" w:hAnsi="Verdana"/>
                <w:i/>
                <w:noProof/>
                <w:color w:val="000000"/>
                <w:sz w:val="18"/>
              </w:rPr>
              <w:t>3 633</w:t>
            </w:r>
          </w:p>
        </w:tc>
        <w:tc>
          <w:tcPr>
            <w:tcW w:w="2103" w:type="dxa"/>
            <w:tcBorders>
              <w:top w:val="nil"/>
              <w:left w:val="nil"/>
              <w:bottom w:val="single" w:sz="4" w:space="0" w:color="016794"/>
              <w:right w:val="nil"/>
            </w:tcBorders>
            <w:tcMar>
              <w:top w:w="0" w:type="dxa"/>
              <w:left w:w="60" w:type="dxa"/>
              <w:bottom w:w="0" w:type="dxa"/>
              <w:right w:w="60" w:type="dxa"/>
            </w:tcMar>
            <w:vAlign w:val="center"/>
          </w:tcPr>
          <w:p>
            <w:pPr>
              <w:pStyle w:val="DMETW19540BIPFEIAS"/>
              <w:jc w:val="right"/>
              <w:rPr>
                <w:rFonts w:ascii="Verdana" w:eastAsia="Times New Roman" w:hAnsi="Verdana" w:cs="Verdana"/>
                <w:i/>
                <w:noProof/>
                <w:color w:val="000000"/>
                <w:sz w:val="18"/>
              </w:rPr>
            </w:pPr>
            <w:r>
              <w:rPr>
                <w:rFonts w:ascii="Verdana" w:hAnsi="Verdana"/>
                <w:i/>
                <w:noProof/>
                <w:color w:val="000000"/>
                <w:sz w:val="18"/>
              </w:rPr>
              <w:t>3 634</w:t>
            </w:r>
          </w:p>
        </w:tc>
      </w:tr>
      <w:tr>
        <w:trPr>
          <w:trHeight w:val="255"/>
        </w:trPr>
        <w:tc>
          <w:tcPr>
            <w:tcW w:w="555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540BIPFEIAS"/>
              <w:rPr>
                <w:rFonts w:ascii="Verdana" w:eastAsia="Times New Roman" w:hAnsi="Verdana" w:cs="Verdana"/>
                <w:b/>
                <w:noProof/>
                <w:color w:val="000000"/>
                <w:sz w:val="18"/>
              </w:rPr>
            </w:pPr>
            <w:r>
              <w:rPr>
                <w:rFonts w:ascii="Verdana" w:hAnsi="Verdana"/>
                <w:b/>
                <w:noProof/>
                <w:color w:val="000000"/>
                <w:sz w:val="18"/>
              </w:rPr>
              <w:t>Общо</w:t>
            </w:r>
          </w:p>
        </w:tc>
        <w:tc>
          <w:tcPr>
            <w:tcW w:w="210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540BIPFEIAS"/>
              <w:jc w:val="right"/>
              <w:rPr>
                <w:rFonts w:ascii="Verdana" w:eastAsia="Times New Roman" w:hAnsi="Verdana" w:cs="Verdana"/>
                <w:b/>
                <w:noProof/>
                <w:color w:val="000000"/>
                <w:sz w:val="18"/>
              </w:rPr>
            </w:pPr>
            <w:r>
              <w:rPr>
                <w:rFonts w:ascii="Verdana" w:hAnsi="Verdana"/>
                <w:b/>
                <w:noProof/>
                <w:color w:val="000000"/>
                <w:sz w:val="18"/>
              </w:rPr>
              <w:t>7 153</w:t>
            </w:r>
          </w:p>
        </w:tc>
        <w:tc>
          <w:tcPr>
            <w:tcW w:w="210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540BIPFEIAS"/>
              <w:jc w:val="right"/>
              <w:rPr>
                <w:rFonts w:ascii="Verdana" w:eastAsia="Times New Roman" w:hAnsi="Verdana" w:cs="Verdana"/>
                <w:b/>
                <w:noProof/>
                <w:color w:val="000000"/>
                <w:sz w:val="18"/>
              </w:rPr>
            </w:pPr>
            <w:r>
              <w:rPr>
                <w:rFonts w:ascii="Verdana" w:hAnsi="Verdana"/>
                <w:b/>
                <w:noProof/>
                <w:color w:val="000000"/>
                <w:sz w:val="18"/>
              </w:rPr>
              <w:t>6 937</w:t>
            </w:r>
          </w:p>
        </w:tc>
      </w:tr>
      <w:tr>
        <w:trPr>
          <w:trHeight w:val="255"/>
        </w:trPr>
        <w:tc>
          <w:tcPr>
            <w:tcW w:w="5553" w:type="dxa"/>
            <w:tcBorders>
              <w:top w:val="single" w:sz="4" w:space="0" w:color="016794"/>
              <w:left w:val="nil"/>
              <w:bottom w:val="nil"/>
              <w:right w:val="nil"/>
            </w:tcBorders>
            <w:tcMar>
              <w:top w:w="0" w:type="dxa"/>
              <w:left w:w="60" w:type="dxa"/>
              <w:bottom w:w="0" w:type="dxa"/>
              <w:right w:w="60" w:type="dxa"/>
            </w:tcMar>
            <w:vAlign w:val="center"/>
          </w:tcPr>
          <w:p>
            <w:pPr>
              <w:pStyle w:val="DMETW19540BIPFEIAS"/>
              <w:rPr>
                <w:rFonts w:ascii="Verdana" w:eastAsia="Times New Roman" w:hAnsi="Verdana" w:cs="Verdana"/>
                <w:i/>
                <w:noProof/>
                <w:color w:val="016794"/>
                <w:sz w:val="18"/>
              </w:rPr>
            </w:pPr>
            <w:r>
              <w:rPr>
                <w:rFonts w:ascii="Verdana" w:hAnsi="Verdana"/>
                <w:i/>
                <w:noProof/>
                <w:color w:val="016794"/>
                <w:sz w:val="18"/>
              </w:rPr>
              <w:t>Нетекущи</w:t>
            </w:r>
          </w:p>
        </w:tc>
        <w:tc>
          <w:tcPr>
            <w:tcW w:w="2102" w:type="dxa"/>
            <w:tcBorders>
              <w:top w:val="single" w:sz="4" w:space="0" w:color="016794"/>
              <w:left w:val="nil"/>
              <w:bottom w:val="nil"/>
              <w:right w:val="nil"/>
            </w:tcBorders>
            <w:tcMar>
              <w:top w:w="0" w:type="dxa"/>
              <w:left w:w="60" w:type="dxa"/>
              <w:bottom w:w="0" w:type="dxa"/>
              <w:right w:w="60" w:type="dxa"/>
            </w:tcMar>
            <w:vAlign w:val="center"/>
          </w:tcPr>
          <w:p>
            <w:pPr>
              <w:pStyle w:val="DMETW19540BIPFEIAS"/>
              <w:jc w:val="right"/>
              <w:rPr>
                <w:rFonts w:ascii="Verdana" w:eastAsia="Times New Roman" w:hAnsi="Verdana" w:cs="Verdana"/>
                <w:i/>
                <w:noProof/>
                <w:color w:val="016794"/>
                <w:sz w:val="18"/>
              </w:rPr>
            </w:pPr>
            <w:r>
              <w:rPr>
                <w:rFonts w:ascii="Verdana" w:hAnsi="Verdana"/>
                <w:i/>
                <w:noProof/>
                <w:color w:val="016794"/>
                <w:sz w:val="18"/>
              </w:rPr>
              <w:t>3 825</w:t>
            </w:r>
          </w:p>
        </w:tc>
        <w:tc>
          <w:tcPr>
            <w:tcW w:w="2103" w:type="dxa"/>
            <w:tcBorders>
              <w:top w:val="single" w:sz="4" w:space="0" w:color="016794"/>
              <w:left w:val="nil"/>
              <w:bottom w:val="nil"/>
              <w:right w:val="nil"/>
            </w:tcBorders>
            <w:tcMar>
              <w:top w:w="0" w:type="dxa"/>
              <w:left w:w="60" w:type="dxa"/>
              <w:bottom w:w="0" w:type="dxa"/>
              <w:right w:w="60" w:type="dxa"/>
            </w:tcMar>
            <w:vAlign w:val="center"/>
          </w:tcPr>
          <w:p>
            <w:pPr>
              <w:pStyle w:val="DMETW19540BIPFEIAS"/>
              <w:jc w:val="right"/>
              <w:rPr>
                <w:rFonts w:ascii="Verdana" w:eastAsia="Times New Roman" w:hAnsi="Verdana" w:cs="Verdana"/>
                <w:i/>
                <w:noProof/>
                <w:color w:val="016794"/>
                <w:sz w:val="18"/>
              </w:rPr>
            </w:pPr>
            <w:r>
              <w:rPr>
                <w:rFonts w:ascii="Verdana" w:hAnsi="Verdana"/>
                <w:i/>
                <w:noProof/>
                <w:color w:val="016794"/>
                <w:sz w:val="18"/>
              </w:rPr>
              <w:t>4 045</w:t>
            </w:r>
          </w:p>
        </w:tc>
      </w:tr>
      <w:tr>
        <w:trPr>
          <w:trHeight w:val="255"/>
        </w:trPr>
        <w:tc>
          <w:tcPr>
            <w:tcW w:w="5553" w:type="dxa"/>
            <w:tcBorders>
              <w:top w:val="nil"/>
              <w:left w:val="nil"/>
              <w:bottom w:val="nil"/>
              <w:right w:val="nil"/>
            </w:tcBorders>
            <w:tcMar>
              <w:top w:w="0" w:type="dxa"/>
              <w:left w:w="60" w:type="dxa"/>
              <w:bottom w:w="0" w:type="dxa"/>
              <w:right w:w="60" w:type="dxa"/>
            </w:tcMar>
            <w:vAlign w:val="center"/>
          </w:tcPr>
          <w:p>
            <w:pPr>
              <w:pStyle w:val="DMETW19540BIPFEIAS"/>
              <w:rPr>
                <w:rFonts w:ascii="Verdana" w:eastAsia="Times New Roman" w:hAnsi="Verdana" w:cs="Verdana"/>
                <w:i/>
                <w:noProof/>
                <w:color w:val="016794"/>
                <w:sz w:val="18"/>
              </w:rPr>
            </w:pPr>
            <w:r>
              <w:rPr>
                <w:rFonts w:ascii="Verdana" w:hAnsi="Verdana"/>
                <w:i/>
                <w:noProof/>
                <w:color w:val="016794"/>
                <w:sz w:val="18"/>
              </w:rPr>
              <w:t>Текущи</w:t>
            </w:r>
          </w:p>
        </w:tc>
        <w:tc>
          <w:tcPr>
            <w:tcW w:w="2102" w:type="dxa"/>
            <w:tcBorders>
              <w:top w:val="nil"/>
              <w:left w:val="nil"/>
              <w:bottom w:val="nil"/>
              <w:right w:val="nil"/>
            </w:tcBorders>
            <w:tcMar>
              <w:top w:w="0" w:type="dxa"/>
              <w:left w:w="60" w:type="dxa"/>
              <w:bottom w:w="0" w:type="dxa"/>
              <w:right w:w="60" w:type="dxa"/>
            </w:tcMar>
            <w:vAlign w:val="center"/>
          </w:tcPr>
          <w:p>
            <w:pPr>
              <w:pStyle w:val="DMETW19540BIPFEIAS"/>
              <w:jc w:val="right"/>
              <w:rPr>
                <w:rFonts w:ascii="Verdana" w:eastAsia="Times New Roman" w:hAnsi="Verdana" w:cs="Verdana"/>
                <w:i/>
                <w:noProof/>
                <w:color w:val="016794"/>
                <w:sz w:val="18"/>
              </w:rPr>
            </w:pPr>
            <w:r>
              <w:rPr>
                <w:rFonts w:ascii="Verdana" w:hAnsi="Verdana"/>
                <w:i/>
                <w:noProof/>
                <w:color w:val="016794"/>
                <w:sz w:val="18"/>
              </w:rPr>
              <w:t>3 327</w:t>
            </w:r>
          </w:p>
        </w:tc>
        <w:tc>
          <w:tcPr>
            <w:tcW w:w="2103" w:type="dxa"/>
            <w:tcBorders>
              <w:top w:val="nil"/>
              <w:left w:val="nil"/>
              <w:bottom w:val="nil"/>
              <w:right w:val="nil"/>
            </w:tcBorders>
            <w:tcMar>
              <w:top w:w="0" w:type="dxa"/>
              <w:left w:w="60" w:type="dxa"/>
              <w:bottom w:w="0" w:type="dxa"/>
              <w:right w:w="60" w:type="dxa"/>
            </w:tcMar>
            <w:vAlign w:val="center"/>
          </w:tcPr>
          <w:p>
            <w:pPr>
              <w:pStyle w:val="DMETW19540BIPFEIAS"/>
              <w:jc w:val="right"/>
              <w:rPr>
                <w:rFonts w:ascii="Verdana" w:eastAsia="Times New Roman" w:hAnsi="Verdana" w:cs="Verdana"/>
                <w:i/>
                <w:noProof/>
                <w:color w:val="016794"/>
                <w:sz w:val="18"/>
              </w:rPr>
            </w:pPr>
            <w:r>
              <w:rPr>
                <w:rFonts w:ascii="Verdana" w:hAnsi="Verdana"/>
                <w:i/>
                <w:noProof/>
                <w:color w:val="016794"/>
                <w:sz w:val="18"/>
              </w:rPr>
              <w:t>2 892</w:t>
            </w:r>
          </w:p>
        </w:tc>
      </w:tr>
    </w:tbl>
    <w:p>
      <w:pPr>
        <w:pStyle w:val="Heading8pNormalCentered"/>
        <w:jc w:val="both"/>
        <w:rPr>
          <w:rFonts w:eastAsia="Times New Roman"/>
          <w:color w:val="016794"/>
          <w:sz w:val="20"/>
          <w:szCs w:val="20"/>
          <w:lang w:eastAsia="en-GB"/>
        </w:rPr>
      </w:pPr>
    </w:p>
    <w:p>
      <w:pPr>
        <w:pStyle w:val="Heading8pNormalCentered"/>
        <w:jc w:val="both"/>
        <w:rPr>
          <w:lang w:bidi="en-GB"/>
        </w:rPr>
      </w:pPr>
    </w:p>
    <w:p>
      <w:pPr>
        <w:pStyle w:val="HEADER5"/>
        <w:rPr>
          <w:noProof/>
        </w:rPr>
      </w:pPr>
      <w:r>
        <w:rPr>
          <w:noProof/>
        </w:rPr>
        <w:t>Авансови средства, отпуснати на държавите членки, за финансовите инструменти под режим споделено управление</w:t>
      </w:r>
    </w:p>
    <w:p>
      <w:pPr>
        <w:pStyle w:val="Textstand-alone"/>
      </w:pPr>
      <w:r>
        <w:t>В рамките на програмите по европейските структурни и инвестиционни фондове (ЕСИФ) е възможно да се правят авансови плащания от бюджета на ЕС към държавите членки, за да могат те да предоставят средства за финансови инструменти (т.е. заеми, капиталови инвестиции или гаранции). Тези финансови инструменти се създават и управляват под отговорността на държавите членки, не на Комисията. При все това средствата, които не са усвоени от тези инструменти към края на годината, са собственост на ЕС (както и цялото предварително финансиране) и поради това се третират като актив в счетоводния баланс на ЕС.</w:t>
      </w:r>
    </w:p>
    <w:p>
      <w:pPr>
        <w:pStyle w:val="Textstand-alone"/>
        <w:spacing w:before="0"/>
        <w:rPr>
          <w:i/>
        </w:rPr>
      </w:pPr>
      <w:r>
        <w:rPr>
          <w:i/>
        </w:rPr>
        <w:t>Период 2014—2020 г.:</w:t>
      </w:r>
    </w:p>
    <w:p>
      <w:pPr>
        <w:pStyle w:val="DGTextstand-alone"/>
      </w:pPr>
      <w:r>
        <w:t>В областта на политиката на сближаване се счита, че от общо платени 10 518 милиона евро 3 452 милиона евро са останали неусвоени към 31 декември 2020 г. Тази сума включва приноса на държавите членки към инициативата за МСП, която е инструмент, имащ за цел да се стимулира допълнителното отпускане на заеми от банковия сектор на МСП (платени са 1 238 милиона евро — без сумите, които все още са предварително финансиране — като се счита, че 349 милиона евро от тях не са усвоени).</w:t>
      </w:r>
    </w:p>
    <w:p>
      <w:pPr>
        <w:pStyle w:val="DGTextstand-alone"/>
      </w:pPr>
      <w:r>
        <w:t>Що се отнася до развитието на селските райони, към края на годината са останали неусвоени 66 милиона евро.</w:t>
      </w:r>
    </w:p>
    <w:p>
      <w:pPr>
        <w:pStyle w:val="Textstand-alone"/>
        <w:spacing w:before="0"/>
        <w:rPr>
          <w:i/>
        </w:rPr>
      </w:pPr>
      <w:r>
        <w:rPr>
          <w:i/>
        </w:rPr>
        <w:t xml:space="preserve">Период 2007—2013 г.: </w:t>
      </w:r>
    </w:p>
    <w:p>
      <w:pPr>
        <w:pStyle w:val="DGTextstand-alone"/>
      </w:pPr>
      <w:r>
        <w:t xml:space="preserve">Счита се, че всички суми, свързани с политиката на сближаване, са били или усвоени, или отнесени към други мерки, поради което към 31 декември 2020 г. няма активи в счетоводния баланс. </w:t>
      </w:r>
      <w:r>
        <w:rPr>
          <w:bdr w:val="none" w:sz="0" w:space="0" w:color="auto" w:frame="1"/>
        </w:rPr>
        <w:t>Следва да се отбележи, че реалното изпълнение от различните инструменти ще бъде прегледано като част от процеса на приключване на програмите през следващите години.</w:t>
      </w:r>
    </w:p>
    <w:p>
      <w:pPr>
        <w:pStyle w:val="HEADER5"/>
        <w:rPr>
          <w:b/>
          <w:noProof/>
        </w:rPr>
      </w:pPr>
      <w:r>
        <w:rPr>
          <w:noProof/>
        </w:rPr>
        <w:t>Схеми за помощ</w:t>
      </w:r>
    </w:p>
    <w:p>
      <w:pPr>
        <w:pStyle w:val="Textstand-alone"/>
      </w:pPr>
      <w:r>
        <w:t>Подобно на посоченото по-горе, възстановените суми, отговарящи на платените от държавите членки аванси за различни схеми за помощ (държавна помощ, пазарни мерки на ЕФГЗ или инвестиционни мерки на ЕЗФРСР), които не са усвоени към края на годината, се записват като активи (аванси) в счетоводния баланс на ЕС. Комисията е оценила стойността на тези авансови средства въз основа на предоставената от държавите членки информация. Получените суми са включени в подпозицията за схемите за помощ по-горе.</w:t>
      </w:r>
    </w:p>
    <w:p>
      <w:pPr>
        <w:pStyle w:val="Textstand-alone"/>
        <w:spacing w:before="0"/>
        <w:rPr>
          <w:i/>
        </w:rPr>
      </w:pPr>
      <w:r>
        <w:rPr>
          <w:i/>
        </w:rPr>
        <w:t>Период 2014—2020 г.:</w:t>
      </w:r>
    </w:p>
    <w:p>
      <w:pPr>
        <w:pStyle w:val="Textstand-alone"/>
        <w:spacing w:before="0"/>
      </w:pPr>
      <w:r>
        <w:t>Неусвоените суми към края на годината бяха оценени на 1 887 милиона евро за политиката на сближаване и на 1 663 милиона евро за земеделието и развитието на селските райони.</w:t>
      </w:r>
    </w:p>
    <w:p>
      <w:pPr>
        <w:pStyle w:val="Textstand-alone"/>
        <w:spacing w:before="0"/>
        <w:rPr>
          <w:i/>
        </w:rPr>
      </w:pPr>
      <w:r>
        <w:rPr>
          <w:i/>
        </w:rPr>
        <w:t>Период 2007—2013 г.:</w:t>
      </w:r>
    </w:p>
    <w:p>
      <w:pPr>
        <w:pStyle w:val="Textstand-alone"/>
        <w:spacing w:before="0" w:after="0"/>
      </w:pPr>
      <w:r>
        <w:t>Счита се, че към края на 2020 г. са останали неизползвани 83 милиона евро, платени в контекста на развитието на селските райони.</w:t>
      </w:r>
    </w:p>
    <w:bookmarkEnd w:id="106"/>
    <w:p>
      <w:pPr>
        <w:pStyle w:val="Textstand-alone"/>
        <w:spacing w:before="0" w:after="0"/>
        <w:sectPr>
          <w:headerReference w:type="even" r:id="rId158"/>
          <w:headerReference w:type="default" r:id="rId159"/>
          <w:footerReference w:type="even" r:id="rId160"/>
          <w:footerReference w:type="default" r:id="rId161"/>
          <w:headerReference w:type="first" r:id="rId162"/>
          <w:footerReference w:type="first" r:id="rId163"/>
          <w:type w:val="continuous"/>
          <w:pgSz w:w="11906" w:h="16838"/>
          <w:pgMar w:top="1134" w:right="1134" w:bottom="1134" w:left="1134" w:header="709" w:footer="709" w:gutter="0"/>
          <w:cols w:space="708"/>
          <w:docGrid w:linePitch="360"/>
        </w:sectPr>
      </w:pPr>
    </w:p>
    <w:p>
      <w:pPr>
        <w:pStyle w:val="HEADER2NOTES"/>
        <w:spacing w:before="0"/>
        <w:rPr>
          <w:noProof/>
        </w:rPr>
      </w:pPr>
      <w:bookmarkStart w:id="110" w:name="_DMBM_19840"/>
      <w:r>
        <w:rPr>
          <w:noProof/>
        </w:rPr>
        <w:br w:type="page"/>
        <w:t>ВЗЕМАНИЯ ПО ОПЕРАЦИИ С РАЗМЯНА И СРЕДСТВА, ПОДЛЕЖАЩИ НА СЪБИРАНЕ, ПО ОПЕРАЦИИ БЕЗ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1753"/>
        <w:gridCol w:w="1753"/>
        <w:gridCol w:w="1753"/>
      </w:tblGrid>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i/>
                <w:noProof/>
                <w:color w:val="FFFFFF"/>
                <w:sz w:val="16"/>
              </w:rPr>
            </w:pPr>
            <w:bookmarkStart w:id="111" w:name="DOC_TBL00025_1_1"/>
            <w:bookmarkEnd w:id="111"/>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ERNER"/>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ERNER"/>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ERNER"/>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499" w:type="dxa"/>
            <w:tcBorders>
              <w:top w:val="nil"/>
              <w:left w:val="nil"/>
              <w:bottom w:val="nil"/>
              <w:right w:val="nil"/>
              <w:tl2br w:val="nil"/>
              <w:tr2bl w:val="nil"/>
            </w:tcBorders>
            <w:shd w:val="solid" w:color="016794" w:fill="FFFFFF"/>
            <w:tcMar>
              <w:left w:w="60" w:type="dxa"/>
              <w:right w:w="60" w:type="dxa"/>
            </w:tcMar>
            <w:vAlign w:val="center"/>
          </w:tcPr>
          <w:p>
            <w:pPr>
              <w:pStyle w:val="DMETW19860BIPERNER"/>
              <w:rPr>
                <w:rFonts w:ascii="Verdana" w:eastAsia="Verdana" w:hAnsi="Verdana" w:cs="Verdana"/>
                <w:noProof/>
                <w:color w:val="FFFFFF"/>
              </w:rPr>
            </w:pP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9860BIPERNER"/>
              <w:jc w:val="center"/>
              <w:rPr>
                <w:rFonts w:ascii="Verdana" w:eastAsia="Verdana" w:hAnsi="Verdana" w:cs="Verdana"/>
                <w:noProof/>
                <w:color w:val="FFFFFF"/>
              </w:rPr>
            </w:pPr>
            <w:r>
              <w:rPr>
                <w:rFonts w:ascii="Verdana" w:hAnsi="Verdana"/>
                <w:noProof/>
                <w:color w:val="FFFFFF"/>
              </w:rPr>
              <w:t>Бележка</w:t>
            </w: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9860BIPERNER"/>
              <w:jc w:val="right"/>
              <w:rPr>
                <w:rFonts w:ascii="Verdana" w:eastAsia="Verdana" w:hAnsi="Verdana" w:cs="Verdana"/>
                <w:noProof/>
                <w:color w:val="FFFFFF"/>
              </w:rPr>
            </w:pPr>
            <w:r>
              <w:rPr>
                <w:rFonts w:ascii="Verdana" w:hAnsi="Verdana"/>
                <w:noProof/>
                <w:color w:val="FFFFFF"/>
              </w:rPr>
              <w:t>31.12.2020 г.</w:t>
            </w: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9860BIPERNER"/>
              <w:jc w:val="right"/>
              <w:rPr>
                <w:rFonts w:ascii="Verdana" w:eastAsia="Verdana" w:hAnsi="Verdana" w:cs="Verdana"/>
                <w:noProof/>
                <w:color w:val="FFFFFF"/>
              </w:rPr>
            </w:pPr>
            <w:r>
              <w:rPr>
                <w:rFonts w:ascii="Verdana" w:hAnsi="Verdana"/>
                <w:noProof/>
                <w:color w:val="FFFFFF"/>
              </w:rPr>
              <w:t>31.12.2019 г.</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b/>
                <w:noProof/>
                <w:color w:val="000000"/>
                <w:sz w:val="18"/>
              </w:rPr>
            </w:pPr>
            <w:r>
              <w:rPr>
                <w:rFonts w:ascii="Verdana" w:hAnsi="Verdana"/>
                <w:b/>
                <w:noProof/>
                <w:color w:val="000000"/>
                <w:sz w:val="18"/>
              </w:rPr>
              <w:t>Нетекущи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ERNER"/>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b/>
                <w:noProof/>
                <w:color w:val="000000"/>
                <w:sz w:val="18"/>
                <w:lang w:bidi="en-GB"/>
              </w:rPr>
            </w:pP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i/>
                <w:noProof/>
                <w:color w:val="000000"/>
                <w:sz w:val="18"/>
              </w:rPr>
            </w:pPr>
            <w:r>
              <w:rPr>
                <w:rFonts w:ascii="Verdana" w:hAnsi="Verdana"/>
                <w:i/>
                <w:noProof/>
                <w:color w:val="000000"/>
                <w:sz w:val="18"/>
              </w:rPr>
              <w:t>Средства, подлежащи на събиране, от операции без размяна</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ERNER"/>
              <w:jc w:val="center"/>
              <w:rPr>
                <w:rFonts w:ascii="Verdana" w:eastAsia="Verdana" w:hAnsi="Verdana" w:cs="Verdana"/>
                <w:i/>
                <w:noProof/>
                <w:color w:val="000000"/>
                <w:sz w:val="18"/>
              </w:rPr>
            </w:pPr>
            <w:r>
              <w:rPr>
                <w:rFonts w:ascii="Verdana" w:hAnsi="Verdana"/>
                <w:i/>
                <w:noProof/>
                <w:color w:val="000000"/>
                <w:sz w:val="18"/>
              </w:rPr>
              <w:t>2.6.1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ERNER"/>
              <w:jc w:val="right"/>
              <w:rPr>
                <w:rFonts w:ascii="Verdana" w:eastAsia="Verdana" w:hAnsi="Verdana" w:cs="Verdana"/>
                <w:i/>
                <w:noProof/>
                <w:color w:val="000000"/>
                <w:sz w:val="18"/>
              </w:rPr>
            </w:pPr>
            <w:r>
              <w:rPr>
                <w:rFonts w:ascii="Verdana" w:hAnsi="Verdana"/>
                <w:i/>
                <w:noProof/>
                <w:color w:val="000000"/>
                <w:sz w:val="18"/>
              </w:rPr>
              <w:t>44 128</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ERNER"/>
              <w:jc w:val="right"/>
              <w:rPr>
                <w:rFonts w:ascii="Verdana" w:eastAsia="Verdana" w:hAnsi="Verdana" w:cs="Verdana"/>
                <w:i/>
                <w:noProof/>
                <w:color w:val="000000"/>
                <w:sz w:val="18"/>
              </w:rPr>
            </w:pPr>
            <w:r>
              <w:rPr>
                <w:rFonts w:ascii="Verdana" w:hAnsi="Verdana"/>
                <w:i/>
                <w:noProof/>
                <w:color w:val="000000"/>
                <w:sz w:val="18"/>
              </w:rPr>
              <w:t>2 422</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i/>
                <w:noProof/>
                <w:color w:val="000000"/>
                <w:sz w:val="18"/>
              </w:rPr>
            </w:pPr>
            <w:r>
              <w:rPr>
                <w:rFonts w:ascii="Verdana" w:hAnsi="Verdana"/>
                <w:i/>
                <w:noProof/>
                <w:color w:val="000000"/>
                <w:sz w:val="18"/>
              </w:rPr>
              <w:t>Вземания от операции с размяна</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ERNER"/>
              <w:jc w:val="center"/>
              <w:rPr>
                <w:rFonts w:ascii="Verdana" w:eastAsia="Verdana" w:hAnsi="Verdana" w:cs="Verdana"/>
                <w:i/>
                <w:noProof/>
                <w:color w:val="000000"/>
                <w:sz w:val="18"/>
              </w:rPr>
            </w:pPr>
            <w:r>
              <w:rPr>
                <w:rFonts w:ascii="Verdana" w:hAnsi="Verdana"/>
                <w:i/>
                <w:noProof/>
                <w:color w:val="000000"/>
                <w:sz w:val="18"/>
              </w:rPr>
              <w:t>2.6.2</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ERNER"/>
              <w:jc w:val="right"/>
              <w:rPr>
                <w:rFonts w:ascii="Verdana" w:eastAsia="Verdana" w:hAnsi="Verdana" w:cs="Verdana"/>
                <w:i/>
                <w:noProof/>
                <w:color w:val="000000"/>
                <w:sz w:val="18"/>
              </w:rPr>
            </w:pPr>
            <w:r>
              <w:rPr>
                <w:rFonts w:ascii="Verdana" w:hAnsi="Verdana"/>
                <w:i/>
                <w:noProof/>
                <w:color w:val="000000"/>
                <w:sz w:val="18"/>
              </w:rPr>
              <w:t>1 685</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ERNER"/>
              <w:jc w:val="right"/>
              <w:rPr>
                <w:rFonts w:ascii="Verdana" w:eastAsia="Verdana" w:hAnsi="Verdana" w:cs="Verdana"/>
                <w:i/>
                <w:noProof/>
                <w:color w:val="000000"/>
                <w:sz w:val="18"/>
              </w:rPr>
            </w:pPr>
            <w:r>
              <w:rPr>
                <w:rFonts w:ascii="Verdana" w:hAnsi="Verdana"/>
                <w:i/>
                <w:noProof/>
                <w:color w:val="000000"/>
                <w:sz w:val="18"/>
              </w:rPr>
              <w:t>1 185</w:t>
            </w:r>
          </w:p>
        </w:tc>
      </w:tr>
      <w:tr>
        <w:trPr>
          <w:trHeight w:val="255"/>
        </w:trPr>
        <w:tc>
          <w:tcPr>
            <w:tcW w:w="4499" w:type="dxa"/>
            <w:tcBorders>
              <w:top w:val="nil"/>
              <w:left w:val="nil"/>
              <w:bottom w:val="nil"/>
              <w:right w:val="nil"/>
              <w:tl2br w:val="nil"/>
              <w:tr2bl w:val="nil"/>
            </w:tcBorders>
            <w:shd w:val="solid" w:color="CCE1EA" w:fill="FFFFFF"/>
            <w:tcMar>
              <w:left w:w="60" w:type="dxa"/>
              <w:right w:w="60" w:type="dxa"/>
            </w:tcMar>
            <w:vAlign w:val="center"/>
          </w:tcPr>
          <w:p>
            <w:pPr>
              <w:pStyle w:val="DMETW19860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center"/>
          </w:tcPr>
          <w:p>
            <w:pPr>
              <w:pStyle w:val="DMETW19860BIPERNER"/>
              <w:jc w:val="center"/>
              <w:rPr>
                <w:rFonts w:ascii="Verdana" w:eastAsia="Verdana" w:hAnsi="Verdana" w:cs="Verdana"/>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9860BIPERNER"/>
              <w:jc w:val="right"/>
              <w:rPr>
                <w:rFonts w:ascii="Verdana" w:eastAsia="Verdana" w:hAnsi="Verdana" w:cs="Verdana"/>
                <w:b/>
                <w:noProof/>
                <w:color w:val="000000"/>
                <w:sz w:val="18"/>
              </w:rPr>
            </w:pPr>
            <w:r>
              <w:rPr>
                <w:rFonts w:ascii="Verdana" w:hAnsi="Verdana"/>
                <w:b/>
                <w:noProof/>
                <w:color w:val="000000"/>
                <w:sz w:val="18"/>
              </w:rPr>
              <w:t>45 813</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9860BIPERNER"/>
              <w:jc w:val="right"/>
              <w:rPr>
                <w:rFonts w:ascii="Verdana" w:eastAsia="Verdana" w:hAnsi="Verdana" w:cs="Verdana"/>
                <w:b/>
                <w:noProof/>
                <w:color w:val="000000"/>
                <w:sz w:val="18"/>
              </w:rPr>
            </w:pPr>
            <w:r>
              <w:rPr>
                <w:rFonts w:ascii="Verdana" w:hAnsi="Verdana"/>
                <w:b/>
                <w:noProof/>
                <w:color w:val="000000"/>
                <w:sz w:val="18"/>
              </w:rPr>
              <w:t>3 607</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b/>
                <w:noProof/>
                <w:color w:val="000000"/>
                <w:sz w:val="18"/>
              </w:rPr>
            </w:pPr>
            <w:r>
              <w:rPr>
                <w:rFonts w:ascii="Verdana" w:hAnsi="Verdana"/>
                <w:b/>
                <w:noProof/>
                <w:color w:val="000000"/>
                <w:sz w:val="18"/>
              </w:rPr>
              <w:t>Текущи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ERNER"/>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b/>
                <w:noProof/>
                <w:color w:val="000000"/>
                <w:sz w:val="18"/>
                <w:lang w:bidi="en-GB"/>
              </w:rPr>
            </w:pP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i/>
                <w:noProof/>
                <w:color w:val="000000"/>
                <w:sz w:val="18"/>
              </w:rPr>
            </w:pPr>
            <w:r>
              <w:rPr>
                <w:rFonts w:ascii="Verdana" w:hAnsi="Verdana"/>
                <w:i/>
                <w:noProof/>
                <w:color w:val="000000"/>
                <w:sz w:val="18"/>
              </w:rPr>
              <w:t>Средства, подлежащи на събиране, от операции без размяна</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ERNER"/>
              <w:jc w:val="center"/>
              <w:rPr>
                <w:rFonts w:ascii="Verdana" w:eastAsia="Verdana" w:hAnsi="Verdana" w:cs="Verdana"/>
                <w:i/>
                <w:noProof/>
                <w:color w:val="000000"/>
                <w:sz w:val="18"/>
              </w:rPr>
            </w:pPr>
            <w:r>
              <w:rPr>
                <w:rFonts w:ascii="Verdana" w:hAnsi="Verdana"/>
                <w:i/>
                <w:noProof/>
                <w:color w:val="000000"/>
                <w:sz w:val="18"/>
              </w:rPr>
              <w:t>2.6.1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ERNER"/>
              <w:jc w:val="right"/>
              <w:rPr>
                <w:rFonts w:ascii="Verdana" w:eastAsia="Verdana" w:hAnsi="Verdana" w:cs="Verdana"/>
                <w:i/>
                <w:noProof/>
                <w:color w:val="000000"/>
                <w:sz w:val="18"/>
              </w:rPr>
            </w:pPr>
            <w:r>
              <w:rPr>
                <w:rFonts w:ascii="Verdana" w:hAnsi="Verdana"/>
                <w:i/>
                <w:noProof/>
                <w:color w:val="000000"/>
                <w:sz w:val="18"/>
              </w:rPr>
              <w:t>26 915</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ERNER"/>
              <w:jc w:val="right"/>
              <w:rPr>
                <w:rFonts w:ascii="Verdana" w:eastAsia="Verdana" w:hAnsi="Verdana" w:cs="Verdana"/>
                <w:i/>
                <w:noProof/>
                <w:color w:val="000000"/>
                <w:sz w:val="18"/>
              </w:rPr>
            </w:pPr>
            <w:r>
              <w:rPr>
                <w:rFonts w:ascii="Verdana" w:hAnsi="Verdana"/>
                <w:i/>
                <w:noProof/>
                <w:color w:val="000000"/>
                <w:sz w:val="18"/>
              </w:rPr>
              <w:t>19 328</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i/>
                <w:noProof/>
                <w:color w:val="000000"/>
                <w:sz w:val="18"/>
              </w:rPr>
            </w:pPr>
            <w:r>
              <w:rPr>
                <w:rFonts w:ascii="Verdana" w:hAnsi="Verdana"/>
                <w:i/>
                <w:noProof/>
                <w:color w:val="000000"/>
                <w:sz w:val="18"/>
              </w:rPr>
              <w:t>Вземания от операции с размяна</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ERNER"/>
              <w:jc w:val="center"/>
              <w:rPr>
                <w:rFonts w:ascii="Verdana" w:eastAsia="Verdana" w:hAnsi="Verdana" w:cs="Verdana"/>
                <w:i/>
                <w:noProof/>
                <w:color w:val="000000"/>
                <w:sz w:val="18"/>
              </w:rPr>
            </w:pPr>
            <w:r>
              <w:rPr>
                <w:rFonts w:ascii="Verdana" w:hAnsi="Verdana"/>
                <w:i/>
                <w:noProof/>
                <w:color w:val="000000"/>
                <w:sz w:val="18"/>
              </w:rPr>
              <w:t>2.6.2</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ERNER"/>
              <w:jc w:val="right"/>
              <w:rPr>
                <w:rFonts w:ascii="Verdana" w:eastAsia="Verdana" w:hAnsi="Verdana" w:cs="Verdana"/>
                <w:i/>
                <w:noProof/>
                <w:color w:val="000000"/>
                <w:sz w:val="18"/>
              </w:rPr>
            </w:pPr>
            <w:r>
              <w:rPr>
                <w:rFonts w:ascii="Verdana" w:hAnsi="Verdana"/>
                <w:i/>
                <w:noProof/>
                <w:color w:val="000000"/>
                <w:sz w:val="18"/>
              </w:rPr>
              <w:t>1 766</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ERNER"/>
              <w:jc w:val="right"/>
              <w:rPr>
                <w:rFonts w:ascii="Verdana" w:eastAsia="Verdana" w:hAnsi="Verdana" w:cs="Verdana"/>
                <w:i/>
                <w:noProof/>
                <w:color w:val="000000"/>
                <w:sz w:val="18"/>
              </w:rPr>
            </w:pPr>
            <w:r>
              <w:rPr>
                <w:rFonts w:ascii="Verdana" w:hAnsi="Verdana"/>
                <w:i/>
                <w:noProof/>
                <w:color w:val="000000"/>
                <w:sz w:val="18"/>
              </w:rPr>
              <w:t>1 038</w:t>
            </w:r>
          </w:p>
        </w:tc>
      </w:tr>
      <w:tr>
        <w:trPr>
          <w:trHeight w:val="255"/>
        </w:trPr>
        <w:tc>
          <w:tcPr>
            <w:tcW w:w="4499" w:type="dxa"/>
            <w:tcBorders>
              <w:top w:val="nil"/>
              <w:left w:val="nil"/>
              <w:bottom w:val="nil"/>
              <w:right w:val="nil"/>
              <w:tl2br w:val="nil"/>
              <w:tr2bl w:val="nil"/>
            </w:tcBorders>
            <w:shd w:val="solid" w:color="CCE1EA" w:fill="FFFFFF"/>
            <w:tcMar>
              <w:left w:w="60" w:type="dxa"/>
              <w:right w:w="60" w:type="dxa"/>
            </w:tcMar>
            <w:vAlign w:val="center"/>
          </w:tcPr>
          <w:p>
            <w:pPr>
              <w:pStyle w:val="DMETW19860BIPERN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center"/>
          </w:tcPr>
          <w:p>
            <w:pPr>
              <w:pStyle w:val="DMETW19860BIPERNER"/>
              <w:jc w:val="center"/>
              <w:rPr>
                <w:rFonts w:ascii="Verdana" w:eastAsia="Verdana" w:hAnsi="Verdana" w:cs="Verdana"/>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9860BIPERNER"/>
              <w:jc w:val="right"/>
              <w:rPr>
                <w:rFonts w:ascii="Verdana" w:eastAsia="Verdana" w:hAnsi="Verdana" w:cs="Verdana"/>
                <w:b/>
                <w:noProof/>
                <w:color w:val="000000"/>
                <w:sz w:val="18"/>
              </w:rPr>
            </w:pPr>
            <w:r>
              <w:rPr>
                <w:rFonts w:ascii="Verdana" w:hAnsi="Verdana"/>
                <w:b/>
                <w:noProof/>
                <w:color w:val="000000"/>
                <w:sz w:val="18"/>
              </w:rPr>
              <w:t>28 681</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9860BIPERNER"/>
              <w:jc w:val="right"/>
              <w:rPr>
                <w:rFonts w:ascii="Verdana" w:eastAsia="Verdana" w:hAnsi="Verdana" w:cs="Verdana"/>
                <w:b/>
                <w:noProof/>
                <w:color w:val="000000"/>
                <w:sz w:val="18"/>
              </w:rPr>
            </w:pPr>
            <w:r>
              <w:rPr>
                <w:rFonts w:ascii="Verdana" w:hAnsi="Verdana"/>
                <w:b/>
                <w:noProof/>
                <w:color w:val="000000"/>
                <w:sz w:val="18"/>
              </w:rPr>
              <w:t>20 367</w:t>
            </w:r>
          </w:p>
        </w:tc>
      </w:tr>
      <w:tr>
        <w:trPr>
          <w:trHeight w:val="255"/>
        </w:trPr>
        <w:tc>
          <w:tcPr>
            <w:tcW w:w="449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ERNER"/>
              <w:rPr>
                <w:rFonts w:ascii="Verdana" w:eastAsia="Verdana" w:hAnsi="Verdana" w:cs="Verdana"/>
                <w:b/>
                <w:noProof/>
                <w:color w:val="000000"/>
                <w:sz w:val="18"/>
              </w:rPr>
            </w:pPr>
            <w:r>
              <w:rPr>
                <w:rFonts w:ascii="Verdana" w:hAnsi="Verdana"/>
                <w:b/>
                <w:noProof/>
                <w:color w:val="000000"/>
                <w:sz w:val="18"/>
              </w:rPr>
              <w:t>Общо</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ERNER"/>
              <w:jc w:val="center"/>
              <w:rPr>
                <w:rFonts w:ascii="Verdana" w:eastAsia="Verdana" w:hAnsi="Verdana" w:cs="Verdana"/>
                <w:noProof/>
                <w:color w:val="000000"/>
                <w:sz w:val="18"/>
              </w:rPr>
            </w:pP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ERNER"/>
              <w:jc w:val="right"/>
              <w:rPr>
                <w:rFonts w:ascii="Verdana" w:eastAsia="Verdana" w:hAnsi="Verdana" w:cs="Verdana"/>
                <w:b/>
                <w:noProof/>
                <w:color w:val="000000"/>
                <w:sz w:val="18"/>
              </w:rPr>
            </w:pPr>
            <w:r>
              <w:rPr>
                <w:rFonts w:ascii="Verdana" w:hAnsi="Verdana"/>
                <w:b/>
                <w:noProof/>
                <w:color w:val="000000"/>
                <w:sz w:val="18"/>
              </w:rPr>
              <w:t>74 493</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ERNER"/>
              <w:jc w:val="right"/>
              <w:rPr>
                <w:rFonts w:ascii="Verdana" w:eastAsia="Verdana" w:hAnsi="Verdana" w:cs="Verdana"/>
                <w:b/>
                <w:noProof/>
                <w:color w:val="000000"/>
                <w:sz w:val="18"/>
              </w:rPr>
            </w:pPr>
            <w:r>
              <w:rPr>
                <w:rFonts w:ascii="Verdana" w:hAnsi="Verdana"/>
                <w:b/>
                <w:noProof/>
                <w:color w:val="000000"/>
                <w:sz w:val="18"/>
              </w:rPr>
              <w:t>23 974</w:t>
            </w:r>
          </w:p>
        </w:tc>
      </w:tr>
    </w:tbl>
    <w:p>
      <w:pPr>
        <w:pStyle w:val="HEADER3NOTES"/>
        <w:spacing w:after="0"/>
        <w:rPr>
          <w:noProof/>
        </w:rPr>
      </w:pPr>
      <w:r>
        <w:rPr>
          <w:noProof/>
        </w:rPr>
        <w:t>Средства, подлежащи на събиране, от операции без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1753"/>
        <w:gridCol w:w="1753"/>
        <w:gridCol w:w="1753"/>
      </w:tblGrid>
      <w:tr>
        <w:trPr>
          <w:trHeight w:hRule="exac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FFFFFF"/>
                <w:sz w:val="16"/>
              </w:rPr>
            </w:pPr>
            <w:bookmarkStart w:id="112" w:name="DOC_TBL00026_1_1"/>
            <w:bookmarkEnd w:id="112"/>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4499" w:type="dxa"/>
            <w:tcBorders>
              <w:top w:val="nil"/>
              <w:left w:val="nil"/>
              <w:bottom w:val="nil"/>
              <w:right w:val="nil"/>
              <w:tl2br w:val="nil"/>
              <w:tr2bl w:val="nil"/>
            </w:tcBorders>
            <w:shd w:val="solid" w:color="016794" w:fill="FFFFFF"/>
            <w:tcMar>
              <w:left w:w="60" w:type="dxa"/>
              <w:right w:w="60" w:type="dxa"/>
            </w:tcMar>
            <w:vAlign w:val="center"/>
          </w:tcPr>
          <w:p>
            <w:pPr>
              <w:pStyle w:val="DMETW19860BIPRNET"/>
              <w:rPr>
                <w:rFonts w:ascii="Verdana" w:eastAsia="Verdana" w:hAnsi="Verdana" w:cs="Verdana"/>
                <w:noProof/>
                <w:color w:val="FFFFFF"/>
              </w:rPr>
            </w:pP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9860BIPRNET"/>
              <w:jc w:val="center"/>
              <w:rPr>
                <w:rFonts w:ascii="Verdana" w:eastAsia="Verdana" w:hAnsi="Verdana" w:cs="Verdana"/>
                <w:noProof/>
                <w:color w:val="FFFFFF"/>
              </w:rPr>
            </w:pPr>
            <w:r>
              <w:rPr>
                <w:rFonts w:ascii="Verdana" w:hAnsi="Verdana"/>
                <w:noProof/>
                <w:color w:val="FFFFFF"/>
              </w:rPr>
              <w:t>Бележка</w:t>
            </w: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9860BIPRNET"/>
              <w:jc w:val="right"/>
              <w:rPr>
                <w:rFonts w:ascii="Verdana" w:eastAsia="Verdana" w:hAnsi="Verdana" w:cs="Verdana"/>
                <w:noProof/>
                <w:color w:val="FFFFFF"/>
              </w:rPr>
            </w:pPr>
            <w:r>
              <w:rPr>
                <w:rFonts w:ascii="Verdana" w:hAnsi="Verdana"/>
                <w:noProof/>
                <w:color w:val="FFFFFF"/>
              </w:rPr>
              <w:t>31.12.2020 г.</w:t>
            </w: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9860BIPRNET"/>
              <w:jc w:val="right"/>
              <w:rPr>
                <w:rFonts w:ascii="Verdana" w:eastAsia="Verdana" w:hAnsi="Verdana" w:cs="Verdana"/>
                <w:noProof/>
                <w:color w:val="FFFFFF"/>
              </w:rPr>
            </w:pPr>
            <w:r>
              <w:rPr>
                <w:rFonts w:ascii="Verdana" w:hAnsi="Verdana"/>
                <w:noProof/>
                <w:color w:val="FFFFFF"/>
              </w:rPr>
              <w:t>31.12.2019 г.</w:t>
            </w:r>
          </w:p>
        </w:tc>
      </w:tr>
      <w:tr>
        <w:trPr>
          <w:trHeight w:hRule="exac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b/>
                <w:noProof/>
                <w:color w:val="000000"/>
                <w:sz w:val="18"/>
              </w:rPr>
            </w:pPr>
            <w:r>
              <w:rPr>
                <w:rFonts w:ascii="Verdana" w:hAnsi="Verdana"/>
                <w:b/>
                <w:noProof/>
                <w:color w:val="000000"/>
                <w:sz w:val="18"/>
              </w:rPr>
              <w:t>Нетекущи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b/>
                <w:noProof/>
                <w:color w:val="000000"/>
                <w:sz w:val="18"/>
                <w:lang w:bidi="en-GB"/>
              </w:rPr>
            </w:pPr>
          </w:p>
        </w:tc>
      </w:tr>
      <w:tr>
        <w:trPr>
          <w:trHeight w:hRule="exac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000000"/>
                <w:sz w:val="18"/>
              </w:rPr>
            </w:pPr>
            <w:r>
              <w:rPr>
                <w:rFonts w:ascii="Verdana" w:hAnsi="Verdana"/>
                <w:i/>
                <w:noProof/>
                <w:color w:val="000000"/>
                <w:sz w:val="18"/>
              </w:rPr>
              <w:t>Държави членки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i/>
                <w:noProof/>
                <w:color w:val="000000"/>
                <w:sz w:val="18"/>
              </w:rPr>
            </w:pPr>
            <w:r>
              <w:rPr>
                <w:rFonts w:ascii="Verdana" w:hAnsi="Verdana"/>
                <w:i/>
                <w:noProof/>
                <w:color w:val="000000"/>
                <w:sz w:val="18"/>
              </w:rPr>
              <w:t>2.6.1.1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2 237</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2 422</w:t>
            </w:r>
          </w:p>
        </w:tc>
      </w:tr>
      <w:tr>
        <w:trPr>
          <w:trHeight w:hRule="exac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000000"/>
                <w:sz w:val="18"/>
              </w:rPr>
            </w:pPr>
            <w:r>
              <w:rPr>
                <w:rFonts w:ascii="Verdana" w:hAnsi="Verdana"/>
                <w:i/>
                <w:noProof/>
                <w:color w:val="000000"/>
                <w:sz w:val="18"/>
              </w:rPr>
              <w:t>Споразумение за оттеглянето на Обединеното кралство</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i/>
                <w:noProof/>
                <w:color w:val="000000"/>
                <w:sz w:val="18"/>
              </w:rPr>
            </w:pPr>
            <w:r>
              <w:rPr>
                <w:rFonts w:ascii="Verdana" w:hAnsi="Verdana"/>
                <w:i/>
                <w:noProof/>
                <w:color w:val="000000"/>
                <w:sz w:val="18"/>
              </w:rPr>
              <w:t>2.6.1.2</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40 629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55"/>
        </w:trPr>
        <w:tc>
          <w:tcPr>
            <w:tcW w:w="449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000000"/>
                <w:sz w:val="18"/>
              </w:rPr>
            </w:pPr>
            <w:r>
              <w:rPr>
                <w:rFonts w:ascii="Verdana" w:hAnsi="Verdana"/>
                <w:i/>
                <w:noProof/>
                <w:color w:val="000000"/>
                <w:sz w:val="18"/>
              </w:rPr>
              <w:t>Начислени приходи и разходи за бъдещи периоди</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i/>
                <w:noProof/>
                <w:color w:val="000000"/>
                <w:sz w:val="18"/>
              </w:rPr>
            </w:pPr>
            <w:r>
              <w:rPr>
                <w:rFonts w:ascii="Verdana" w:hAnsi="Verdana"/>
                <w:i/>
                <w:noProof/>
                <w:color w:val="000000"/>
                <w:sz w:val="18"/>
              </w:rPr>
              <w:t>2.6.1.4</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1 261</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55"/>
        </w:trPr>
        <w:tc>
          <w:tcPr>
            <w:tcW w:w="449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000000"/>
                <w:sz w:val="18"/>
              </w:rPr>
            </w:pPr>
            <w:r>
              <w:rPr>
                <w:rFonts w:ascii="Verdana" w:hAnsi="Verdana"/>
                <w:i/>
                <w:noProof/>
                <w:color w:val="000000"/>
                <w:sz w:val="18"/>
              </w:rPr>
              <w:t>Други средства, подлежащи на събиране</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i/>
                <w:noProof/>
                <w:color w:val="000000"/>
                <w:sz w:val="18"/>
              </w:rPr>
            </w:pP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 xml:space="preserve"> 1</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55"/>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b/>
                <w:noProof/>
                <w:color w:val="000000"/>
                <w:sz w:val="18"/>
              </w:rPr>
            </w:pPr>
            <w:r>
              <w:rPr>
                <w:rFonts w:ascii="Verdana" w:hAnsi="Verdana"/>
                <w:b/>
                <w:noProof/>
                <w:color w:val="000000"/>
                <w:sz w:val="18"/>
              </w:rPr>
              <w:t>44 128</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b/>
                <w:noProof/>
                <w:color w:val="000000"/>
                <w:sz w:val="18"/>
              </w:rPr>
            </w:pPr>
            <w:r>
              <w:rPr>
                <w:rFonts w:ascii="Verdana" w:hAnsi="Verdana"/>
                <w:b/>
                <w:noProof/>
                <w:color w:val="000000"/>
                <w:sz w:val="18"/>
              </w:rPr>
              <w:t>2 422</w:t>
            </w:r>
          </w:p>
        </w:tc>
      </w:tr>
      <w:tr>
        <w:trPr>
          <w:trHeight w:hRule="exact" w:val="255"/>
        </w:trPr>
        <w:tc>
          <w:tcPr>
            <w:tcW w:w="449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b/>
                <w:noProof/>
                <w:color w:val="000000"/>
                <w:sz w:val="18"/>
              </w:rPr>
            </w:pPr>
            <w:r>
              <w:rPr>
                <w:rFonts w:ascii="Verdana" w:hAnsi="Verdana"/>
                <w:b/>
                <w:noProof/>
                <w:color w:val="000000"/>
                <w:sz w:val="18"/>
              </w:rPr>
              <w:t>Текущи</w:t>
            </w: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b/>
                <w:noProof/>
                <w:color w:val="000000"/>
                <w:sz w:val="18"/>
              </w:rPr>
            </w:pP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b/>
                <w:noProof/>
                <w:color w:val="000000"/>
                <w:sz w:val="18"/>
              </w:rPr>
            </w:pPr>
          </w:p>
        </w:tc>
        <w:tc>
          <w:tcPr>
            <w:tcW w:w="175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b/>
                <w:noProof/>
                <w:color w:val="000000"/>
                <w:sz w:val="18"/>
                <w:lang w:bidi="en-GB"/>
              </w:rPr>
            </w:pPr>
          </w:p>
        </w:tc>
      </w:tr>
      <w:tr>
        <w:trPr>
          <w:trHeight w:hRule="exac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000000"/>
                <w:sz w:val="18"/>
              </w:rPr>
            </w:pPr>
            <w:r>
              <w:rPr>
                <w:rFonts w:ascii="Verdana" w:hAnsi="Verdana"/>
                <w:i/>
                <w:noProof/>
                <w:color w:val="000000"/>
                <w:sz w:val="18"/>
              </w:rPr>
              <w:t>Държави членки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i/>
                <w:noProof/>
                <w:color w:val="000000"/>
                <w:sz w:val="18"/>
              </w:rPr>
            </w:pPr>
            <w:r>
              <w:rPr>
                <w:rFonts w:ascii="Verdana" w:hAnsi="Verdana"/>
                <w:i/>
                <w:noProof/>
                <w:color w:val="000000"/>
                <w:sz w:val="18"/>
              </w:rPr>
              <w:t>2.6.1.1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7 213</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6 180</w:t>
            </w:r>
          </w:p>
        </w:tc>
      </w:tr>
      <w:tr>
        <w:trPr>
          <w:trHeight w:hRule="exac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000000"/>
                <w:sz w:val="18"/>
              </w:rPr>
            </w:pPr>
            <w:r>
              <w:rPr>
                <w:rFonts w:ascii="Verdana" w:hAnsi="Verdana"/>
                <w:i/>
                <w:noProof/>
                <w:color w:val="000000"/>
                <w:sz w:val="18"/>
              </w:rPr>
              <w:t>Споразумение за оттеглянето на Обединеното кралство</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i/>
                <w:noProof/>
                <w:color w:val="000000"/>
                <w:sz w:val="18"/>
              </w:rPr>
            </w:pPr>
            <w:r>
              <w:rPr>
                <w:rFonts w:ascii="Verdana" w:hAnsi="Verdana"/>
                <w:i/>
                <w:noProof/>
                <w:color w:val="000000"/>
                <w:sz w:val="18"/>
              </w:rPr>
              <w:t>2.6.1.2</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6 827</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000000"/>
                <w:sz w:val="18"/>
              </w:rPr>
            </w:pPr>
            <w:r>
              <w:rPr>
                <w:rFonts w:ascii="Verdana" w:hAnsi="Verdana"/>
                <w:i/>
                <w:noProof/>
                <w:color w:val="000000"/>
                <w:sz w:val="18"/>
              </w:rPr>
              <w:t>Глоби в областта на конкуренцията</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i/>
                <w:noProof/>
                <w:color w:val="000000"/>
                <w:sz w:val="18"/>
              </w:rPr>
            </w:pPr>
            <w:r>
              <w:rPr>
                <w:rFonts w:ascii="Verdana" w:hAnsi="Verdana"/>
                <w:i/>
                <w:noProof/>
                <w:color w:val="000000"/>
                <w:sz w:val="18"/>
              </w:rPr>
              <w:t>2.6.1.3</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11 295</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11 301</w:t>
            </w:r>
          </w:p>
        </w:tc>
      </w:tr>
      <w:tr>
        <w:trPr>
          <w:trHeight w:hRule="exac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000000"/>
                <w:sz w:val="18"/>
              </w:rPr>
            </w:pPr>
            <w:r>
              <w:rPr>
                <w:rFonts w:ascii="Verdana" w:hAnsi="Verdana"/>
                <w:i/>
                <w:noProof/>
                <w:color w:val="000000"/>
                <w:sz w:val="18"/>
              </w:rPr>
              <w:t>Начислени приходи и разходи за бъдещи периоди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i/>
                <w:noProof/>
                <w:color w:val="000000"/>
                <w:sz w:val="18"/>
              </w:rPr>
            </w:pPr>
            <w:r>
              <w:rPr>
                <w:rFonts w:ascii="Verdana" w:hAnsi="Verdana"/>
                <w:i/>
                <w:noProof/>
                <w:color w:val="000000"/>
                <w:sz w:val="18"/>
              </w:rPr>
              <w:t>2.6.1.4</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 xml:space="preserve"> 787</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1 788</w:t>
            </w:r>
          </w:p>
        </w:tc>
      </w:tr>
      <w:tr>
        <w:trPr>
          <w:trHeight w:hRule="exact" w:val="300"/>
        </w:trPr>
        <w:tc>
          <w:tcPr>
            <w:tcW w:w="449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000000"/>
                <w:sz w:val="18"/>
              </w:rPr>
            </w:pPr>
            <w:r>
              <w:rPr>
                <w:rFonts w:ascii="Verdana" w:hAnsi="Verdana"/>
                <w:i/>
                <w:noProof/>
                <w:color w:val="000000"/>
                <w:sz w:val="18"/>
              </w:rPr>
              <w:t>Други средства, подлежащи на събиране</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i/>
                <w:noProof/>
                <w:color w:val="000000"/>
                <w:sz w:val="18"/>
              </w:rPr>
            </w:pPr>
            <w:r>
              <w:rPr>
                <w:rFonts w:ascii="Verdana" w:hAnsi="Verdana"/>
                <w:i/>
                <w:noProof/>
                <w:color w:val="000000"/>
                <w:sz w:val="18"/>
              </w:rPr>
              <w:t>2.6.1.5</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 xml:space="preserve"> 792</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i/>
                <w:noProof/>
                <w:color w:val="000000"/>
                <w:sz w:val="18"/>
              </w:rPr>
            </w:pPr>
            <w:r>
              <w:rPr>
                <w:rFonts w:ascii="Verdana" w:hAnsi="Verdana"/>
                <w:i/>
                <w:noProof/>
                <w:color w:val="000000"/>
                <w:sz w:val="18"/>
              </w:rPr>
              <w:t xml:space="preserve"> 59</w:t>
            </w:r>
          </w:p>
        </w:tc>
      </w:tr>
      <w:tr>
        <w:trPr>
          <w:trHeight w:hRule="exact" w:val="300"/>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i/>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b/>
                <w:noProof/>
                <w:color w:val="000000"/>
                <w:sz w:val="18"/>
              </w:rPr>
            </w:pPr>
            <w:r>
              <w:rPr>
                <w:rFonts w:ascii="Verdana" w:hAnsi="Verdana"/>
                <w:b/>
                <w:noProof/>
                <w:color w:val="000000"/>
                <w:sz w:val="18"/>
              </w:rPr>
              <w:t>26 915</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b/>
                <w:noProof/>
                <w:color w:val="000000"/>
                <w:sz w:val="18"/>
              </w:rPr>
            </w:pPr>
            <w:r>
              <w:rPr>
                <w:rFonts w:ascii="Verdana" w:hAnsi="Verdana"/>
                <w:b/>
                <w:noProof/>
                <w:color w:val="000000"/>
                <w:sz w:val="18"/>
              </w:rPr>
              <w:t>19 328</w:t>
            </w:r>
          </w:p>
        </w:tc>
      </w:tr>
      <w:tr>
        <w:trPr>
          <w:trHeight w:hRule="exact" w:val="300"/>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0BIPRNET"/>
              <w:rPr>
                <w:rFonts w:ascii="Verdana" w:eastAsia="Verdana" w:hAnsi="Verdana" w:cs="Verdana"/>
                <w:b/>
                <w:noProof/>
                <w:color w:val="000000"/>
                <w:sz w:val="18"/>
              </w:rPr>
            </w:pPr>
            <w:r>
              <w:rPr>
                <w:rFonts w:ascii="Verdana" w:hAnsi="Verdana"/>
                <w:b/>
                <w:noProof/>
                <w:color w:val="000000"/>
                <w:sz w:val="18"/>
              </w:rPr>
              <w:t>Общо</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0BIPRNE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b/>
                <w:noProof/>
                <w:color w:val="000000"/>
                <w:sz w:val="18"/>
              </w:rPr>
            </w:pPr>
            <w:r>
              <w:rPr>
                <w:rFonts w:ascii="Verdana" w:hAnsi="Verdana"/>
                <w:b/>
                <w:noProof/>
                <w:color w:val="000000"/>
                <w:sz w:val="18"/>
              </w:rPr>
              <w:t>71 043</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NET"/>
              <w:jc w:val="right"/>
              <w:rPr>
                <w:rFonts w:ascii="Verdana" w:eastAsia="Verdana" w:hAnsi="Verdana" w:cs="Verdana"/>
                <w:b/>
                <w:noProof/>
                <w:color w:val="000000"/>
                <w:sz w:val="18"/>
              </w:rPr>
            </w:pPr>
            <w:r>
              <w:rPr>
                <w:rFonts w:ascii="Verdana" w:hAnsi="Verdana"/>
                <w:b/>
                <w:noProof/>
                <w:color w:val="000000"/>
                <w:sz w:val="18"/>
              </w:rPr>
              <w:t>21 750</w:t>
            </w:r>
          </w:p>
        </w:tc>
      </w:tr>
    </w:tbl>
    <w:p>
      <w:pPr>
        <w:pStyle w:val="HEADER4NOTES"/>
        <w:spacing w:after="120"/>
        <w:rPr>
          <w:noProof/>
        </w:rPr>
      </w:pPr>
      <w:r>
        <w:rPr>
          <w:noProof/>
        </w:rPr>
        <w:t>Средства, подлежащи на събиране от държавите членки</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8"/>
        <w:gridCol w:w="1895"/>
        <w:gridCol w:w="1735"/>
      </w:tblGrid>
      <w:tr>
        <w:trPr>
          <w:trHeight w:val="255"/>
        </w:trPr>
        <w:tc>
          <w:tcPr>
            <w:tcW w:w="6128" w:type="dxa"/>
            <w:tcBorders>
              <w:top w:val="nil"/>
              <w:left w:val="nil"/>
              <w:bottom w:val="nil"/>
              <w:right w:val="nil"/>
            </w:tcBorders>
            <w:tcMar>
              <w:top w:w="0" w:type="dxa"/>
              <w:left w:w="60" w:type="dxa"/>
              <w:bottom w:w="0" w:type="dxa"/>
              <w:right w:w="60" w:type="dxa"/>
            </w:tcMar>
            <w:vAlign w:val="bottom"/>
          </w:tcPr>
          <w:p>
            <w:pPr>
              <w:pStyle w:val="DMETW19861BIPRMS"/>
              <w:rPr>
                <w:rFonts w:ascii="Arial" w:eastAsia="Times New Roman" w:hAnsi="Arial" w:cs="Arial"/>
                <w:noProof/>
                <w:color w:val="000000"/>
              </w:rPr>
            </w:pPr>
            <w:bookmarkStart w:id="113" w:name="DOC_TBL00027_1_1"/>
            <w:bookmarkEnd w:id="113"/>
          </w:p>
        </w:tc>
        <w:tc>
          <w:tcPr>
            <w:tcW w:w="1895" w:type="dxa"/>
            <w:tcBorders>
              <w:top w:val="nil"/>
              <w:left w:val="nil"/>
              <w:bottom w:val="nil"/>
              <w:right w:val="nil"/>
            </w:tcBorders>
            <w:tcMar>
              <w:top w:w="0" w:type="dxa"/>
              <w:left w:w="60" w:type="dxa"/>
              <w:bottom w:w="0" w:type="dxa"/>
              <w:right w:w="60" w:type="dxa"/>
            </w:tcMar>
            <w:vAlign w:val="bottom"/>
          </w:tcPr>
          <w:p>
            <w:pPr>
              <w:pStyle w:val="DMETW19861BIPRMS"/>
              <w:rPr>
                <w:rFonts w:ascii="Arial" w:eastAsia="Times New Roman" w:hAnsi="Arial" w:cs="Arial"/>
                <w:noProof/>
                <w:color w:val="000000"/>
              </w:rPr>
            </w:pPr>
          </w:p>
        </w:tc>
        <w:tc>
          <w:tcPr>
            <w:tcW w:w="1735" w:type="dxa"/>
            <w:tcBorders>
              <w:top w:val="nil"/>
              <w:left w:val="nil"/>
              <w:bottom w:val="nil"/>
              <w:right w:val="nil"/>
            </w:tcBorders>
            <w:tcMar>
              <w:top w:w="0" w:type="dxa"/>
              <w:left w:w="60" w:type="dxa"/>
              <w:bottom w:w="0" w:type="dxa"/>
              <w:right w:w="60" w:type="dxa"/>
            </w:tcMar>
            <w:vAlign w:val="bottom"/>
          </w:tcPr>
          <w:p>
            <w:pPr>
              <w:pStyle w:val="DMETW19861BIPRMS"/>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6128" w:type="dxa"/>
            <w:tcBorders>
              <w:top w:val="nil"/>
              <w:left w:val="nil"/>
              <w:bottom w:val="nil"/>
              <w:right w:val="nil"/>
            </w:tcBorders>
            <w:shd w:val="solid" w:color="016794" w:fill="FFFFFF"/>
            <w:tcMar>
              <w:top w:w="0" w:type="dxa"/>
              <w:left w:w="60" w:type="dxa"/>
              <w:bottom w:w="0" w:type="dxa"/>
              <w:right w:w="60" w:type="dxa"/>
            </w:tcMar>
            <w:vAlign w:val="center"/>
          </w:tcPr>
          <w:p>
            <w:pPr>
              <w:pStyle w:val="DMETW19861BIPRMS"/>
              <w:jc w:val="right"/>
              <w:rPr>
                <w:rFonts w:ascii="Verdana" w:eastAsia="Times New Roman" w:hAnsi="Verdana" w:cs="Verdana"/>
                <w:noProof/>
                <w:color w:val="FFFFFF"/>
                <w:sz w:val="18"/>
              </w:rPr>
            </w:pPr>
          </w:p>
        </w:tc>
        <w:tc>
          <w:tcPr>
            <w:tcW w:w="1895" w:type="dxa"/>
            <w:tcBorders>
              <w:top w:val="nil"/>
              <w:left w:val="nil"/>
              <w:bottom w:val="nil"/>
              <w:right w:val="nil"/>
            </w:tcBorders>
            <w:shd w:val="solid" w:color="016794" w:fill="FFFFFF"/>
            <w:tcMar>
              <w:top w:w="0" w:type="dxa"/>
              <w:left w:w="60" w:type="dxa"/>
              <w:bottom w:w="0" w:type="dxa"/>
              <w:right w:w="60" w:type="dxa"/>
            </w:tcMar>
            <w:vAlign w:val="center"/>
          </w:tcPr>
          <w:p>
            <w:pPr>
              <w:pStyle w:val="DMETW19861BIPRMS"/>
              <w:jc w:val="right"/>
              <w:rPr>
                <w:rFonts w:ascii="Verdana" w:eastAsia="Times New Roman" w:hAnsi="Verdana" w:cs="Verdana"/>
                <w:noProof/>
                <w:color w:val="FFFFFF"/>
              </w:rPr>
            </w:pPr>
            <w:r>
              <w:rPr>
                <w:rFonts w:ascii="Verdana" w:hAnsi="Verdana"/>
                <w:noProof/>
                <w:color w:val="FFFFFF"/>
              </w:rPr>
              <w:t>31.12.2020 г.</w:t>
            </w:r>
          </w:p>
        </w:tc>
        <w:tc>
          <w:tcPr>
            <w:tcW w:w="1735" w:type="dxa"/>
            <w:tcBorders>
              <w:top w:val="nil"/>
              <w:left w:val="nil"/>
              <w:bottom w:val="nil"/>
              <w:right w:val="nil"/>
            </w:tcBorders>
            <w:shd w:val="solid" w:color="016794" w:fill="FFFFFF"/>
            <w:tcMar>
              <w:top w:w="0" w:type="dxa"/>
              <w:left w:w="60" w:type="dxa"/>
              <w:bottom w:w="0" w:type="dxa"/>
              <w:right w:w="60" w:type="dxa"/>
            </w:tcMar>
            <w:vAlign w:val="center"/>
          </w:tcPr>
          <w:p>
            <w:pPr>
              <w:pStyle w:val="DMETW19861BIPRMS"/>
              <w:jc w:val="right"/>
              <w:rPr>
                <w:rFonts w:ascii="Verdana" w:eastAsia="Times New Roman" w:hAnsi="Verdana" w:cs="Verdana"/>
                <w:noProof/>
                <w:color w:val="FFFFFF"/>
              </w:rPr>
            </w:pPr>
            <w:r>
              <w:rPr>
                <w:rFonts w:ascii="Verdana" w:hAnsi="Verdana"/>
                <w:noProof/>
                <w:color w:val="FFFFFF"/>
              </w:rPr>
              <w:t>31.12.2019 г.</w:t>
            </w:r>
          </w:p>
        </w:tc>
      </w:tr>
      <w:tr>
        <w:trPr>
          <w:trHeight w:val="255"/>
        </w:trPr>
        <w:tc>
          <w:tcPr>
            <w:tcW w:w="6128" w:type="dxa"/>
            <w:tcBorders>
              <w:top w:val="nil"/>
              <w:left w:val="nil"/>
              <w:bottom w:val="nil"/>
              <w:right w:val="nil"/>
            </w:tcBorders>
            <w:tcMar>
              <w:top w:w="0" w:type="dxa"/>
              <w:left w:w="60" w:type="dxa"/>
              <w:bottom w:w="0" w:type="dxa"/>
              <w:right w:w="60" w:type="dxa"/>
            </w:tcMar>
            <w:vAlign w:val="center"/>
          </w:tcPr>
          <w:p>
            <w:pPr>
              <w:pStyle w:val="DMETW19861BIPRMS"/>
              <w:rPr>
                <w:rFonts w:ascii="Verdana" w:eastAsia="Times New Roman" w:hAnsi="Verdana" w:cs="Verdana"/>
                <w:i/>
                <w:noProof/>
                <w:color w:val="000000"/>
                <w:sz w:val="18"/>
              </w:rPr>
            </w:pPr>
            <w:r>
              <w:rPr>
                <w:rFonts w:ascii="Verdana" w:hAnsi="Verdana"/>
                <w:i/>
                <w:noProof/>
                <w:color w:val="000000"/>
                <w:sz w:val="18"/>
              </w:rPr>
              <w:t>Сметки „А“ за ТСР</w:t>
            </w:r>
          </w:p>
        </w:tc>
        <w:tc>
          <w:tcPr>
            <w:tcW w:w="189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5 297</w:t>
            </w:r>
          </w:p>
        </w:tc>
        <w:tc>
          <w:tcPr>
            <w:tcW w:w="173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5 478</w:t>
            </w:r>
          </w:p>
        </w:tc>
      </w:tr>
      <w:tr>
        <w:trPr>
          <w:trHeight w:val="255"/>
        </w:trPr>
        <w:tc>
          <w:tcPr>
            <w:tcW w:w="6128" w:type="dxa"/>
            <w:tcBorders>
              <w:top w:val="nil"/>
              <w:left w:val="nil"/>
              <w:bottom w:val="nil"/>
              <w:right w:val="nil"/>
            </w:tcBorders>
            <w:tcMar>
              <w:top w:w="0" w:type="dxa"/>
              <w:left w:w="60" w:type="dxa"/>
              <w:bottom w:w="0" w:type="dxa"/>
              <w:right w:w="60" w:type="dxa"/>
            </w:tcMar>
            <w:vAlign w:val="center"/>
          </w:tcPr>
          <w:p>
            <w:pPr>
              <w:pStyle w:val="DMETW19861BIPRMS"/>
              <w:rPr>
                <w:rFonts w:ascii="Verdana" w:eastAsia="Times New Roman" w:hAnsi="Verdana" w:cs="Verdana"/>
                <w:i/>
                <w:noProof/>
                <w:color w:val="000000"/>
                <w:sz w:val="18"/>
              </w:rPr>
            </w:pPr>
            <w:r>
              <w:rPr>
                <w:rFonts w:ascii="Verdana" w:hAnsi="Verdana"/>
                <w:i/>
                <w:noProof/>
                <w:color w:val="000000"/>
                <w:sz w:val="18"/>
              </w:rPr>
              <w:t>Отделни сметки за ТСР</w:t>
            </w:r>
          </w:p>
        </w:tc>
        <w:tc>
          <w:tcPr>
            <w:tcW w:w="189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1 460</w:t>
            </w:r>
          </w:p>
        </w:tc>
        <w:tc>
          <w:tcPr>
            <w:tcW w:w="173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1 591</w:t>
            </w:r>
          </w:p>
        </w:tc>
      </w:tr>
      <w:tr>
        <w:trPr>
          <w:trHeight w:val="255"/>
        </w:trPr>
        <w:tc>
          <w:tcPr>
            <w:tcW w:w="6128" w:type="dxa"/>
            <w:tcBorders>
              <w:top w:val="nil"/>
              <w:left w:val="nil"/>
              <w:bottom w:val="nil"/>
              <w:right w:val="nil"/>
            </w:tcBorders>
            <w:tcMar>
              <w:top w:w="0" w:type="dxa"/>
              <w:left w:w="60" w:type="dxa"/>
              <w:bottom w:w="0" w:type="dxa"/>
              <w:right w:w="60" w:type="dxa"/>
            </w:tcMar>
            <w:vAlign w:val="center"/>
          </w:tcPr>
          <w:p>
            <w:pPr>
              <w:pStyle w:val="DMETW19861BIPRMS"/>
              <w:rPr>
                <w:rFonts w:ascii="Verdana" w:eastAsia="Times New Roman" w:hAnsi="Verdana" w:cs="Verdana"/>
                <w:i/>
                <w:noProof/>
                <w:color w:val="000000"/>
                <w:sz w:val="18"/>
              </w:rPr>
            </w:pPr>
            <w:r>
              <w:rPr>
                <w:rFonts w:ascii="Verdana" w:hAnsi="Verdana"/>
                <w:i/>
                <w:noProof/>
                <w:color w:val="000000"/>
                <w:sz w:val="18"/>
              </w:rPr>
              <w:t>Собствени ресурси за получаване</w:t>
            </w:r>
          </w:p>
        </w:tc>
        <w:tc>
          <w:tcPr>
            <w:tcW w:w="189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2 188</w:t>
            </w:r>
          </w:p>
        </w:tc>
        <w:tc>
          <w:tcPr>
            <w:tcW w:w="173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 xml:space="preserve"> 7</w:t>
            </w:r>
          </w:p>
        </w:tc>
      </w:tr>
      <w:tr>
        <w:trPr>
          <w:trHeight w:val="255"/>
        </w:trPr>
        <w:tc>
          <w:tcPr>
            <w:tcW w:w="6128" w:type="dxa"/>
            <w:tcBorders>
              <w:top w:val="nil"/>
              <w:left w:val="nil"/>
              <w:bottom w:val="nil"/>
              <w:right w:val="nil"/>
            </w:tcBorders>
            <w:tcMar>
              <w:top w:w="0" w:type="dxa"/>
              <w:left w:w="60" w:type="dxa"/>
              <w:bottom w:w="0" w:type="dxa"/>
              <w:right w:w="60" w:type="dxa"/>
            </w:tcMar>
            <w:vAlign w:val="center"/>
          </w:tcPr>
          <w:p>
            <w:pPr>
              <w:pStyle w:val="DMETW19861BIPRMS"/>
              <w:rPr>
                <w:rFonts w:ascii="Verdana" w:eastAsia="Times New Roman" w:hAnsi="Verdana" w:cs="Verdana"/>
                <w:i/>
                <w:noProof/>
                <w:color w:val="000000"/>
                <w:sz w:val="18"/>
              </w:rPr>
            </w:pPr>
            <w:r>
              <w:rPr>
                <w:rFonts w:ascii="Verdana" w:hAnsi="Verdana"/>
                <w:i/>
                <w:noProof/>
                <w:color w:val="000000"/>
                <w:sz w:val="18"/>
              </w:rPr>
              <w:t>Обезценка</w:t>
            </w:r>
          </w:p>
        </w:tc>
        <w:tc>
          <w:tcPr>
            <w:tcW w:w="189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 xml:space="preserve"> (892)</w:t>
            </w:r>
          </w:p>
        </w:tc>
        <w:tc>
          <w:tcPr>
            <w:tcW w:w="173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 xml:space="preserve"> (931)</w:t>
            </w:r>
          </w:p>
        </w:tc>
      </w:tr>
      <w:tr>
        <w:trPr>
          <w:trHeight w:val="255"/>
        </w:trPr>
        <w:tc>
          <w:tcPr>
            <w:tcW w:w="6128" w:type="dxa"/>
            <w:tcBorders>
              <w:top w:val="nil"/>
              <w:left w:val="nil"/>
              <w:bottom w:val="single" w:sz="4" w:space="0" w:color="016794"/>
              <w:right w:val="nil"/>
            </w:tcBorders>
            <w:tcMar>
              <w:top w:w="0" w:type="dxa"/>
              <w:left w:w="60" w:type="dxa"/>
              <w:bottom w:w="0" w:type="dxa"/>
              <w:right w:w="60" w:type="dxa"/>
            </w:tcMar>
            <w:vAlign w:val="center"/>
          </w:tcPr>
          <w:p>
            <w:pPr>
              <w:pStyle w:val="DMETW19861BIPRMS"/>
              <w:rPr>
                <w:rFonts w:ascii="Verdana" w:eastAsia="Times New Roman" w:hAnsi="Verdana" w:cs="Verdana"/>
                <w:i/>
                <w:noProof/>
                <w:color w:val="000000"/>
                <w:sz w:val="18"/>
              </w:rPr>
            </w:pPr>
            <w:r>
              <w:rPr>
                <w:rFonts w:ascii="Verdana" w:hAnsi="Verdana"/>
                <w:i/>
                <w:noProof/>
                <w:color w:val="000000"/>
                <w:sz w:val="18"/>
              </w:rPr>
              <w:t>Други</w:t>
            </w:r>
          </w:p>
        </w:tc>
        <w:tc>
          <w:tcPr>
            <w:tcW w:w="1895" w:type="dxa"/>
            <w:tcBorders>
              <w:top w:val="nil"/>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w:t>
            </w:r>
          </w:p>
        </w:tc>
        <w:tc>
          <w:tcPr>
            <w:tcW w:w="1735" w:type="dxa"/>
            <w:tcBorders>
              <w:top w:val="nil"/>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612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rPr>
                <w:rFonts w:ascii="Verdana" w:eastAsia="Times New Roman" w:hAnsi="Verdana" w:cs="Verdana"/>
                <w:b/>
                <w:noProof/>
                <w:color w:val="000000"/>
                <w:sz w:val="18"/>
              </w:rPr>
            </w:pPr>
            <w:r>
              <w:rPr>
                <w:rFonts w:ascii="Verdana" w:hAnsi="Verdana"/>
                <w:b/>
                <w:noProof/>
                <w:color w:val="000000"/>
                <w:sz w:val="18"/>
              </w:rPr>
              <w:t>Средства, подлежащи на събиране, в областта на собствените ресурси</w:t>
            </w:r>
          </w:p>
        </w:tc>
        <w:tc>
          <w:tcPr>
            <w:tcW w:w="189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8 053</w:t>
            </w:r>
          </w:p>
        </w:tc>
        <w:tc>
          <w:tcPr>
            <w:tcW w:w="173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6 145</w:t>
            </w:r>
          </w:p>
        </w:tc>
      </w:tr>
      <w:tr>
        <w:trPr>
          <w:trHeight w:val="255"/>
        </w:trPr>
        <w:tc>
          <w:tcPr>
            <w:tcW w:w="6128" w:type="dxa"/>
            <w:tcBorders>
              <w:top w:val="single" w:sz="4" w:space="0" w:color="016794"/>
              <w:left w:val="nil"/>
              <w:bottom w:val="nil"/>
              <w:right w:val="nil"/>
            </w:tcBorders>
            <w:tcMar>
              <w:top w:w="0" w:type="dxa"/>
              <w:left w:w="60" w:type="dxa"/>
              <w:bottom w:w="0" w:type="dxa"/>
              <w:right w:w="60" w:type="dxa"/>
            </w:tcMar>
            <w:vAlign w:val="center"/>
          </w:tcPr>
          <w:p>
            <w:pPr>
              <w:pStyle w:val="DMETW19861BIPRMS"/>
              <w:rPr>
                <w:rFonts w:ascii="Verdana" w:eastAsia="Times New Roman" w:hAnsi="Verdana" w:cs="Verdana"/>
                <w:i/>
                <w:noProof/>
                <w:color w:val="000000"/>
                <w:sz w:val="18"/>
              </w:rPr>
            </w:pPr>
            <w:r>
              <w:rPr>
                <w:rFonts w:ascii="Verdana" w:hAnsi="Verdana"/>
                <w:i/>
                <w:noProof/>
                <w:color w:val="000000"/>
                <w:sz w:val="18"/>
              </w:rPr>
              <w:t>Европейски фонд за гарантиране на земеделието (ЕФГЗ)</w:t>
            </w:r>
          </w:p>
        </w:tc>
        <w:tc>
          <w:tcPr>
            <w:tcW w:w="1895" w:type="dxa"/>
            <w:tcBorders>
              <w:top w:val="single" w:sz="4" w:space="0" w:color="016794"/>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1 378</w:t>
            </w:r>
          </w:p>
        </w:tc>
        <w:tc>
          <w:tcPr>
            <w:tcW w:w="1735" w:type="dxa"/>
            <w:tcBorders>
              <w:top w:val="single" w:sz="4" w:space="0" w:color="016794"/>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1 722</w:t>
            </w:r>
          </w:p>
        </w:tc>
      </w:tr>
      <w:tr>
        <w:trPr>
          <w:trHeight w:val="255"/>
        </w:trPr>
        <w:tc>
          <w:tcPr>
            <w:tcW w:w="6128" w:type="dxa"/>
            <w:tcBorders>
              <w:top w:val="nil"/>
              <w:left w:val="nil"/>
              <w:bottom w:val="nil"/>
              <w:right w:val="nil"/>
            </w:tcBorders>
            <w:tcMar>
              <w:top w:w="0" w:type="dxa"/>
              <w:left w:w="60" w:type="dxa"/>
              <w:bottom w:w="0" w:type="dxa"/>
              <w:right w:w="60" w:type="dxa"/>
            </w:tcMar>
            <w:vAlign w:val="center"/>
          </w:tcPr>
          <w:p>
            <w:pPr>
              <w:pStyle w:val="DMETW19861BIPRMS"/>
              <w:rPr>
                <w:rFonts w:ascii="Verdana" w:eastAsia="Times New Roman" w:hAnsi="Verdana" w:cs="Verdana"/>
                <w:i/>
                <w:noProof/>
                <w:color w:val="000000"/>
                <w:sz w:val="18"/>
              </w:rPr>
            </w:pPr>
            <w:r>
              <w:rPr>
                <w:rFonts w:ascii="Verdana" w:hAnsi="Verdana"/>
                <w:i/>
                <w:noProof/>
                <w:color w:val="000000"/>
                <w:sz w:val="18"/>
              </w:rPr>
              <w:t>Европейски земеделски фонд за развитие на селските райони (ЕЗФРСР) и други инструменти за развитие на селските райони</w:t>
            </w:r>
          </w:p>
        </w:tc>
        <w:tc>
          <w:tcPr>
            <w:tcW w:w="189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 xml:space="preserve"> 720</w:t>
            </w:r>
          </w:p>
        </w:tc>
        <w:tc>
          <w:tcPr>
            <w:tcW w:w="173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 xml:space="preserve"> 879</w:t>
            </w:r>
          </w:p>
        </w:tc>
      </w:tr>
      <w:tr>
        <w:trPr>
          <w:trHeight w:val="255"/>
        </w:trPr>
        <w:tc>
          <w:tcPr>
            <w:tcW w:w="6128" w:type="dxa"/>
            <w:tcBorders>
              <w:top w:val="nil"/>
              <w:left w:val="nil"/>
              <w:bottom w:val="single" w:sz="4" w:space="0" w:color="016794"/>
              <w:right w:val="nil"/>
            </w:tcBorders>
            <w:tcMar>
              <w:top w:w="0" w:type="dxa"/>
              <w:left w:w="60" w:type="dxa"/>
              <w:bottom w:w="0" w:type="dxa"/>
              <w:right w:w="60" w:type="dxa"/>
            </w:tcMar>
            <w:vAlign w:val="center"/>
          </w:tcPr>
          <w:p>
            <w:pPr>
              <w:pStyle w:val="DMETW19861BIPRMS"/>
              <w:rPr>
                <w:rFonts w:ascii="Verdana" w:eastAsia="Times New Roman" w:hAnsi="Verdana" w:cs="Verdana"/>
                <w:i/>
                <w:noProof/>
                <w:color w:val="000000"/>
                <w:sz w:val="18"/>
              </w:rPr>
            </w:pPr>
            <w:r>
              <w:rPr>
                <w:rFonts w:ascii="Verdana" w:hAnsi="Verdana"/>
                <w:i/>
                <w:noProof/>
                <w:color w:val="000000"/>
                <w:sz w:val="18"/>
              </w:rPr>
              <w:t>Обезценка</w:t>
            </w:r>
          </w:p>
        </w:tc>
        <w:tc>
          <w:tcPr>
            <w:tcW w:w="1895" w:type="dxa"/>
            <w:tcBorders>
              <w:top w:val="nil"/>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 xml:space="preserve"> (837)</w:t>
            </w:r>
          </w:p>
        </w:tc>
        <w:tc>
          <w:tcPr>
            <w:tcW w:w="1735" w:type="dxa"/>
            <w:tcBorders>
              <w:top w:val="nil"/>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00000"/>
                <w:sz w:val="18"/>
              </w:rPr>
            </w:pPr>
            <w:r>
              <w:rPr>
                <w:rFonts w:ascii="Verdana" w:hAnsi="Verdana"/>
                <w:i/>
                <w:noProof/>
                <w:color w:val="000000"/>
                <w:sz w:val="18"/>
              </w:rPr>
              <w:t xml:space="preserve"> (822)</w:t>
            </w:r>
          </w:p>
        </w:tc>
      </w:tr>
      <w:tr>
        <w:trPr>
          <w:trHeight w:val="255"/>
        </w:trPr>
        <w:tc>
          <w:tcPr>
            <w:tcW w:w="612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rPr>
                <w:rFonts w:ascii="Verdana" w:eastAsia="Times New Roman" w:hAnsi="Verdana" w:cs="Verdana"/>
                <w:b/>
                <w:noProof/>
                <w:color w:val="000000"/>
                <w:sz w:val="18"/>
              </w:rPr>
            </w:pPr>
            <w:r>
              <w:rPr>
                <w:rFonts w:ascii="Verdana" w:hAnsi="Verdana"/>
                <w:b/>
                <w:noProof/>
                <w:color w:val="000000"/>
                <w:sz w:val="18"/>
              </w:rPr>
              <w:t>Средства, подлежащи на събиране, в областта на ЕФГЗ и на развитието на селските райони</w:t>
            </w:r>
          </w:p>
        </w:tc>
        <w:tc>
          <w:tcPr>
            <w:tcW w:w="189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1 260</w:t>
            </w:r>
          </w:p>
        </w:tc>
        <w:tc>
          <w:tcPr>
            <w:tcW w:w="173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1 779</w:t>
            </w:r>
          </w:p>
        </w:tc>
      </w:tr>
      <w:tr>
        <w:trPr>
          <w:trHeight w:val="255"/>
        </w:trPr>
        <w:tc>
          <w:tcPr>
            <w:tcW w:w="612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rPr>
                <w:rFonts w:ascii="Verdana" w:eastAsia="Times New Roman" w:hAnsi="Verdana" w:cs="Verdana"/>
                <w:b/>
                <w:noProof/>
                <w:color w:val="000000"/>
                <w:sz w:val="18"/>
              </w:rPr>
            </w:pPr>
            <w:r>
              <w:rPr>
                <w:rFonts w:ascii="Verdana" w:hAnsi="Verdana"/>
                <w:b/>
                <w:noProof/>
                <w:color w:val="000000"/>
                <w:sz w:val="18"/>
              </w:rPr>
              <w:t>Събиране на предварително финансиране</w:t>
            </w:r>
          </w:p>
        </w:tc>
        <w:tc>
          <w:tcPr>
            <w:tcW w:w="189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 xml:space="preserve"> 53</w:t>
            </w:r>
          </w:p>
        </w:tc>
        <w:tc>
          <w:tcPr>
            <w:tcW w:w="173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 xml:space="preserve"> 443</w:t>
            </w:r>
          </w:p>
        </w:tc>
      </w:tr>
      <w:tr>
        <w:trPr>
          <w:trHeight w:val="255"/>
        </w:trPr>
        <w:tc>
          <w:tcPr>
            <w:tcW w:w="612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rPr>
                <w:rFonts w:ascii="Verdana" w:eastAsia="Times New Roman" w:hAnsi="Verdana" w:cs="Verdana"/>
                <w:b/>
                <w:noProof/>
                <w:color w:val="000000"/>
                <w:sz w:val="18"/>
              </w:rPr>
            </w:pPr>
            <w:r>
              <w:rPr>
                <w:rFonts w:ascii="Verdana" w:hAnsi="Verdana"/>
                <w:b/>
                <w:noProof/>
                <w:color w:val="000000"/>
                <w:sz w:val="18"/>
              </w:rPr>
              <w:t>Платен ДДС и ДДС, подлежащ на събиране</w:t>
            </w:r>
          </w:p>
        </w:tc>
        <w:tc>
          <w:tcPr>
            <w:tcW w:w="189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 xml:space="preserve"> 35</w:t>
            </w:r>
          </w:p>
        </w:tc>
        <w:tc>
          <w:tcPr>
            <w:tcW w:w="173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 xml:space="preserve"> 44</w:t>
            </w:r>
          </w:p>
        </w:tc>
      </w:tr>
      <w:tr>
        <w:trPr>
          <w:trHeight w:val="255"/>
        </w:trPr>
        <w:tc>
          <w:tcPr>
            <w:tcW w:w="612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rPr>
                <w:rFonts w:ascii="Verdana" w:eastAsia="Times New Roman" w:hAnsi="Verdana" w:cs="Verdana"/>
                <w:b/>
                <w:noProof/>
                <w:color w:val="000000"/>
                <w:sz w:val="18"/>
              </w:rPr>
            </w:pPr>
            <w:r>
              <w:rPr>
                <w:rFonts w:ascii="Verdana" w:hAnsi="Verdana"/>
                <w:b/>
                <w:noProof/>
                <w:color w:val="000000"/>
                <w:sz w:val="18"/>
              </w:rPr>
              <w:t>Други средства, подлежащи на събиране от държавите членки</w:t>
            </w:r>
          </w:p>
        </w:tc>
        <w:tc>
          <w:tcPr>
            <w:tcW w:w="189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 xml:space="preserve"> 49</w:t>
            </w:r>
          </w:p>
        </w:tc>
        <w:tc>
          <w:tcPr>
            <w:tcW w:w="173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 xml:space="preserve"> 191</w:t>
            </w:r>
          </w:p>
        </w:tc>
      </w:tr>
      <w:tr>
        <w:trPr>
          <w:trHeight w:val="255"/>
        </w:trPr>
        <w:tc>
          <w:tcPr>
            <w:tcW w:w="612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rPr>
                <w:rFonts w:ascii="Verdana" w:eastAsia="Times New Roman" w:hAnsi="Verdana" w:cs="Verdana"/>
                <w:b/>
                <w:noProof/>
                <w:color w:val="000000"/>
                <w:sz w:val="18"/>
              </w:rPr>
            </w:pPr>
            <w:r>
              <w:rPr>
                <w:rFonts w:ascii="Verdana" w:hAnsi="Verdana"/>
                <w:b/>
                <w:noProof/>
                <w:color w:val="000000"/>
                <w:sz w:val="18"/>
              </w:rPr>
              <w:t>Общо</w:t>
            </w:r>
          </w:p>
        </w:tc>
        <w:tc>
          <w:tcPr>
            <w:tcW w:w="189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9 450</w:t>
            </w:r>
          </w:p>
        </w:tc>
        <w:tc>
          <w:tcPr>
            <w:tcW w:w="173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1BIPRMS"/>
              <w:jc w:val="right"/>
              <w:rPr>
                <w:rFonts w:ascii="Verdana" w:eastAsia="Times New Roman" w:hAnsi="Verdana" w:cs="Verdana"/>
                <w:b/>
                <w:noProof/>
                <w:color w:val="000000"/>
                <w:sz w:val="18"/>
              </w:rPr>
            </w:pPr>
            <w:r>
              <w:rPr>
                <w:rFonts w:ascii="Verdana" w:hAnsi="Verdana"/>
                <w:b/>
                <w:noProof/>
                <w:color w:val="000000"/>
                <w:sz w:val="18"/>
              </w:rPr>
              <w:t>8 602</w:t>
            </w:r>
          </w:p>
        </w:tc>
      </w:tr>
      <w:tr>
        <w:trPr>
          <w:trHeight w:val="255"/>
        </w:trPr>
        <w:tc>
          <w:tcPr>
            <w:tcW w:w="6128" w:type="dxa"/>
            <w:tcBorders>
              <w:top w:val="single" w:sz="4" w:space="0" w:color="016794"/>
              <w:left w:val="nil"/>
              <w:bottom w:val="nil"/>
              <w:right w:val="nil"/>
            </w:tcBorders>
            <w:tcMar>
              <w:top w:w="0" w:type="dxa"/>
              <w:left w:w="60" w:type="dxa"/>
              <w:bottom w:w="0" w:type="dxa"/>
              <w:right w:w="60" w:type="dxa"/>
            </w:tcMar>
            <w:vAlign w:val="center"/>
          </w:tcPr>
          <w:p>
            <w:pPr>
              <w:pStyle w:val="DMETW19861BIPRMS"/>
              <w:rPr>
                <w:rFonts w:ascii="Verdana" w:eastAsia="Times New Roman" w:hAnsi="Verdana" w:cs="Verdana"/>
                <w:i/>
                <w:noProof/>
                <w:color w:val="016794"/>
                <w:sz w:val="18"/>
              </w:rPr>
            </w:pPr>
            <w:r>
              <w:rPr>
                <w:rFonts w:ascii="Verdana" w:hAnsi="Verdana"/>
                <w:i/>
                <w:noProof/>
                <w:color w:val="016794"/>
                <w:sz w:val="18"/>
              </w:rPr>
              <w:t>Нетекущи</w:t>
            </w:r>
          </w:p>
        </w:tc>
        <w:tc>
          <w:tcPr>
            <w:tcW w:w="1895" w:type="dxa"/>
            <w:tcBorders>
              <w:top w:val="single" w:sz="4" w:space="0" w:color="016794"/>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16794"/>
                <w:sz w:val="18"/>
              </w:rPr>
            </w:pPr>
            <w:r>
              <w:rPr>
                <w:rFonts w:ascii="Verdana" w:hAnsi="Verdana"/>
                <w:i/>
                <w:noProof/>
                <w:color w:val="016794"/>
                <w:sz w:val="18"/>
              </w:rPr>
              <w:t>2 237</w:t>
            </w:r>
          </w:p>
        </w:tc>
        <w:tc>
          <w:tcPr>
            <w:tcW w:w="1735" w:type="dxa"/>
            <w:tcBorders>
              <w:top w:val="single" w:sz="4" w:space="0" w:color="016794"/>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16794"/>
                <w:sz w:val="18"/>
              </w:rPr>
            </w:pPr>
            <w:r>
              <w:rPr>
                <w:rFonts w:ascii="Verdana" w:hAnsi="Verdana"/>
                <w:i/>
                <w:noProof/>
                <w:color w:val="016794"/>
                <w:sz w:val="18"/>
              </w:rPr>
              <w:t>2 422</w:t>
            </w:r>
          </w:p>
        </w:tc>
      </w:tr>
      <w:tr>
        <w:trPr>
          <w:trHeight w:val="255"/>
        </w:trPr>
        <w:tc>
          <w:tcPr>
            <w:tcW w:w="6128" w:type="dxa"/>
            <w:tcBorders>
              <w:top w:val="nil"/>
              <w:left w:val="nil"/>
              <w:bottom w:val="nil"/>
              <w:right w:val="nil"/>
            </w:tcBorders>
            <w:tcMar>
              <w:top w:w="0" w:type="dxa"/>
              <w:left w:w="60" w:type="dxa"/>
              <w:bottom w:w="0" w:type="dxa"/>
              <w:right w:w="60" w:type="dxa"/>
            </w:tcMar>
            <w:vAlign w:val="center"/>
          </w:tcPr>
          <w:p>
            <w:pPr>
              <w:pStyle w:val="DMETW19861BIPRMS"/>
              <w:rPr>
                <w:rFonts w:ascii="Verdana" w:eastAsia="Times New Roman" w:hAnsi="Verdana" w:cs="Verdana"/>
                <w:i/>
                <w:noProof/>
                <w:color w:val="016794"/>
                <w:sz w:val="18"/>
              </w:rPr>
            </w:pPr>
            <w:r>
              <w:rPr>
                <w:rFonts w:ascii="Verdana" w:hAnsi="Verdana"/>
                <w:i/>
                <w:noProof/>
                <w:color w:val="016794"/>
                <w:sz w:val="18"/>
              </w:rPr>
              <w:t>Текущи</w:t>
            </w:r>
          </w:p>
        </w:tc>
        <w:tc>
          <w:tcPr>
            <w:tcW w:w="189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16794"/>
                <w:sz w:val="18"/>
              </w:rPr>
            </w:pPr>
            <w:r>
              <w:rPr>
                <w:rFonts w:ascii="Verdana" w:hAnsi="Verdana"/>
                <w:i/>
                <w:noProof/>
                <w:color w:val="016794"/>
                <w:sz w:val="18"/>
              </w:rPr>
              <w:t>7 213</w:t>
            </w:r>
          </w:p>
        </w:tc>
        <w:tc>
          <w:tcPr>
            <w:tcW w:w="1735" w:type="dxa"/>
            <w:tcBorders>
              <w:top w:val="nil"/>
              <w:left w:val="nil"/>
              <w:bottom w:val="nil"/>
              <w:right w:val="nil"/>
            </w:tcBorders>
            <w:tcMar>
              <w:top w:w="0" w:type="dxa"/>
              <w:left w:w="60" w:type="dxa"/>
              <w:bottom w:w="0" w:type="dxa"/>
              <w:right w:w="60" w:type="dxa"/>
            </w:tcMar>
            <w:vAlign w:val="center"/>
          </w:tcPr>
          <w:p>
            <w:pPr>
              <w:pStyle w:val="DMETW19861BIPRMS"/>
              <w:jc w:val="right"/>
              <w:rPr>
                <w:rFonts w:ascii="Verdana" w:eastAsia="Times New Roman" w:hAnsi="Verdana" w:cs="Verdana"/>
                <w:i/>
                <w:noProof/>
                <w:color w:val="016794"/>
                <w:sz w:val="18"/>
              </w:rPr>
            </w:pPr>
            <w:r>
              <w:rPr>
                <w:rFonts w:ascii="Verdana" w:hAnsi="Verdana"/>
                <w:i/>
                <w:noProof/>
                <w:color w:val="016794"/>
                <w:sz w:val="18"/>
              </w:rPr>
              <w:t>6 180</w:t>
            </w:r>
          </w:p>
        </w:tc>
      </w:tr>
    </w:tbl>
    <w:p>
      <w:pPr>
        <w:pStyle w:val="Textstand-alone"/>
        <w:rPr>
          <w:rFonts w:eastAsia="Calibri"/>
        </w:rPr>
      </w:pPr>
      <w:r>
        <w:t>Най-голямата сума, включена при нетекущите, е свързана със суми, дължими от държавите членки, и по-конкретно 2,1 милиарда евро от производството за нарушение от страна на Обединеното кралство (обяснено по-долу). Също посочени като нетекущи, както и през предходните години, са сумите, свързани с неизпълнени решения за уравняване с оглед на съответствието за Европейския фонд за гарантиране на земеделието (ЕФГЗ) и за Европейския земеделски фонд за развитие на селските райони (ЕЗФРСР). Сумите, свързани с тези решения, са в процес на събиране под формата на годишни вноски.</w:t>
      </w:r>
    </w:p>
    <w:p>
      <w:pPr>
        <w:pStyle w:val="Textstand-alone"/>
        <w:rPr>
          <w:rFonts w:eastAsia="Calibri"/>
        </w:rPr>
      </w:pPr>
      <w:r>
        <w:t>Увеличението на текущите суми, дължими от държавите членки, се дължи най-вече на собствените ресурси, които трябва да бъдат получени във връзка с коригиращи бюджети през 2020 г. — вж. по-долу.</w:t>
      </w:r>
    </w:p>
    <w:p>
      <w:pPr>
        <w:pStyle w:val="Textstand-alone"/>
        <w:rPr>
          <w:b/>
        </w:rPr>
      </w:pPr>
      <w:r>
        <w:rPr>
          <w:color w:val="016794"/>
        </w:rPr>
        <w:t>Средства, подлежащи на събиране, в областта на собствените ресурси</w:t>
      </w:r>
    </w:p>
    <w:p>
      <w:pPr>
        <w:pStyle w:val="DGTextstand-alone"/>
      </w:pPr>
      <w:r>
        <w:t>Позицията за сметките „А“ е свързана с месечните отчети, в които държавите членки съобщават установения размер на традиционните собствени ресурси (ТСР), които се дължат на Комисията, но които все още не са събрани. ТСР са предимно мита, които се събират от държавите членки от името на Комисията.</w:t>
      </w:r>
    </w:p>
    <w:p>
      <w:pPr>
        <w:pStyle w:val="DGTextstand-alone"/>
      </w:pPr>
      <w:r>
        <w:t>Позицията за сметките „А“ по принцип възлиза на приблизително 3 милиарда евро към края на годината, но през 2020 г. и 2019 г. салдото включва допълнителни суми ТСР, свързани с производството за нарушение от страна на Обединеното кралство (обяснено по-долу) и с други доклади от проверки на ТСР. Тъй като е приложима лихва за забава в размер на 1,7 милиарда евро (2019 г.: 1,2 милиарда евро), тези суми са докладвани и в настоящите годишни отчети (вж. бележки </w:t>
      </w:r>
      <w:r>
        <w:rPr>
          <w:b/>
        </w:rPr>
        <w:t>2.6.2</w:t>
      </w:r>
      <w:r>
        <w:t xml:space="preserve"> и </w:t>
      </w:r>
      <w:r>
        <w:rPr>
          <w:b/>
        </w:rPr>
        <w:t>3.8</w:t>
      </w:r>
      <w:r>
        <w:t>).</w:t>
      </w:r>
    </w:p>
    <w:p>
      <w:pPr>
        <w:pStyle w:val="DGTextstand-alone"/>
      </w:pPr>
      <w:r>
        <w:t xml:space="preserve">Що се отнася до производството за нарушение, на 8 март 2018 г. Комисията изпрати официално уведомително писмо (нарушение № 2018/2008) на Обединеното кралство, тъй като то не предостави на бюджета на ЕС правилната сума традиционни собствени ресурси, както се изисква съгласно правото на ЕС. Тъй като Обединеното кралство не предостави задоволителен отговор нито на официалното уведомително писмо, нито на мотивираното становище, изпратено на 24 септември 2018 г., на 6 март 2019 г. Комисията потвърди решението си да отнесе нарушението до Съда на ЕС и подаде заявлението си на 7 март 2019 г. Случаят произхожда от доклад на OLAF от 2017 г., в който бе констатирано, че вносители в Обединеното кралство са избегнали заплащането на значителна сума мита, като при вноса са използвали фиктивни и фалшиви фактури, както и декларации, съдържащи неправилно определена митническа стойност. С помощта на методика, разработена от OLAF и JRC, както и въз основа на наличната информация Комисията изчислява, че нарушението на законодателството на ЕС от страна на Обединеното кралство е довело, през периода от ноември 2011 г. до октомври 2017 г., до загуби за бюджета на ЕС в размер на 2,1 милиарда евро (нетна сума, т.е. след приспадане на разходите по събирането, които Обединеното кралство следва да задържи, от брутната сума 2,7 милиарда евро). Обединеното кралство не приема използваната от Комисията методика за оценка на посочените по-горе загуби. На 8 декември 2020 г. Съдът проведе устното изслушване. Следващите етапи на производството са становището на генералния адвокат и решението на Съда, чиито дати все още не са известни. Тъй като текущото съдебно производство и наличната до момента информация сочат, че процесът ще отнеме много време, както главницата в размер на 2,1 милиарда евро, така и изчислената лихва за забава в размер на 1,6 милиарда евро, начислена до края на 2020 г. (в сравнение с лихва от 1,1 милиарда евро, начислена и призната до края на 2019 г.), са класифицирани като дълготрайни активи. </w:t>
      </w:r>
    </w:p>
    <w:p>
      <w:pPr>
        <w:pStyle w:val="DGTextstand-alone"/>
      </w:pPr>
      <w:r>
        <w:t xml:space="preserve">Освен това Комисията включи в отчетите вземане на стойност 0,15 милиарда евро за установени мита и лихви за забава, което се основава на последната налична информация. </w:t>
      </w:r>
    </w:p>
    <w:p>
      <w:pPr>
        <w:pStyle w:val="DGTextstand-alone"/>
      </w:pPr>
      <w:r>
        <w:t>Позицията за отделните сметки е свързана с установените вземания, които не са включени в позицията за сметките „А“, тъй като не са събрани от държавите членки и за тях не е предоставено обезпечение (или е предоставено обезпечение, но сумите са оспорени). Тези вземания подлежат на обезценка въз основа на информацията, предоставяна всяка година от държавите членки. Тези суми обикновено са на сходно равнище към края на всяка година, както се вижда по-горе.</w:t>
      </w:r>
    </w:p>
    <w:p>
      <w:pPr>
        <w:pStyle w:val="DGTextstand-alone"/>
      </w:pPr>
      <w:r>
        <w:t>През 2020 г. позицията за собствените ресурси, които следва да бъдат получени, се отнася до подлежащите на събиране суми, произтичащи от коригиращи бюджети № 8 и 9/2020, приети съответно на 24 ноември 2020 г. и 15 декември 2020 г. Сумите бяха вписани от повечето държави членки на първия работен ден на януари 2021 г. Нямаше такава сума, свързана с 2019 г.</w:t>
      </w:r>
    </w:p>
    <w:p>
      <w:pPr>
        <w:pStyle w:val="Textstand-alone"/>
        <w:rPr>
          <w:b/>
        </w:rPr>
      </w:pPr>
      <w:r>
        <w:rPr>
          <w:color w:val="016794"/>
        </w:rPr>
        <w:t>Средства, подлежащи на събиране, в областта на ЕФГЗ и на развитието на селските райони</w:t>
      </w:r>
    </w:p>
    <w:p>
      <w:pPr>
        <w:pStyle w:val="DGTextstand-alone"/>
      </w:pPr>
      <w:r>
        <w:t>Тази позиция включва предимно сумите, които държавите членки дължат към 31 декември 2019 г., декларирани и сертифицирани от тях към 15 октомври 2019 г. Направена е приблизителна оценка на средствата, подлежащи на събиране, които възникват след това деклариране до 31 декември 2019 г. Комисията оценява също размера на намаление за сумите, дължими от бенефициерите, които е малко вероятно да бъдат събрани. Фактът, че се прави такава корекция, не означава, че Комисията се отказва от събирането на тези суми в бъдеще. В корекцията е включено и отчисление от 20 %, което съответства на средствата, които държавите членки могат да задържат за покриване на административните си разходи.</w:t>
      </w:r>
    </w:p>
    <w:p>
      <w:pPr>
        <w:pStyle w:val="HEADER4NOTES"/>
        <w:spacing w:after="120"/>
        <w:rPr>
          <w:noProof/>
        </w:rPr>
      </w:pPr>
      <w:r>
        <w:rPr>
          <w:noProof/>
        </w:rPr>
        <w:t>Споразумение за оттеглянето на Обединеното кралство</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575"/>
        <w:gridCol w:w="1575"/>
        <w:gridCol w:w="1195"/>
        <w:gridCol w:w="1396"/>
      </w:tblGrid>
      <w:tr>
        <w:trPr>
          <w:trHeight w:val="255"/>
        </w:trPr>
        <w:tc>
          <w:tcPr>
            <w:tcW w:w="4017" w:type="dxa"/>
            <w:tcBorders>
              <w:top w:val="nil"/>
              <w:left w:val="nil"/>
              <w:bottom w:val="nil"/>
              <w:right w:val="nil"/>
            </w:tcBorders>
            <w:tcMar>
              <w:top w:w="0" w:type="dxa"/>
              <w:left w:w="60" w:type="dxa"/>
              <w:bottom w:w="0" w:type="dxa"/>
              <w:right w:w="60" w:type="dxa"/>
            </w:tcMar>
            <w:vAlign w:val="bottom"/>
          </w:tcPr>
          <w:p>
            <w:pPr>
              <w:pStyle w:val="DMETW19860BIPUKWA"/>
              <w:rPr>
                <w:rFonts w:ascii="Arial" w:eastAsia="Times New Roman" w:hAnsi="Arial" w:cs="Arial"/>
                <w:noProof/>
                <w:color w:val="000000"/>
              </w:rPr>
            </w:pPr>
            <w:bookmarkStart w:id="114" w:name="DOC_TBL00028_1_1"/>
            <w:bookmarkEnd w:id="114"/>
          </w:p>
        </w:tc>
        <w:tc>
          <w:tcPr>
            <w:tcW w:w="1575" w:type="dxa"/>
            <w:tcBorders>
              <w:top w:val="nil"/>
              <w:left w:val="nil"/>
              <w:bottom w:val="nil"/>
              <w:right w:val="nil"/>
            </w:tcBorders>
            <w:tcMar>
              <w:top w:w="0" w:type="dxa"/>
              <w:left w:w="60" w:type="dxa"/>
              <w:bottom w:w="0" w:type="dxa"/>
              <w:right w:w="60" w:type="dxa"/>
            </w:tcMar>
            <w:vAlign w:val="bottom"/>
          </w:tcPr>
          <w:p>
            <w:pPr>
              <w:pStyle w:val="DMETW19860BIPUKWA"/>
              <w:rPr>
                <w:rFonts w:ascii="Arial" w:eastAsia="Times New Roman" w:hAnsi="Arial" w:cs="Arial"/>
                <w:noProof/>
                <w:color w:val="000000"/>
              </w:rPr>
            </w:pPr>
          </w:p>
        </w:tc>
        <w:tc>
          <w:tcPr>
            <w:tcW w:w="1575" w:type="dxa"/>
            <w:tcBorders>
              <w:top w:val="nil"/>
              <w:left w:val="nil"/>
              <w:bottom w:val="nil"/>
              <w:right w:val="nil"/>
            </w:tcBorders>
            <w:tcMar>
              <w:top w:w="0" w:type="dxa"/>
              <w:left w:w="60" w:type="dxa"/>
              <w:bottom w:w="0" w:type="dxa"/>
              <w:right w:w="60" w:type="dxa"/>
            </w:tcMar>
            <w:vAlign w:val="bottom"/>
          </w:tcPr>
          <w:p>
            <w:pPr>
              <w:pStyle w:val="DMETW19860BIPUKWA"/>
              <w:rPr>
                <w:rFonts w:eastAsia="Times New Roman"/>
                <w:noProof/>
                <w:color w:val="000000"/>
                <w:sz w:val="22"/>
              </w:rPr>
            </w:pPr>
          </w:p>
        </w:tc>
        <w:tc>
          <w:tcPr>
            <w:tcW w:w="1195" w:type="dxa"/>
            <w:tcBorders>
              <w:top w:val="nil"/>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b/>
                <w:noProof/>
                <w:color w:val="000000"/>
                <w:sz w:val="18"/>
              </w:rPr>
            </w:pPr>
          </w:p>
        </w:tc>
        <w:tc>
          <w:tcPr>
            <w:tcW w:w="1396" w:type="dxa"/>
            <w:tcBorders>
              <w:top w:val="nil"/>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4017"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UKWA"/>
              <w:jc w:val="center"/>
              <w:rPr>
                <w:rFonts w:ascii="Verdana" w:eastAsia="Times New Roman" w:hAnsi="Verdana" w:cs="Verdana"/>
                <w:noProof/>
                <w:color w:val="FFFFFF"/>
              </w:rPr>
            </w:pPr>
          </w:p>
        </w:tc>
        <w:tc>
          <w:tcPr>
            <w:tcW w:w="1575"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UKWA"/>
              <w:jc w:val="right"/>
              <w:rPr>
                <w:rFonts w:ascii="Verdana" w:eastAsia="Times New Roman" w:hAnsi="Verdana" w:cs="Verdana"/>
                <w:noProof/>
                <w:color w:val="FFFFFF"/>
              </w:rPr>
            </w:pPr>
            <w:r>
              <w:rPr>
                <w:rFonts w:ascii="Verdana" w:hAnsi="Verdana"/>
                <w:noProof/>
                <w:color w:val="FFFFFF"/>
              </w:rPr>
              <w:t>Член 140</w:t>
            </w:r>
          </w:p>
        </w:tc>
        <w:tc>
          <w:tcPr>
            <w:tcW w:w="1575"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UKWA"/>
              <w:jc w:val="right"/>
              <w:rPr>
                <w:rFonts w:ascii="Verdana" w:eastAsia="Times New Roman" w:hAnsi="Verdana" w:cs="Verdana"/>
                <w:noProof/>
                <w:color w:val="FFFFFF"/>
              </w:rPr>
            </w:pPr>
            <w:r>
              <w:rPr>
                <w:rFonts w:ascii="Verdana" w:hAnsi="Verdana"/>
                <w:noProof/>
                <w:color w:val="FFFFFF"/>
              </w:rPr>
              <w:t>Член 142</w:t>
            </w:r>
          </w:p>
        </w:tc>
        <w:tc>
          <w:tcPr>
            <w:tcW w:w="1195"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UKWA"/>
              <w:jc w:val="right"/>
              <w:rPr>
                <w:rFonts w:ascii="Verdana" w:eastAsia="Times New Roman" w:hAnsi="Verdana" w:cs="Verdana"/>
                <w:noProof/>
                <w:color w:val="FFFFFF"/>
              </w:rPr>
            </w:pPr>
            <w:r>
              <w:rPr>
                <w:rFonts w:ascii="Verdana" w:hAnsi="Verdana"/>
                <w:noProof/>
                <w:color w:val="FFFFFF"/>
              </w:rPr>
              <w:t>Други</w:t>
            </w:r>
          </w:p>
        </w:tc>
        <w:tc>
          <w:tcPr>
            <w:tcW w:w="1396"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UKWA"/>
              <w:jc w:val="right"/>
              <w:rPr>
                <w:rFonts w:ascii="Verdana" w:eastAsia="Times New Roman" w:hAnsi="Verdana" w:cs="Verdana"/>
                <w:noProof/>
                <w:color w:val="FFFFFF"/>
              </w:rPr>
            </w:pPr>
            <w:r>
              <w:rPr>
                <w:rFonts w:ascii="Verdana" w:hAnsi="Verdana"/>
                <w:noProof/>
                <w:color w:val="FFFFFF"/>
              </w:rPr>
              <w:t>31.12.2020 г.</w:t>
            </w:r>
          </w:p>
        </w:tc>
      </w:tr>
      <w:tr>
        <w:trPr>
          <w:trHeight w:val="255"/>
        </w:trPr>
        <w:tc>
          <w:tcPr>
            <w:tcW w:w="4017" w:type="dxa"/>
            <w:tcBorders>
              <w:top w:val="nil"/>
              <w:left w:val="nil"/>
              <w:bottom w:val="nil"/>
              <w:right w:val="nil"/>
            </w:tcBorders>
            <w:tcMar>
              <w:top w:w="0" w:type="dxa"/>
              <w:left w:w="60" w:type="dxa"/>
              <w:bottom w:w="0" w:type="dxa"/>
              <w:right w:w="60" w:type="dxa"/>
            </w:tcMar>
            <w:vAlign w:val="bottom"/>
          </w:tcPr>
          <w:p>
            <w:pPr>
              <w:pStyle w:val="DMETW19860BIPUKWA"/>
              <w:rPr>
                <w:rFonts w:ascii="Verdana" w:eastAsia="Times New Roman" w:hAnsi="Verdana" w:cs="Verdana"/>
                <w:i/>
                <w:noProof/>
                <w:color w:val="000000"/>
                <w:sz w:val="18"/>
              </w:rPr>
            </w:pPr>
            <w:r>
              <w:rPr>
                <w:rFonts w:ascii="Verdana" w:hAnsi="Verdana"/>
                <w:i/>
                <w:noProof/>
                <w:color w:val="000000"/>
                <w:sz w:val="18"/>
              </w:rPr>
              <w:t>Дължими от Обединеното кралство</w:t>
            </w:r>
          </w:p>
        </w:tc>
        <w:tc>
          <w:tcPr>
            <w:tcW w:w="1575" w:type="dxa"/>
            <w:tcBorders>
              <w:top w:val="nil"/>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00000"/>
                <w:sz w:val="18"/>
              </w:rPr>
            </w:pPr>
            <w:r>
              <w:rPr>
                <w:rFonts w:ascii="Verdana" w:hAnsi="Verdana"/>
                <w:i/>
                <w:noProof/>
                <w:color w:val="000000"/>
                <w:sz w:val="18"/>
              </w:rPr>
              <w:t>34 966</w:t>
            </w:r>
          </w:p>
        </w:tc>
        <w:tc>
          <w:tcPr>
            <w:tcW w:w="1575" w:type="dxa"/>
            <w:tcBorders>
              <w:top w:val="nil"/>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00000"/>
                <w:sz w:val="18"/>
              </w:rPr>
            </w:pPr>
            <w:r>
              <w:rPr>
                <w:rFonts w:ascii="Verdana" w:hAnsi="Verdana"/>
                <w:i/>
                <w:noProof/>
                <w:color w:val="000000"/>
                <w:sz w:val="18"/>
              </w:rPr>
              <w:t>14 338</w:t>
            </w:r>
          </w:p>
        </w:tc>
        <w:tc>
          <w:tcPr>
            <w:tcW w:w="1195" w:type="dxa"/>
            <w:tcBorders>
              <w:top w:val="nil"/>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00000"/>
                <w:sz w:val="18"/>
              </w:rPr>
            </w:pPr>
            <w:r>
              <w:rPr>
                <w:rFonts w:ascii="Verdana" w:hAnsi="Verdana"/>
                <w:i/>
                <w:noProof/>
                <w:color w:val="000000"/>
                <w:sz w:val="18"/>
              </w:rPr>
              <w:t xml:space="preserve"> 275</w:t>
            </w:r>
          </w:p>
        </w:tc>
        <w:tc>
          <w:tcPr>
            <w:tcW w:w="1396" w:type="dxa"/>
            <w:tcBorders>
              <w:top w:val="nil"/>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00000"/>
                <w:sz w:val="18"/>
              </w:rPr>
            </w:pPr>
            <w:r>
              <w:rPr>
                <w:rFonts w:ascii="Verdana" w:hAnsi="Verdana"/>
                <w:i/>
                <w:noProof/>
                <w:color w:val="000000"/>
                <w:sz w:val="18"/>
              </w:rPr>
              <w:t>49 579</w:t>
            </w:r>
          </w:p>
        </w:tc>
      </w:tr>
      <w:tr>
        <w:trPr>
          <w:trHeight w:val="255"/>
        </w:trPr>
        <w:tc>
          <w:tcPr>
            <w:tcW w:w="4017" w:type="dxa"/>
            <w:tcBorders>
              <w:top w:val="nil"/>
              <w:left w:val="nil"/>
              <w:bottom w:val="single" w:sz="4" w:space="0" w:color="016794"/>
              <w:right w:val="nil"/>
            </w:tcBorders>
            <w:tcMar>
              <w:top w:w="0" w:type="dxa"/>
              <w:left w:w="60" w:type="dxa"/>
              <w:bottom w:w="0" w:type="dxa"/>
              <w:right w:w="60" w:type="dxa"/>
            </w:tcMar>
            <w:vAlign w:val="bottom"/>
          </w:tcPr>
          <w:p>
            <w:pPr>
              <w:pStyle w:val="DMETW19860BIPUKWA"/>
              <w:rPr>
                <w:rFonts w:ascii="Verdana" w:eastAsia="Times New Roman" w:hAnsi="Verdana" w:cs="Verdana"/>
                <w:i/>
                <w:noProof/>
                <w:color w:val="000000"/>
                <w:sz w:val="18"/>
              </w:rPr>
            </w:pPr>
            <w:r>
              <w:rPr>
                <w:rFonts w:ascii="Verdana" w:hAnsi="Verdana"/>
                <w:i/>
                <w:noProof/>
                <w:color w:val="000000"/>
                <w:sz w:val="18"/>
              </w:rPr>
              <w:t>Дължими на Обединеното кралство</w:t>
            </w:r>
          </w:p>
        </w:tc>
        <w:tc>
          <w:tcPr>
            <w:tcW w:w="1575" w:type="dxa"/>
            <w:tcBorders>
              <w:top w:val="nil"/>
              <w:left w:val="nil"/>
              <w:bottom w:val="single" w:sz="4" w:space="0" w:color="016794"/>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00000"/>
                <w:sz w:val="18"/>
              </w:rPr>
            </w:pPr>
            <w:r>
              <w:rPr>
                <w:rFonts w:ascii="Verdana" w:hAnsi="Verdana"/>
                <w:i/>
                <w:noProof/>
                <w:color w:val="000000"/>
                <w:sz w:val="18"/>
              </w:rPr>
              <w:t>–</w:t>
            </w:r>
          </w:p>
        </w:tc>
        <w:tc>
          <w:tcPr>
            <w:tcW w:w="1575" w:type="dxa"/>
            <w:tcBorders>
              <w:top w:val="nil"/>
              <w:left w:val="nil"/>
              <w:bottom w:val="single" w:sz="4" w:space="0" w:color="016794"/>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00000"/>
                <w:sz w:val="18"/>
              </w:rPr>
            </w:pPr>
            <w:r>
              <w:rPr>
                <w:rFonts w:ascii="Verdana" w:hAnsi="Verdana"/>
                <w:i/>
                <w:noProof/>
                <w:color w:val="000000"/>
                <w:sz w:val="18"/>
              </w:rPr>
              <w:t>–</w:t>
            </w:r>
          </w:p>
        </w:tc>
        <w:tc>
          <w:tcPr>
            <w:tcW w:w="1195" w:type="dxa"/>
            <w:tcBorders>
              <w:top w:val="nil"/>
              <w:left w:val="nil"/>
              <w:bottom w:val="single" w:sz="4" w:space="0" w:color="016794"/>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00000"/>
                <w:sz w:val="18"/>
              </w:rPr>
            </w:pPr>
            <w:r>
              <w:rPr>
                <w:rFonts w:ascii="Verdana" w:hAnsi="Verdana"/>
                <w:i/>
                <w:noProof/>
                <w:color w:val="000000"/>
                <w:sz w:val="18"/>
              </w:rPr>
              <w:t>(2 122)</w:t>
            </w:r>
          </w:p>
        </w:tc>
        <w:tc>
          <w:tcPr>
            <w:tcW w:w="1396" w:type="dxa"/>
            <w:tcBorders>
              <w:top w:val="nil"/>
              <w:left w:val="nil"/>
              <w:bottom w:val="single" w:sz="4" w:space="0" w:color="016794"/>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00000"/>
                <w:sz w:val="18"/>
              </w:rPr>
            </w:pPr>
            <w:r>
              <w:rPr>
                <w:rFonts w:ascii="Verdana" w:hAnsi="Verdana"/>
                <w:i/>
                <w:noProof/>
                <w:color w:val="000000"/>
                <w:sz w:val="18"/>
              </w:rPr>
              <w:t>(2 122)</w:t>
            </w:r>
          </w:p>
        </w:tc>
      </w:tr>
      <w:tr>
        <w:trPr>
          <w:trHeight w:val="255"/>
        </w:trPr>
        <w:tc>
          <w:tcPr>
            <w:tcW w:w="401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0BIPUKWA"/>
              <w:rPr>
                <w:rFonts w:ascii="Verdana" w:eastAsia="Times New Roman" w:hAnsi="Verdana" w:cs="Verdana"/>
                <w:b/>
                <w:noProof/>
                <w:color w:val="000000"/>
                <w:sz w:val="18"/>
              </w:rPr>
            </w:pPr>
            <w:r>
              <w:rPr>
                <w:rFonts w:ascii="Verdana" w:hAnsi="Verdana"/>
                <w:b/>
                <w:noProof/>
                <w:color w:val="000000"/>
                <w:sz w:val="18"/>
              </w:rPr>
              <w:t>Общо</w:t>
            </w:r>
          </w:p>
        </w:tc>
        <w:tc>
          <w:tcPr>
            <w:tcW w:w="1575"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0BIPUKWA"/>
              <w:jc w:val="right"/>
              <w:rPr>
                <w:rFonts w:ascii="Verdana" w:eastAsia="Times New Roman" w:hAnsi="Verdana" w:cs="Verdana"/>
                <w:b/>
                <w:noProof/>
                <w:color w:val="000000"/>
                <w:sz w:val="18"/>
              </w:rPr>
            </w:pPr>
            <w:r>
              <w:rPr>
                <w:rFonts w:ascii="Verdana" w:hAnsi="Verdana"/>
                <w:b/>
                <w:noProof/>
                <w:color w:val="000000"/>
                <w:sz w:val="18"/>
              </w:rPr>
              <w:t>34 966</w:t>
            </w:r>
          </w:p>
        </w:tc>
        <w:tc>
          <w:tcPr>
            <w:tcW w:w="1575"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0BIPUKWA"/>
              <w:jc w:val="right"/>
              <w:rPr>
                <w:rFonts w:ascii="Verdana" w:eastAsia="Times New Roman" w:hAnsi="Verdana" w:cs="Verdana"/>
                <w:b/>
                <w:noProof/>
                <w:color w:val="000000"/>
                <w:sz w:val="18"/>
              </w:rPr>
            </w:pPr>
            <w:r>
              <w:rPr>
                <w:rFonts w:ascii="Verdana" w:hAnsi="Verdana"/>
                <w:b/>
                <w:noProof/>
                <w:color w:val="000000"/>
                <w:sz w:val="18"/>
              </w:rPr>
              <w:t>14 338</w:t>
            </w:r>
          </w:p>
        </w:tc>
        <w:tc>
          <w:tcPr>
            <w:tcW w:w="1195"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0BIPUKWA"/>
              <w:jc w:val="right"/>
              <w:rPr>
                <w:rFonts w:ascii="Verdana" w:eastAsia="Times New Roman" w:hAnsi="Verdana" w:cs="Verdana"/>
                <w:b/>
                <w:noProof/>
                <w:color w:val="000000"/>
                <w:sz w:val="18"/>
              </w:rPr>
            </w:pPr>
            <w:r>
              <w:rPr>
                <w:rFonts w:ascii="Verdana" w:hAnsi="Verdana"/>
                <w:b/>
                <w:noProof/>
                <w:color w:val="000000"/>
                <w:sz w:val="18"/>
              </w:rPr>
              <w:t>(1 847)</w:t>
            </w:r>
          </w:p>
        </w:tc>
        <w:tc>
          <w:tcPr>
            <w:tcW w:w="1396"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0BIPUKWA"/>
              <w:jc w:val="right"/>
              <w:rPr>
                <w:rFonts w:ascii="Verdana" w:eastAsia="Times New Roman" w:hAnsi="Verdana" w:cs="Verdana"/>
                <w:b/>
                <w:noProof/>
                <w:color w:val="000000"/>
                <w:sz w:val="18"/>
              </w:rPr>
            </w:pPr>
            <w:r>
              <w:rPr>
                <w:rFonts w:ascii="Verdana" w:hAnsi="Verdana"/>
                <w:b/>
                <w:noProof/>
                <w:color w:val="000000"/>
                <w:sz w:val="18"/>
              </w:rPr>
              <w:t>47 456</w:t>
            </w:r>
          </w:p>
        </w:tc>
      </w:tr>
      <w:tr>
        <w:trPr>
          <w:trHeight w:val="255"/>
        </w:trPr>
        <w:tc>
          <w:tcPr>
            <w:tcW w:w="4017" w:type="dxa"/>
            <w:tcBorders>
              <w:top w:val="single" w:sz="4" w:space="0" w:color="016794"/>
              <w:left w:val="nil"/>
              <w:bottom w:val="nil"/>
              <w:right w:val="nil"/>
            </w:tcBorders>
            <w:tcMar>
              <w:top w:w="0" w:type="dxa"/>
              <w:left w:w="60" w:type="dxa"/>
              <w:bottom w:w="0" w:type="dxa"/>
              <w:right w:w="60" w:type="dxa"/>
            </w:tcMar>
            <w:vAlign w:val="center"/>
          </w:tcPr>
          <w:p>
            <w:pPr>
              <w:pStyle w:val="DMETW19860BIPUKWA"/>
              <w:rPr>
                <w:rFonts w:ascii="Verdana" w:eastAsia="Times New Roman" w:hAnsi="Verdana" w:cs="Verdana"/>
                <w:i/>
                <w:noProof/>
                <w:color w:val="016794"/>
                <w:sz w:val="18"/>
              </w:rPr>
            </w:pPr>
            <w:r>
              <w:rPr>
                <w:rFonts w:ascii="Verdana" w:hAnsi="Verdana"/>
                <w:i/>
                <w:noProof/>
                <w:color w:val="016794"/>
                <w:sz w:val="18"/>
              </w:rPr>
              <w:t>Нетекущи</w:t>
            </w:r>
          </w:p>
        </w:tc>
        <w:tc>
          <w:tcPr>
            <w:tcW w:w="1575" w:type="dxa"/>
            <w:tcBorders>
              <w:top w:val="single" w:sz="4" w:space="0" w:color="016794"/>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16794"/>
                <w:sz w:val="18"/>
              </w:rPr>
            </w:pPr>
            <w:r>
              <w:rPr>
                <w:rFonts w:ascii="Verdana" w:hAnsi="Verdana"/>
                <w:i/>
                <w:noProof/>
                <w:color w:val="016794"/>
                <w:sz w:val="18"/>
              </w:rPr>
              <w:t>28 196</w:t>
            </w:r>
          </w:p>
        </w:tc>
        <w:tc>
          <w:tcPr>
            <w:tcW w:w="1575" w:type="dxa"/>
            <w:tcBorders>
              <w:top w:val="single" w:sz="4" w:space="0" w:color="016794"/>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16794"/>
                <w:sz w:val="18"/>
              </w:rPr>
            </w:pPr>
            <w:r>
              <w:rPr>
                <w:rFonts w:ascii="Verdana" w:hAnsi="Verdana"/>
                <w:i/>
                <w:noProof/>
                <w:color w:val="016794"/>
                <w:sz w:val="18"/>
              </w:rPr>
              <w:t>14 327</w:t>
            </w:r>
          </w:p>
        </w:tc>
        <w:tc>
          <w:tcPr>
            <w:tcW w:w="1195" w:type="dxa"/>
            <w:tcBorders>
              <w:top w:val="single" w:sz="4" w:space="0" w:color="016794"/>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16794"/>
                <w:sz w:val="18"/>
              </w:rPr>
            </w:pPr>
            <w:r>
              <w:rPr>
                <w:rFonts w:ascii="Verdana" w:hAnsi="Verdana"/>
                <w:i/>
                <w:noProof/>
                <w:color w:val="016794"/>
                <w:sz w:val="18"/>
              </w:rPr>
              <w:t>(1 894)</w:t>
            </w:r>
          </w:p>
        </w:tc>
        <w:tc>
          <w:tcPr>
            <w:tcW w:w="1396" w:type="dxa"/>
            <w:tcBorders>
              <w:top w:val="single" w:sz="4" w:space="0" w:color="016794"/>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16794"/>
                <w:sz w:val="18"/>
              </w:rPr>
            </w:pPr>
            <w:r>
              <w:rPr>
                <w:rFonts w:ascii="Verdana" w:hAnsi="Verdana"/>
                <w:i/>
                <w:noProof/>
                <w:color w:val="016794"/>
                <w:sz w:val="18"/>
              </w:rPr>
              <w:t>40 629</w:t>
            </w:r>
          </w:p>
        </w:tc>
      </w:tr>
      <w:tr>
        <w:trPr>
          <w:trHeight w:val="255"/>
        </w:trPr>
        <w:tc>
          <w:tcPr>
            <w:tcW w:w="4017" w:type="dxa"/>
            <w:tcBorders>
              <w:top w:val="nil"/>
              <w:left w:val="nil"/>
              <w:bottom w:val="nil"/>
              <w:right w:val="nil"/>
            </w:tcBorders>
            <w:tcMar>
              <w:top w:w="0" w:type="dxa"/>
              <w:left w:w="60" w:type="dxa"/>
              <w:bottom w:w="0" w:type="dxa"/>
              <w:right w:w="60" w:type="dxa"/>
            </w:tcMar>
            <w:vAlign w:val="center"/>
          </w:tcPr>
          <w:p>
            <w:pPr>
              <w:pStyle w:val="DMETW19860BIPUKWA"/>
              <w:rPr>
                <w:rFonts w:ascii="Verdana" w:eastAsia="Times New Roman" w:hAnsi="Verdana" w:cs="Verdana"/>
                <w:i/>
                <w:noProof/>
                <w:color w:val="016794"/>
                <w:sz w:val="18"/>
              </w:rPr>
            </w:pPr>
            <w:r>
              <w:rPr>
                <w:rFonts w:ascii="Verdana" w:hAnsi="Verdana"/>
                <w:i/>
                <w:noProof/>
                <w:color w:val="016794"/>
                <w:sz w:val="18"/>
              </w:rPr>
              <w:t>Текущи</w:t>
            </w:r>
          </w:p>
        </w:tc>
        <w:tc>
          <w:tcPr>
            <w:tcW w:w="1575" w:type="dxa"/>
            <w:tcBorders>
              <w:top w:val="nil"/>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16794"/>
                <w:sz w:val="18"/>
              </w:rPr>
            </w:pPr>
            <w:r>
              <w:rPr>
                <w:rFonts w:ascii="Verdana" w:hAnsi="Verdana"/>
                <w:i/>
                <w:noProof/>
                <w:color w:val="016794"/>
                <w:sz w:val="18"/>
              </w:rPr>
              <w:t>6 769</w:t>
            </w:r>
          </w:p>
        </w:tc>
        <w:tc>
          <w:tcPr>
            <w:tcW w:w="1575" w:type="dxa"/>
            <w:tcBorders>
              <w:top w:val="nil"/>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16794"/>
                <w:sz w:val="18"/>
              </w:rPr>
            </w:pPr>
            <w:r>
              <w:rPr>
                <w:rFonts w:ascii="Verdana" w:hAnsi="Verdana"/>
                <w:i/>
                <w:noProof/>
                <w:color w:val="016794"/>
                <w:sz w:val="18"/>
              </w:rPr>
              <w:t xml:space="preserve"> 11</w:t>
            </w:r>
          </w:p>
        </w:tc>
        <w:tc>
          <w:tcPr>
            <w:tcW w:w="1195" w:type="dxa"/>
            <w:tcBorders>
              <w:top w:val="nil"/>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16794"/>
                <w:sz w:val="18"/>
              </w:rPr>
            </w:pPr>
            <w:r>
              <w:rPr>
                <w:rFonts w:ascii="Verdana" w:hAnsi="Verdana"/>
                <w:i/>
                <w:noProof/>
                <w:color w:val="016794"/>
                <w:sz w:val="18"/>
              </w:rPr>
              <w:t xml:space="preserve"> 47</w:t>
            </w:r>
          </w:p>
        </w:tc>
        <w:tc>
          <w:tcPr>
            <w:tcW w:w="1396" w:type="dxa"/>
            <w:tcBorders>
              <w:top w:val="nil"/>
              <w:left w:val="nil"/>
              <w:bottom w:val="nil"/>
              <w:right w:val="nil"/>
            </w:tcBorders>
            <w:tcMar>
              <w:top w:w="0" w:type="dxa"/>
              <w:left w:w="60" w:type="dxa"/>
              <w:bottom w:w="0" w:type="dxa"/>
              <w:right w:w="60" w:type="dxa"/>
            </w:tcMar>
            <w:vAlign w:val="bottom"/>
          </w:tcPr>
          <w:p>
            <w:pPr>
              <w:pStyle w:val="DMETW19860BIPUKWA"/>
              <w:jc w:val="right"/>
              <w:rPr>
                <w:rFonts w:ascii="Verdana" w:eastAsia="Times New Roman" w:hAnsi="Verdana" w:cs="Verdana"/>
                <w:i/>
                <w:noProof/>
                <w:color w:val="016794"/>
                <w:sz w:val="18"/>
              </w:rPr>
            </w:pPr>
            <w:r>
              <w:rPr>
                <w:rFonts w:ascii="Verdana" w:hAnsi="Verdana"/>
                <w:i/>
                <w:noProof/>
                <w:color w:val="016794"/>
                <w:sz w:val="18"/>
              </w:rPr>
              <w:t>6 827</w:t>
            </w:r>
          </w:p>
        </w:tc>
      </w:tr>
    </w:tbl>
    <w:p>
      <w:pPr>
        <w:pStyle w:val="DGTextstand-alone"/>
      </w:pPr>
      <w:r>
        <w:t>В Споразумението за оттеглянето на Обединеното кралство Великобритания и Северна Ирландия от Европейския съюз и Европейската общност за атомна енергия (реф. номер 2019/C 384 I/01) („Споразумението за оттеглянето“ или СО), подписано между ЕС и Обединеното кралство, се определят различни финансови задължения за двете страни. Посочената по-горе сума представлява нетното вземане от Обединеното кралство въз основа на тези задължения към края на годината.</w:t>
      </w:r>
    </w:p>
    <w:p>
      <w:pPr>
        <w:pStyle w:val="DGTextstand-alone"/>
      </w:pPr>
      <w:r>
        <w:t>В съответствие с член 139 от СО делът на Обединеното кралство от финансовите задължения, произтичащи от СО, се изчислява като съотношение между собствените ресурси, предоставени от Обединеното кралство през периода 2014—2020 г., и собствените ресурси, предоставени през този период от всички държави членки и Обединеното кралство. Корекциите, произтичащи от нетирането на салдата по ДДС и по БНД за годините 2014—2019, също са включени. Изчисленият дял на Обединеното кралство ще подлежи на окончателните корекции, предвидени в член 139 от СО, през 2022 г. Делът на Обединеното кралство за 2021 г. се използва за изчисленията по член 136, параграф 3, букви а) и в) и членове 140—147. Делът на Обединеното кралство, изчислен в съответствие с член 139 от СО, е 12,358072326018200 %.</w:t>
      </w:r>
    </w:p>
    <w:p>
      <w:pPr>
        <w:pStyle w:val="Textstand-alone"/>
        <w:rPr>
          <w:color w:val="016794"/>
        </w:rPr>
      </w:pPr>
      <w:r>
        <w:rPr>
          <w:color w:val="016794"/>
        </w:rPr>
        <w:t>Член 140 — Неизпълнени поети задължения</w:t>
      </w:r>
    </w:p>
    <w:p>
      <w:pPr>
        <w:pStyle w:val="DGTextstand-alone"/>
      </w:pPr>
      <w:r>
        <w:t xml:space="preserve">Обединеното кралство е поело ангажимент да изплати на ЕС дела си от неизпълнените бюджетни задължения към 31 декември 2020 г., коригирани съгласно изискванията на член 140. Корекциите включват приспадането на поетите задължения, финансирани чрез целеви приходи в бюджета на Съюза, приспадането на поетите задължения, свързани с програми, в които Обединеното кралство е избрало да не участва, и приспадането на поетите задължения във връзка с едногодишните бюджетни редове, за които сумата на бюджетните кредити за плащания се пренася автоматично и за които Обединеното кралство вече е допринесло през 2020 г. </w:t>
      </w:r>
    </w:p>
    <w:bookmarkEnd w:id="110"/>
    <w:p>
      <w:pPr>
        <w:pStyle w:val="DGTextstand-alone"/>
      </w:pPr>
      <w:r>
        <w:t>Бюджетните задължения на Съюза, произтичащи от бюджетни кредити от целеви приходи, включват вноски от трети държави (външни целеви приходи) и повторно използване на сумите, първоначално платени от бюджета на ЕС и впоследствие върнати в него (вътрешни целеви приходи). Различните правила за използване на външните и вътрешните целеви приходи са посочени съответно в член 12, параграф 4, буква в) и член 12, параграф 4, буква б) от Финансовия регламент.</w:t>
      </w:r>
    </w:p>
    <w:p>
      <w:pPr>
        <w:pStyle w:val="DGTextstand-alone"/>
      </w:pPr>
      <w:r>
        <w:t xml:space="preserve">Бюджетните задължения, произтичащи от бюджетни кредити от външни целеви приходи, са изключени от неизпълнените поети задължения, за които Обединеното кралство носи отговорност. За тази категория целеви приходи бюджетните кредити за плащания за финансиране на съответните поети задължения остават на разположение за срока на действие на програмата, за която са предназначени приходите. Поради това Обединеното кралство не дължи допълнително финансиране. </w:t>
      </w:r>
    </w:p>
    <w:p>
      <w:pPr>
        <w:pStyle w:val="DGTextstand-alone"/>
      </w:pPr>
      <w:r>
        <w:t>Освен това повечето бюджетни кредити за плащания, свързани с вътрешни целеви приходи, вече са използвани за финансиране на одобрените бюджетни задължения. Поради това само бюджетните кредити за плащания, произтичащи от вътрешни целеви приходи, които все още са на разположение за финансиране на част от неизпълнените поети задължения, също се приспадат от задължението на Обединеното кралство.</w:t>
      </w:r>
    </w:p>
    <w:p>
      <w:pPr>
        <w:pStyle w:val="DGTextstand-alone"/>
      </w:pPr>
      <w:r>
        <w:t>Най-същественият елемент на вътрешните целеви приходи е механизмът за уравняване, прилаган от ЕСИФ. Бюджетните кредити за плащания от вътрешни целеви приходи, за които държавите членки и Обединеното кралство вече са направили вноски в миналото, се използват за изплащане на неизпълнени бюджетни задължения, за да се оптимизира използването на бюджета и по този начин да се намалят вноските на държавите членки. Това води до положение, при което поетите задължения по вътрешни целеви приходи трябва да бъдат финансирани от бъдещи бюджетни кредити. Съответно тези неизпълнени поети задължения остават задължение за бюджета на ЕС и за Обединеното кралство, подобно на други неизпълнени бюджетни задължения на ЕС.</w:t>
      </w:r>
    </w:p>
    <w:p>
      <w:pPr>
        <w:pStyle w:val="DGTextstand-alone"/>
      </w:pPr>
      <w:r>
        <w:t>Обединеното кралство не участва във финансирането на определени програми и действия в областта на правосъдието и вътрешните работи. Съответно неизпълнените поети задължения, свързани с неучастието на Обединеното кралство, са изключени от общата дължима сума. Другите корекции включват неавтоматичните пренасяния на бюджетни кредити за поети задължения от 2020 г. към 2021 г., които ще увеличат неизпълнените бюджетни задължения, за които Обединеното кралство носи отговорност. Размерът на тези коригирани RAL към 31 декември 2020 г. е 294,3 милиарда евро, от които дялът на Обединеното кралство е 36,4 милиарда евро. Към тази сума са приложени допълнителни корекции, съответстващи на дела на Обединеното кралство от нетните финансови корекции от периода 2014—2020 г. или предходни периоди на програмирани, средствата по които са получени през 2021 г., както и на дела му от ТСР, отнасящи се до 2020 г. и предоставени през 2021 г. Следователно дължимата от Обединеното кралство сума по член 140 възлиза на 36,0 милиарда евро. Сумата, призната като вземане, се основава на официалната прогноза на Комисията за отменените бюджетни кредити за целия размер на RAL към 31 декември 2020 г., което води до вземане в размер на общо 35,0 милиарда евро (от които 6,8 милиарда евро следва да бъдат изплатени в срок от 12 месеца след отчетната дата):</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9"/>
        <w:gridCol w:w="2729"/>
      </w:tblGrid>
      <w:tr>
        <w:trPr>
          <w:trHeight w:val="255"/>
        </w:trPr>
        <w:tc>
          <w:tcPr>
            <w:tcW w:w="7029" w:type="dxa"/>
            <w:tcBorders>
              <w:top w:val="nil"/>
              <w:left w:val="nil"/>
              <w:bottom w:val="nil"/>
              <w:right w:val="nil"/>
            </w:tcBorders>
            <w:tcMar>
              <w:top w:w="0" w:type="dxa"/>
              <w:left w:w="60" w:type="dxa"/>
              <w:bottom w:w="0" w:type="dxa"/>
              <w:right w:w="60" w:type="dxa"/>
            </w:tcMar>
            <w:vAlign w:val="bottom"/>
          </w:tcPr>
          <w:p>
            <w:pPr>
              <w:pStyle w:val="DMETW19860BIPOComm"/>
              <w:rPr>
                <w:rFonts w:ascii="Arial" w:eastAsia="Times New Roman" w:hAnsi="Arial" w:cs="Arial"/>
                <w:noProof/>
                <w:color w:val="000000"/>
              </w:rPr>
            </w:pPr>
            <w:bookmarkStart w:id="115" w:name="DOC_TBL00029_1_1"/>
            <w:bookmarkEnd w:id="115"/>
          </w:p>
        </w:tc>
        <w:tc>
          <w:tcPr>
            <w:tcW w:w="2729" w:type="dxa"/>
            <w:tcBorders>
              <w:top w:val="nil"/>
              <w:left w:val="nil"/>
              <w:bottom w:val="nil"/>
              <w:right w:val="nil"/>
            </w:tcBorders>
            <w:tcMar>
              <w:top w:w="0" w:type="dxa"/>
              <w:left w:w="60" w:type="dxa"/>
              <w:bottom w:w="0" w:type="dxa"/>
              <w:right w:w="60" w:type="dxa"/>
            </w:tcMar>
            <w:vAlign w:val="bottom"/>
          </w:tcPr>
          <w:p>
            <w:pPr>
              <w:pStyle w:val="DMETW19860BIPOComm"/>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7029"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OComm"/>
              <w:jc w:val="center"/>
              <w:rPr>
                <w:rFonts w:ascii="Verdana" w:eastAsia="Times New Roman" w:hAnsi="Verdana" w:cs="Verdana"/>
                <w:noProof/>
                <w:color w:val="FFFFFF"/>
              </w:rPr>
            </w:pPr>
          </w:p>
        </w:tc>
        <w:tc>
          <w:tcPr>
            <w:tcW w:w="2729"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OComm"/>
              <w:jc w:val="right"/>
              <w:rPr>
                <w:rFonts w:ascii="Verdana" w:eastAsia="Times New Roman" w:hAnsi="Verdana" w:cs="Verdana"/>
                <w:noProof/>
                <w:color w:val="FFFFFF"/>
              </w:rPr>
            </w:pPr>
            <w:r>
              <w:rPr>
                <w:rFonts w:ascii="Verdana" w:hAnsi="Verdana"/>
                <w:noProof/>
                <w:color w:val="FFFFFF"/>
              </w:rPr>
              <w:t>31.12.2020 г.</w:t>
            </w:r>
          </w:p>
        </w:tc>
      </w:tr>
      <w:tr>
        <w:trPr>
          <w:trHeigh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Comm"/>
              <w:rPr>
                <w:rFonts w:ascii="Verdana" w:eastAsia="Times New Roman" w:hAnsi="Verdana" w:cs="Verdana"/>
                <w:i/>
                <w:noProof/>
                <w:color w:val="000000"/>
                <w:sz w:val="18"/>
              </w:rPr>
            </w:pPr>
            <w:r>
              <w:rPr>
                <w:rFonts w:ascii="Verdana" w:hAnsi="Verdana"/>
                <w:i/>
                <w:noProof/>
                <w:color w:val="000000"/>
                <w:sz w:val="18"/>
              </w:rPr>
              <w:t>Неизпълнени бюджетни задължения към 31.12.2020 г., отчетени в докладите за изпълнението на бюджета</w:t>
            </w:r>
          </w:p>
        </w:tc>
        <w:tc>
          <w:tcPr>
            <w:tcW w:w="2729" w:type="dxa"/>
            <w:tcBorders>
              <w:top w:val="nil"/>
              <w:left w:val="nil"/>
              <w:bottom w:val="nil"/>
              <w:right w:val="nil"/>
            </w:tcBorders>
            <w:tcMar>
              <w:top w:w="0" w:type="dxa"/>
              <w:left w:w="60" w:type="dxa"/>
              <w:bottom w:w="0" w:type="dxa"/>
              <w:right w:w="60" w:type="dxa"/>
            </w:tcMar>
          </w:tcPr>
          <w:p>
            <w:pPr>
              <w:pStyle w:val="DMETW19860BIPOComm"/>
              <w:jc w:val="right"/>
              <w:rPr>
                <w:rFonts w:ascii="Verdana" w:eastAsia="Times New Roman" w:hAnsi="Verdana" w:cs="Verdana"/>
                <w:i/>
                <w:noProof/>
                <w:color w:val="000000"/>
                <w:sz w:val="18"/>
              </w:rPr>
            </w:pPr>
            <w:r>
              <w:rPr>
                <w:rFonts w:ascii="Verdana" w:hAnsi="Verdana"/>
                <w:i/>
                <w:noProof/>
                <w:color w:val="000000"/>
                <w:sz w:val="18"/>
              </w:rPr>
              <w:t>303 197</w:t>
            </w:r>
          </w:p>
        </w:tc>
      </w:tr>
      <w:tr>
        <w:trPr>
          <w:trHeigh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Comm"/>
              <w:rPr>
                <w:rFonts w:ascii="Verdana" w:eastAsia="Times New Roman" w:hAnsi="Verdana" w:cs="Verdana"/>
                <w:i/>
                <w:noProof/>
                <w:color w:val="000000"/>
                <w:sz w:val="18"/>
              </w:rPr>
            </w:pPr>
            <w:r>
              <w:rPr>
                <w:rFonts w:ascii="Verdana" w:hAnsi="Verdana"/>
                <w:i/>
                <w:noProof/>
                <w:color w:val="000000"/>
                <w:sz w:val="18"/>
              </w:rPr>
              <w:t>Поети задължения по едногодишни бюджетни редове: размер на бюджетните кредити за плащания, пренесени автоматично</w:t>
            </w:r>
          </w:p>
        </w:tc>
        <w:tc>
          <w:tcPr>
            <w:tcW w:w="2729" w:type="dxa"/>
            <w:tcBorders>
              <w:top w:val="nil"/>
              <w:left w:val="nil"/>
              <w:bottom w:val="nil"/>
              <w:right w:val="nil"/>
            </w:tcBorders>
            <w:tcMar>
              <w:top w:w="0" w:type="dxa"/>
              <w:left w:w="60" w:type="dxa"/>
              <w:bottom w:w="0" w:type="dxa"/>
              <w:right w:w="60" w:type="dxa"/>
            </w:tcMar>
          </w:tcPr>
          <w:p>
            <w:pPr>
              <w:pStyle w:val="DMETW19860BIPOComm"/>
              <w:jc w:val="right"/>
              <w:rPr>
                <w:rFonts w:ascii="Verdana" w:eastAsia="Times New Roman" w:hAnsi="Verdana" w:cs="Verdana"/>
                <w:i/>
                <w:noProof/>
                <w:color w:val="000000"/>
                <w:sz w:val="18"/>
              </w:rPr>
            </w:pPr>
            <w:r>
              <w:rPr>
                <w:rFonts w:ascii="Verdana" w:hAnsi="Verdana"/>
                <w:i/>
                <w:noProof/>
                <w:color w:val="000000"/>
                <w:sz w:val="18"/>
              </w:rPr>
              <w:t>(1 196)</w:t>
            </w:r>
          </w:p>
        </w:tc>
      </w:tr>
      <w:tr>
        <w:trPr>
          <w:trHeigh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Comm"/>
              <w:rPr>
                <w:rFonts w:ascii="Verdana" w:eastAsia="Times New Roman" w:hAnsi="Verdana" w:cs="Verdana"/>
                <w:i/>
                <w:noProof/>
                <w:color w:val="000000"/>
                <w:sz w:val="18"/>
              </w:rPr>
            </w:pPr>
            <w:r>
              <w:rPr>
                <w:rFonts w:ascii="Verdana" w:hAnsi="Verdana"/>
                <w:i/>
                <w:noProof/>
                <w:color w:val="000000"/>
                <w:sz w:val="18"/>
              </w:rPr>
              <w:t>Поети задължения, за които Обединеното кралство се ползва от право на неучастие</w:t>
            </w:r>
          </w:p>
        </w:tc>
        <w:tc>
          <w:tcPr>
            <w:tcW w:w="2729" w:type="dxa"/>
            <w:tcBorders>
              <w:top w:val="nil"/>
              <w:left w:val="nil"/>
              <w:bottom w:val="nil"/>
              <w:right w:val="nil"/>
            </w:tcBorders>
            <w:tcMar>
              <w:top w:w="0" w:type="dxa"/>
              <w:left w:w="60" w:type="dxa"/>
              <w:bottom w:w="0" w:type="dxa"/>
              <w:right w:w="60" w:type="dxa"/>
            </w:tcMar>
          </w:tcPr>
          <w:p>
            <w:pPr>
              <w:pStyle w:val="DMETW19860BIPOComm"/>
              <w:jc w:val="right"/>
              <w:rPr>
                <w:rFonts w:ascii="Verdana" w:eastAsia="Times New Roman" w:hAnsi="Verdana" w:cs="Verdana"/>
                <w:i/>
                <w:noProof/>
                <w:color w:val="000000"/>
                <w:sz w:val="18"/>
              </w:rPr>
            </w:pPr>
            <w:r>
              <w:rPr>
                <w:rFonts w:ascii="Verdana" w:hAnsi="Verdana"/>
                <w:i/>
                <w:noProof/>
                <w:color w:val="000000"/>
                <w:sz w:val="18"/>
              </w:rPr>
              <w:t>(1 826)</w:t>
            </w:r>
          </w:p>
        </w:tc>
      </w:tr>
      <w:tr>
        <w:trPr>
          <w:trHeigh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Comm"/>
              <w:rPr>
                <w:rFonts w:ascii="Verdana" w:eastAsia="Times New Roman" w:hAnsi="Verdana" w:cs="Verdana"/>
                <w:i/>
                <w:noProof/>
                <w:color w:val="000000"/>
                <w:sz w:val="18"/>
              </w:rPr>
            </w:pPr>
            <w:r>
              <w:rPr>
                <w:rFonts w:ascii="Verdana" w:hAnsi="Verdana"/>
                <w:i/>
                <w:noProof/>
                <w:color w:val="000000"/>
                <w:sz w:val="18"/>
              </w:rPr>
              <w:t>Поети задължения, финансирани от целеви приходи</w:t>
            </w:r>
          </w:p>
        </w:tc>
        <w:tc>
          <w:tcPr>
            <w:tcW w:w="2729" w:type="dxa"/>
            <w:tcBorders>
              <w:top w:val="nil"/>
              <w:left w:val="nil"/>
              <w:bottom w:val="nil"/>
              <w:right w:val="nil"/>
            </w:tcBorders>
            <w:tcMar>
              <w:top w:w="0" w:type="dxa"/>
              <w:left w:w="60" w:type="dxa"/>
              <w:bottom w:w="0" w:type="dxa"/>
              <w:right w:w="60" w:type="dxa"/>
            </w:tcMar>
          </w:tcPr>
          <w:p>
            <w:pPr>
              <w:pStyle w:val="DMETW19860BIPOComm"/>
              <w:jc w:val="right"/>
              <w:rPr>
                <w:rFonts w:ascii="Verdana" w:eastAsia="Times New Roman" w:hAnsi="Verdana" w:cs="Verdana"/>
                <w:i/>
                <w:noProof/>
                <w:color w:val="000000"/>
                <w:sz w:val="18"/>
              </w:rPr>
            </w:pPr>
            <w:r>
              <w:rPr>
                <w:rFonts w:ascii="Verdana" w:hAnsi="Verdana"/>
                <w:i/>
                <w:noProof/>
                <w:color w:val="000000"/>
                <w:sz w:val="18"/>
              </w:rPr>
              <w:t>(4 709)</w:t>
            </w:r>
          </w:p>
        </w:tc>
      </w:tr>
      <w:tr>
        <w:trPr>
          <w:trHeigh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Comm"/>
              <w:rPr>
                <w:rFonts w:ascii="Verdana" w:eastAsia="Times New Roman" w:hAnsi="Verdana" w:cs="Verdana"/>
                <w:i/>
                <w:noProof/>
                <w:color w:val="000000"/>
                <w:sz w:val="18"/>
              </w:rPr>
            </w:pPr>
            <w:r>
              <w:rPr>
                <w:rFonts w:ascii="Verdana" w:hAnsi="Verdana"/>
                <w:i/>
                <w:noProof/>
                <w:color w:val="000000"/>
                <w:sz w:val="18"/>
              </w:rPr>
              <w:t>Бюджетни кредити за плащания, налични от вътрешни целеви приходи</w:t>
            </w:r>
          </w:p>
        </w:tc>
        <w:tc>
          <w:tcPr>
            <w:tcW w:w="2729" w:type="dxa"/>
            <w:tcBorders>
              <w:top w:val="nil"/>
              <w:left w:val="nil"/>
              <w:bottom w:val="nil"/>
              <w:right w:val="nil"/>
            </w:tcBorders>
            <w:tcMar>
              <w:top w:w="0" w:type="dxa"/>
              <w:left w:w="60" w:type="dxa"/>
              <w:bottom w:w="0" w:type="dxa"/>
              <w:right w:w="60" w:type="dxa"/>
            </w:tcMar>
          </w:tcPr>
          <w:p>
            <w:pPr>
              <w:pStyle w:val="DMETW19860BIPOComm"/>
              <w:jc w:val="right"/>
              <w:rPr>
                <w:rFonts w:ascii="Verdana" w:eastAsia="Times New Roman" w:hAnsi="Verdana" w:cs="Verdana"/>
                <w:i/>
                <w:noProof/>
                <w:color w:val="000000"/>
                <w:sz w:val="18"/>
              </w:rPr>
            </w:pPr>
            <w:r>
              <w:rPr>
                <w:rFonts w:ascii="Verdana" w:hAnsi="Verdana"/>
                <w:i/>
                <w:noProof/>
                <w:color w:val="000000"/>
                <w:sz w:val="18"/>
              </w:rPr>
              <w:t>(1 128)</w:t>
            </w:r>
          </w:p>
        </w:tc>
      </w:tr>
      <w:tr>
        <w:trPr>
          <w:trHeight w:val="255"/>
        </w:trPr>
        <w:tc>
          <w:tcPr>
            <w:tcW w:w="7029" w:type="dxa"/>
            <w:tcBorders>
              <w:top w:val="nil"/>
              <w:left w:val="nil"/>
              <w:bottom w:val="single" w:sz="4" w:space="0" w:color="016794"/>
              <w:right w:val="nil"/>
            </w:tcBorders>
            <w:tcMar>
              <w:top w:w="0" w:type="dxa"/>
              <w:left w:w="60" w:type="dxa"/>
              <w:bottom w:w="0" w:type="dxa"/>
              <w:right w:w="60" w:type="dxa"/>
            </w:tcMar>
            <w:vAlign w:val="center"/>
          </w:tcPr>
          <w:p>
            <w:pPr>
              <w:pStyle w:val="DMETW19860BIPOComm"/>
              <w:rPr>
                <w:rFonts w:ascii="Verdana" w:eastAsia="Times New Roman" w:hAnsi="Verdana" w:cs="Verdana"/>
                <w:i/>
                <w:noProof/>
                <w:color w:val="000000"/>
                <w:sz w:val="18"/>
              </w:rPr>
            </w:pPr>
            <w:r>
              <w:rPr>
                <w:rFonts w:ascii="Verdana" w:hAnsi="Verdana"/>
                <w:i/>
                <w:noProof/>
                <w:color w:val="000000"/>
                <w:sz w:val="18"/>
              </w:rPr>
              <w:t>Други корекции (неавтоматични пренасяния на бюджетни кредити за поети задължения)</w:t>
            </w:r>
          </w:p>
        </w:tc>
        <w:tc>
          <w:tcPr>
            <w:tcW w:w="2729" w:type="dxa"/>
            <w:tcBorders>
              <w:top w:val="nil"/>
              <w:left w:val="nil"/>
              <w:bottom w:val="single" w:sz="4" w:space="0" w:color="016794"/>
              <w:right w:val="nil"/>
            </w:tcBorders>
            <w:tcMar>
              <w:top w:w="0" w:type="dxa"/>
              <w:left w:w="60" w:type="dxa"/>
              <w:bottom w:w="0" w:type="dxa"/>
              <w:right w:w="60" w:type="dxa"/>
            </w:tcMar>
          </w:tcPr>
          <w:p>
            <w:pPr>
              <w:pStyle w:val="DMETW19860BIPOComm"/>
              <w:jc w:val="right"/>
              <w:rPr>
                <w:rFonts w:ascii="Verdana" w:eastAsia="Times New Roman" w:hAnsi="Verdana" w:cs="Verdana"/>
                <w:i/>
                <w:noProof/>
                <w:color w:val="000000"/>
                <w:sz w:val="18"/>
              </w:rPr>
            </w:pPr>
            <w:r>
              <w:rPr>
                <w:rFonts w:ascii="Verdana" w:hAnsi="Verdana"/>
                <w:i/>
                <w:noProof/>
                <w:color w:val="000000"/>
                <w:sz w:val="18"/>
              </w:rPr>
              <w:t xml:space="preserve"> 10</w:t>
            </w:r>
          </w:p>
        </w:tc>
      </w:tr>
      <w:tr>
        <w:trPr>
          <w:trHeight w:val="255"/>
        </w:trPr>
        <w:tc>
          <w:tcPr>
            <w:tcW w:w="702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0BIPOComm"/>
              <w:rPr>
                <w:rFonts w:ascii="Verdana" w:eastAsia="Times New Roman" w:hAnsi="Verdana" w:cs="Verdana"/>
                <w:b/>
                <w:noProof/>
                <w:color w:val="000000"/>
                <w:sz w:val="18"/>
              </w:rPr>
            </w:pPr>
            <w:r>
              <w:rPr>
                <w:rFonts w:ascii="Verdana" w:hAnsi="Verdana"/>
                <w:b/>
                <w:noProof/>
                <w:color w:val="000000"/>
                <w:sz w:val="18"/>
              </w:rPr>
              <w:t>Коригирани бюджетни задължения към 31.12.2020 г., за които се прилага дял на Обединеното кралство</w:t>
            </w:r>
          </w:p>
        </w:tc>
        <w:tc>
          <w:tcPr>
            <w:tcW w:w="2729" w:type="dxa"/>
            <w:tcBorders>
              <w:top w:val="single" w:sz="4" w:space="0" w:color="016794"/>
              <w:left w:val="nil"/>
              <w:bottom w:val="single" w:sz="4" w:space="0" w:color="016794"/>
              <w:right w:val="nil"/>
            </w:tcBorders>
            <w:tcMar>
              <w:top w:w="0" w:type="dxa"/>
              <w:left w:w="60" w:type="dxa"/>
              <w:bottom w:w="0" w:type="dxa"/>
              <w:right w:w="60" w:type="dxa"/>
            </w:tcMar>
          </w:tcPr>
          <w:p>
            <w:pPr>
              <w:pStyle w:val="DMETW19860BIPOComm"/>
              <w:jc w:val="right"/>
              <w:rPr>
                <w:rFonts w:ascii="Verdana" w:eastAsia="Times New Roman" w:hAnsi="Verdana" w:cs="Verdana"/>
                <w:b/>
                <w:noProof/>
                <w:color w:val="000000"/>
                <w:sz w:val="18"/>
              </w:rPr>
            </w:pPr>
            <w:r>
              <w:rPr>
                <w:rFonts w:ascii="Verdana" w:hAnsi="Verdana"/>
                <w:b/>
                <w:noProof/>
                <w:color w:val="000000"/>
                <w:sz w:val="18"/>
              </w:rPr>
              <w:t>294 347</w:t>
            </w:r>
          </w:p>
        </w:tc>
      </w:tr>
      <w:tr>
        <w:trPr>
          <w:trHeight w:val="255"/>
        </w:trPr>
        <w:tc>
          <w:tcPr>
            <w:tcW w:w="702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0BIPOComm"/>
              <w:rPr>
                <w:rFonts w:ascii="Verdana" w:eastAsia="Times New Roman" w:hAnsi="Verdana" w:cs="Verdana"/>
                <w:b/>
                <w:noProof/>
                <w:color w:val="000000"/>
                <w:sz w:val="18"/>
              </w:rPr>
            </w:pPr>
            <w:r>
              <w:rPr>
                <w:rFonts w:ascii="Verdana" w:hAnsi="Verdana"/>
                <w:b/>
                <w:noProof/>
                <w:color w:val="000000"/>
                <w:sz w:val="18"/>
              </w:rPr>
              <w:t>Дял на Обединеното кралство от коригираните бюджетни задължения</w:t>
            </w:r>
          </w:p>
        </w:tc>
        <w:tc>
          <w:tcPr>
            <w:tcW w:w="2729" w:type="dxa"/>
            <w:tcBorders>
              <w:top w:val="single" w:sz="4" w:space="0" w:color="016794"/>
              <w:left w:val="nil"/>
              <w:bottom w:val="single" w:sz="4" w:space="0" w:color="016794"/>
              <w:right w:val="nil"/>
            </w:tcBorders>
            <w:tcMar>
              <w:top w:w="0" w:type="dxa"/>
              <w:left w:w="60" w:type="dxa"/>
              <w:bottom w:w="0" w:type="dxa"/>
              <w:right w:w="60" w:type="dxa"/>
            </w:tcMar>
          </w:tcPr>
          <w:p>
            <w:pPr>
              <w:pStyle w:val="DMETW19860BIPOComm"/>
              <w:jc w:val="right"/>
              <w:rPr>
                <w:rFonts w:ascii="Verdana" w:eastAsia="Times New Roman" w:hAnsi="Verdana" w:cs="Verdana"/>
                <w:b/>
                <w:noProof/>
                <w:color w:val="000000"/>
                <w:sz w:val="18"/>
              </w:rPr>
            </w:pPr>
            <w:r>
              <w:rPr>
                <w:rFonts w:ascii="Verdana" w:hAnsi="Verdana"/>
                <w:b/>
                <w:noProof/>
                <w:color w:val="000000"/>
                <w:sz w:val="18"/>
              </w:rPr>
              <w:t>36 376</w:t>
            </w:r>
          </w:p>
        </w:tc>
      </w:tr>
      <w:tr>
        <w:trPr>
          <w:trHeight w:val="255"/>
        </w:trPr>
        <w:tc>
          <w:tcPr>
            <w:tcW w:w="7029" w:type="dxa"/>
            <w:tcBorders>
              <w:top w:val="single" w:sz="4" w:space="0" w:color="016794"/>
              <w:left w:val="nil"/>
              <w:bottom w:val="nil"/>
              <w:right w:val="nil"/>
            </w:tcBorders>
            <w:tcMar>
              <w:top w:w="0" w:type="dxa"/>
              <w:left w:w="60" w:type="dxa"/>
              <w:bottom w:w="0" w:type="dxa"/>
              <w:right w:w="60" w:type="dxa"/>
            </w:tcMar>
            <w:vAlign w:val="center"/>
          </w:tcPr>
          <w:p>
            <w:pPr>
              <w:pStyle w:val="DMETW19860BIPOComm"/>
              <w:rPr>
                <w:rFonts w:ascii="Verdana" w:eastAsia="Times New Roman" w:hAnsi="Verdana" w:cs="Verdana"/>
                <w:i/>
                <w:noProof/>
                <w:color w:val="000000"/>
                <w:sz w:val="18"/>
              </w:rPr>
            </w:pPr>
            <w:r>
              <w:rPr>
                <w:rFonts w:ascii="Verdana" w:hAnsi="Verdana"/>
                <w:i/>
                <w:noProof/>
                <w:color w:val="000000"/>
                <w:sz w:val="18"/>
              </w:rPr>
              <w:t>Нетни финансови корекции, свързани с периода на програмиране 2014—2020 г. или с предходни периоди на програмиране</w:t>
            </w:r>
          </w:p>
        </w:tc>
        <w:tc>
          <w:tcPr>
            <w:tcW w:w="2729" w:type="dxa"/>
            <w:tcBorders>
              <w:top w:val="single" w:sz="4" w:space="0" w:color="016794"/>
              <w:left w:val="nil"/>
              <w:bottom w:val="nil"/>
              <w:right w:val="nil"/>
            </w:tcBorders>
            <w:tcMar>
              <w:top w:w="0" w:type="dxa"/>
              <w:left w:w="60" w:type="dxa"/>
              <w:bottom w:w="0" w:type="dxa"/>
              <w:right w:w="60" w:type="dxa"/>
            </w:tcMar>
          </w:tcPr>
          <w:p>
            <w:pPr>
              <w:pStyle w:val="DMETW19860BIPOComm"/>
              <w:jc w:val="right"/>
              <w:rPr>
                <w:rFonts w:ascii="Verdana" w:eastAsia="Times New Roman" w:hAnsi="Verdana" w:cs="Verdana"/>
                <w:noProof/>
                <w:color w:val="000000"/>
                <w:sz w:val="18"/>
              </w:rPr>
            </w:pPr>
            <w:r>
              <w:rPr>
                <w:rFonts w:ascii="Verdana" w:hAnsi="Verdana"/>
                <w:noProof/>
                <w:color w:val="000000"/>
                <w:sz w:val="18"/>
              </w:rPr>
              <w:t xml:space="preserve"> (0)</w:t>
            </w:r>
          </w:p>
        </w:tc>
      </w:tr>
      <w:tr>
        <w:trPr>
          <w:trHeight w:val="255"/>
        </w:trPr>
        <w:tc>
          <w:tcPr>
            <w:tcW w:w="7029" w:type="dxa"/>
            <w:tcBorders>
              <w:top w:val="nil"/>
              <w:left w:val="nil"/>
              <w:bottom w:val="single" w:sz="4" w:space="0" w:color="016794"/>
              <w:right w:val="nil"/>
            </w:tcBorders>
            <w:tcMar>
              <w:top w:w="0" w:type="dxa"/>
              <w:left w:w="60" w:type="dxa"/>
              <w:bottom w:w="0" w:type="dxa"/>
              <w:right w:w="60" w:type="dxa"/>
            </w:tcMar>
            <w:vAlign w:val="center"/>
          </w:tcPr>
          <w:p>
            <w:pPr>
              <w:pStyle w:val="DMETW19860BIPOComm"/>
              <w:rPr>
                <w:rFonts w:ascii="Verdana" w:eastAsia="Times New Roman" w:hAnsi="Verdana" w:cs="Verdana"/>
                <w:i/>
                <w:noProof/>
                <w:color w:val="000000"/>
                <w:sz w:val="18"/>
              </w:rPr>
            </w:pPr>
            <w:r>
              <w:rPr>
                <w:rFonts w:ascii="Verdana" w:hAnsi="Verdana"/>
                <w:i/>
                <w:noProof/>
                <w:color w:val="000000"/>
                <w:sz w:val="18"/>
              </w:rPr>
              <w:t>ТСР, отнасящи се до 2020 г. и предоставени на Съюза през 2021 г.</w:t>
            </w:r>
          </w:p>
        </w:tc>
        <w:tc>
          <w:tcPr>
            <w:tcW w:w="2729" w:type="dxa"/>
            <w:tcBorders>
              <w:top w:val="nil"/>
              <w:left w:val="nil"/>
              <w:bottom w:val="single" w:sz="4" w:space="0" w:color="016794"/>
              <w:right w:val="nil"/>
            </w:tcBorders>
            <w:tcMar>
              <w:top w:w="0" w:type="dxa"/>
              <w:left w:w="60" w:type="dxa"/>
              <w:bottom w:w="0" w:type="dxa"/>
              <w:right w:w="60" w:type="dxa"/>
            </w:tcMar>
          </w:tcPr>
          <w:p>
            <w:pPr>
              <w:pStyle w:val="DMETW19860BIPOComm"/>
              <w:jc w:val="right"/>
              <w:rPr>
                <w:rFonts w:ascii="Verdana" w:eastAsia="Times New Roman" w:hAnsi="Verdana" w:cs="Verdana"/>
                <w:i/>
                <w:noProof/>
                <w:color w:val="000000"/>
                <w:sz w:val="18"/>
              </w:rPr>
            </w:pPr>
            <w:r>
              <w:rPr>
                <w:rFonts w:ascii="Verdana" w:hAnsi="Verdana"/>
                <w:i/>
                <w:noProof/>
                <w:color w:val="000000"/>
                <w:sz w:val="18"/>
              </w:rPr>
              <w:t xml:space="preserve"> (402)</w:t>
            </w:r>
          </w:p>
        </w:tc>
      </w:tr>
      <w:tr>
        <w:trPr>
          <w:trHeight w:val="255"/>
        </w:trPr>
        <w:tc>
          <w:tcPr>
            <w:tcW w:w="702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0BIPOComm"/>
              <w:rPr>
                <w:rFonts w:ascii="Verdana" w:eastAsia="Times New Roman" w:hAnsi="Verdana" w:cs="Verdana"/>
                <w:b/>
                <w:noProof/>
                <w:color w:val="000000"/>
                <w:sz w:val="18"/>
              </w:rPr>
            </w:pPr>
            <w:r>
              <w:rPr>
                <w:rFonts w:ascii="Verdana" w:hAnsi="Verdana"/>
                <w:b/>
                <w:noProof/>
                <w:color w:val="000000"/>
                <w:sz w:val="18"/>
              </w:rPr>
              <w:t>Суми, дължими от Обединеното кралство съгласно член 140</w:t>
            </w:r>
          </w:p>
        </w:tc>
        <w:tc>
          <w:tcPr>
            <w:tcW w:w="2729" w:type="dxa"/>
            <w:tcBorders>
              <w:top w:val="single" w:sz="4" w:space="0" w:color="016794"/>
              <w:left w:val="nil"/>
              <w:bottom w:val="single" w:sz="4" w:space="0" w:color="016794"/>
              <w:right w:val="nil"/>
            </w:tcBorders>
            <w:tcMar>
              <w:top w:w="0" w:type="dxa"/>
              <w:left w:w="60" w:type="dxa"/>
              <w:bottom w:w="0" w:type="dxa"/>
              <w:right w:w="60" w:type="dxa"/>
            </w:tcMar>
          </w:tcPr>
          <w:p>
            <w:pPr>
              <w:pStyle w:val="DMETW19860BIPOComm"/>
              <w:jc w:val="right"/>
              <w:rPr>
                <w:rFonts w:ascii="Verdana" w:eastAsia="Times New Roman" w:hAnsi="Verdana" w:cs="Verdana"/>
                <w:b/>
                <w:noProof/>
                <w:color w:val="000000"/>
                <w:sz w:val="18"/>
              </w:rPr>
            </w:pPr>
            <w:r>
              <w:rPr>
                <w:rFonts w:ascii="Verdana" w:hAnsi="Verdana"/>
                <w:b/>
                <w:noProof/>
                <w:color w:val="000000"/>
                <w:sz w:val="18"/>
              </w:rPr>
              <w:t>35 973</w:t>
            </w:r>
          </w:p>
        </w:tc>
      </w:tr>
      <w:tr>
        <w:trPr>
          <w:trHeight w:val="255"/>
        </w:trPr>
        <w:tc>
          <w:tcPr>
            <w:tcW w:w="702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0BIPOComm"/>
              <w:rPr>
                <w:rFonts w:ascii="Verdana" w:eastAsia="Times New Roman" w:hAnsi="Verdana" w:cs="Verdana"/>
                <w:i/>
                <w:noProof/>
                <w:color w:val="000000"/>
                <w:sz w:val="18"/>
              </w:rPr>
            </w:pPr>
            <w:r>
              <w:rPr>
                <w:rFonts w:ascii="Verdana" w:hAnsi="Verdana"/>
                <w:i/>
                <w:noProof/>
                <w:color w:val="000000"/>
                <w:sz w:val="18"/>
              </w:rPr>
              <w:t>Прогнозно неизпълнение</w:t>
            </w:r>
          </w:p>
        </w:tc>
        <w:tc>
          <w:tcPr>
            <w:tcW w:w="2729" w:type="dxa"/>
            <w:tcBorders>
              <w:top w:val="single" w:sz="4" w:space="0" w:color="016794"/>
              <w:left w:val="nil"/>
              <w:bottom w:val="single" w:sz="4" w:space="0" w:color="016794"/>
              <w:right w:val="nil"/>
            </w:tcBorders>
            <w:tcMar>
              <w:top w:w="0" w:type="dxa"/>
              <w:left w:w="60" w:type="dxa"/>
              <w:bottom w:w="0" w:type="dxa"/>
              <w:right w:w="60" w:type="dxa"/>
            </w:tcMar>
          </w:tcPr>
          <w:p>
            <w:pPr>
              <w:pStyle w:val="DMETW19860BIPOComm"/>
              <w:jc w:val="right"/>
              <w:rPr>
                <w:rFonts w:ascii="Verdana" w:eastAsia="Times New Roman" w:hAnsi="Verdana" w:cs="Verdana"/>
                <w:i/>
                <w:noProof/>
                <w:color w:val="000000"/>
                <w:sz w:val="18"/>
              </w:rPr>
            </w:pPr>
            <w:r>
              <w:rPr>
                <w:rFonts w:ascii="Verdana" w:hAnsi="Verdana"/>
                <w:i/>
                <w:noProof/>
                <w:color w:val="000000"/>
                <w:sz w:val="18"/>
              </w:rPr>
              <w:t>(1 008)</w:t>
            </w:r>
          </w:p>
        </w:tc>
      </w:tr>
      <w:tr>
        <w:trPr>
          <w:trHeight w:val="255"/>
        </w:trPr>
        <w:tc>
          <w:tcPr>
            <w:tcW w:w="702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0BIPOComm"/>
              <w:rPr>
                <w:rFonts w:ascii="Verdana" w:eastAsia="Times New Roman" w:hAnsi="Verdana" w:cs="Verdana"/>
                <w:b/>
                <w:noProof/>
                <w:color w:val="000000"/>
                <w:sz w:val="18"/>
              </w:rPr>
            </w:pPr>
            <w:r>
              <w:rPr>
                <w:rFonts w:ascii="Verdana" w:hAnsi="Verdana"/>
                <w:b/>
                <w:noProof/>
                <w:color w:val="000000"/>
                <w:sz w:val="18"/>
              </w:rPr>
              <w:t>Общо</w:t>
            </w:r>
          </w:p>
        </w:tc>
        <w:tc>
          <w:tcPr>
            <w:tcW w:w="2729" w:type="dxa"/>
            <w:tcBorders>
              <w:top w:val="single" w:sz="4" w:space="0" w:color="016794"/>
              <w:left w:val="nil"/>
              <w:bottom w:val="single" w:sz="4" w:space="0" w:color="016794"/>
              <w:right w:val="nil"/>
            </w:tcBorders>
            <w:tcMar>
              <w:top w:w="0" w:type="dxa"/>
              <w:left w:w="60" w:type="dxa"/>
              <w:bottom w:w="0" w:type="dxa"/>
              <w:right w:w="60" w:type="dxa"/>
            </w:tcMar>
          </w:tcPr>
          <w:p>
            <w:pPr>
              <w:pStyle w:val="DMETW19860BIPOComm"/>
              <w:jc w:val="right"/>
              <w:rPr>
                <w:rFonts w:ascii="Verdana" w:eastAsia="Times New Roman" w:hAnsi="Verdana" w:cs="Verdana"/>
                <w:b/>
                <w:noProof/>
                <w:color w:val="000000"/>
                <w:sz w:val="18"/>
              </w:rPr>
            </w:pPr>
            <w:r>
              <w:rPr>
                <w:rFonts w:ascii="Verdana" w:hAnsi="Verdana"/>
                <w:b/>
                <w:noProof/>
                <w:color w:val="000000"/>
                <w:sz w:val="18"/>
              </w:rPr>
              <w:t>34 966</w:t>
            </w:r>
          </w:p>
        </w:tc>
      </w:tr>
      <w:tr>
        <w:trPr>
          <w:trHeight w:val="255"/>
        </w:trPr>
        <w:tc>
          <w:tcPr>
            <w:tcW w:w="7029" w:type="dxa"/>
            <w:tcBorders>
              <w:top w:val="single" w:sz="4" w:space="0" w:color="016794"/>
              <w:left w:val="nil"/>
              <w:bottom w:val="nil"/>
              <w:right w:val="nil"/>
            </w:tcBorders>
            <w:tcMar>
              <w:top w:w="0" w:type="dxa"/>
              <w:left w:w="60" w:type="dxa"/>
              <w:bottom w:w="0" w:type="dxa"/>
              <w:right w:w="60" w:type="dxa"/>
            </w:tcMar>
            <w:vAlign w:val="center"/>
          </w:tcPr>
          <w:p>
            <w:pPr>
              <w:pStyle w:val="DMETW19860BIPOComm"/>
              <w:rPr>
                <w:rFonts w:ascii="Verdana" w:eastAsia="Times New Roman" w:hAnsi="Verdana" w:cs="Verdana"/>
                <w:i/>
                <w:noProof/>
                <w:color w:val="016794"/>
                <w:sz w:val="18"/>
              </w:rPr>
            </w:pPr>
            <w:r>
              <w:rPr>
                <w:rFonts w:ascii="Verdana" w:hAnsi="Verdana"/>
                <w:i/>
                <w:noProof/>
                <w:color w:val="016794"/>
                <w:sz w:val="18"/>
              </w:rPr>
              <w:t>Нетекущи</w:t>
            </w:r>
          </w:p>
        </w:tc>
        <w:tc>
          <w:tcPr>
            <w:tcW w:w="2729" w:type="dxa"/>
            <w:tcBorders>
              <w:top w:val="single" w:sz="4" w:space="0" w:color="016794"/>
              <w:left w:val="nil"/>
              <w:bottom w:val="nil"/>
              <w:right w:val="nil"/>
            </w:tcBorders>
            <w:tcMar>
              <w:top w:w="0" w:type="dxa"/>
              <w:left w:w="60" w:type="dxa"/>
              <w:bottom w:w="0" w:type="dxa"/>
              <w:right w:w="60" w:type="dxa"/>
            </w:tcMar>
            <w:vAlign w:val="bottom"/>
          </w:tcPr>
          <w:p>
            <w:pPr>
              <w:pStyle w:val="DMETW19860BIPOComm"/>
              <w:jc w:val="right"/>
              <w:rPr>
                <w:rFonts w:ascii="Verdana" w:eastAsia="Times New Roman" w:hAnsi="Verdana" w:cs="Verdana"/>
                <w:i/>
                <w:noProof/>
                <w:color w:val="016794"/>
                <w:sz w:val="18"/>
              </w:rPr>
            </w:pPr>
            <w:r>
              <w:rPr>
                <w:rFonts w:ascii="Verdana" w:hAnsi="Verdana"/>
                <w:i/>
                <w:noProof/>
                <w:color w:val="016794"/>
                <w:sz w:val="18"/>
              </w:rPr>
              <w:t>28 196</w:t>
            </w:r>
          </w:p>
        </w:tc>
      </w:tr>
      <w:tr>
        <w:trPr>
          <w:trHeigh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Comm"/>
              <w:rPr>
                <w:rFonts w:ascii="Verdana" w:eastAsia="Times New Roman" w:hAnsi="Verdana" w:cs="Verdana"/>
                <w:i/>
                <w:noProof/>
                <w:color w:val="016794"/>
                <w:sz w:val="18"/>
              </w:rPr>
            </w:pPr>
            <w:r>
              <w:rPr>
                <w:rFonts w:ascii="Verdana" w:hAnsi="Verdana"/>
                <w:i/>
                <w:noProof/>
                <w:color w:val="016794"/>
                <w:sz w:val="18"/>
              </w:rPr>
              <w:t>Текущи</w:t>
            </w:r>
          </w:p>
        </w:tc>
        <w:tc>
          <w:tcPr>
            <w:tcW w:w="2729" w:type="dxa"/>
            <w:tcBorders>
              <w:top w:val="nil"/>
              <w:left w:val="nil"/>
              <w:bottom w:val="nil"/>
              <w:right w:val="nil"/>
            </w:tcBorders>
            <w:tcMar>
              <w:top w:w="0" w:type="dxa"/>
              <w:left w:w="60" w:type="dxa"/>
              <w:bottom w:w="0" w:type="dxa"/>
              <w:right w:w="60" w:type="dxa"/>
            </w:tcMar>
            <w:vAlign w:val="bottom"/>
          </w:tcPr>
          <w:p>
            <w:pPr>
              <w:pStyle w:val="DMETW19860BIPOComm"/>
              <w:jc w:val="right"/>
              <w:rPr>
                <w:rFonts w:ascii="Verdana" w:eastAsia="Times New Roman" w:hAnsi="Verdana" w:cs="Verdana"/>
                <w:i/>
                <w:noProof/>
                <w:color w:val="016794"/>
                <w:sz w:val="18"/>
              </w:rPr>
            </w:pPr>
            <w:r>
              <w:rPr>
                <w:rFonts w:ascii="Verdana" w:hAnsi="Verdana"/>
                <w:i/>
                <w:noProof/>
                <w:color w:val="016794"/>
                <w:sz w:val="18"/>
              </w:rPr>
              <w:t>6 769</w:t>
            </w:r>
          </w:p>
        </w:tc>
      </w:tr>
    </w:tbl>
    <w:p>
      <w:pPr>
        <w:pStyle w:val="DGTextstand-alone"/>
      </w:pPr>
      <w:r>
        <w:t xml:space="preserve">За повече подробности за неизпълнените бюджетни задължения към 31 декември 2020 г. — които са началната стойност за изчисляването на сумите, дължими от Обединеното кралство съгласно член 140 — вж. докладите за изпълнението на бюджета и обяснителните бележки, таблица </w:t>
      </w:r>
      <w:r>
        <w:rPr>
          <w:b/>
        </w:rPr>
        <w:t>4.4</w:t>
      </w:r>
      <w:r>
        <w:t xml:space="preserve">. </w:t>
      </w:r>
    </w:p>
    <w:p>
      <w:pPr>
        <w:pStyle w:val="Textstand-alone"/>
        <w:rPr>
          <w:color w:val="016794"/>
        </w:rPr>
      </w:pPr>
      <w:r>
        <w:rPr>
          <w:color w:val="016794"/>
        </w:rPr>
        <w:t>Член 142 — Задължения на Съюза към края на 2020 г.</w:t>
      </w:r>
    </w:p>
    <w:p>
      <w:pPr>
        <w:pStyle w:val="DGTextstand-alone"/>
      </w:pPr>
      <w:r>
        <w:t>Обединеното кралство е поело ангажимента да плати на ЕС своя дял от задълженията на Съюза към края на 2020 г., с изключение на задълженията: а) със съответни активи и б) свързани с функционирането на бюджета и управлението на собствените ресурси (включително сумите, които вече са обхванати от неизпълнените поети задължения — вж. член 140 по-горе). Основната сума се отнася до задълженията на ЕС след напускане (пенсии и здравно осигуряване), съществуващи към 31 декември 2020 г., като общият дял на Обединеното кралство възлиза на 14 338 милиона евро в края на годината (от които 11 милиона евро следва да бъдат изплатени в срок от 12 месеца след отчетната дата):</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17"/>
        <w:gridCol w:w="1651"/>
        <w:gridCol w:w="1499"/>
        <w:gridCol w:w="1478"/>
        <w:gridCol w:w="1113"/>
      </w:tblGrid>
      <w:tr>
        <w:trPr>
          <w:trHeight w:val="255"/>
        </w:trPr>
        <w:tc>
          <w:tcPr>
            <w:tcW w:w="4017" w:type="dxa"/>
            <w:tcBorders>
              <w:top w:val="nil"/>
              <w:left w:val="nil"/>
              <w:bottom w:val="nil"/>
              <w:right w:val="nil"/>
            </w:tcBorders>
            <w:tcMar>
              <w:top w:w="0" w:type="dxa"/>
              <w:left w:w="60" w:type="dxa"/>
              <w:bottom w:w="0" w:type="dxa"/>
              <w:right w:w="60" w:type="dxa"/>
            </w:tcMar>
            <w:vAlign w:val="bottom"/>
          </w:tcPr>
          <w:p>
            <w:pPr>
              <w:pStyle w:val="DMETW19860BIPUliab"/>
              <w:rPr>
                <w:rFonts w:ascii="Arial" w:eastAsia="Times New Roman" w:hAnsi="Arial" w:cs="Arial"/>
                <w:noProof/>
                <w:color w:val="000000"/>
              </w:rPr>
            </w:pPr>
            <w:bookmarkStart w:id="116" w:name="DOC_TBL00030_1_1"/>
            <w:bookmarkEnd w:id="116"/>
          </w:p>
        </w:tc>
        <w:tc>
          <w:tcPr>
            <w:tcW w:w="1651" w:type="dxa"/>
            <w:tcBorders>
              <w:top w:val="nil"/>
              <w:left w:val="nil"/>
              <w:bottom w:val="nil"/>
              <w:right w:val="nil"/>
            </w:tcBorders>
            <w:tcMar>
              <w:top w:w="0" w:type="dxa"/>
              <w:left w:w="60" w:type="dxa"/>
              <w:bottom w:w="0" w:type="dxa"/>
              <w:right w:w="60" w:type="dxa"/>
            </w:tcMar>
            <w:vAlign w:val="bottom"/>
          </w:tcPr>
          <w:p>
            <w:pPr>
              <w:pStyle w:val="DMETW19860BIPUliab"/>
              <w:rPr>
                <w:rFonts w:ascii="Arial" w:eastAsia="Times New Roman" w:hAnsi="Arial" w:cs="Arial"/>
                <w:noProof/>
                <w:color w:val="000000"/>
              </w:rPr>
            </w:pPr>
          </w:p>
        </w:tc>
        <w:tc>
          <w:tcPr>
            <w:tcW w:w="1499" w:type="dxa"/>
            <w:tcBorders>
              <w:top w:val="nil"/>
              <w:left w:val="nil"/>
              <w:bottom w:val="nil"/>
              <w:right w:val="nil"/>
            </w:tcBorders>
            <w:tcMar>
              <w:top w:w="0" w:type="dxa"/>
              <w:left w:w="60" w:type="dxa"/>
              <w:bottom w:w="0" w:type="dxa"/>
              <w:right w:w="60" w:type="dxa"/>
            </w:tcMar>
            <w:vAlign w:val="bottom"/>
          </w:tcPr>
          <w:p>
            <w:pPr>
              <w:pStyle w:val="DMETW19860BIPUliab"/>
              <w:rPr>
                <w:rFonts w:eastAsia="Times New Roman"/>
                <w:noProof/>
                <w:color w:val="000000"/>
                <w:sz w:val="22"/>
              </w:rPr>
            </w:pPr>
          </w:p>
        </w:tc>
        <w:tc>
          <w:tcPr>
            <w:tcW w:w="1478" w:type="dxa"/>
            <w:tcBorders>
              <w:top w:val="nil"/>
              <w:left w:val="nil"/>
              <w:bottom w:val="nil"/>
              <w:right w:val="nil"/>
            </w:tcBorders>
            <w:tcMar>
              <w:top w:w="0" w:type="dxa"/>
              <w:left w:w="60" w:type="dxa"/>
              <w:bottom w:w="0" w:type="dxa"/>
              <w:right w:w="60" w:type="dxa"/>
            </w:tcMar>
            <w:vAlign w:val="bottom"/>
          </w:tcPr>
          <w:p>
            <w:pPr>
              <w:pStyle w:val="DMETW19860BIPUliab"/>
              <w:jc w:val="right"/>
              <w:rPr>
                <w:rFonts w:ascii="Verdana" w:eastAsia="Times New Roman" w:hAnsi="Verdana" w:cs="Verdana"/>
                <w:b/>
                <w:noProof/>
                <w:color w:val="000000"/>
                <w:sz w:val="18"/>
              </w:rPr>
            </w:pPr>
          </w:p>
        </w:tc>
        <w:tc>
          <w:tcPr>
            <w:tcW w:w="1113" w:type="dxa"/>
            <w:tcBorders>
              <w:top w:val="nil"/>
              <w:left w:val="nil"/>
              <w:bottom w:val="nil"/>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4017"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Uliab"/>
              <w:jc w:val="center"/>
              <w:rPr>
                <w:rFonts w:ascii="Verdana" w:eastAsia="Times New Roman" w:hAnsi="Verdana" w:cs="Verdana"/>
                <w:noProof/>
                <w:color w:val="FFFFFF"/>
              </w:rPr>
            </w:pPr>
          </w:p>
        </w:tc>
        <w:tc>
          <w:tcPr>
            <w:tcW w:w="1651"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Uliab"/>
              <w:jc w:val="center"/>
              <w:rPr>
                <w:rFonts w:ascii="Verdana" w:eastAsia="Times New Roman" w:hAnsi="Verdana" w:cs="Verdana"/>
                <w:noProof/>
                <w:color w:val="FFFFFF"/>
                <w:sz w:val="16"/>
              </w:rPr>
            </w:pPr>
            <w:r>
              <w:rPr>
                <w:rFonts w:ascii="Verdana" w:hAnsi="Verdana"/>
                <w:noProof/>
                <w:color w:val="FFFFFF"/>
                <w:sz w:val="16"/>
              </w:rPr>
              <w:t>Пенсионноосигурителна схема на европейските длъжностни лица</w:t>
            </w:r>
          </w:p>
        </w:tc>
        <w:tc>
          <w:tcPr>
            <w:tcW w:w="1499"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Uliab"/>
              <w:jc w:val="center"/>
              <w:rPr>
                <w:rFonts w:ascii="Verdana" w:eastAsia="Times New Roman" w:hAnsi="Verdana" w:cs="Verdana"/>
                <w:noProof/>
                <w:color w:val="FFFFFF"/>
                <w:sz w:val="16"/>
              </w:rPr>
            </w:pPr>
            <w:r>
              <w:rPr>
                <w:rFonts w:ascii="Verdana" w:hAnsi="Verdana"/>
                <w:noProof/>
                <w:color w:val="FFFFFF"/>
                <w:sz w:val="16"/>
              </w:rPr>
              <w:t>Обща здравноосигурителна схема</w:t>
            </w:r>
          </w:p>
        </w:tc>
        <w:tc>
          <w:tcPr>
            <w:tcW w:w="1478"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Uliab"/>
              <w:jc w:val="center"/>
              <w:rPr>
                <w:rFonts w:ascii="Verdana" w:eastAsia="Times New Roman" w:hAnsi="Verdana" w:cs="Verdana"/>
                <w:noProof/>
                <w:color w:val="FFFFFF"/>
                <w:sz w:val="16"/>
              </w:rPr>
            </w:pPr>
            <w:r>
              <w:rPr>
                <w:rFonts w:ascii="Verdana" w:hAnsi="Verdana"/>
                <w:noProof/>
                <w:color w:val="FFFFFF"/>
                <w:sz w:val="16"/>
              </w:rPr>
              <w:t>Други пенсионни схеми</w:t>
            </w:r>
          </w:p>
        </w:tc>
        <w:tc>
          <w:tcPr>
            <w:tcW w:w="1113"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Uliab"/>
              <w:jc w:val="right"/>
              <w:rPr>
                <w:rFonts w:ascii="Verdana" w:eastAsia="Times New Roman" w:hAnsi="Verdana" w:cs="Verdana"/>
                <w:noProof/>
                <w:color w:val="FFFFFF"/>
                <w:sz w:val="16"/>
              </w:rPr>
            </w:pPr>
            <w:r>
              <w:rPr>
                <w:rFonts w:ascii="Verdana" w:hAnsi="Verdana"/>
                <w:noProof/>
                <w:color w:val="FFFFFF"/>
                <w:sz w:val="16"/>
              </w:rPr>
              <w:t>31.12.2020</w:t>
            </w:r>
            <w:r>
              <w:rPr>
                <w:rFonts w:ascii="Verdana" w:hAnsi="Verdana"/>
                <w:noProof/>
                <w:color w:val="FFFFFF"/>
                <w:sz w:val="16"/>
                <w:lang w:val="en-GB"/>
              </w:rPr>
              <w:t> </w:t>
            </w:r>
            <w:r>
              <w:rPr>
                <w:rFonts w:ascii="Verdana" w:hAnsi="Verdana"/>
                <w:noProof/>
                <w:color w:val="FFFFFF"/>
                <w:sz w:val="16"/>
              </w:rPr>
              <w:t>г.</w:t>
            </w:r>
          </w:p>
        </w:tc>
      </w:tr>
      <w:tr>
        <w:trPr>
          <w:trHeight w:val="255"/>
        </w:trPr>
        <w:tc>
          <w:tcPr>
            <w:tcW w:w="4017" w:type="dxa"/>
            <w:tcBorders>
              <w:top w:val="nil"/>
              <w:left w:val="nil"/>
              <w:bottom w:val="single" w:sz="4" w:space="0" w:color="016794"/>
              <w:right w:val="nil"/>
            </w:tcBorders>
            <w:tcMar>
              <w:top w:w="0" w:type="dxa"/>
              <w:left w:w="60" w:type="dxa"/>
              <w:bottom w:w="0" w:type="dxa"/>
              <w:right w:w="60" w:type="dxa"/>
            </w:tcMar>
            <w:vAlign w:val="bottom"/>
          </w:tcPr>
          <w:p>
            <w:pPr>
              <w:pStyle w:val="DMETW19860BIPUliab"/>
              <w:rPr>
                <w:rFonts w:ascii="Verdana" w:eastAsia="Times New Roman" w:hAnsi="Verdana" w:cs="Verdana"/>
                <w:i/>
                <w:noProof/>
                <w:color w:val="000000"/>
                <w:sz w:val="18"/>
              </w:rPr>
            </w:pPr>
            <w:r>
              <w:rPr>
                <w:rFonts w:ascii="Verdana" w:hAnsi="Verdana"/>
                <w:i/>
                <w:noProof/>
                <w:color w:val="000000"/>
                <w:sz w:val="18"/>
              </w:rPr>
              <w:t>Неизплатено към 31.12.2020 г. задължение</w:t>
            </w:r>
          </w:p>
        </w:tc>
        <w:tc>
          <w:tcPr>
            <w:tcW w:w="1651" w:type="dxa"/>
            <w:tcBorders>
              <w:top w:val="nil"/>
              <w:left w:val="nil"/>
              <w:bottom w:val="single" w:sz="4" w:space="0" w:color="016794"/>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00000"/>
                <w:sz w:val="18"/>
              </w:rPr>
            </w:pPr>
            <w:r>
              <w:rPr>
                <w:rFonts w:ascii="Verdana" w:hAnsi="Verdana"/>
                <w:i/>
                <w:noProof/>
                <w:color w:val="000000"/>
                <w:sz w:val="18"/>
              </w:rPr>
              <w:t>100 741</w:t>
            </w:r>
          </w:p>
        </w:tc>
        <w:tc>
          <w:tcPr>
            <w:tcW w:w="1499" w:type="dxa"/>
            <w:tcBorders>
              <w:top w:val="nil"/>
              <w:left w:val="nil"/>
              <w:bottom w:val="single" w:sz="4" w:space="0" w:color="016794"/>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00000"/>
                <w:sz w:val="18"/>
              </w:rPr>
            </w:pPr>
            <w:r>
              <w:rPr>
                <w:rFonts w:ascii="Verdana" w:hAnsi="Verdana"/>
                <w:i/>
                <w:noProof/>
                <w:color w:val="000000"/>
                <w:sz w:val="18"/>
              </w:rPr>
              <w:t>12 935</w:t>
            </w:r>
          </w:p>
        </w:tc>
        <w:tc>
          <w:tcPr>
            <w:tcW w:w="1478" w:type="dxa"/>
            <w:tcBorders>
              <w:top w:val="nil"/>
              <w:left w:val="nil"/>
              <w:bottom w:val="single" w:sz="4" w:space="0" w:color="016794"/>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00000"/>
                <w:sz w:val="18"/>
              </w:rPr>
            </w:pPr>
            <w:r>
              <w:rPr>
                <w:rFonts w:ascii="Verdana" w:hAnsi="Verdana"/>
                <w:i/>
                <w:noProof/>
                <w:color w:val="000000"/>
                <w:sz w:val="18"/>
              </w:rPr>
              <w:t>2 344</w:t>
            </w:r>
          </w:p>
        </w:tc>
        <w:tc>
          <w:tcPr>
            <w:tcW w:w="1113" w:type="dxa"/>
            <w:tcBorders>
              <w:top w:val="nil"/>
              <w:left w:val="nil"/>
              <w:bottom w:val="single" w:sz="4" w:space="0" w:color="016794"/>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00000"/>
                <w:sz w:val="18"/>
              </w:rPr>
            </w:pPr>
            <w:r>
              <w:rPr>
                <w:rFonts w:ascii="Verdana" w:hAnsi="Verdana"/>
                <w:i/>
                <w:noProof/>
                <w:color w:val="000000"/>
                <w:sz w:val="18"/>
              </w:rPr>
              <w:t>116 020</w:t>
            </w:r>
          </w:p>
        </w:tc>
      </w:tr>
      <w:tr>
        <w:trPr>
          <w:trHeight w:val="255"/>
        </w:trPr>
        <w:tc>
          <w:tcPr>
            <w:tcW w:w="4017"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0BIPUliab"/>
              <w:rPr>
                <w:rFonts w:ascii="Verdana" w:eastAsia="Times New Roman" w:hAnsi="Verdana" w:cs="Verdana"/>
                <w:b/>
                <w:noProof/>
                <w:color w:val="000000"/>
                <w:sz w:val="18"/>
              </w:rPr>
            </w:pPr>
            <w:r>
              <w:rPr>
                <w:rFonts w:ascii="Verdana" w:hAnsi="Verdana"/>
                <w:b/>
                <w:noProof/>
                <w:color w:val="000000"/>
                <w:sz w:val="18"/>
              </w:rPr>
              <w:t>Дял на Обединеното кралство</w:t>
            </w:r>
          </w:p>
        </w:tc>
        <w:tc>
          <w:tcPr>
            <w:tcW w:w="1651"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0BIPUliab"/>
              <w:jc w:val="right"/>
              <w:rPr>
                <w:rFonts w:ascii="Verdana" w:eastAsia="Times New Roman" w:hAnsi="Verdana" w:cs="Verdana"/>
                <w:b/>
                <w:noProof/>
                <w:color w:val="000000"/>
                <w:sz w:val="18"/>
              </w:rPr>
            </w:pPr>
            <w:r>
              <w:rPr>
                <w:rFonts w:ascii="Verdana" w:hAnsi="Verdana"/>
                <w:b/>
                <w:noProof/>
                <w:color w:val="000000"/>
                <w:sz w:val="18"/>
              </w:rPr>
              <w:t>12 450</w:t>
            </w:r>
          </w:p>
        </w:tc>
        <w:tc>
          <w:tcPr>
            <w:tcW w:w="1499"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0BIPUliab"/>
              <w:jc w:val="right"/>
              <w:rPr>
                <w:rFonts w:ascii="Verdana" w:eastAsia="Times New Roman" w:hAnsi="Verdana" w:cs="Verdana"/>
                <w:b/>
                <w:noProof/>
                <w:color w:val="000000"/>
                <w:sz w:val="18"/>
              </w:rPr>
            </w:pPr>
            <w:r>
              <w:rPr>
                <w:rFonts w:ascii="Verdana" w:hAnsi="Verdana"/>
                <w:b/>
                <w:noProof/>
                <w:color w:val="000000"/>
                <w:sz w:val="18"/>
              </w:rPr>
              <w:t>1599</w:t>
            </w:r>
          </w:p>
        </w:tc>
        <w:tc>
          <w:tcPr>
            <w:tcW w:w="1478"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0BIPUliab"/>
              <w:jc w:val="right"/>
              <w:rPr>
                <w:rFonts w:ascii="Verdana" w:eastAsia="Times New Roman" w:hAnsi="Verdana" w:cs="Verdana"/>
                <w:b/>
                <w:noProof/>
                <w:color w:val="000000"/>
                <w:sz w:val="18"/>
              </w:rPr>
            </w:pPr>
            <w:r>
              <w:rPr>
                <w:rFonts w:ascii="Verdana" w:hAnsi="Verdana"/>
                <w:b/>
                <w:noProof/>
                <w:color w:val="000000"/>
                <w:sz w:val="18"/>
              </w:rPr>
              <w:t>290</w:t>
            </w:r>
          </w:p>
        </w:tc>
        <w:tc>
          <w:tcPr>
            <w:tcW w:w="1113"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0BIPUliab"/>
              <w:jc w:val="right"/>
              <w:rPr>
                <w:rFonts w:ascii="Verdana" w:eastAsia="Times New Roman" w:hAnsi="Verdana" w:cs="Verdana"/>
                <w:b/>
                <w:noProof/>
                <w:color w:val="000000"/>
                <w:sz w:val="18"/>
              </w:rPr>
            </w:pPr>
            <w:r>
              <w:rPr>
                <w:rFonts w:ascii="Verdana" w:hAnsi="Verdana"/>
                <w:b/>
                <w:noProof/>
                <w:color w:val="000000"/>
                <w:sz w:val="18"/>
              </w:rPr>
              <w:t>14 338</w:t>
            </w:r>
          </w:p>
        </w:tc>
      </w:tr>
      <w:tr>
        <w:trPr>
          <w:trHeight w:val="255"/>
        </w:trPr>
        <w:tc>
          <w:tcPr>
            <w:tcW w:w="4017" w:type="dxa"/>
            <w:tcBorders>
              <w:top w:val="single" w:sz="4" w:space="0" w:color="016794"/>
              <w:left w:val="nil"/>
              <w:bottom w:val="nil"/>
              <w:right w:val="nil"/>
            </w:tcBorders>
            <w:tcMar>
              <w:top w:w="0" w:type="dxa"/>
              <w:left w:w="60" w:type="dxa"/>
              <w:bottom w:w="0" w:type="dxa"/>
              <w:right w:w="60" w:type="dxa"/>
            </w:tcMar>
            <w:vAlign w:val="center"/>
          </w:tcPr>
          <w:p>
            <w:pPr>
              <w:pStyle w:val="DMETW19860BIPUliab"/>
              <w:rPr>
                <w:rFonts w:ascii="Verdana" w:eastAsia="Times New Roman" w:hAnsi="Verdana" w:cs="Verdana"/>
                <w:i/>
                <w:noProof/>
                <w:color w:val="016794"/>
                <w:sz w:val="18"/>
              </w:rPr>
            </w:pPr>
            <w:r>
              <w:rPr>
                <w:rFonts w:ascii="Verdana" w:hAnsi="Verdana"/>
                <w:i/>
                <w:noProof/>
                <w:color w:val="016794"/>
                <w:sz w:val="18"/>
              </w:rPr>
              <w:t>Нетекущи</w:t>
            </w:r>
          </w:p>
        </w:tc>
        <w:tc>
          <w:tcPr>
            <w:tcW w:w="1651" w:type="dxa"/>
            <w:tcBorders>
              <w:top w:val="single" w:sz="4" w:space="0" w:color="016794"/>
              <w:left w:val="nil"/>
              <w:bottom w:val="nil"/>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16794"/>
                <w:sz w:val="18"/>
              </w:rPr>
            </w:pPr>
            <w:r>
              <w:rPr>
                <w:rFonts w:ascii="Verdana" w:hAnsi="Verdana"/>
                <w:i/>
                <w:noProof/>
                <w:color w:val="016794"/>
                <w:sz w:val="18"/>
              </w:rPr>
              <w:t>12 450</w:t>
            </w:r>
          </w:p>
        </w:tc>
        <w:tc>
          <w:tcPr>
            <w:tcW w:w="1499" w:type="dxa"/>
            <w:tcBorders>
              <w:top w:val="single" w:sz="4" w:space="0" w:color="016794"/>
              <w:left w:val="nil"/>
              <w:bottom w:val="nil"/>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16794"/>
                <w:sz w:val="18"/>
              </w:rPr>
            </w:pPr>
            <w:r>
              <w:rPr>
                <w:rFonts w:ascii="Verdana" w:hAnsi="Verdana"/>
                <w:i/>
                <w:noProof/>
                <w:color w:val="016794"/>
                <w:sz w:val="18"/>
              </w:rPr>
              <w:t>1 599</w:t>
            </w:r>
          </w:p>
        </w:tc>
        <w:tc>
          <w:tcPr>
            <w:tcW w:w="1478" w:type="dxa"/>
            <w:tcBorders>
              <w:top w:val="single" w:sz="4" w:space="0" w:color="016794"/>
              <w:left w:val="nil"/>
              <w:bottom w:val="nil"/>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16794"/>
                <w:sz w:val="18"/>
              </w:rPr>
            </w:pPr>
            <w:r>
              <w:rPr>
                <w:rFonts w:ascii="Verdana" w:hAnsi="Verdana"/>
                <w:i/>
                <w:noProof/>
                <w:color w:val="016794"/>
                <w:sz w:val="18"/>
              </w:rPr>
              <w:t xml:space="preserve"> 279</w:t>
            </w:r>
          </w:p>
        </w:tc>
        <w:tc>
          <w:tcPr>
            <w:tcW w:w="1113" w:type="dxa"/>
            <w:tcBorders>
              <w:top w:val="single" w:sz="4" w:space="0" w:color="016794"/>
              <w:left w:val="nil"/>
              <w:bottom w:val="nil"/>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16794"/>
                <w:sz w:val="18"/>
              </w:rPr>
            </w:pPr>
            <w:r>
              <w:rPr>
                <w:rFonts w:ascii="Verdana" w:hAnsi="Verdana"/>
                <w:i/>
                <w:noProof/>
                <w:color w:val="016794"/>
                <w:sz w:val="18"/>
              </w:rPr>
              <w:t>14 327</w:t>
            </w:r>
          </w:p>
        </w:tc>
      </w:tr>
      <w:tr>
        <w:trPr>
          <w:trHeight w:val="255"/>
        </w:trPr>
        <w:tc>
          <w:tcPr>
            <w:tcW w:w="4017" w:type="dxa"/>
            <w:tcBorders>
              <w:top w:val="nil"/>
              <w:left w:val="nil"/>
              <w:bottom w:val="nil"/>
              <w:right w:val="nil"/>
            </w:tcBorders>
            <w:tcMar>
              <w:top w:w="0" w:type="dxa"/>
              <w:left w:w="60" w:type="dxa"/>
              <w:bottom w:w="0" w:type="dxa"/>
              <w:right w:w="60" w:type="dxa"/>
            </w:tcMar>
            <w:vAlign w:val="center"/>
          </w:tcPr>
          <w:p>
            <w:pPr>
              <w:pStyle w:val="DMETW19860BIPUliab"/>
              <w:rPr>
                <w:rFonts w:ascii="Verdana" w:eastAsia="Times New Roman" w:hAnsi="Verdana" w:cs="Verdana"/>
                <w:i/>
                <w:noProof/>
                <w:color w:val="016794"/>
                <w:sz w:val="18"/>
              </w:rPr>
            </w:pPr>
            <w:r>
              <w:rPr>
                <w:rFonts w:ascii="Verdana" w:hAnsi="Verdana"/>
                <w:i/>
                <w:noProof/>
                <w:color w:val="016794"/>
                <w:sz w:val="18"/>
              </w:rPr>
              <w:t>Текущи</w:t>
            </w:r>
          </w:p>
        </w:tc>
        <w:tc>
          <w:tcPr>
            <w:tcW w:w="1651" w:type="dxa"/>
            <w:tcBorders>
              <w:top w:val="nil"/>
              <w:left w:val="nil"/>
              <w:bottom w:val="nil"/>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16794"/>
                <w:sz w:val="18"/>
              </w:rPr>
            </w:pPr>
            <w:r>
              <w:rPr>
                <w:rFonts w:ascii="Verdana" w:hAnsi="Verdana"/>
                <w:i/>
                <w:noProof/>
                <w:color w:val="016794"/>
                <w:sz w:val="18"/>
              </w:rPr>
              <w:t>–</w:t>
            </w:r>
          </w:p>
        </w:tc>
        <w:tc>
          <w:tcPr>
            <w:tcW w:w="1499" w:type="dxa"/>
            <w:tcBorders>
              <w:top w:val="nil"/>
              <w:left w:val="nil"/>
              <w:bottom w:val="nil"/>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16794"/>
                <w:sz w:val="18"/>
              </w:rPr>
            </w:pPr>
            <w:r>
              <w:rPr>
                <w:rFonts w:ascii="Verdana" w:hAnsi="Verdana"/>
                <w:i/>
                <w:noProof/>
                <w:color w:val="016794"/>
                <w:sz w:val="18"/>
              </w:rPr>
              <w:t>–</w:t>
            </w:r>
          </w:p>
        </w:tc>
        <w:tc>
          <w:tcPr>
            <w:tcW w:w="1478" w:type="dxa"/>
            <w:tcBorders>
              <w:top w:val="nil"/>
              <w:left w:val="nil"/>
              <w:bottom w:val="nil"/>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16794"/>
                <w:sz w:val="18"/>
              </w:rPr>
            </w:pPr>
            <w:r>
              <w:rPr>
                <w:rFonts w:ascii="Verdana" w:hAnsi="Verdana"/>
                <w:i/>
                <w:noProof/>
                <w:color w:val="016794"/>
                <w:sz w:val="18"/>
              </w:rPr>
              <w:t xml:space="preserve"> 11</w:t>
            </w:r>
          </w:p>
        </w:tc>
        <w:tc>
          <w:tcPr>
            <w:tcW w:w="1113" w:type="dxa"/>
            <w:tcBorders>
              <w:top w:val="nil"/>
              <w:left w:val="nil"/>
              <w:bottom w:val="nil"/>
              <w:right w:val="nil"/>
            </w:tcBorders>
            <w:tcMar>
              <w:top w:w="0" w:type="dxa"/>
              <w:left w:w="60" w:type="dxa"/>
              <w:bottom w:w="0" w:type="dxa"/>
              <w:right w:w="60" w:type="dxa"/>
            </w:tcMar>
            <w:vAlign w:val="bottom"/>
          </w:tcPr>
          <w:p>
            <w:pPr>
              <w:pStyle w:val="DMETW19860BIPUliab"/>
              <w:jc w:val="right"/>
              <w:rPr>
                <w:rFonts w:ascii="Verdana" w:eastAsia="Times New Roman" w:hAnsi="Verdana" w:cs="Verdana"/>
                <w:i/>
                <w:noProof/>
                <w:color w:val="016794"/>
                <w:sz w:val="18"/>
              </w:rPr>
            </w:pPr>
            <w:r>
              <w:rPr>
                <w:rFonts w:ascii="Verdana" w:hAnsi="Verdana"/>
                <w:i/>
                <w:noProof/>
                <w:color w:val="016794"/>
                <w:sz w:val="18"/>
              </w:rPr>
              <w:t xml:space="preserve"> 11</w:t>
            </w:r>
          </w:p>
        </w:tc>
      </w:tr>
    </w:tbl>
    <w:p>
      <w:pPr>
        <w:pStyle w:val="DGTextstand-alone"/>
      </w:pPr>
      <w:r>
        <w:t xml:space="preserve">За повече информация за задълженията, свързани с доходите на наети лица, вж. бележка </w:t>
      </w:r>
      <w:r>
        <w:rPr>
          <w:b/>
        </w:rPr>
        <w:t>2.9</w:t>
      </w:r>
      <w:r>
        <w:t>.</w:t>
      </w:r>
    </w:p>
    <w:p>
      <w:pPr>
        <w:pStyle w:val="Textstand-alone"/>
        <w:rPr>
          <w:color w:val="016794"/>
        </w:rPr>
      </w:pPr>
      <w:r>
        <w:rPr>
          <w:color w:val="016794"/>
        </w:rPr>
        <w:t>Други членове</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29"/>
        <w:gridCol w:w="2729"/>
      </w:tblGrid>
      <w:tr>
        <w:trPr>
          <w:trHeight w:hRule="exact" w:val="255"/>
        </w:trPr>
        <w:tc>
          <w:tcPr>
            <w:tcW w:w="7029" w:type="dxa"/>
            <w:tcBorders>
              <w:top w:val="nil"/>
              <w:left w:val="nil"/>
              <w:bottom w:val="nil"/>
              <w:right w:val="nil"/>
            </w:tcBorders>
            <w:tcMar>
              <w:top w:w="0" w:type="dxa"/>
              <w:left w:w="60" w:type="dxa"/>
              <w:bottom w:w="0" w:type="dxa"/>
              <w:right w:w="60" w:type="dxa"/>
            </w:tcMar>
            <w:vAlign w:val="bottom"/>
          </w:tcPr>
          <w:p>
            <w:pPr>
              <w:pStyle w:val="DMETW19860BIPOthAm"/>
              <w:rPr>
                <w:rFonts w:ascii="Arial" w:eastAsia="Times New Roman" w:hAnsi="Arial" w:cs="Arial"/>
                <w:noProof/>
                <w:color w:val="000000"/>
              </w:rPr>
            </w:pPr>
            <w:bookmarkStart w:id="117" w:name="DOC_TBL00031_1_1"/>
            <w:bookmarkEnd w:id="117"/>
          </w:p>
        </w:tc>
        <w:tc>
          <w:tcPr>
            <w:tcW w:w="2729" w:type="dxa"/>
            <w:tcBorders>
              <w:top w:val="nil"/>
              <w:left w:val="nil"/>
              <w:bottom w:val="nil"/>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hRule="exact" w:val="255"/>
        </w:trPr>
        <w:tc>
          <w:tcPr>
            <w:tcW w:w="7029"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OthAm"/>
              <w:jc w:val="center"/>
              <w:rPr>
                <w:rFonts w:ascii="Verdana" w:eastAsia="Times New Roman" w:hAnsi="Verdana" w:cs="Verdana"/>
                <w:noProof/>
                <w:color w:val="FFFFFF"/>
              </w:rPr>
            </w:pPr>
          </w:p>
        </w:tc>
        <w:tc>
          <w:tcPr>
            <w:tcW w:w="2729" w:type="dxa"/>
            <w:tcBorders>
              <w:top w:val="nil"/>
              <w:left w:val="nil"/>
              <w:bottom w:val="nil"/>
              <w:right w:val="nil"/>
            </w:tcBorders>
            <w:shd w:val="solid" w:color="016794" w:fill="FFFFFF"/>
            <w:tcMar>
              <w:top w:w="0" w:type="dxa"/>
              <w:left w:w="60" w:type="dxa"/>
              <w:bottom w:w="0" w:type="dxa"/>
              <w:right w:w="60" w:type="dxa"/>
            </w:tcMar>
            <w:vAlign w:val="center"/>
          </w:tcPr>
          <w:p>
            <w:pPr>
              <w:pStyle w:val="DMETW19860BIPOthAm"/>
              <w:jc w:val="right"/>
              <w:rPr>
                <w:rFonts w:ascii="Verdana" w:eastAsia="Times New Roman" w:hAnsi="Verdana" w:cs="Verdana"/>
                <w:noProof/>
                <w:color w:val="FFFFFF"/>
              </w:rPr>
            </w:pPr>
            <w:r>
              <w:rPr>
                <w:rFonts w:ascii="Verdana" w:hAnsi="Verdana"/>
                <w:noProof/>
                <w:color w:val="FFFFFF"/>
              </w:rPr>
              <w:t>31.12.2020 г.</w:t>
            </w:r>
          </w:p>
        </w:tc>
      </w:tr>
      <w:tr>
        <w:trPr>
          <w:trHeight w:hRule="exac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thAm"/>
              <w:rPr>
                <w:rFonts w:ascii="Verdana" w:eastAsia="Times New Roman" w:hAnsi="Verdana" w:cs="Verdana"/>
                <w:b/>
                <w:noProof/>
                <w:color w:val="000000"/>
                <w:sz w:val="18"/>
              </w:rPr>
            </w:pPr>
            <w:r>
              <w:rPr>
                <w:rFonts w:ascii="Verdana" w:hAnsi="Verdana"/>
                <w:b/>
                <w:noProof/>
                <w:color w:val="000000"/>
                <w:sz w:val="18"/>
              </w:rPr>
              <w:t>Дължими от Обединеното кралство:</w:t>
            </w:r>
          </w:p>
        </w:tc>
        <w:tc>
          <w:tcPr>
            <w:tcW w:w="2729" w:type="dxa"/>
            <w:tcBorders>
              <w:top w:val="nil"/>
              <w:left w:val="nil"/>
              <w:bottom w:val="nil"/>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00000"/>
                <w:sz w:val="18"/>
              </w:rPr>
            </w:pPr>
          </w:p>
        </w:tc>
      </w:tr>
      <w:tr>
        <w:trPr>
          <w:trHeight w:hRule="exac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thAm"/>
              <w:ind w:left="200"/>
              <w:rPr>
                <w:rFonts w:ascii="Verdana" w:eastAsia="Times New Roman" w:hAnsi="Verdana" w:cs="Verdana"/>
                <w:i/>
                <w:noProof/>
                <w:color w:val="000000"/>
                <w:sz w:val="18"/>
              </w:rPr>
            </w:pPr>
            <w:r>
              <w:rPr>
                <w:rFonts w:ascii="Verdana" w:hAnsi="Verdana"/>
                <w:i/>
                <w:noProof/>
                <w:color w:val="000000"/>
                <w:sz w:val="18"/>
              </w:rPr>
              <w:t>Член 136</w:t>
            </w:r>
          </w:p>
        </w:tc>
        <w:tc>
          <w:tcPr>
            <w:tcW w:w="2729" w:type="dxa"/>
            <w:tcBorders>
              <w:top w:val="nil"/>
              <w:left w:val="nil"/>
              <w:bottom w:val="nil"/>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00000"/>
                <w:sz w:val="18"/>
              </w:rPr>
            </w:pPr>
            <w:r>
              <w:rPr>
                <w:rFonts w:ascii="Verdana" w:hAnsi="Verdana"/>
                <w:i/>
                <w:noProof/>
                <w:color w:val="000000"/>
                <w:sz w:val="18"/>
              </w:rPr>
              <w:t xml:space="preserve"> 230</w:t>
            </w:r>
          </w:p>
        </w:tc>
      </w:tr>
      <w:tr>
        <w:trPr>
          <w:trHeight w:hRule="exact" w:val="255"/>
        </w:trPr>
        <w:tc>
          <w:tcPr>
            <w:tcW w:w="7029" w:type="dxa"/>
            <w:tcBorders>
              <w:top w:val="nil"/>
              <w:left w:val="nil"/>
              <w:bottom w:val="single" w:sz="4" w:space="0" w:color="016794"/>
              <w:right w:val="nil"/>
            </w:tcBorders>
            <w:tcMar>
              <w:top w:w="0" w:type="dxa"/>
              <w:left w:w="60" w:type="dxa"/>
              <w:bottom w:w="0" w:type="dxa"/>
              <w:right w:w="60" w:type="dxa"/>
            </w:tcMar>
            <w:vAlign w:val="center"/>
          </w:tcPr>
          <w:p>
            <w:pPr>
              <w:pStyle w:val="DMETW19860BIPOthAm"/>
              <w:ind w:left="200"/>
              <w:rPr>
                <w:rFonts w:ascii="Verdana" w:eastAsia="Times New Roman" w:hAnsi="Verdana" w:cs="Verdana"/>
                <w:i/>
                <w:noProof/>
                <w:color w:val="000000"/>
                <w:sz w:val="18"/>
              </w:rPr>
            </w:pPr>
            <w:r>
              <w:rPr>
                <w:rFonts w:ascii="Verdana" w:hAnsi="Verdana"/>
                <w:i/>
                <w:noProof/>
                <w:color w:val="000000"/>
                <w:sz w:val="18"/>
              </w:rPr>
              <w:t>Член 147</w:t>
            </w:r>
          </w:p>
        </w:tc>
        <w:tc>
          <w:tcPr>
            <w:tcW w:w="2729" w:type="dxa"/>
            <w:tcBorders>
              <w:top w:val="nil"/>
              <w:left w:val="nil"/>
              <w:bottom w:val="single" w:sz="4" w:space="0" w:color="016794"/>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00000"/>
                <w:sz w:val="18"/>
              </w:rPr>
            </w:pPr>
            <w:r>
              <w:rPr>
                <w:rFonts w:ascii="Verdana" w:hAnsi="Verdana"/>
                <w:i/>
                <w:noProof/>
                <w:color w:val="000000"/>
                <w:sz w:val="18"/>
              </w:rPr>
              <w:t xml:space="preserve"> 46</w:t>
            </w:r>
          </w:p>
        </w:tc>
      </w:tr>
      <w:tr>
        <w:trPr>
          <w:trHeight w:hRule="exact" w:val="255"/>
        </w:trPr>
        <w:tc>
          <w:tcPr>
            <w:tcW w:w="702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0BIPOthAm"/>
              <w:rPr>
                <w:rFonts w:ascii="Verdana" w:eastAsia="Times New Roman" w:hAnsi="Verdana" w:cs="Verdana"/>
                <w:b/>
                <w:noProof/>
                <w:color w:val="000000"/>
                <w:sz w:val="18"/>
              </w:rPr>
            </w:pPr>
          </w:p>
        </w:tc>
        <w:tc>
          <w:tcPr>
            <w:tcW w:w="2729"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0BIPOthAm"/>
              <w:jc w:val="right"/>
              <w:rPr>
                <w:rFonts w:ascii="Verdana" w:eastAsia="Times New Roman" w:hAnsi="Verdana" w:cs="Verdana"/>
                <w:b/>
                <w:noProof/>
                <w:color w:val="000000"/>
                <w:sz w:val="18"/>
              </w:rPr>
            </w:pPr>
            <w:r>
              <w:rPr>
                <w:rFonts w:ascii="Verdana" w:hAnsi="Verdana"/>
                <w:b/>
                <w:noProof/>
                <w:color w:val="000000"/>
                <w:sz w:val="18"/>
              </w:rPr>
              <w:t xml:space="preserve"> 275</w:t>
            </w:r>
          </w:p>
        </w:tc>
      </w:tr>
      <w:tr>
        <w:trPr>
          <w:trHeight w:hRule="exact" w:val="255"/>
        </w:trPr>
        <w:tc>
          <w:tcPr>
            <w:tcW w:w="7029" w:type="dxa"/>
            <w:tcBorders>
              <w:top w:val="single" w:sz="4" w:space="0" w:color="016794"/>
              <w:left w:val="nil"/>
              <w:bottom w:val="nil"/>
              <w:right w:val="nil"/>
            </w:tcBorders>
            <w:tcMar>
              <w:top w:w="0" w:type="dxa"/>
              <w:left w:w="60" w:type="dxa"/>
              <w:bottom w:w="0" w:type="dxa"/>
              <w:right w:w="60" w:type="dxa"/>
            </w:tcMar>
            <w:vAlign w:val="center"/>
          </w:tcPr>
          <w:p>
            <w:pPr>
              <w:pStyle w:val="DMETW19860BIPOthAm"/>
              <w:rPr>
                <w:rFonts w:ascii="Verdana" w:eastAsia="Times New Roman" w:hAnsi="Verdana" w:cs="Verdana"/>
                <w:b/>
                <w:noProof/>
                <w:color w:val="000000"/>
                <w:sz w:val="18"/>
              </w:rPr>
            </w:pPr>
            <w:r>
              <w:rPr>
                <w:rFonts w:ascii="Verdana" w:hAnsi="Verdana"/>
                <w:b/>
                <w:noProof/>
                <w:color w:val="000000"/>
                <w:sz w:val="18"/>
              </w:rPr>
              <w:t>Дължими на Обединеното кралство:</w:t>
            </w:r>
          </w:p>
        </w:tc>
        <w:tc>
          <w:tcPr>
            <w:tcW w:w="2729" w:type="dxa"/>
            <w:tcBorders>
              <w:top w:val="single" w:sz="4" w:space="0" w:color="016794"/>
              <w:left w:val="nil"/>
              <w:bottom w:val="nil"/>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00000"/>
                <w:sz w:val="18"/>
              </w:rPr>
            </w:pPr>
          </w:p>
        </w:tc>
      </w:tr>
      <w:tr>
        <w:trPr>
          <w:trHeight w:hRule="exac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thAm"/>
              <w:ind w:left="200"/>
              <w:rPr>
                <w:rFonts w:ascii="Verdana" w:eastAsia="Times New Roman" w:hAnsi="Verdana" w:cs="Verdana"/>
                <w:i/>
                <w:noProof/>
                <w:color w:val="000000"/>
                <w:sz w:val="18"/>
              </w:rPr>
            </w:pPr>
            <w:r>
              <w:rPr>
                <w:rFonts w:ascii="Verdana" w:hAnsi="Verdana"/>
                <w:i/>
                <w:noProof/>
                <w:color w:val="000000"/>
                <w:sz w:val="18"/>
              </w:rPr>
              <w:t>Член 141</w:t>
            </w:r>
          </w:p>
        </w:tc>
        <w:tc>
          <w:tcPr>
            <w:tcW w:w="2729" w:type="dxa"/>
            <w:tcBorders>
              <w:top w:val="nil"/>
              <w:left w:val="nil"/>
              <w:bottom w:val="nil"/>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00000"/>
                <w:sz w:val="18"/>
              </w:rPr>
            </w:pPr>
            <w:r>
              <w:rPr>
                <w:rFonts w:ascii="Verdana" w:hAnsi="Verdana"/>
                <w:i/>
                <w:noProof/>
                <w:color w:val="000000"/>
                <w:sz w:val="18"/>
              </w:rPr>
              <w:t>(1 766)</w:t>
            </w:r>
          </w:p>
        </w:tc>
      </w:tr>
      <w:tr>
        <w:trPr>
          <w:trHeight w:hRule="exac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thAm"/>
              <w:ind w:left="200"/>
              <w:rPr>
                <w:rFonts w:ascii="Verdana" w:eastAsia="Times New Roman" w:hAnsi="Verdana" w:cs="Verdana"/>
                <w:i/>
                <w:noProof/>
                <w:color w:val="000000"/>
                <w:sz w:val="18"/>
              </w:rPr>
            </w:pPr>
            <w:r>
              <w:rPr>
                <w:rFonts w:ascii="Verdana" w:hAnsi="Verdana"/>
                <w:i/>
                <w:noProof/>
                <w:color w:val="000000"/>
                <w:sz w:val="18"/>
              </w:rPr>
              <w:t>Член 143</w:t>
            </w:r>
          </w:p>
        </w:tc>
        <w:tc>
          <w:tcPr>
            <w:tcW w:w="2729" w:type="dxa"/>
            <w:tcBorders>
              <w:top w:val="nil"/>
              <w:left w:val="nil"/>
              <w:bottom w:val="nil"/>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00000"/>
                <w:sz w:val="18"/>
              </w:rPr>
            </w:pPr>
            <w:r>
              <w:rPr>
                <w:rFonts w:ascii="Verdana" w:hAnsi="Verdana"/>
                <w:i/>
                <w:noProof/>
                <w:color w:val="000000"/>
                <w:sz w:val="18"/>
              </w:rPr>
              <w:t xml:space="preserve"> (93)</w:t>
            </w:r>
          </w:p>
        </w:tc>
      </w:tr>
      <w:tr>
        <w:trPr>
          <w:trHeight w:hRule="exac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thAm"/>
              <w:ind w:left="200"/>
              <w:rPr>
                <w:rFonts w:ascii="Verdana" w:eastAsia="Times New Roman" w:hAnsi="Verdana" w:cs="Verdana"/>
                <w:i/>
                <w:noProof/>
                <w:color w:val="000000"/>
                <w:sz w:val="18"/>
              </w:rPr>
            </w:pPr>
            <w:r>
              <w:rPr>
                <w:rFonts w:ascii="Verdana" w:hAnsi="Verdana"/>
                <w:i/>
                <w:noProof/>
                <w:color w:val="000000"/>
                <w:sz w:val="18"/>
              </w:rPr>
              <w:t>Член 144</w:t>
            </w:r>
          </w:p>
        </w:tc>
        <w:tc>
          <w:tcPr>
            <w:tcW w:w="2729" w:type="dxa"/>
            <w:tcBorders>
              <w:top w:val="nil"/>
              <w:left w:val="nil"/>
              <w:bottom w:val="nil"/>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00000"/>
                <w:sz w:val="18"/>
              </w:rPr>
            </w:pPr>
            <w:r>
              <w:rPr>
                <w:rFonts w:ascii="Verdana" w:hAnsi="Verdana"/>
                <w:i/>
                <w:noProof/>
                <w:color w:val="000000"/>
                <w:sz w:val="18"/>
              </w:rPr>
              <w:t xml:space="preserve"> (46)</w:t>
            </w:r>
          </w:p>
        </w:tc>
      </w:tr>
      <w:tr>
        <w:trPr>
          <w:trHeight w:hRule="exact" w:val="255"/>
        </w:trPr>
        <w:tc>
          <w:tcPr>
            <w:tcW w:w="7029" w:type="dxa"/>
            <w:tcBorders>
              <w:top w:val="nil"/>
              <w:left w:val="nil"/>
              <w:bottom w:val="nil"/>
              <w:right w:val="nil"/>
            </w:tcBorders>
            <w:tcMar>
              <w:top w:w="0" w:type="dxa"/>
              <w:left w:w="60" w:type="dxa"/>
              <w:bottom w:w="0" w:type="dxa"/>
              <w:right w:w="60" w:type="dxa"/>
            </w:tcMar>
            <w:vAlign w:val="center"/>
          </w:tcPr>
          <w:p>
            <w:pPr>
              <w:pStyle w:val="DMETW19860BIPOthAm"/>
              <w:ind w:left="200"/>
              <w:rPr>
                <w:rFonts w:ascii="Verdana" w:eastAsia="Times New Roman" w:hAnsi="Verdana" w:cs="Verdana"/>
                <w:i/>
                <w:noProof/>
                <w:color w:val="000000"/>
                <w:sz w:val="18"/>
              </w:rPr>
            </w:pPr>
            <w:r>
              <w:rPr>
                <w:rFonts w:ascii="Verdana" w:hAnsi="Verdana"/>
                <w:i/>
                <w:noProof/>
                <w:color w:val="000000"/>
                <w:sz w:val="18"/>
              </w:rPr>
              <w:t>Член 145</w:t>
            </w:r>
          </w:p>
        </w:tc>
        <w:tc>
          <w:tcPr>
            <w:tcW w:w="2729" w:type="dxa"/>
            <w:tcBorders>
              <w:top w:val="nil"/>
              <w:left w:val="nil"/>
              <w:bottom w:val="nil"/>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00000"/>
                <w:sz w:val="18"/>
              </w:rPr>
            </w:pPr>
            <w:r>
              <w:rPr>
                <w:rFonts w:ascii="Verdana" w:hAnsi="Verdana"/>
                <w:i/>
                <w:noProof/>
                <w:color w:val="000000"/>
                <w:sz w:val="18"/>
              </w:rPr>
              <w:t xml:space="preserve"> (183)</w:t>
            </w:r>
          </w:p>
        </w:tc>
      </w:tr>
      <w:tr>
        <w:trPr>
          <w:trHeight w:hRule="exact" w:val="255"/>
        </w:trPr>
        <w:tc>
          <w:tcPr>
            <w:tcW w:w="7029" w:type="dxa"/>
            <w:tcBorders>
              <w:top w:val="nil"/>
              <w:left w:val="nil"/>
              <w:bottom w:val="single" w:sz="4" w:space="0" w:color="376092"/>
              <w:right w:val="nil"/>
            </w:tcBorders>
            <w:tcMar>
              <w:top w:w="0" w:type="dxa"/>
              <w:left w:w="60" w:type="dxa"/>
              <w:bottom w:w="0" w:type="dxa"/>
              <w:right w:w="60" w:type="dxa"/>
            </w:tcMar>
            <w:vAlign w:val="center"/>
          </w:tcPr>
          <w:p>
            <w:pPr>
              <w:pStyle w:val="DMETW19860BIPOthAm"/>
              <w:ind w:left="200"/>
              <w:rPr>
                <w:rFonts w:ascii="Verdana" w:eastAsia="Times New Roman" w:hAnsi="Verdana" w:cs="Verdana"/>
                <w:i/>
                <w:noProof/>
                <w:color w:val="000000"/>
                <w:sz w:val="18"/>
              </w:rPr>
            </w:pPr>
            <w:r>
              <w:rPr>
                <w:rFonts w:ascii="Verdana" w:hAnsi="Verdana"/>
                <w:i/>
                <w:noProof/>
                <w:color w:val="000000"/>
                <w:sz w:val="18"/>
              </w:rPr>
              <w:t>Член 146</w:t>
            </w:r>
          </w:p>
        </w:tc>
        <w:tc>
          <w:tcPr>
            <w:tcW w:w="2729" w:type="dxa"/>
            <w:tcBorders>
              <w:top w:val="nil"/>
              <w:left w:val="nil"/>
              <w:bottom w:val="single" w:sz="4" w:space="0" w:color="376092"/>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00000"/>
                <w:sz w:val="18"/>
              </w:rPr>
            </w:pPr>
            <w:r>
              <w:rPr>
                <w:rFonts w:ascii="Verdana" w:hAnsi="Verdana"/>
                <w:i/>
                <w:noProof/>
                <w:color w:val="000000"/>
                <w:sz w:val="18"/>
              </w:rPr>
              <w:t xml:space="preserve"> (33)</w:t>
            </w:r>
          </w:p>
        </w:tc>
      </w:tr>
      <w:tr>
        <w:trPr>
          <w:trHeight w:hRule="exact" w:val="255"/>
        </w:trPr>
        <w:tc>
          <w:tcPr>
            <w:tcW w:w="7029" w:type="dxa"/>
            <w:tcBorders>
              <w:top w:val="single" w:sz="4" w:space="0" w:color="376092"/>
              <w:left w:val="nil"/>
              <w:bottom w:val="single" w:sz="4" w:space="0" w:color="016794"/>
              <w:right w:val="nil"/>
            </w:tcBorders>
            <w:tcMar>
              <w:top w:w="0" w:type="dxa"/>
              <w:left w:w="60" w:type="dxa"/>
              <w:bottom w:w="0" w:type="dxa"/>
              <w:right w:w="60" w:type="dxa"/>
            </w:tcMar>
            <w:vAlign w:val="center"/>
          </w:tcPr>
          <w:p>
            <w:pPr>
              <w:pStyle w:val="DMETW19860BIPOthAm"/>
              <w:rPr>
                <w:rFonts w:ascii="Verdana" w:eastAsia="Times New Roman" w:hAnsi="Verdana" w:cs="Verdana"/>
                <w:b/>
                <w:noProof/>
                <w:color w:val="000000"/>
                <w:sz w:val="18"/>
              </w:rPr>
            </w:pPr>
          </w:p>
        </w:tc>
        <w:tc>
          <w:tcPr>
            <w:tcW w:w="2729" w:type="dxa"/>
            <w:tcBorders>
              <w:top w:val="single" w:sz="4" w:space="0" w:color="376092"/>
              <w:left w:val="nil"/>
              <w:bottom w:val="single" w:sz="4" w:space="0" w:color="016794"/>
              <w:right w:val="nil"/>
            </w:tcBorders>
            <w:tcMar>
              <w:top w:w="0" w:type="dxa"/>
              <w:left w:w="60" w:type="dxa"/>
              <w:bottom w:w="0" w:type="dxa"/>
              <w:right w:w="60" w:type="dxa"/>
            </w:tcMar>
            <w:vAlign w:val="bottom"/>
          </w:tcPr>
          <w:p>
            <w:pPr>
              <w:pStyle w:val="DMETW19860BIPOthAm"/>
              <w:jc w:val="right"/>
              <w:rPr>
                <w:rFonts w:ascii="Verdana" w:eastAsia="Times New Roman" w:hAnsi="Verdana" w:cs="Verdana"/>
                <w:b/>
                <w:noProof/>
                <w:color w:val="000000"/>
                <w:sz w:val="18"/>
              </w:rPr>
            </w:pPr>
            <w:r>
              <w:rPr>
                <w:rFonts w:ascii="Verdana" w:hAnsi="Verdana"/>
                <w:b/>
                <w:noProof/>
                <w:color w:val="000000"/>
                <w:sz w:val="18"/>
              </w:rPr>
              <w:t>(2 122)</w:t>
            </w:r>
          </w:p>
        </w:tc>
      </w:tr>
      <w:tr>
        <w:trPr>
          <w:trHeight w:hRule="exact" w:val="255"/>
        </w:trPr>
        <w:tc>
          <w:tcPr>
            <w:tcW w:w="702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0BIPOthAm"/>
              <w:rPr>
                <w:rFonts w:ascii="Verdana" w:eastAsia="Times New Roman" w:hAnsi="Verdana" w:cs="Verdana"/>
                <w:b/>
                <w:noProof/>
                <w:color w:val="000000"/>
                <w:sz w:val="18"/>
              </w:rPr>
            </w:pPr>
            <w:r>
              <w:rPr>
                <w:rFonts w:ascii="Verdana" w:hAnsi="Verdana"/>
                <w:b/>
                <w:noProof/>
                <w:color w:val="000000"/>
                <w:sz w:val="18"/>
              </w:rPr>
              <w:t>Общо</w:t>
            </w:r>
          </w:p>
        </w:tc>
        <w:tc>
          <w:tcPr>
            <w:tcW w:w="2729"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0BIPOthAm"/>
              <w:jc w:val="right"/>
              <w:rPr>
                <w:rFonts w:ascii="Verdana" w:eastAsia="Times New Roman" w:hAnsi="Verdana" w:cs="Verdana"/>
                <w:b/>
                <w:noProof/>
                <w:color w:val="000000"/>
                <w:sz w:val="18"/>
              </w:rPr>
            </w:pPr>
            <w:r>
              <w:rPr>
                <w:rFonts w:ascii="Verdana" w:hAnsi="Verdana"/>
                <w:b/>
                <w:noProof/>
                <w:color w:val="000000"/>
                <w:sz w:val="18"/>
              </w:rPr>
              <w:t>(1 847)</w:t>
            </w:r>
          </w:p>
        </w:tc>
      </w:tr>
      <w:tr>
        <w:trPr>
          <w:trHeight w:hRule="exact" w:val="300"/>
        </w:trPr>
        <w:tc>
          <w:tcPr>
            <w:tcW w:w="7029" w:type="dxa"/>
            <w:tcBorders>
              <w:top w:val="single" w:sz="4" w:space="0" w:color="016794"/>
              <w:left w:val="nil"/>
              <w:bottom w:val="nil"/>
              <w:right w:val="nil"/>
            </w:tcBorders>
            <w:tcMar>
              <w:top w:w="0" w:type="dxa"/>
              <w:left w:w="60" w:type="dxa"/>
              <w:bottom w:w="0" w:type="dxa"/>
              <w:right w:w="60" w:type="dxa"/>
            </w:tcMar>
            <w:vAlign w:val="center"/>
          </w:tcPr>
          <w:p>
            <w:pPr>
              <w:pStyle w:val="DMETW19860BIPOthAm"/>
              <w:rPr>
                <w:rFonts w:ascii="Verdana" w:eastAsia="Times New Roman" w:hAnsi="Verdana" w:cs="Verdana"/>
                <w:i/>
                <w:noProof/>
                <w:color w:val="016794"/>
                <w:sz w:val="18"/>
              </w:rPr>
            </w:pPr>
            <w:r>
              <w:rPr>
                <w:rFonts w:ascii="Verdana" w:hAnsi="Verdana"/>
                <w:i/>
                <w:noProof/>
                <w:color w:val="016794"/>
                <w:sz w:val="18"/>
              </w:rPr>
              <w:t>Нетекущи</w:t>
            </w:r>
          </w:p>
        </w:tc>
        <w:tc>
          <w:tcPr>
            <w:tcW w:w="2729" w:type="dxa"/>
            <w:tcBorders>
              <w:top w:val="single" w:sz="4" w:space="0" w:color="016794"/>
              <w:left w:val="nil"/>
              <w:bottom w:val="nil"/>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16794"/>
                <w:sz w:val="18"/>
              </w:rPr>
            </w:pPr>
            <w:r>
              <w:rPr>
                <w:rFonts w:ascii="Verdana" w:hAnsi="Verdana"/>
                <w:i/>
                <w:noProof/>
                <w:color w:val="016794"/>
                <w:sz w:val="18"/>
              </w:rPr>
              <w:t>(1 894)</w:t>
            </w:r>
          </w:p>
        </w:tc>
      </w:tr>
      <w:tr>
        <w:trPr>
          <w:trHeight w:hRule="exact" w:val="300"/>
        </w:trPr>
        <w:tc>
          <w:tcPr>
            <w:tcW w:w="7029" w:type="dxa"/>
            <w:tcBorders>
              <w:top w:val="nil"/>
              <w:left w:val="nil"/>
              <w:bottom w:val="nil"/>
              <w:right w:val="nil"/>
            </w:tcBorders>
            <w:tcMar>
              <w:top w:w="0" w:type="dxa"/>
              <w:left w:w="60" w:type="dxa"/>
              <w:bottom w:w="0" w:type="dxa"/>
              <w:right w:w="60" w:type="dxa"/>
            </w:tcMar>
            <w:vAlign w:val="center"/>
          </w:tcPr>
          <w:p>
            <w:pPr>
              <w:pStyle w:val="DMETW19860BIPOthAm"/>
              <w:rPr>
                <w:rFonts w:ascii="Verdana" w:eastAsia="Times New Roman" w:hAnsi="Verdana" w:cs="Verdana"/>
                <w:i/>
                <w:noProof/>
                <w:color w:val="016794"/>
                <w:sz w:val="18"/>
              </w:rPr>
            </w:pPr>
            <w:r>
              <w:rPr>
                <w:rFonts w:ascii="Verdana" w:hAnsi="Verdana"/>
                <w:i/>
                <w:noProof/>
                <w:color w:val="016794"/>
                <w:sz w:val="18"/>
              </w:rPr>
              <w:t>Текущи</w:t>
            </w:r>
          </w:p>
        </w:tc>
        <w:tc>
          <w:tcPr>
            <w:tcW w:w="2729" w:type="dxa"/>
            <w:tcBorders>
              <w:top w:val="nil"/>
              <w:left w:val="nil"/>
              <w:bottom w:val="nil"/>
              <w:right w:val="nil"/>
            </w:tcBorders>
            <w:tcMar>
              <w:top w:w="0" w:type="dxa"/>
              <w:left w:w="60" w:type="dxa"/>
              <w:bottom w:w="0" w:type="dxa"/>
              <w:right w:w="60" w:type="dxa"/>
            </w:tcMar>
            <w:vAlign w:val="bottom"/>
          </w:tcPr>
          <w:p>
            <w:pPr>
              <w:pStyle w:val="DMETW19860BIPOthAm"/>
              <w:jc w:val="right"/>
              <w:rPr>
                <w:rFonts w:ascii="Verdana" w:eastAsia="Times New Roman" w:hAnsi="Verdana" w:cs="Verdana"/>
                <w:i/>
                <w:noProof/>
                <w:color w:val="016794"/>
                <w:sz w:val="18"/>
              </w:rPr>
            </w:pPr>
            <w:r>
              <w:rPr>
                <w:rFonts w:ascii="Verdana" w:hAnsi="Verdana"/>
                <w:i/>
                <w:noProof/>
                <w:color w:val="016794"/>
                <w:sz w:val="18"/>
              </w:rPr>
              <w:t xml:space="preserve"> 47</w:t>
            </w:r>
          </w:p>
        </w:tc>
      </w:tr>
    </w:tbl>
    <w:p>
      <w:pPr>
        <w:pStyle w:val="DGTextstand-alone"/>
        <w:spacing w:before="360"/>
      </w:pPr>
      <w:r>
        <w:t>Член 136 — Разпоредби, приложими във връзка със собствените ресурси</w:t>
      </w:r>
    </w:p>
    <w:p>
      <w:pPr>
        <w:pStyle w:val="DGTextstand-alone"/>
      </w:pPr>
      <w:r>
        <w:t>В член 136 се определят разпоредбите, които се прилагат след 31 декември 2020 г. по отношение на собствените ресурси. Обединеното кралство има право да получи своя дял, когато собствените ресурси, отнасящи се до финансовите години до 2020 г. включително, трябва да предоставят или коригират след 31 декември 2020 г. Освен това то ще получи своя дял от корекциите, свързани с излишъка от 2020 г. Той подлежи също на корекции на собствените ресурси от ДДС и от БНД, които се отнасят до финансовите години до 2020 г. включително. Тези корекции на собствените ресурси от ДДС и БНД ще се изчисляват ежегодно до 31 декември 2028 г. Вземат се предвид и изчислените актуализации на корекцията за Обединеното кралство за 2017—2019 г.</w:t>
      </w:r>
    </w:p>
    <w:p>
      <w:pPr>
        <w:pStyle w:val="DGTextstand-alone"/>
      </w:pPr>
      <w:r>
        <w:t>Обединеното кралство трябва да плати традиционните собствени ресурси, събрани от него след 28</w:t>
      </w:r>
      <w:r>
        <w:rPr>
          <w:lang w:val="en-GB"/>
        </w:rPr>
        <w:t> </w:t>
      </w:r>
      <w:r>
        <w:t>февруари 2021 г., но отнасящи се до 2020 г. и предходни години. Неговият дял от общия размер на ТСР, предоставени от ЕС-27 и от него, след това се приспада от тази сума. Отделната сметка за традиционните собствени ресурси ще бъде ликвидирана изцяло към 31 декември 2025 г.</w:t>
      </w:r>
    </w:p>
    <w:p>
      <w:pPr>
        <w:pStyle w:val="DGTextstand-alone"/>
      </w:pPr>
      <w:r>
        <w:t>През 2021 г. Обединеното кралство трябва да плати посочената по-долу сума от 230 милиона евро.</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59"/>
        <w:gridCol w:w="2699"/>
      </w:tblGrid>
      <w:tr>
        <w:trPr>
          <w:trHeight w:val="261"/>
        </w:trPr>
        <w:tc>
          <w:tcPr>
            <w:tcW w:w="7059" w:type="dxa"/>
            <w:tcBorders>
              <w:top w:val="nil"/>
              <w:left w:val="nil"/>
              <w:bottom w:val="nil"/>
              <w:right w:val="nil"/>
              <w:tl2br w:val="nil"/>
              <w:tr2bl w:val="nil"/>
            </w:tcBorders>
            <w:shd w:val="clear" w:color="auto" w:fill="auto"/>
            <w:tcMar>
              <w:left w:w="60" w:type="dxa"/>
              <w:right w:w="60" w:type="dxa"/>
            </w:tcMar>
            <w:vAlign w:val="bottom"/>
          </w:tcPr>
          <w:p>
            <w:pPr>
              <w:pStyle w:val="DMETW19860BIPArt136"/>
              <w:rPr>
                <w:rFonts w:ascii="Arial" w:eastAsia="Arial" w:hAnsi="Arial" w:cs="Arial"/>
                <w:noProof/>
                <w:color w:val="000000"/>
                <w:lang w:bidi="en-GB"/>
              </w:rPr>
            </w:pPr>
          </w:p>
        </w:tc>
        <w:tc>
          <w:tcPr>
            <w:tcW w:w="2699" w:type="dxa"/>
            <w:tcBorders>
              <w:top w:val="nil"/>
              <w:left w:val="nil"/>
              <w:bottom w:val="nil"/>
              <w:right w:val="nil"/>
              <w:tl2br w:val="nil"/>
              <w:tr2bl w:val="nil"/>
            </w:tcBorders>
            <w:shd w:val="clear" w:color="auto" w:fill="auto"/>
            <w:tcMar>
              <w:left w:w="60" w:type="dxa"/>
              <w:right w:w="60" w:type="dxa"/>
            </w:tcMar>
            <w:vAlign w:val="bottom"/>
          </w:tcPr>
          <w:p>
            <w:pPr>
              <w:pStyle w:val="DMETW19860BIPArt136"/>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61"/>
        </w:trPr>
        <w:tc>
          <w:tcPr>
            <w:tcW w:w="7059" w:type="dxa"/>
            <w:tcBorders>
              <w:top w:val="nil"/>
              <w:left w:val="nil"/>
              <w:bottom w:val="nil"/>
              <w:right w:val="nil"/>
              <w:tl2br w:val="nil"/>
              <w:tr2bl w:val="nil"/>
            </w:tcBorders>
            <w:shd w:val="solid" w:color="016794" w:fill="FFFFFF"/>
            <w:tcMar>
              <w:left w:w="60" w:type="dxa"/>
              <w:right w:w="60" w:type="dxa"/>
            </w:tcMar>
            <w:vAlign w:val="center"/>
          </w:tcPr>
          <w:p>
            <w:pPr>
              <w:pStyle w:val="DMETW19860BIPArt136"/>
              <w:jc w:val="center"/>
              <w:rPr>
                <w:rFonts w:ascii="Verdana" w:eastAsia="Verdana" w:hAnsi="Verdana" w:cs="Verdana"/>
                <w:noProof/>
                <w:color w:val="FFFFFF"/>
              </w:rPr>
            </w:pPr>
          </w:p>
        </w:tc>
        <w:tc>
          <w:tcPr>
            <w:tcW w:w="2699" w:type="dxa"/>
            <w:tcBorders>
              <w:top w:val="nil"/>
              <w:left w:val="nil"/>
              <w:bottom w:val="nil"/>
              <w:right w:val="nil"/>
              <w:tl2br w:val="nil"/>
              <w:tr2bl w:val="nil"/>
            </w:tcBorders>
            <w:shd w:val="solid" w:color="016794" w:fill="FFFFFF"/>
            <w:tcMar>
              <w:left w:w="60" w:type="dxa"/>
              <w:right w:w="60" w:type="dxa"/>
            </w:tcMar>
            <w:vAlign w:val="center"/>
          </w:tcPr>
          <w:p>
            <w:pPr>
              <w:pStyle w:val="DMETW19860BIPArt136"/>
              <w:jc w:val="right"/>
              <w:rPr>
                <w:rFonts w:ascii="Verdana" w:eastAsia="Verdana" w:hAnsi="Verdana" w:cs="Verdana"/>
                <w:noProof/>
                <w:color w:val="FFFFFF"/>
                <w:lang w:bidi="en-GB"/>
              </w:rPr>
            </w:pPr>
          </w:p>
        </w:tc>
      </w:tr>
      <w:tr>
        <w:trPr>
          <w:trHeight w:val="261"/>
        </w:trPr>
        <w:tc>
          <w:tcPr>
            <w:tcW w:w="7059" w:type="dxa"/>
            <w:tcBorders>
              <w:top w:val="nil"/>
              <w:left w:val="nil"/>
              <w:bottom w:val="nil"/>
              <w:right w:val="nil"/>
              <w:tl2br w:val="nil"/>
              <w:tr2bl w:val="nil"/>
            </w:tcBorders>
            <w:shd w:val="clear" w:color="auto" w:fill="auto"/>
            <w:tcMar>
              <w:left w:w="60" w:type="dxa"/>
              <w:right w:w="60" w:type="dxa"/>
            </w:tcMar>
            <w:vAlign w:val="center"/>
          </w:tcPr>
          <w:p>
            <w:pPr>
              <w:pStyle w:val="DMETW19860BIPArt136"/>
              <w:rPr>
                <w:rFonts w:ascii="Verdana" w:eastAsia="Verdana" w:hAnsi="Verdana" w:cs="Verdana"/>
                <w:i/>
                <w:noProof/>
                <w:color w:val="000000"/>
                <w:sz w:val="18"/>
              </w:rPr>
            </w:pPr>
            <w:r>
              <w:rPr>
                <w:rFonts w:ascii="Verdana" w:hAnsi="Verdana"/>
                <w:i/>
                <w:noProof/>
                <w:color w:val="000000"/>
                <w:sz w:val="18"/>
              </w:rPr>
              <w:t>Излишък</w:t>
            </w:r>
          </w:p>
        </w:tc>
        <w:tc>
          <w:tcPr>
            <w:tcW w:w="2699" w:type="dxa"/>
            <w:tcBorders>
              <w:top w:val="nil"/>
              <w:left w:val="nil"/>
              <w:bottom w:val="nil"/>
              <w:right w:val="nil"/>
              <w:tl2br w:val="nil"/>
              <w:tr2bl w:val="nil"/>
            </w:tcBorders>
            <w:shd w:val="clear" w:color="auto" w:fill="auto"/>
            <w:tcMar>
              <w:left w:w="60" w:type="dxa"/>
              <w:right w:w="60" w:type="dxa"/>
            </w:tcMar>
            <w:vAlign w:val="bottom"/>
          </w:tcPr>
          <w:p>
            <w:pPr>
              <w:pStyle w:val="DMETW19860BIPArt136"/>
              <w:jc w:val="right"/>
              <w:rPr>
                <w:rFonts w:ascii="Verdana" w:eastAsia="Verdana" w:hAnsi="Verdana" w:cs="Verdana"/>
                <w:i/>
                <w:noProof/>
                <w:color w:val="000000"/>
                <w:sz w:val="18"/>
              </w:rPr>
            </w:pPr>
            <w:r>
              <w:rPr>
                <w:rFonts w:ascii="Verdana" w:hAnsi="Verdana"/>
                <w:i/>
                <w:noProof/>
                <w:color w:val="000000"/>
                <w:sz w:val="18"/>
              </w:rPr>
              <w:t xml:space="preserve"> (219)</w:t>
            </w:r>
          </w:p>
        </w:tc>
      </w:tr>
      <w:tr>
        <w:trPr>
          <w:trHeight w:val="261"/>
        </w:trPr>
        <w:tc>
          <w:tcPr>
            <w:tcW w:w="7059" w:type="dxa"/>
            <w:tcBorders>
              <w:top w:val="nil"/>
              <w:left w:val="nil"/>
              <w:bottom w:val="nil"/>
              <w:right w:val="nil"/>
              <w:tl2br w:val="nil"/>
              <w:tr2bl w:val="nil"/>
            </w:tcBorders>
            <w:shd w:val="clear" w:color="auto" w:fill="auto"/>
            <w:tcMar>
              <w:left w:w="60" w:type="dxa"/>
              <w:right w:w="60" w:type="dxa"/>
            </w:tcMar>
            <w:vAlign w:val="center"/>
          </w:tcPr>
          <w:p>
            <w:pPr>
              <w:pStyle w:val="DMETW19860BIPArt136"/>
              <w:rPr>
                <w:rFonts w:ascii="Verdana" w:eastAsia="Verdana" w:hAnsi="Verdana" w:cs="Verdana"/>
                <w:i/>
                <w:noProof/>
                <w:color w:val="000000"/>
                <w:sz w:val="18"/>
              </w:rPr>
            </w:pPr>
            <w:r>
              <w:rPr>
                <w:rFonts w:ascii="Verdana" w:hAnsi="Verdana"/>
                <w:i/>
                <w:noProof/>
                <w:color w:val="000000"/>
                <w:sz w:val="18"/>
              </w:rPr>
              <w:t>Корекция за Обединеното кралство</w:t>
            </w:r>
          </w:p>
        </w:tc>
        <w:tc>
          <w:tcPr>
            <w:tcW w:w="2699" w:type="dxa"/>
            <w:tcBorders>
              <w:top w:val="nil"/>
              <w:left w:val="nil"/>
              <w:bottom w:val="nil"/>
              <w:right w:val="nil"/>
              <w:tl2br w:val="nil"/>
              <w:tr2bl w:val="nil"/>
            </w:tcBorders>
            <w:shd w:val="clear" w:color="auto" w:fill="auto"/>
            <w:tcMar>
              <w:left w:w="60" w:type="dxa"/>
              <w:right w:w="60" w:type="dxa"/>
            </w:tcMar>
            <w:vAlign w:val="bottom"/>
          </w:tcPr>
          <w:p>
            <w:pPr>
              <w:pStyle w:val="DMETW19860BIPArt136"/>
              <w:jc w:val="right"/>
              <w:rPr>
                <w:rFonts w:ascii="Verdana" w:eastAsia="Verdana" w:hAnsi="Verdana" w:cs="Verdana"/>
                <w:i/>
                <w:noProof/>
                <w:color w:val="000000"/>
                <w:sz w:val="18"/>
              </w:rPr>
            </w:pPr>
            <w:r>
              <w:rPr>
                <w:rFonts w:ascii="Verdana" w:hAnsi="Verdana"/>
                <w:i/>
                <w:noProof/>
                <w:color w:val="000000"/>
                <w:sz w:val="18"/>
              </w:rPr>
              <w:t xml:space="preserve"> 211</w:t>
            </w:r>
          </w:p>
        </w:tc>
      </w:tr>
      <w:tr>
        <w:trPr>
          <w:trHeight w:val="261"/>
        </w:trPr>
        <w:tc>
          <w:tcPr>
            <w:tcW w:w="7059" w:type="dxa"/>
            <w:tcBorders>
              <w:top w:val="nil"/>
              <w:left w:val="nil"/>
              <w:bottom w:val="nil"/>
              <w:right w:val="nil"/>
              <w:tl2br w:val="nil"/>
              <w:tr2bl w:val="nil"/>
            </w:tcBorders>
            <w:shd w:val="clear" w:color="auto" w:fill="auto"/>
            <w:tcMar>
              <w:left w:w="60" w:type="dxa"/>
              <w:right w:w="60" w:type="dxa"/>
            </w:tcMar>
            <w:vAlign w:val="center"/>
          </w:tcPr>
          <w:p>
            <w:pPr>
              <w:pStyle w:val="DMETW19860BIPArt136"/>
              <w:rPr>
                <w:rFonts w:ascii="Verdana" w:eastAsia="Verdana" w:hAnsi="Verdana" w:cs="Verdana"/>
                <w:i/>
                <w:noProof/>
                <w:color w:val="000000"/>
                <w:sz w:val="18"/>
              </w:rPr>
            </w:pPr>
            <w:r>
              <w:rPr>
                <w:rFonts w:ascii="Verdana" w:hAnsi="Verdana"/>
                <w:i/>
                <w:noProof/>
                <w:color w:val="000000"/>
                <w:sz w:val="18"/>
              </w:rPr>
              <w:t>Неучастие</w:t>
            </w:r>
          </w:p>
        </w:tc>
        <w:tc>
          <w:tcPr>
            <w:tcW w:w="2699" w:type="dxa"/>
            <w:tcBorders>
              <w:top w:val="nil"/>
              <w:left w:val="nil"/>
              <w:bottom w:val="nil"/>
              <w:right w:val="nil"/>
              <w:tl2br w:val="nil"/>
              <w:tr2bl w:val="nil"/>
            </w:tcBorders>
            <w:shd w:val="clear" w:color="auto" w:fill="auto"/>
            <w:tcMar>
              <w:left w:w="60" w:type="dxa"/>
              <w:right w:w="60" w:type="dxa"/>
            </w:tcMar>
            <w:vAlign w:val="bottom"/>
          </w:tcPr>
          <w:p>
            <w:pPr>
              <w:pStyle w:val="DMETW19860BIPArt136"/>
              <w:jc w:val="right"/>
              <w:rPr>
                <w:rFonts w:ascii="Verdana" w:eastAsia="Verdana" w:hAnsi="Verdana" w:cs="Verdana"/>
                <w:i/>
                <w:noProof/>
                <w:color w:val="000000"/>
                <w:sz w:val="18"/>
              </w:rPr>
            </w:pPr>
            <w:r>
              <w:rPr>
                <w:rFonts w:ascii="Verdana" w:hAnsi="Verdana"/>
                <w:i/>
                <w:noProof/>
                <w:color w:val="000000"/>
                <w:sz w:val="18"/>
              </w:rPr>
              <w:t>N/A</w:t>
            </w:r>
          </w:p>
        </w:tc>
      </w:tr>
      <w:tr>
        <w:trPr>
          <w:trHeight w:val="261"/>
        </w:trPr>
        <w:tc>
          <w:tcPr>
            <w:tcW w:w="7059" w:type="dxa"/>
            <w:tcBorders>
              <w:top w:val="nil"/>
              <w:left w:val="nil"/>
              <w:bottom w:val="nil"/>
              <w:right w:val="nil"/>
              <w:tl2br w:val="nil"/>
              <w:tr2bl w:val="nil"/>
            </w:tcBorders>
            <w:shd w:val="clear" w:color="auto" w:fill="auto"/>
            <w:tcMar>
              <w:left w:w="60" w:type="dxa"/>
              <w:right w:w="60" w:type="dxa"/>
            </w:tcMar>
            <w:vAlign w:val="center"/>
          </w:tcPr>
          <w:p>
            <w:pPr>
              <w:pStyle w:val="DMETW19860BIPArt136"/>
              <w:rPr>
                <w:rFonts w:ascii="Verdana" w:eastAsia="Verdana" w:hAnsi="Verdana" w:cs="Verdana"/>
                <w:i/>
                <w:noProof/>
                <w:color w:val="000000"/>
                <w:sz w:val="18"/>
              </w:rPr>
            </w:pPr>
            <w:r>
              <w:rPr>
                <w:rFonts w:ascii="Verdana" w:hAnsi="Verdana"/>
                <w:i/>
                <w:noProof/>
                <w:color w:val="000000"/>
                <w:sz w:val="18"/>
              </w:rPr>
              <w:t>Корекции ДДС и БНД (отнасящи се до 2020 г. и предходни години)</w:t>
            </w:r>
          </w:p>
        </w:tc>
        <w:tc>
          <w:tcPr>
            <w:tcW w:w="2699" w:type="dxa"/>
            <w:tcBorders>
              <w:top w:val="nil"/>
              <w:left w:val="nil"/>
              <w:bottom w:val="nil"/>
              <w:right w:val="nil"/>
              <w:tl2br w:val="nil"/>
              <w:tr2bl w:val="nil"/>
            </w:tcBorders>
            <w:shd w:val="clear" w:color="auto" w:fill="auto"/>
            <w:tcMar>
              <w:left w:w="60" w:type="dxa"/>
              <w:right w:w="60" w:type="dxa"/>
            </w:tcMar>
            <w:vAlign w:val="bottom"/>
          </w:tcPr>
          <w:p>
            <w:pPr>
              <w:pStyle w:val="DMETW19860BIPArt136"/>
              <w:jc w:val="right"/>
              <w:rPr>
                <w:rFonts w:ascii="Verdana" w:eastAsia="Verdana" w:hAnsi="Verdana" w:cs="Verdana"/>
                <w:i/>
                <w:noProof/>
                <w:color w:val="000000"/>
                <w:sz w:val="18"/>
              </w:rPr>
            </w:pPr>
            <w:r>
              <w:rPr>
                <w:rFonts w:ascii="Verdana" w:hAnsi="Verdana"/>
                <w:i/>
                <w:noProof/>
                <w:color w:val="000000"/>
                <w:sz w:val="18"/>
              </w:rPr>
              <w:t xml:space="preserve"> 214</w:t>
            </w:r>
          </w:p>
        </w:tc>
      </w:tr>
      <w:tr>
        <w:trPr>
          <w:trHeight w:val="261"/>
        </w:trPr>
        <w:tc>
          <w:tcPr>
            <w:tcW w:w="705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Art136"/>
              <w:rPr>
                <w:rFonts w:ascii="Verdana" w:eastAsia="Verdana" w:hAnsi="Verdana" w:cs="Verdana"/>
                <w:i/>
                <w:noProof/>
                <w:color w:val="000000"/>
                <w:sz w:val="18"/>
              </w:rPr>
            </w:pPr>
            <w:r>
              <w:rPr>
                <w:rFonts w:ascii="Verdana" w:hAnsi="Verdana"/>
                <w:i/>
                <w:noProof/>
                <w:color w:val="000000"/>
                <w:sz w:val="18"/>
              </w:rPr>
              <w:t>Нетни традиционни собствени ресурси от Обединеното кралство след 28 февруари 2021 г.</w:t>
            </w:r>
          </w:p>
        </w:tc>
        <w:tc>
          <w:tcPr>
            <w:tcW w:w="2699"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Art136"/>
              <w:jc w:val="right"/>
              <w:rPr>
                <w:rFonts w:ascii="Verdana" w:eastAsia="Verdana" w:hAnsi="Verdana" w:cs="Verdana"/>
                <w:i/>
                <w:noProof/>
                <w:color w:val="000000"/>
                <w:sz w:val="18"/>
              </w:rPr>
            </w:pPr>
            <w:r>
              <w:rPr>
                <w:rFonts w:ascii="Verdana" w:hAnsi="Verdana"/>
                <w:i/>
                <w:noProof/>
                <w:color w:val="000000"/>
                <w:sz w:val="18"/>
              </w:rPr>
              <w:t xml:space="preserve"> 23</w:t>
            </w:r>
          </w:p>
        </w:tc>
      </w:tr>
      <w:tr>
        <w:trPr>
          <w:trHeight w:val="261"/>
        </w:trPr>
        <w:tc>
          <w:tcPr>
            <w:tcW w:w="70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0BIPArt136"/>
              <w:rPr>
                <w:rFonts w:ascii="Verdana" w:eastAsia="Verdana" w:hAnsi="Verdana" w:cs="Verdana"/>
                <w:b/>
                <w:noProof/>
                <w:color w:val="000000"/>
                <w:sz w:val="18"/>
              </w:rPr>
            </w:pPr>
            <w:r>
              <w:rPr>
                <w:rFonts w:ascii="Verdana" w:hAnsi="Verdana"/>
                <w:b/>
                <w:noProof/>
                <w:color w:val="000000"/>
                <w:sz w:val="18"/>
              </w:rPr>
              <w:t>Общо</w:t>
            </w:r>
          </w:p>
        </w:tc>
        <w:tc>
          <w:tcPr>
            <w:tcW w:w="26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Art136"/>
              <w:jc w:val="right"/>
              <w:rPr>
                <w:rFonts w:ascii="Verdana" w:eastAsia="Verdana" w:hAnsi="Verdana" w:cs="Verdana"/>
                <w:b/>
                <w:noProof/>
                <w:color w:val="000000"/>
                <w:sz w:val="18"/>
              </w:rPr>
            </w:pPr>
            <w:r>
              <w:rPr>
                <w:rFonts w:ascii="Verdana" w:hAnsi="Verdana"/>
                <w:b/>
                <w:noProof/>
                <w:color w:val="000000"/>
                <w:sz w:val="18"/>
              </w:rPr>
              <w:t xml:space="preserve"> 230</w:t>
            </w:r>
          </w:p>
        </w:tc>
      </w:tr>
    </w:tbl>
    <w:p>
      <w:pPr>
        <w:pStyle w:val="DGTextstand-alone"/>
        <w:spacing w:before="360"/>
      </w:pPr>
      <w:bookmarkStart w:id="118" w:name="DOC_TBL00032_1_1"/>
      <w:bookmarkEnd w:id="118"/>
      <w:r>
        <w:t>Член 141 — Глоби</w:t>
      </w:r>
    </w:p>
    <w:p>
      <w:pPr>
        <w:pStyle w:val="DGTextstand-alone"/>
      </w:pPr>
      <w:r>
        <w:t>Обединеното кралство има право да получи своя дял от глобите, за които е взето решение преди 31</w:t>
      </w:r>
      <w:r>
        <w:rPr>
          <w:lang w:val="en-GB"/>
        </w:rPr>
        <w:t> </w:t>
      </w:r>
      <w:r>
        <w:t>декември 2020 г., както и от тези, за които Съюзът е взел решение след 31 декември 2020 г. в рамките на производството, посочено в член 92, параграф 1, когато те станат окончателни. Неплатените към 31 декември 2020 г. глоби, свързани с Обединеното кралство, възлизат на 14,3</w:t>
      </w:r>
      <w:r>
        <w:rPr>
          <w:lang w:val="en-GB"/>
        </w:rPr>
        <w:t> </w:t>
      </w:r>
      <w:r>
        <w:t>милиарда евро. Обединеното кралство ще има право на общо 1,8 милиарда евро (от които 20</w:t>
      </w:r>
      <w:r>
        <w:rPr>
          <w:lang w:val="en-GB"/>
        </w:rPr>
        <w:t> </w:t>
      </w:r>
      <w:r>
        <w:t>милиона евро следва да бъдат изплатени в срок от 12 месеца след отчетната дата).</w:t>
      </w:r>
    </w:p>
    <w:p>
      <w:pPr>
        <w:pStyle w:val="DGTextstand-alone"/>
        <w:spacing w:before="360"/>
      </w:pPr>
      <w:r>
        <w:t>Член 143 — Условни финансови задължения: заеми за финансова помощ, ЕФСИ, ЕФУР и МВК</w:t>
      </w:r>
    </w:p>
    <w:p>
      <w:pPr>
        <w:pStyle w:val="DGTextstand-alone"/>
      </w:pPr>
      <w:r>
        <w:t>Съгласно този член Обединеното кралство е длъжно да финансира своя дял от условните задължения на ЕС, свързани с дейностите му по получаване на заеми, отпускане на заеми и гаранции, ако те се реализират и не са покрити от съществуващи гаранционни фондове — вж.</w:t>
      </w:r>
      <w:r>
        <w:rPr>
          <w:lang w:val="en-GB"/>
        </w:rPr>
        <w:t> </w:t>
      </w:r>
      <w:r>
        <w:t xml:space="preserve">бележка </w:t>
      </w:r>
      <w:r>
        <w:rPr>
          <w:b/>
        </w:rPr>
        <w:t>4.1</w:t>
      </w:r>
      <w:r>
        <w:t xml:space="preserve"> за съответните условни задължения. ЕС ще възстанови на Обединеното кралство сумите, които Обединеното кралство вече е предоставило за гаранционните фондове и повече не са нужни. Обединеното кралство има право и на обратните потоци от операции, за които споделя отговорността. Към 31 декември 2020 г. сумата, която следва да бъде изплатена на Обединеното кралство в срок от 12 месеца, е 93 милиона евро. Тя се отнася единствено до ЕФУР, за който нямаше одобрени операции преди оттеглянето на Обединеното кралство, поради което то няма задължения, които да бъдат покрити. </w:t>
      </w:r>
    </w:p>
    <w:p>
      <w:pPr>
        <w:pStyle w:val="DGTextstand-alone"/>
        <w:spacing w:before="360"/>
      </w:pPr>
      <w:r>
        <w:t>Член 144 — Финансови инструменти</w:t>
      </w:r>
    </w:p>
    <w:p>
      <w:pPr>
        <w:pStyle w:val="DGTextstand-alone"/>
      </w:pPr>
      <w:r>
        <w:t>Съгласно този член ЕС е длъжен да възстанови на Обединеното кралство неговия дял от обратните потоци, произтичащи от финансови операции, които са одобрени до датата на оттеглянето му, както и неговия дял от плащанията, извършени за финансови операции, които са одобрени след тази дата. Към 31 декември 2020 г. сумата, която следва да бъде изплатена на Обединеното кралство в срок от 12 месеца, е 46 милиона евро.</w:t>
      </w:r>
    </w:p>
    <w:p>
      <w:pPr>
        <w:pStyle w:val="DGTextstand-alone"/>
        <w:spacing w:before="360"/>
      </w:pPr>
      <w:r>
        <w:t>Член 145 — Европейска общност за въглища и стомана в ликвидация (ЕОВС в ликвидация)</w:t>
      </w:r>
    </w:p>
    <w:p>
      <w:pPr>
        <w:pStyle w:val="DGTextstand-alone"/>
      </w:pPr>
      <w:r>
        <w:t>Обединеното кралство има право да получи своя дял от нетните активи на ЕОВС в ликвидация към 31 декември 2020 г., който следва да му бъде изплатен на пет транша на 30 юни всяка година, считано от 2021 г. Към 31 декември 2020 г. нетните активи на ЕОВС в ликвидация възлизат на 1,5</w:t>
      </w:r>
      <w:r>
        <w:rPr>
          <w:lang w:val="en-GB"/>
        </w:rPr>
        <w:t> </w:t>
      </w:r>
      <w:r>
        <w:t xml:space="preserve">милиарда евро, от които дялът на Обединеното кралство е 183 милиона евро (като 37 милиона евро следва да му бъдат изплатени през 2021 г.). </w:t>
      </w:r>
    </w:p>
    <w:p>
      <w:pPr>
        <w:pStyle w:val="DGTextstand-alone"/>
        <w:spacing w:before="360"/>
      </w:pPr>
      <w:r>
        <w:t>Член 146 — Инвестиции в Европейския инвестиционен фонд (ЕИФ)</w:t>
      </w:r>
    </w:p>
    <w:p>
      <w:pPr>
        <w:pStyle w:val="DGTextstand-alone"/>
      </w:pPr>
      <w:r>
        <w:t>Обединеното кралство има право да получи своя дял от инвестициите на ЕС във внесения дялов капитал на ЕИФ към 31 декември 2020 г., който следва да му бъде изплатен на пет транша на 30</w:t>
      </w:r>
      <w:r>
        <w:rPr>
          <w:lang w:val="en-GB"/>
        </w:rPr>
        <w:t> </w:t>
      </w:r>
      <w:r>
        <w:t xml:space="preserve">юни всяка година, считано от 2021 г. Инвестициите на ЕС във внесения дялов капитал на ЕИФ към 31 декември 2020 г. възлизат на 267 милиона евро (вж. бележка </w:t>
      </w:r>
      <w:r>
        <w:rPr>
          <w:b/>
        </w:rPr>
        <w:t>2.3</w:t>
      </w:r>
      <w:r>
        <w:t>), от които дялът на Обединеното кралство е 33 милиона евро (като 7 милиона евро следва да му бъдат изплатени през 2021 г.).</w:t>
      </w:r>
    </w:p>
    <w:p>
      <w:pPr>
        <w:pStyle w:val="DGTextstand-alone"/>
        <w:spacing w:before="360"/>
      </w:pPr>
      <w:r>
        <w:t>Член 147 — Съдебни дела</w:t>
      </w:r>
    </w:p>
    <w:p>
      <w:pPr>
        <w:pStyle w:val="DGTextstand-alone"/>
      </w:pPr>
      <w:r>
        <w:t>Обединеното кралство е поело ангажимента да внесе своя дял от станалите дължими плащания от ЕС, произтичащи от съдебни дела, свързани с финансовите интереси на Съюза, при условие че фактите, формиращи предмета на тези дела, са настъпили не по-късно от 31 декември 2020 г. Като се вземат предвид провизиите и начисленията в края на годината, както и действителните плащания, направени по съдебни дела през 2021 г., прогнозната сума, която Обединеното кралство следва да плати, е 46 милиона евро (от които Обединеното кралство трябва да плати 21 милиона евро през 2021 г.).</w:t>
      </w:r>
    </w:p>
    <w:p>
      <w:pPr>
        <w:pStyle w:val="HEADER4NOTES"/>
        <w:spacing w:after="0"/>
        <w:rPr>
          <w:noProof/>
        </w:rPr>
      </w:pPr>
      <w:r>
        <w:rPr>
          <w:noProof/>
        </w:rPr>
        <w:t>Средства, подлежащи на събиране, от глоби в областта на конкуренцията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4"/>
        <w:gridCol w:w="2132"/>
        <w:gridCol w:w="2132"/>
      </w:tblGrid>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bottom"/>
          </w:tcPr>
          <w:p>
            <w:pPr>
              <w:pStyle w:val="DMETW19860BIPFINES"/>
              <w:rPr>
                <w:rFonts w:ascii="Arial" w:eastAsia="Arial" w:hAnsi="Arial" w:cs="Arial"/>
                <w:noProof/>
                <w:color w:val="000000"/>
              </w:rPr>
            </w:pPr>
            <w:bookmarkStart w:id="119" w:name="DOC_TBL00033_1_1"/>
            <w:bookmarkEnd w:id="119"/>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FINES"/>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FINES"/>
              <w:rPr>
                <w:rFonts w:cs="Calibri"/>
                <w:noProof/>
                <w:color w:val="000000"/>
                <w:sz w:val="22"/>
                <w:lang w:bidi="en-GB"/>
              </w:rPr>
            </w:pP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bottom"/>
          </w:tcPr>
          <w:p>
            <w:pPr>
              <w:pStyle w:val="DMETW19860BIPFINES"/>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FINES"/>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5494" w:type="dxa"/>
            <w:tcBorders>
              <w:top w:val="nil"/>
              <w:left w:val="nil"/>
              <w:bottom w:val="nil"/>
              <w:right w:val="nil"/>
              <w:tl2br w:val="nil"/>
              <w:tr2bl w:val="nil"/>
            </w:tcBorders>
            <w:shd w:val="solid" w:color="016794" w:fill="FFFFFF"/>
            <w:tcMar>
              <w:left w:w="60" w:type="dxa"/>
              <w:right w:w="60" w:type="dxa"/>
            </w:tcMar>
            <w:vAlign w:val="center"/>
          </w:tcPr>
          <w:p>
            <w:pPr>
              <w:pStyle w:val="DMETW19860BIPFINES"/>
              <w:jc w:val="center"/>
              <w:rPr>
                <w:rFonts w:ascii="Verdana" w:eastAsia="Verdana" w:hAnsi="Verdana" w:cs="Verdana"/>
                <w:noProof/>
                <w:color w:val="FFFFFF"/>
              </w:rPr>
            </w:pPr>
          </w:p>
        </w:tc>
        <w:tc>
          <w:tcPr>
            <w:tcW w:w="2132" w:type="dxa"/>
            <w:tcBorders>
              <w:top w:val="nil"/>
              <w:left w:val="nil"/>
              <w:bottom w:val="nil"/>
              <w:right w:val="nil"/>
              <w:tl2br w:val="nil"/>
              <w:tr2bl w:val="nil"/>
            </w:tcBorders>
            <w:shd w:val="solid" w:color="016794" w:fill="FFFFFF"/>
            <w:tcMar>
              <w:left w:w="60" w:type="dxa"/>
              <w:right w:w="60" w:type="dxa"/>
            </w:tcMar>
            <w:vAlign w:val="center"/>
          </w:tcPr>
          <w:p>
            <w:pPr>
              <w:pStyle w:val="DMETW19860BIPFINES"/>
              <w:jc w:val="right"/>
              <w:rPr>
                <w:rFonts w:ascii="Verdana" w:eastAsia="Verdana" w:hAnsi="Verdana" w:cs="Verdana"/>
                <w:noProof/>
                <w:color w:val="FFFFFF"/>
              </w:rPr>
            </w:pPr>
            <w:r>
              <w:rPr>
                <w:rFonts w:ascii="Verdana" w:hAnsi="Verdana"/>
                <w:noProof/>
                <w:color w:val="FFFFFF"/>
              </w:rPr>
              <w:t>31.12.2020 г.</w:t>
            </w:r>
          </w:p>
        </w:tc>
        <w:tc>
          <w:tcPr>
            <w:tcW w:w="2132" w:type="dxa"/>
            <w:tcBorders>
              <w:top w:val="nil"/>
              <w:left w:val="nil"/>
              <w:bottom w:val="nil"/>
              <w:right w:val="nil"/>
              <w:tl2br w:val="nil"/>
              <w:tr2bl w:val="nil"/>
            </w:tcBorders>
            <w:shd w:val="solid" w:color="016794" w:fill="FFFFFF"/>
            <w:tcMar>
              <w:left w:w="60" w:type="dxa"/>
              <w:right w:w="60" w:type="dxa"/>
            </w:tcMar>
            <w:vAlign w:val="center"/>
          </w:tcPr>
          <w:p>
            <w:pPr>
              <w:pStyle w:val="DMETW19860BIPFINES"/>
              <w:jc w:val="right"/>
              <w:rPr>
                <w:rFonts w:ascii="Verdana" w:eastAsia="Verdana" w:hAnsi="Verdana" w:cs="Verdana"/>
                <w:noProof/>
                <w:color w:val="FFFFFF"/>
              </w:rPr>
            </w:pPr>
            <w:r>
              <w:rPr>
                <w:rFonts w:ascii="Verdana" w:hAnsi="Verdana"/>
                <w:noProof/>
                <w:color w:val="FFFFFF"/>
              </w:rPr>
              <w:t>31.12.2019 г.</w:t>
            </w:r>
          </w:p>
        </w:tc>
      </w:tr>
      <w:tr>
        <w:trPr>
          <w:trHeight w:hRule="exact" w:val="487"/>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9860BIPFINES"/>
              <w:rPr>
                <w:rFonts w:ascii="Verdana" w:eastAsia="Verdana" w:hAnsi="Verdana" w:cs="Verdana"/>
                <w:i/>
                <w:noProof/>
                <w:color w:val="000000"/>
                <w:sz w:val="18"/>
              </w:rPr>
            </w:pPr>
            <w:r>
              <w:rPr>
                <w:rFonts w:ascii="Verdana" w:hAnsi="Verdana"/>
                <w:i/>
                <w:noProof/>
                <w:color w:val="000000"/>
                <w:sz w:val="18"/>
              </w:rPr>
              <w:t>Брутна сума на средствата, подлежащи на събиране, от глоби</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i/>
                <w:noProof/>
                <w:color w:val="000000"/>
                <w:sz w:val="18"/>
              </w:rPr>
            </w:pPr>
            <w:r>
              <w:rPr>
                <w:rFonts w:ascii="Verdana" w:hAnsi="Verdana"/>
                <w:i/>
                <w:noProof/>
                <w:color w:val="000000"/>
                <w:sz w:val="18"/>
              </w:rPr>
              <w:t>14 503</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i/>
                <w:noProof/>
                <w:color w:val="000000"/>
                <w:sz w:val="18"/>
              </w:rPr>
            </w:pPr>
            <w:r>
              <w:rPr>
                <w:rFonts w:ascii="Verdana" w:hAnsi="Verdana"/>
                <w:i/>
                <w:noProof/>
                <w:color w:val="000000"/>
                <w:sz w:val="18"/>
              </w:rPr>
              <w:t>14 606</w:t>
            </w: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9860BIPFINES"/>
              <w:rPr>
                <w:rFonts w:ascii="Verdana" w:eastAsia="Verdana" w:hAnsi="Verdana" w:cs="Verdana"/>
                <w:i/>
                <w:noProof/>
                <w:color w:val="000000"/>
                <w:sz w:val="18"/>
              </w:rPr>
            </w:pPr>
            <w:r>
              <w:rPr>
                <w:rFonts w:ascii="Verdana" w:hAnsi="Verdana"/>
                <w:i/>
                <w:noProof/>
                <w:color w:val="000000"/>
                <w:sz w:val="18"/>
              </w:rPr>
              <w:t>Условни плащания</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i/>
                <w:noProof/>
                <w:color w:val="000000"/>
                <w:sz w:val="18"/>
              </w:rPr>
            </w:pPr>
            <w:r>
              <w:rPr>
                <w:rFonts w:ascii="Verdana" w:hAnsi="Verdana"/>
                <w:i/>
                <w:noProof/>
                <w:color w:val="000000"/>
                <w:sz w:val="18"/>
              </w:rPr>
              <w:t>(3 023)</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i/>
                <w:noProof/>
                <w:color w:val="000000"/>
                <w:sz w:val="18"/>
              </w:rPr>
            </w:pPr>
            <w:r>
              <w:rPr>
                <w:rFonts w:ascii="Verdana" w:hAnsi="Verdana"/>
                <w:i/>
                <w:noProof/>
                <w:color w:val="000000"/>
                <w:sz w:val="18"/>
              </w:rPr>
              <w:t>(3 125)</w:t>
            </w:r>
          </w:p>
        </w:tc>
      </w:tr>
      <w:tr>
        <w:trPr>
          <w:trHeight w:hRule="exact" w:val="255"/>
        </w:trPr>
        <w:tc>
          <w:tcPr>
            <w:tcW w:w="549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FINES"/>
              <w:rPr>
                <w:rFonts w:ascii="Verdana" w:eastAsia="Verdana" w:hAnsi="Verdana" w:cs="Verdana"/>
                <w:i/>
                <w:noProof/>
                <w:color w:val="000000"/>
                <w:sz w:val="18"/>
              </w:rPr>
            </w:pPr>
            <w:r>
              <w:rPr>
                <w:rFonts w:ascii="Verdana" w:hAnsi="Verdana"/>
                <w:i/>
                <w:noProof/>
                <w:color w:val="000000"/>
                <w:sz w:val="18"/>
              </w:rPr>
              <w:t>Обезценка</w:t>
            </w:r>
          </w:p>
        </w:tc>
        <w:tc>
          <w:tcPr>
            <w:tcW w:w="21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i/>
                <w:noProof/>
                <w:color w:val="000000"/>
                <w:sz w:val="18"/>
              </w:rPr>
            </w:pPr>
            <w:r>
              <w:rPr>
                <w:rFonts w:ascii="Verdana" w:hAnsi="Verdana"/>
                <w:i/>
                <w:noProof/>
                <w:color w:val="000000"/>
                <w:sz w:val="18"/>
              </w:rPr>
              <w:t xml:space="preserve"> (186)</w:t>
            </w:r>
          </w:p>
        </w:tc>
        <w:tc>
          <w:tcPr>
            <w:tcW w:w="21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i/>
                <w:noProof/>
                <w:color w:val="000000"/>
                <w:sz w:val="18"/>
              </w:rPr>
            </w:pPr>
            <w:r>
              <w:rPr>
                <w:rFonts w:ascii="Verdana" w:hAnsi="Verdana"/>
                <w:i/>
                <w:noProof/>
                <w:color w:val="000000"/>
                <w:sz w:val="18"/>
              </w:rPr>
              <w:t xml:space="preserve"> (180)</w:t>
            </w:r>
          </w:p>
        </w:tc>
      </w:tr>
      <w:tr>
        <w:trPr>
          <w:trHeight w:hRule="exac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0BIPFINES"/>
              <w:rPr>
                <w:rFonts w:ascii="Verdana" w:eastAsia="Verdana" w:hAnsi="Verdana" w:cs="Verdana"/>
                <w:b/>
                <w:noProof/>
                <w:color w:val="000000"/>
                <w:sz w:val="18"/>
              </w:rPr>
            </w:pPr>
            <w:r>
              <w:rPr>
                <w:rFonts w:ascii="Verdana" w:hAnsi="Verdana"/>
                <w:b/>
                <w:noProof/>
                <w:color w:val="000000"/>
                <w:sz w:val="18"/>
              </w:rPr>
              <w:t>Общо</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b/>
                <w:noProof/>
                <w:color w:val="000000"/>
                <w:sz w:val="18"/>
              </w:rPr>
            </w:pPr>
            <w:r>
              <w:rPr>
                <w:rFonts w:ascii="Verdana" w:hAnsi="Verdana"/>
                <w:b/>
                <w:noProof/>
                <w:color w:val="000000"/>
                <w:sz w:val="18"/>
              </w:rPr>
              <w:t>11 295</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b/>
                <w:noProof/>
                <w:color w:val="000000"/>
                <w:sz w:val="18"/>
              </w:rPr>
            </w:pPr>
            <w:r>
              <w:rPr>
                <w:rFonts w:ascii="Verdana" w:hAnsi="Verdana"/>
                <w:b/>
                <w:noProof/>
                <w:color w:val="000000"/>
                <w:sz w:val="18"/>
              </w:rPr>
              <w:t>11 301</w:t>
            </w:r>
          </w:p>
        </w:tc>
      </w:tr>
      <w:tr>
        <w:trPr>
          <w:trHeight w:hRule="exact" w:val="255"/>
        </w:trPr>
        <w:tc>
          <w:tcPr>
            <w:tcW w:w="549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0BIPFINES"/>
              <w:rPr>
                <w:rFonts w:ascii="Verdana" w:eastAsia="Verdana" w:hAnsi="Verdana" w:cs="Verdana"/>
                <w:i/>
                <w:noProof/>
                <w:color w:val="016794"/>
                <w:sz w:val="18"/>
              </w:rPr>
            </w:pPr>
            <w:r>
              <w:rPr>
                <w:rFonts w:ascii="Verdana" w:hAnsi="Verdana"/>
                <w:i/>
                <w:noProof/>
                <w:color w:val="016794"/>
                <w:sz w:val="18"/>
              </w:rPr>
              <w:t>Нетекущи</w:t>
            </w:r>
          </w:p>
        </w:tc>
        <w:tc>
          <w:tcPr>
            <w:tcW w:w="213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i/>
                <w:noProof/>
                <w:color w:val="016794"/>
                <w:sz w:val="18"/>
              </w:rPr>
            </w:pPr>
            <w:r>
              <w:rPr>
                <w:rFonts w:ascii="Verdana" w:hAnsi="Verdana"/>
                <w:i/>
                <w:noProof/>
                <w:color w:val="016794"/>
                <w:sz w:val="18"/>
              </w:rPr>
              <w:t>–</w:t>
            </w:r>
          </w:p>
        </w:tc>
        <w:tc>
          <w:tcPr>
            <w:tcW w:w="213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i/>
                <w:noProof/>
                <w:color w:val="016794"/>
                <w:sz w:val="18"/>
              </w:rPr>
            </w:pPr>
            <w:r>
              <w:rPr>
                <w:rFonts w:ascii="Verdana" w:hAnsi="Verdana"/>
                <w:i/>
                <w:noProof/>
                <w:color w:val="016794"/>
                <w:sz w:val="18"/>
              </w:rPr>
              <w:t>–</w:t>
            </w:r>
          </w:p>
        </w:tc>
      </w:tr>
      <w:tr>
        <w:trPr>
          <w:trHeight w:hRule="exact" w:val="300"/>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9860BIPFINES"/>
              <w:rPr>
                <w:rFonts w:ascii="Verdana" w:eastAsia="Verdana" w:hAnsi="Verdana" w:cs="Verdana"/>
                <w:i/>
                <w:noProof/>
                <w:color w:val="016794"/>
                <w:sz w:val="18"/>
              </w:rPr>
            </w:pPr>
            <w:r>
              <w:rPr>
                <w:rFonts w:ascii="Verdana" w:hAnsi="Verdana"/>
                <w:i/>
                <w:noProof/>
                <w:color w:val="016794"/>
                <w:sz w:val="18"/>
              </w:rPr>
              <w:t>Текущи</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i/>
                <w:noProof/>
                <w:color w:val="016794"/>
                <w:sz w:val="18"/>
              </w:rPr>
            </w:pPr>
            <w:r>
              <w:rPr>
                <w:rFonts w:ascii="Verdana" w:hAnsi="Verdana"/>
                <w:i/>
                <w:noProof/>
                <w:color w:val="016794"/>
                <w:sz w:val="18"/>
              </w:rPr>
              <w:t>11 295</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FINES"/>
              <w:jc w:val="right"/>
              <w:rPr>
                <w:rFonts w:ascii="Verdana" w:eastAsia="Verdana" w:hAnsi="Verdana" w:cs="Verdana"/>
                <w:i/>
                <w:noProof/>
                <w:color w:val="016794"/>
                <w:sz w:val="18"/>
              </w:rPr>
            </w:pPr>
            <w:r>
              <w:rPr>
                <w:rFonts w:ascii="Verdana" w:hAnsi="Verdana"/>
                <w:i/>
                <w:noProof/>
                <w:color w:val="016794"/>
                <w:sz w:val="18"/>
              </w:rPr>
              <w:t>11 301</w:t>
            </w:r>
          </w:p>
        </w:tc>
      </w:tr>
    </w:tbl>
    <w:p>
      <w:pPr>
        <w:pStyle w:val="DGTextstand-alone"/>
      </w:pPr>
      <w:r>
        <w:t>Условните плащания се отнасят предимно до постъпления от предприятия, които са започнали обжалване или все още имат възможност да обжалват решенията за налагане на глоба пред съдилищата на ЕС. Оповестен е условен пасив поради възможността тези суми да трябва да бъдат върнати на глобените предприятия — вж. бележка </w:t>
      </w:r>
      <w:r>
        <w:rPr>
          <w:b/>
        </w:rPr>
        <w:t>4.1.4</w:t>
      </w:r>
      <w:r>
        <w:t>.</w:t>
      </w:r>
    </w:p>
    <w:p>
      <w:pPr>
        <w:pStyle w:val="DGTextstand-alone"/>
      </w:pPr>
      <w:r>
        <w:t xml:space="preserve">Глобените предприятия, които са започнали или планират да започнат обжалване, имат възможност да направят условни плащания или да предоставят на Комисията банкова гаранция. За 11 004 милиона евро (2019 г.: 11 133 милиона евро) глоби, които не са изплатени към края на годината, Комисията е приела финансови гаранции. </w:t>
      </w:r>
    </w:p>
    <w:p>
      <w:pPr>
        <w:pStyle w:val="DGTextstand-alone"/>
      </w:pPr>
      <w:r>
        <w:t>Сумите, намалени вследствие на обезценка, отразяват преценката на Комисията, за всеки отделен случай, на размера на неполучените глоби или глобите, които не са покрити от гаранция, които Комисията очаква да не събере.</w:t>
      </w:r>
    </w:p>
    <w:p>
      <w:pPr>
        <w:pStyle w:val="DGTextstand-alone"/>
      </w:pPr>
      <w:r>
        <w:t>През периода 2019—2020 г. общият размер на подлежащите на събиране средства от глоби в областта на конкуренцията остана относително непроменен. Това се дължи на факта, че новите подлежащи на събиране средства през 2020 г. до голяма степен се компенсират от глоби, които са окончателно платени през 2020 г.</w:t>
      </w:r>
    </w:p>
    <w:p>
      <w:pPr>
        <w:pStyle w:val="HEADER4NOTES"/>
        <w:spacing w:after="0"/>
        <w:rPr>
          <w:noProof/>
        </w:rPr>
      </w:pPr>
      <w:r>
        <w:rPr>
          <w:noProof/>
        </w:rPr>
        <w:t>Начислени приходи и разходи за бъдещи периоди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4"/>
        <w:gridCol w:w="1787"/>
        <w:gridCol w:w="1787"/>
      </w:tblGrid>
      <w:tr>
        <w:trPr>
          <w:trHeight w:hRule="exact" w:val="255"/>
        </w:trPr>
        <w:tc>
          <w:tcPr>
            <w:tcW w:w="6184" w:type="dxa"/>
            <w:tcBorders>
              <w:top w:val="nil"/>
              <w:left w:val="nil"/>
              <w:bottom w:val="nil"/>
              <w:right w:val="nil"/>
            </w:tcBorders>
            <w:tcMar>
              <w:top w:w="0" w:type="dxa"/>
              <w:left w:w="60" w:type="dxa"/>
              <w:bottom w:w="0" w:type="dxa"/>
              <w:right w:w="60" w:type="dxa"/>
            </w:tcMar>
            <w:vAlign w:val="bottom"/>
          </w:tcPr>
          <w:p>
            <w:pPr>
              <w:pStyle w:val="DMETW19862BIPAIDC"/>
              <w:rPr>
                <w:rFonts w:ascii="Arial" w:eastAsia="Times New Roman" w:hAnsi="Arial" w:cs="Arial"/>
                <w:noProof/>
                <w:color w:val="000000"/>
              </w:rPr>
            </w:pPr>
            <w:bookmarkStart w:id="120" w:name="DOC_TBL00034_1_1"/>
            <w:bookmarkEnd w:id="120"/>
          </w:p>
        </w:tc>
        <w:tc>
          <w:tcPr>
            <w:tcW w:w="1787" w:type="dxa"/>
            <w:tcBorders>
              <w:top w:val="nil"/>
              <w:left w:val="nil"/>
              <w:bottom w:val="nil"/>
              <w:right w:val="nil"/>
            </w:tcBorders>
            <w:tcMar>
              <w:top w:w="0" w:type="dxa"/>
              <w:left w:w="60" w:type="dxa"/>
              <w:bottom w:w="0" w:type="dxa"/>
              <w:right w:w="60" w:type="dxa"/>
            </w:tcMar>
            <w:vAlign w:val="bottom"/>
          </w:tcPr>
          <w:p>
            <w:pPr>
              <w:pStyle w:val="DMETW19862BIPAIDC"/>
              <w:rPr>
                <w:rFonts w:ascii="Arial" w:eastAsia="Times New Roman" w:hAnsi="Arial" w:cs="Arial"/>
                <w:noProof/>
                <w:color w:val="000000"/>
              </w:rPr>
            </w:pPr>
          </w:p>
        </w:tc>
        <w:tc>
          <w:tcPr>
            <w:tcW w:w="1787" w:type="dxa"/>
            <w:tcBorders>
              <w:top w:val="nil"/>
              <w:left w:val="nil"/>
              <w:bottom w:val="nil"/>
              <w:right w:val="nil"/>
            </w:tcBorders>
            <w:tcMar>
              <w:top w:w="0" w:type="dxa"/>
              <w:left w:w="60" w:type="dxa"/>
              <w:bottom w:w="0" w:type="dxa"/>
              <w:right w:w="60" w:type="dxa"/>
            </w:tcMar>
            <w:vAlign w:val="bottom"/>
          </w:tcPr>
          <w:p>
            <w:pPr>
              <w:pStyle w:val="DMETW19862BIPAIDC"/>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hRule="exact" w:val="255"/>
        </w:trPr>
        <w:tc>
          <w:tcPr>
            <w:tcW w:w="6184" w:type="dxa"/>
            <w:tcBorders>
              <w:top w:val="nil"/>
              <w:left w:val="nil"/>
              <w:bottom w:val="nil"/>
              <w:right w:val="nil"/>
            </w:tcBorders>
            <w:shd w:val="solid" w:color="016794" w:fill="FFFFFF"/>
            <w:tcMar>
              <w:top w:w="0" w:type="dxa"/>
              <w:left w:w="60" w:type="dxa"/>
              <w:bottom w:w="0" w:type="dxa"/>
              <w:right w:w="60" w:type="dxa"/>
            </w:tcMar>
            <w:vAlign w:val="center"/>
          </w:tcPr>
          <w:p>
            <w:pPr>
              <w:pStyle w:val="DMETW19862BIPAIDC"/>
              <w:jc w:val="right"/>
              <w:rPr>
                <w:rFonts w:ascii="Verdana" w:eastAsia="Times New Roman" w:hAnsi="Verdana" w:cs="Verdana"/>
                <w:noProof/>
                <w:color w:val="FFFFFF"/>
                <w:sz w:val="18"/>
              </w:rPr>
            </w:pPr>
          </w:p>
        </w:tc>
        <w:tc>
          <w:tcPr>
            <w:tcW w:w="1787" w:type="dxa"/>
            <w:tcBorders>
              <w:top w:val="nil"/>
              <w:left w:val="nil"/>
              <w:bottom w:val="nil"/>
              <w:right w:val="nil"/>
            </w:tcBorders>
            <w:shd w:val="solid" w:color="016794" w:fill="FFFFFF"/>
            <w:tcMar>
              <w:top w:w="0" w:type="dxa"/>
              <w:left w:w="60" w:type="dxa"/>
              <w:bottom w:w="0" w:type="dxa"/>
              <w:right w:w="60" w:type="dxa"/>
            </w:tcMar>
            <w:vAlign w:val="center"/>
          </w:tcPr>
          <w:p>
            <w:pPr>
              <w:pStyle w:val="DMETW19862BIPAIDC"/>
              <w:jc w:val="right"/>
              <w:rPr>
                <w:rFonts w:ascii="Verdana" w:eastAsia="Times New Roman" w:hAnsi="Verdana" w:cs="Verdana"/>
                <w:noProof/>
                <w:color w:val="FFFFFF"/>
              </w:rPr>
            </w:pPr>
            <w:r>
              <w:rPr>
                <w:rFonts w:ascii="Verdana" w:hAnsi="Verdana"/>
                <w:noProof/>
                <w:color w:val="FFFFFF"/>
              </w:rPr>
              <w:t>31.12.2020 г.</w:t>
            </w:r>
          </w:p>
        </w:tc>
        <w:tc>
          <w:tcPr>
            <w:tcW w:w="1787" w:type="dxa"/>
            <w:tcBorders>
              <w:top w:val="nil"/>
              <w:left w:val="nil"/>
              <w:bottom w:val="nil"/>
              <w:right w:val="nil"/>
            </w:tcBorders>
            <w:shd w:val="solid" w:color="016794" w:fill="FFFFFF"/>
            <w:tcMar>
              <w:top w:w="0" w:type="dxa"/>
              <w:left w:w="60" w:type="dxa"/>
              <w:bottom w:w="0" w:type="dxa"/>
              <w:right w:w="60" w:type="dxa"/>
            </w:tcMar>
            <w:vAlign w:val="center"/>
          </w:tcPr>
          <w:p>
            <w:pPr>
              <w:pStyle w:val="DMETW19862BIPAIDC"/>
              <w:jc w:val="right"/>
              <w:rPr>
                <w:rFonts w:ascii="Verdana" w:eastAsia="Times New Roman" w:hAnsi="Verdana" w:cs="Verdana"/>
                <w:noProof/>
                <w:color w:val="FFFFFF"/>
              </w:rPr>
            </w:pPr>
            <w:r>
              <w:rPr>
                <w:rFonts w:ascii="Verdana" w:hAnsi="Verdana"/>
                <w:noProof/>
                <w:color w:val="FFFFFF"/>
              </w:rPr>
              <w:t>31.12.2019 г.</w:t>
            </w:r>
          </w:p>
        </w:tc>
      </w:tr>
      <w:tr>
        <w:trPr>
          <w:trHeight w:hRule="exact" w:val="255"/>
        </w:trPr>
        <w:tc>
          <w:tcPr>
            <w:tcW w:w="6184" w:type="dxa"/>
            <w:tcBorders>
              <w:top w:val="nil"/>
              <w:left w:val="nil"/>
              <w:bottom w:val="nil"/>
              <w:right w:val="nil"/>
            </w:tcBorders>
            <w:tcMar>
              <w:top w:w="0" w:type="dxa"/>
              <w:left w:w="60" w:type="dxa"/>
              <w:bottom w:w="0" w:type="dxa"/>
              <w:right w:w="60" w:type="dxa"/>
            </w:tcMar>
            <w:vAlign w:val="center"/>
          </w:tcPr>
          <w:p>
            <w:pPr>
              <w:pStyle w:val="DMETW19862BIPAIDC"/>
              <w:rPr>
                <w:rFonts w:ascii="Verdana" w:eastAsia="Times New Roman" w:hAnsi="Verdana" w:cs="Verdana"/>
                <w:i/>
                <w:noProof/>
                <w:color w:val="000000"/>
                <w:sz w:val="18"/>
              </w:rPr>
            </w:pPr>
            <w:r>
              <w:rPr>
                <w:rFonts w:ascii="Verdana" w:hAnsi="Verdana"/>
                <w:i/>
                <w:noProof/>
                <w:color w:val="000000"/>
                <w:sz w:val="18"/>
              </w:rPr>
              <w:t>Начислени приходи</w:t>
            </w:r>
          </w:p>
        </w:tc>
        <w:tc>
          <w:tcPr>
            <w:tcW w:w="1787" w:type="dxa"/>
            <w:tcBorders>
              <w:top w:val="nil"/>
              <w:left w:val="nil"/>
              <w:bottom w:val="nil"/>
              <w:right w:val="nil"/>
            </w:tcBorders>
            <w:tcMar>
              <w:top w:w="0" w:type="dxa"/>
              <w:left w:w="60" w:type="dxa"/>
              <w:bottom w:w="0" w:type="dxa"/>
              <w:right w:w="60" w:type="dxa"/>
            </w:tcMar>
            <w:vAlign w:val="bottom"/>
          </w:tcPr>
          <w:p>
            <w:pPr>
              <w:pStyle w:val="DMETW19862BIPAIDC"/>
              <w:jc w:val="right"/>
              <w:rPr>
                <w:rFonts w:ascii="Verdana" w:eastAsia="Times New Roman" w:hAnsi="Verdana" w:cs="Verdana"/>
                <w:i/>
                <w:noProof/>
                <w:color w:val="000000"/>
                <w:sz w:val="18"/>
              </w:rPr>
            </w:pPr>
            <w:r>
              <w:rPr>
                <w:rFonts w:ascii="Verdana" w:hAnsi="Verdana"/>
                <w:i/>
                <w:noProof/>
                <w:color w:val="000000"/>
                <w:sz w:val="18"/>
              </w:rPr>
              <w:t>1 755</w:t>
            </w:r>
          </w:p>
        </w:tc>
        <w:tc>
          <w:tcPr>
            <w:tcW w:w="1787" w:type="dxa"/>
            <w:tcBorders>
              <w:top w:val="nil"/>
              <w:left w:val="nil"/>
              <w:bottom w:val="nil"/>
              <w:right w:val="nil"/>
            </w:tcBorders>
            <w:tcMar>
              <w:top w:w="0" w:type="dxa"/>
              <w:left w:w="60" w:type="dxa"/>
              <w:bottom w:w="0" w:type="dxa"/>
              <w:right w:w="60" w:type="dxa"/>
            </w:tcMar>
            <w:vAlign w:val="bottom"/>
          </w:tcPr>
          <w:p>
            <w:pPr>
              <w:pStyle w:val="DMETW19862BIPAIDC"/>
              <w:jc w:val="right"/>
              <w:rPr>
                <w:rFonts w:ascii="Verdana" w:eastAsia="Times New Roman" w:hAnsi="Verdana" w:cs="Verdana"/>
                <w:i/>
                <w:noProof/>
                <w:color w:val="000000"/>
                <w:sz w:val="18"/>
              </w:rPr>
            </w:pPr>
            <w:r>
              <w:rPr>
                <w:rFonts w:ascii="Verdana" w:hAnsi="Verdana"/>
                <w:i/>
                <w:noProof/>
                <w:color w:val="000000"/>
                <w:sz w:val="18"/>
              </w:rPr>
              <w:t>1 502</w:t>
            </w:r>
          </w:p>
        </w:tc>
      </w:tr>
      <w:tr>
        <w:trPr>
          <w:trHeight w:hRule="exact" w:val="255"/>
        </w:trPr>
        <w:tc>
          <w:tcPr>
            <w:tcW w:w="6184" w:type="dxa"/>
            <w:tcBorders>
              <w:top w:val="nil"/>
              <w:left w:val="nil"/>
              <w:bottom w:val="single" w:sz="4" w:space="0" w:color="016794"/>
              <w:right w:val="nil"/>
            </w:tcBorders>
            <w:tcMar>
              <w:top w:w="0" w:type="dxa"/>
              <w:left w:w="60" w:type="dxa"/>
              <w:bottom w:w="0" w:type="dxa"/>
              <w:right w:w="60" w:type="dxa"/>
            </w:tcMar>
            <w:vAlign w:val="center"/>
          </w:tcPr>
          <w:p>
            <w:pPr>
              <w:pStyle w:val="DMETW19862BIPAIDC"/>
              <w:rPr>
                <w:rFonts w:ascii="Verdana" w:eastAsia="Times New Roman" w:hAnsi="Verdana" w:cs="Verdana"/>
                <w:i/>
                <w:noProof/>
                <w:color w:val="000000"/>
                <w:sz w:val="18"/>
              </w:rPr>
            </w:pPr>
            <w:r>
              <w:rPr>
                <w:rFonts w:ascii="Verdana" w:hAnsi="Verdana"/>
                <w:i/>
                <w:noProof/>
                <w:color w:val="000000"/>
                <w:sz w:val="18"/>
              </w:rPr>
              <w:t>Разходи за бъдещи периоди, свързани с операции без размяна</w:t>
            </w:r>
          </w:p>
        </w:tc>
        <w:tc>
          <w:tcPr>
            <w:tcW w:w="1787" w:type="dxa"/>
            <w:tcBorders>
              <w:top w:val="nil"/>
              <w:left w:val="nil"/>
              <w:bottom w:val="single" w:sz="4" w:space="0" w:color="016794"/>
              <w:right w:val="nil"/>
            </w:tcBorders>
            <w:tcMar>
              <w:top w:w="0" w:type="dxa"/>
              <w:left w:w="60" w:type="dxa"/>
              <w:bottom w:w="0" w:type="dxa"/>
              <w:right w:w="60" w:type="dxa"/>
            </w:tcMar>
            <w:vAlign w:val="bottom"/>
          </w:tcPr>
          <w:p>
            <w:pPr>
              <w:pStyle w:val="DMETW19862BIPAIDC"/>
              <w:jc w:val="right"/>
              <w:rPr>
                <w:rFonts w:ascii="Verdana" w:eastAsia="Times New Roman" w:hAnsi="Verdana" w:cs="Verdana"/>
                <w:i/>
                <w:noProof/>
                <w:color w:val="000000"/>
                <w:sz w:val="18"/>
              </w:rPr>
            </w:pPr>
            <w:r>
              <w:rPr>
                <w:rFonts w:ascii="Verdana" w:hAnsi="Verdana"/>
                <w:i/>
                <w:noProof/>
                <w:color w:val="000000"/>
                <w:sz w:val="18"/>
              </w:rPr>
              <w:t xml:space="preserve"> 293</w:t>
            </w:r>
          </w:p>
        </w:tc>
        <w:tc>
          <w:tcPr>
            <w:tcW w:w="1787" w:type="dxa"/>
            <w:tcBorders>
              <w:top w:val="nil"/>
              <w:left w:val="nil"/>
              <w:bottom w:val="single" w:sz="4" w:space="0" w:color="016794"/>
              <w:right w:val="nil"/>
            </w:tcBorders>
            <w:tcMar>
              <w:top w:w="0" w:type="dxa"/>
              <w:left w:w="60" w:type="dxa"/>
              <w:bottom w:w="0" w:type="dxa"/>
              <w:right w:w="60" w:type="dxa"/>
            </w:tcMar>
            <w:vAlign w:val="bottom"/>
          </w:tcPr>
          <w:p>
            <w:pPr>
              <w:pStyle w:val="DMETW19862BIPAIDC"/>
              <w:jc w:val="right"/>
              <w:rPr>
                <w:rFonts w:ascii="Verdana" w:eastAsia="Times New Roman" w:hAnsi="Verdana" w:cs="Verdana"/>
                <w:i/>
                <w:noProof/>
                <w:color w:val="000000"/>
                <w:sz w:val="18"/>
              </w:rPr>
            </w:pPr>
            <w:r>
              <w:rPr>
                <w:rFonts w:ascii="Verdana" w:hAnsi="Verdana"/>
                <w:i/>
                <w:noProof/>
                <w:color w:val="000000"/>
                <w:sz w:val="18"/>
              </w:rPr>
              <w:t xml:space="preserve"> 286</w:t>
            </w:r>
          </w:p>
        </w:tc>
      </w:tr>
      <w:tr>
        <w:trPr>
          <w:trHeight w:hRule="exact" w:val="255"/>
        </w:trPr>
        <w:tc>
          <w:tcPr>
            <w:tcW w:w="6184"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2BIPAIDC"/>
              <w:rPr>
                <w:rFonts w:ascii="Verdana" w:eastAsia="Times New Roman" w:hAnsi="Verdana" w:cs="Verdana"/>
                <w:b/>
                <w:noProof/>
                <w:color w:val="000000"/>
                <w:sz w:val="18"/>
              </w:rPr>
            </w:pPr>
            <w:r>
              <w:rPr>
                <w:rFonts w:ascii="Verdana" w:hAnsi="Verdana"/>
                <w:b/>
                <w:noProof/>
                <w:color w:val="000000"/>
                <w:sz w:val="18"/>
              </w:rPr>
              <w:t>Общо</w:t>
            </w:r>
          </w:p>
        </w:tc>
        <w:tc>
          <w:tcPr>
            <w:tcW w:w="1787"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2BIPAIDC"/>
              <w:jc w:val="right"/>
              <w:rPr>
                <w:rFonts w:ascii="Verdana" w:eastAsia="Times New Roman" w:hAnsi="Verdana" w:cs="Verdana"/>
                <w:b/>
                <w:noProof/>
                <w:color w:val="000000"/>
                <w:sz w:val="18"/>
              </w:rPr>
            </w:pPr>
            <w:r>
              <w:rPr>
                <w:rFonts w:ascii="Verdana" w:hAnsi="Verdana"/>
                <w:b/>
                <w:noProof/>
                <w:color w:val="000000"/>
                <w:sz w:val="18"/>
              </w:rPr>
              <w:t>2 048</w:t>
            </w:r>
          </w:p>
        </w:tc>
        <w:tc>
          <w:tcPr>
            <w:tcW w:w="1787"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62BIPAIDC"/>
              <w:jc w:val="right"/>
              <w:rPr>
                <w:rFonts w:ascii="Verdana" w:eastAsia="Times New Roman" w:hAnsi="Verdana" w:cs="Verdana"/>
                <w:b/>
                <w:noProof/>
                <w:color w:val="000000"/>
                <w:sz w:val="18"/>
              </w:rPr>
            </w:pPr>
            <w:r>
              <w:rPr>
                <w:rFonts w:ascii="Verdana" w:hAnsi="Verdana"/>
                <w:b/>
                <w:noProof/>
                <w:color w:val="000000"/>
                <w:sz w:val="18"/>
              </w:rPr>
              <w:t>1 788</w:t>
            </w:r>
          </w:p>
        </w:tc>
      </w:tr>
      <w:tr>
        <w:trPr>
          <w:trHeight w:hRule="exact" w:val="255"/>
        </w:trPr>
        <w:tc>
          <w:tcPr>
            <w:tcW w:w="6184" w:type="dxa"/>
            <w:tcBorders>
              <w:top w:val="single" w:sz="4" w:space="0" w:color="016794"/>
              <w:left w:val="nil"/>
              <w:bottom w:val="nil"/>
              <w:right w:val="nil"/>
            </w:tcBorders>
            <w:tcMar>
              <w:top w:w="0" w:type="dxa"/>
              <w:left w:w="60" w:type="dxa"/>
              <w:bottom w:w="0" w:type="dxa"/>
              <w:right w:w="60" w:type="dxa"/>
            </w:tcMar>
            <w:vAlign w:val="center"/>
          </w:tcPr>
          <w:p>
            <w:pPr>
              <w:pStyle w:val="DMETW19862BIPAIDC"/>
              <w:rPr>
                <w:rFonts w:ascii="Verdana" w:eastAsia="Times New Roman" w:hAnsi="Verdana" w:cs="Verdana"/>
                <w:i/>
                <w:noProof/>
                <w:color w:val="016794"/>
                <w:sz w:val="18"/>
              </w:rPr>
            </w:pPr>
            <w:r>
              <w:rPr>
                <w:rFonts w:ascii="Verdana" w:hAnsi="Verdana"/>
                <w:i/>
                <w:noProof/>
                <w:color w:val="016794"/>
                <w:sz w:val="18"/>
              </w:rPr>
              <w:t>Нетекущи</w:t>
            </w:r>
          </w:p>
        </w:tc>
        <w:tc>
          <w:tcPr>
            <w:tcW w:w="1787" w:type="dxa"/>
            <w:tcBorders>
              <w:top w:val="single" w:sz="4" w:space="0" w:color="016794"/>
              <w:left w:val="nil"/>
              <w:bottom w:val="nil"/>
              <w:right w:val="nil"/>
            </w:tcBorders>
            <w:tcMar>
              <w:top w:w="0" w:type="dxa"/>
              <w:left w:w="60" w:type="dxa"/>
              <w:bottom w:w="0" w:type="dxa"/>
              <w:right w:w="60" w:type="dxa"/>
            </w:tcMar>
            <w:vAlign w:val="bottom"/>
          </w:tcPr>
          <w:p>
            <w:pPr>
              <w:pStyle w:val="DMETW19862BIPAIDC"/>
              <w:jc w:val="right"/>
              <w:rPr>
                <w:rFonts w:ascii="Verdana" w:eastAsia="Times New Roman" w:hAnsi="Verdana" w:cs="Verdana"/>
                <w:i/>
                <w:noProof/>
                <w:color w:val="016794"/>
                <w:sz w:val="18"/>
              </w:rPr>
            </w:pPr>
            <w:r>
              <w:rPr>
                <w:rFonts w:ascii="Verdana" w:hAnsi="Verdana"/>
                <w:i/>
                <w:noProof/>
                <w:color w:val="016794"/>
                <w:sz w:val="18"/>
              </w:rPr>
              <w:t>1 261</w:t>
            </w:r>
          </w:p>
        </w:tc>
        <w:tc>
          <w:tcPr>
            <w:tcW w:w="1787" w:type="dxa"/>
            <w:tcBorders>
              <w:top w:val="single" w:sz="4" w:space="0" w:color="016794"/>
              <w:left w:val="nil"/>
              <w:bottom w:val="nil"/>
              <w:right w:val="nil"/>
            </w:tcBorders>
            <w:tcMar>
              <w:top w:w="0" w:type="dxa"/>
              <w:left w:w="60" w:type="dxa"/>
              <w:bottom w:w="0" w:type="dxa"/>
              <w:right w:w="60" w:type="dxa"/>
            </w:tcMar>
            <w:vAlign w:val="bottom"/>
          </w:tcPr>
          <w:p>
            <w:pPr>
              <w:pStyle w:val="DMETW19862BIPAIDC"/>
              <w:jc w:val="right"/>
              <w:rPr>
                <w:rFonts w:ascii="Verdana" w:eastAsia="Times New Roman" w:hAnsi="Verdana" w:cs="Verdana"/>
                <w:i/>
                <w:noProof/>
                <w:color w:val="016794"/>
                <w:sz w:val="18"/>
              </w:rPr>
            </w:pPr>
            <w:r>
              <w:rPr>
                <w:rFonts w:ascii="Verdana" w:hAnsi="Verdana"/>
                <w:i/>
                <w:noProof/>
                <w:color w:val="016794"/>
                <w:sz w:val="18"/>
              </w:rPr>
              <w:t>–</w:t>
            </w:r>
          </w:p>
        </w:tc>
      </w:tr>
      <w:tr>
        <w:trPr>
          <w:trHeight w:hRule="exact" w:val="255"/>
        </w:trPr>
        <w:tc>
          <w:tcPr>
            <w:tcW w:w="6184" w:type="dxa"/>
            <w:tcBorders>
              <w:top w:val="nil"/>
              <w:left w:val="nil"/>
              <w:bottom w:val="nil"/>
              <w:right w:val="nil"/>
            </w:tcBorders>
            <w:tcMar>
              <w:top w:w="0" w:type="dxa"/>
              <w:left w:w="60" w:type="dxa"/>
              <w:bottom w:w="0" w:type="dxa"/>
              <w:right w:w="60" w:type="dxa"/>
            </w:tcMar>
            <w:vAlign w:val="center"/>
          </w:tcPr>
          <w:p>
            <w:pPr>
              <w:pStyle w:val="DMETW19862BIPAIDC"/>
              <w:rPr>
                <w:rFonts w:ascii="Verdana" w:eastAsia="Times New Roman" w:hAnsi="Verdana" w:cs="Verdana"/>
                <w:i/>
                <w:noProof/>
                <w:color w:val="016794"/>
                <w:sz w:val="18"/>
              </w:rPr>
            </w:pPr>
            <w:r>
              <w:rPr>
                <w:rFonts w:ascii="Verdana" w:hAnsi="Verdana"/>
                <w:i/>
                <w:noProof/>
                <w:color w:val="016794"/>
                <w:sz w:val="18"/>
              </w:rPr>
              <w:t>Текущи</w:t>
            </w:r>
          </w:p>
        </w:tc>
        <w:tc>
          <w:tcPr>
            <w:tcW w:w="1787" w:type="dxa"/>
            <w:tcBorders>
              <w:top w:val="nil"/>
              <w:left w:val="nil"/>
              <w:bottom w:val="nil"/>
              <w:right w:val="nil"/>
            </w:tcBorders>
            <w:tcMar>
              <w:top w:w="0" w:type="dxa"/>
              <w:left w:w="60" w:type="dxa"/>
              <w:bottom w:w="0" w:type="dxa"/>
              <w:right w:w="60" w:type="dxa"/>
            </w:tcMar>
            <w:vAlign w:val="bottom"/>
          </w:tcPr>
          <w:p>
            <w:pPr>
              <w:pStyle w:val="DMETW19862BIPAIDC"/>
              <w:jc w:val="right"/>
              <w:rPr>
                <w:rFonts w:ascii="Verdana" w:eastAsia="Times New Roman" w:hAnsi="Verdana" w:cs="Verdana"/>
                <w:i/>
                <w:noProof/>
                <w:color w:val="016794"/>
                <w:sz w:val="18"/>
              </w:rPr>
            </w:pPr>
            <w:r>
              <w:rPr>
                <w:rFonts w:ascii="Verdana" w:hAnsi="Verdana"/>
                <w:i/>
                <w:noProof/>
                <w:color w:val="016794"/>
                <w:sz w:val="18"/>
              </w:rPr>
              <w:t xml:space="preserve"> 787</w:t>
            </w:r>
          </w:p>
        </w:tc>
        <w:tc>
          <w:tcPr>
            <w:tcW w:w="1787" w:type="dxa"/>
            <w:tcBorders>
              <w:top w:val="nil"/>
              <w:left w:val="nil"/>
              <w:bottom w:val="nil"/>
              <w:right w:val="nil"/>
            </w:tcBorders>
            <w:tcMar>
              <w:top w:w="0" w:type="dxa"/>
              <w:left w:w="60" w:type="dxa"/>
              <w:bottom w:w="0" w:type="dxa"/>
              <w:right w:w="60" w:type="dxa"/>
            </w:tcMar>
            <w:vAlign w:val="bottom"/>
          </w:tcPr>
          <w:p>
            <w:pPr>
              <w:pStyle w:val="DMETW19862BIPAIDC"/>
              <w:jc w:val="right"/>
              <w:rPr>
                <w:rFonts w:ascii="Verdana" w:eastAsia="Times New Roman" w:hAnsi="Verdana" w:cs="Verdana"/>
                <w:i/>
                <w:noProof/>
                <w:color w:val="016794"/>
                <w:sz w:val="18"/>
              </w:rPr>
            </w:pPr>
            <w:r>
              <w:rPr>
                <w:rFonts w:ascii="Verdana" w:hAnsi="Verdana"/>
                <w:i/>
                <w:noProof/>
                <w:color w:val="016794"/>
                <w:sz w:val="18"/>
              </w:rPr>
              <w:t>1 788</w:t>
            </w:r>
          </w:p>
        </w:tc>
      </w:tr>
    </w:tbl>
    <w:p>
      <w:pPr>
        <w:pStyle w:val="DGTextstand-alone"/>
        <w:rPr>
          <w:color w:val="000000"/>
        </w:rPr>
      </w:pPr>
      <w:r>
        <w:rPr>
          <w:color w:val="000000"/>
        </w:rPr>
        <w:t xml:space="preserve">Начислените приходи включват 1,7 милиарда евро (2019 г.: 1,4 милиарда евро), които Комисията очаква да събере в областта на сближаването в резултат на проверката и приемането на годишните отчети, представени от държавите членки (въз основа на процедурата, въведена за периода на програмиране 2014—2020 г.). По-голямата част от тази сума (1,3 милиарда евро) се очаква да бъде събрана при приключването на съответните програми (вследствие на мерките по Инвестиционната инициатива в отговор на коронавируса) и поради това е класифицирана като нетекуща. </w:t>
      </w:r>
    </w:p>
    <w:p>
      <w:pPr>
        <w:pStyle w:val="HEADER4NOTES"/>
        <w:rPr>
          <w:noProof/>
        </w:rPr>
      </w:pPr>
      <w:r>
        <w:rPr>
          <w:noProof/>
        </w:rPr>
        <w:t>Други средства, подлежащи на събиране</w:t>
      </w:r>
    </w:p>
    <w:p>
      <w:pPr>
        <w:pStyle w:val="DGTextstand-alone"/>
        <w:rPr>
          <w:color w:val="000000"/>
        </w:rPr>
      </w:pPr>
      <w:r>
        <w:rPr>
          <w:color w:val="000000"/>
        </w:rPr>
        <w:t>Общият размер на другите средства, подлежащи на събиране, включва сума в размер на 744</w:t>
      </w:r>
      <w:r>
        <w:rPr>
          <w:color w:val="000000"/>
          <w:lang w:val="en-GB"/>
        </w:rPr>
        <w:t> </w:t>
      </w:r>
      <w:r>
        <w:rPr>
          <w:color w:val="000000"/>
        </w:rPr>
        <w:t xml:space="preserve">милиона евро, произтичаща от прехвърлянето на неизразходваните средства по NER300 към Фонда за иновации, които в края на 2020 г. все още не са събрани от ЕИБ — вж. бележка </w:t>
      </w:r>
      <w:r>
        <w:rPr>
          <w:b/>
          <w:color w:val="000000"/>
        </w:rPr>
        <w:t>3.7</w:t>
      </w:r>
      <w:r>
        <w:rPr>
          <w:color w:val="000000"/>
        </w:rPr>
        <w:t xml:space="preserve">. </w:t>
      </w:r>
    </w:p>
    <w:p>
      <w:pPr>
        <w:pStyle w:val="HEADER3NOTES"/>
        <w:spacing w:after="0"/>
        <w:rPr>
          <w:noProof/>
        </w:rPr>
      </w:pPr>
      <w:r>
        <w:rPr>
          <w:noProof/>
        </w:rPr>
        <w:t>Вземания от операции с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4"/>
        <w:gridCol w:w="2132"/>
        <w:gridCol w:w="2132"/>
      </w:tblGrid>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bottom"/>
          </w:tcPr>
          <w:p>
            <w:pPr>
              <w:pStyle w:val="DMETW19860BIPRET"/>
              <w:rPr>
                <w:rFonts w:cs="Calibri"/>
                <w:noProof/>
                <w:color w:val="000000"/>
                <w:sz w:val="22"/>
              </w:rPr>
            </w:pPr>
            <w:bookmarkStart w:id="121" w:name="DOC_TBL00035_1_1"/>
            <w:bookmarkEnd w:id="121"/>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rPr>
                <w:rFonts w:cs="Calibri"/>
                <w:noProof/>
                <w:color w:val="000000"/>
                <w:sz w:val="22"/>
              </w:rPr>
            </w:pP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rPr>
                <w:rFonts w:cs="Calibri"/>
                <w:noProof/>
                <w:color w:val="000000"/>
                <w:sz w:val="22"/>
                <w:lang w:bidi="en-GB"/>
              </w:rPr>
            </w:pP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bottom"/>
          </w:tcPr>
          <w:p>
            <w:pPr>
              <w:pStyle w:val="DMETW19860BIPRET"/>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5494" w:type="dxa"/>
            <w:tcBorders>
              <w:top w:val="nil"/>
              <w:left w:val="nil"/>
              <w:bottom w:val="nil"/>
              <w:right w:val="nil"/>
              <w:tl2br w:val="nil"/>
              <w:tr2bl w:val="nil"/>
            </w:tcBorders>
            <w:shd w:val="solid" w:color="016794" w:fill="FFFFFF"/>
            <w:tcMar>
              <w:left w:w="60" w:type="dxa"/>
              <w:right w:w="60" w:type="dxa"/>
            </w:tcMar>
            <w:vAlign w:val="center"/>
          </w:tcPr>
          <w:p>
            <w:pPr>
              <w:pStyle w:val="DMETW19860BIPRET"/>
              <w:jc w:val="center"/>
              <w:rPr>
                <w:rFonts w:ascii="Verdana" w:eastAsia="Verdana" w:hAnsi="Verdana" w:cs="Verdana"/>
                <w:noProof/>
                <w:color w:val="FFFFFF"/>
              </w:rPr>
            </w:pPr>
          </w:p>
        </w:tc>
        <w:tc>
          <w:tcPr>
            <w:tcW w:w="2132" w:type="dxa"/>
            <w:tcBorders>
              <w:top w:val="nil"/>
              <w:left w:val="nil"/>
              <w:bottom w:val="nil"/>
              <w:right w:val="nil"/>
              <w:tl2br w:val="nil"/>
              <w:tr2bl w:val="nil"/>
            </w:tcBorders>
            <w:shd w:val="solid" w:color="016794" w:fill="FFFFFF"/>
            <w:tcMar>
              <w:left w:w="60" w:type="dxa"/>
              <w:right w:w="60" w:type="dxa"/>
            </w:tcMar>
            <w:vAlign w:val="center"/>
          </w:tcPr>
          <w:p>
            <w:pPr>
              <w:pStyle w:val="DMETW19860BIPRET"/>
              <w:jc w:val="right"/>
              <w:rPr>
                <w:rFonts w:ascii="Verdana" w:eastAsia="Verdana" w:hAnsi="Verdana" w:cs="Verdana"/>
                <w:noProof/>
                <w:color w:val="FFFFFF"/>
              </w:rPr>
            </w:pPr>
            <w:r>
              <w:rPr>
                <w:rFonts w:ascii="Verdana" w:hAnsi="Verdana"/>
                <w:noProof/>
                <w:color w:val="FFFFFF"/>
              </w:rPr>
              <w:t>31.12.2020 г.</w:t>
            </w:r>
          </w:p>
        </w:tc>
        <w:tc>
          <w:tcPr>
            <w:tcW w:w="2132" w:type="dxa"/>
            <w:tcBorders>
              <w:top w:val="nil"/>
              <w:left w:val="nil"/>
              <w:bottom w:val="nil"/>
              <w:right w:val="nil"/>
              <w:tl2br w:val="nil"/>
              <w:tr2bl w:val="nil"/>
            </w:tcBorders>
            <w:shd w:val="solid" w:color="016794" w:fill="FFFFFF"/>
            <w:tcMar>
              <w:left w:w="60" w:type="dxa"/>
              <w:right w:w="60" w:type="dxa"/>
            </w:tcMar>
            <w:vAlign w:val="center"/>
          </w:tcPr>
          <w:p>
            <w:pPr>
              <w:pStyle w:val="DMETW19860BIPRET"/>
              <w:jc w:val="right"/>
              <w:rPr>
                <w:rFonts w:ascii="Verdana" w:eastAsia="Verdana" w:hAnsi="Verdana" w:cs="Verdana"/>
                <w:noProof/>
                <w:color w:val="FFFFFF"/>
              </w:rPr>
            </w:pPr>
            <w:r>
              <w:rPr>
                <w:rFonts w:ascii="Verdana" w:hAnsi="Verdana"/>
                <w:noProof/>
                <w:color w:val="FFFFFF"/>
              </w:rPr>
              <w:t>31.12.2019 г.</w:t>
            </w: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b/>
                <w:noProof/>
                <w:color w:val="000000"/>
                <w:sz w:val="18"/>
              </w:rPr>
            </w:pPr>
            <w:r>
              <w:rPr>
                <w:rFonts w:ascii="Verdana" w:hAnsi="Verdana"/>
                <w:b/>
                <w:noProof/>
                <w:color w:val="000000"/>
                <w:sz w:val="18"/>
              </w:rPr>
              <w:t>Нетекущи</w:t>
            </w:r>
          </w:p>
        </w:tc>
        <w:tc>
          <w:tcPr>
            <w:tcW w:w="2132" w:type="dxa"/>
            <w:tcBorders>
              <w:top w:val="nil"/>
              <w:left w:val="nil"/>
              <w:bottom w:val="nil"/>
              <w:right w:val="nil"/>
              <w:tl2br w:val="nil"/>
              <w:tr2bl w:val="nil"/>
            </w:tcBorders>
            <w:shd w:val="clear" w:color="auto" w:fill="auto"/>
            <w:tcMar>
              <w:left w:w="60" w:type="dxa"/>
              <w:right w:w="60" w:type="dxa"/>
            </w:tcMar>
            <w:vAlign w:val="center"/>
          </w:tcPr>
          <w:p>
            <w:pPr>
              <w:pStyle w:val="DMETW19860BIPRET"/>
              <w:jc w:val="center"/>
              <w:rPr>
                <w:rFonts w:ascii="Verdana" w:eastAsia="Verdana" w:hAnsi="Verdana" w:cs="Verdana"/>
                <w:b/>
                <w:noProof/>
                <w:color w:val="000000"/>
                <w:sz w:val="18"/>
              </w:rPr>
            </w:pPr>
          </w:p>
        </w:tc>
        <w:tc>
          <w:tcPr>
            <w:tcW w:w="2132" w:type="dxa"/>
            <w:tcBorders>
              <w:top w:val="nil"/>
              <w:left w:val="nil"/>
              <w:bottom w:val="nil"/>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b/>
                <w:noProof/>
                <w:color w:val="000000"/>
                <w:sz w:val="18"/>
                <w:lang w:bidi="en-GB"/>
              </w:rPr>
            </w:pP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i/>
                <w:noProof/>
                <w:color w:val="000000"/>
                <w:sz w:val="18"/>
              </w:rPr>
            </w:pPr>
            <w:r>
              <w:rPr>
                <w:rFonts w:ascii="Verdana" w:hAnsi="Verdana"/>
                <w:i/>
                <w:noProof/>
                <w:color w:val="000000"/>
                <w:sz w:val="18"/>
              </w:rPr>
              <w:t>Лихви за забава</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1 641</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1 137</w:t>
            </w:r>
          </w:p>
        </w:tc>
      </w:tr>
      <w:tr>
        <w:trPr>
          <w:trHeight w:hRule="exact" w:val="255"/>
        </w:trPr>
        <w:tc>
          <w:tcPr>
            <w:tcW w:w="549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i/>
                <w:noProof/>
                <w:color w:val="000000"/>
                <w:sz w:val="18"/>
              </w:rPr>
            </w:pPr>
            <w:r>
              <w:rPr>
                <w:rFonts w:ascii="Verdana" w:hAnsi="Verdana"/>
                <w:i/>
                <w:noProof/>
                <w:color w:val="000000"/>
                <w:sz w:val="18"/>
              </w:rPr>
              <w:t>Други вземания</w:t>
            </w:r>
          </w:p>
        </w:tc>
        <w:tc>
          <w:tcPr>
            <w:tcW w:w="21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 xml:space="preserve"> 44</w:t>
            </w:r>
          </w:p>
        </w:tc>
        <w:tc>
          <w:tcPr>
            <w:tcW w:w="21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 xml:space="preserve"> 48</w:t>
            </w:r>
          </w:p>
        </w:tc>
      </w:tr>
      <w:tr>
        <w:trPr>
          <w:trHeight w:hRule="exac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0BIPRET"/>
              <w:jc w:val="center"/>
              <w:rPr>
                <w:rFonts w:ascii="Verdana" w:eastAsia="Verdana" w:hAnsi="Verdana" w:cs="Verdana"/>
                <w:noProof/>
                <w:color w:val="000000"/>
                <w:sz w:val="18"/>
              </w:rPr>
            </w:pP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b/>
                <w:noProof/>
                <w:color w:val="000000"/>
                <w:sz w:val="18"/>
              </w:rPr>
            </w:pPr>
            <w:r>
              <w:rPr>
                <w:rFonts w:ascii="Verdana" w:hAnsi="Verdana"/>
                <w:b/>
                <w:noProof/>
                <w:color w:val="000000"/>
                <w:sz w:val="18"/>
              </w:rPr>
              <w:t>1 685</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b/>
                <w:noProof/>
                <w:color w:val="000000"/>
                <w:sz w:val="18"/>
              </w:rPr>
            </w:pPr>
            <w:r>
              <w:rPr>
                <w:rFonts w:ascii="Verdana" w:hAnsi="Verdana"/>
                <w:b/>
                <w:noProof/>
                <w:color w:val="000000"/>
                <w:sz w:val="18"/>
              </w:rPr>
              <w:t>1 185</w:t>
            </w:r>
          </w:p>
        </w:tc>
      </w:tr>
      <w:tr>
        <w:trPr>
          <w:trHeight w:hRule="exact" w:val="255"/>
        </w:trPr>
        <w:tc>
          <w:tcPr>
            <w:tcW w:w="549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b/>
                <w:noProof/>
                <w:color w:val="000000"/>
                <w:sz w:val="18"/>
              </w:rPr>
            </w:pPr>
            <w:r>
              <w:rPr>
                <w:rFonts w:ascii="Verdana" w:hAnsi="Verdana"/>
                <w:b/>
                <w:noProof/>
                <w:color w:val="000000"/>
                <w:sz w:val="18"/>
              </w:rPr>
              <w:t>Текущи</w:t>
            </w:r>
          </w:p>
        </w:tc>
        <w:tc>
          <w:tcPr>
            <w:tcW w:w="213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0BIPRET"/>
              <w:jc w:val="center"/>
              <w:rPr>
                <w:rFonts w:ascii="Verdana" w:eastAsia="Verdana" w:hAnsi="Verdana" w:cs="Verdana"/>
                <w:b/>
                <w:noProof/>
                <w:color w:val="000000"/>
                <w:sz w:val="18"/>
              </w:rPr>
            </w:pPr>
          </w:p>
        </w:tc>
        <w:tc>
          <w:tcPr>
            <w:tcW w:w="213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b/>
                <w:noProof/>
                <w:color w:val="000000"/>
                <w:sz w:val="18"/>
                <w:lang w:bidi="en-GB"/>
              </w:rPr>
            </w:pP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i/>
                <w:noProof/>
                <w:color w:val="000000"/>
                <w:sz w:val="18"/>
              </w:rPr>
            </w:pPr>
            <w:r>
              <w:rPr>
                <w:rFonts w:ascii="Verdana" w:hAnsi="Verdana"/>
                <w:i/>
                <w:noProof/>
                <w:color w:val="000000"/>
                <w:sz w:val="18"/>
              </w:rPr>
              <w:t>Клиенти</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 xml:space="preserve"> 324</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 xml:space="preserve"> 269</w:t>
            </w: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i/>
                <w:noProof/>
                <w:color w:val="000000"/>
                <w:sz w:val="18"/>
              </w:rPr>
            </w:pPr>
            <w:r>
              <w:rPr>
                <w:rFonts w:ascii="Verdana" w:hAnsi="Verdana"/>
                <w:i/>
                <w:noProof/>
                <w:color w:val="000000"/>
                <w:sz w:val="18"/>
              </w:rPr>
              <w:t>Обезценка на вземанията от клиенти</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 xml:space="preserve"> (188)</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 xml:space="preserve"> (153)</w:t>
            </w: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i/>
                <w:noProof/>
                <w:color w:val="000000"/>
                <w:sz w:val="18"/>
              </w:rPr>
            </w:pPr>
            <w:r>
              <w:rPr>
                <w:rFonts w:ascii="Verdana" w:hAnsi="Verdana"/>
                <w:i/>
                <w:noProof/>
                <w:color w:val="000000"/>
                <w:sz w:val="18"/>
              </w:rPr>
              <w:t>Разходи за бъдещи периоди, свързани с операции с размяна</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 xml:space="preserve"> 345</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 xml:space="preserve"> 238</w:t>
            </w: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i/>
                <w:noProof/>
                <w:color w:val="000000"/>
                <w:sz w:val="18"/>
              </w:rPr>
            </w:pPr>
            <w:r>
              <w:rPr>
                <w:rFonts w:ascii="Verdana" w:hAnsi="Verdana"/>
                <w:i/>
                <w:noProof/>
                <w:color w:val="000000"/>
                <w:sz w:val="18"/>
              </w:rPr>
              <w:t>Лихви за забава</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1 085</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528</w:t>
            </w:r>
          </w:p>
        </w:tc>
      </w:tr>
      <w:tr>
        <w:trPr>
          <w:trHeight w:hRule="exact" w:val="255"/>
        </w:trPr>
        <w:tc>
          <w:tcPr>
            <w:tcW w:w="549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i/>
                <w:noProof/>
                <w:color w:val="000000"/>
                <w:sz w:val="18"/>
              </w:rPr>
            </w:pPr>
            <w:r>
              <w:rPr>
                <w:rFonts w:ascii="Verdana" w:hAnsi="Verdana"/>
                <w:i/>
                <w:noProof/>
                <w:color w:val="000000"/>
                <w:sz w:val="18"/>
              </w:rPr>
              <w:t>Други</w:t>
            </w:r>
          </w:p>
        </w:tc>
        <w:tc>
          <w:tcPr>
            <w:tcW w:w="21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200</w:t>
            </w:r>
          </w:p>
        </w:tc>
        <w:tc>
          <w:tcPr>
            <w:tcW w:w="213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i/>
                <w:noProof/>
                <w:color w:val="000000"/>
                <w:sz w:val="18"/>
              </w:rPr>
            </w:pPr>
            <w:r>
              <w:rPr>
                <w:rFonts w:ascii="Verdana" w:hAnsi="Verdana"/>
                <w:i/>
                <w:noProof/>
                <w:color w:val="000000"/>
                <w:sz w:val="18"/>
              </w:rPr>
              <w:t xml:space="preserve"> 157</w:t>
            </w:r>
          </w:p>
        </w:tc>
      </w:tr>
      <w:tr>
        <w:trPr>
          <w:trHeight w:hRule="exact" w:val="300"/>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0BIPRET"/>
              <w:jc w:val="center"/>
              <w:rPr>
                <w:rFonts w:ascii="Verdana" w:eastAsia="Verdana" w:hAnsi="Verdana" w:cs="Verdana"/>
                <w:noProof/>
                <w:color w:val="000000"/>
                <w:sz w:val="18"/>
              </w:rPr>
            </w:pP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b/>
                <w:noProof/>
                <w:color w:val="000000"/>
                <w:sz w:val="18"/>
              </w:rPr>
            </w:pPr>
            <w:r>
              <w:rPr>
                <w:rFonts w:ascii="Verdana" w:hAnsi="Verdana"/>
                <w:b/>
                <w:noProof/>
                <w:color w:val="000000"/>
                <w:sz w:val="18"/>
              </w:rPr>
              <w:t>1 766</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b/>
                <w:noProof/>
                <w:color w:val="000000"/>
                <w:sz w:val="18"/>
              </w:rPr>
            </w:pPr>
            <w:r>
              <w:rPr>
                <w:rFonts w:ascii="Verdana" w:hAnsi="Verdana"/>
                <w:b/>
                <w:noProof/>
                <w:color w:val="000000"/>
                <w:sz w:val="18"/>
              </w:rPr>
              <w:t>1 038</w:t>
            </w:r>
          </w:p>
        </w:tc>
      </w:tr>
      <w:tr>
        <w:trPr>
          <w:trHeight w:hRule="exact" w:val="300"/>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0BIPRET"/>
              <w:rPr>
                <w:rFonts w:ascii="Verdana" w:eastAsia="Verdana" w:hAnsi="Verdana" w:cs="Verdana"/>
                <w:b/>
                <w:noProof/>
                <w:color w:val="000000"/>
                <w:sz w:val="18"/>
              </w:rPr>
            </w:pPr>
            <w:r>
              <w:rPr>
                <w:rFonts w:ascii="Verdana" w:hAnsi="Verdana"/>
                <w:b/>
                <w:noProof/>
                <w:color w:val="000000"/>
                <w:sz w:val="18"/>
              </w:rPr>
              <w:t>Общо</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b/>
                <w:noProof/>
                <w:color w:val="000000"/>
                <w:sz w:val="18"/>
              </w:rPr>
            </w:pPr>
            <w:r>
              <w:rPr>
                <w:rFonts w:ascii="Verdana" w:hAnsi="Verdana"/>
                <w:b/>
                <w:noProof/>
                <w:color w:val="000000"/>
                <w:sz w:val="18"/>
              </w:rPr>
              <w:t>3 450</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60BIPRET"/>
              <w:jc w:val="right"/>
              <w:rPr>
                <w:rFonts w:ascii="Verdana" w:eastAsia="Verdana" w:hAnsi="Verdana" w:cs="Verdana"/>
                <w:b/>
                <w:noProof/>
                <w:color w:val="000000"/>
                <w:sz w:val="18"/>
              </w:rPr>
            </w:pPr>
            <w:r>
              <w:rPr>
                <w:rFonts w:ascii="Verdana" w:hAnsi="Verdana"/>
                <w:b/>
                <w:noProof/>
                <w:color w:val="000000"/>
                <w:sz w:val="18"/>
              </w:rPr>
              <w:t>2 223</w:t>
            </w:r>
          </w:p>
        </w:tc>
      </w:tr>
    </w:tbl>
    <w:p>
      <w:pPr>
        <w:pStyle w:val="DGTextstand-alone"/>
      </w:pPr>
      <w:r>
        <w:t>Нетекущите лихви за забава са свързани с производството за нарушение, посочено в бележка </w:t>
      </w:r>
      <w:r>
        <w:rPr>
          <w:b/>
        </w:rPr>
        <w:t>2.6.1.1</w:t>
      </w:r>
      <w:r>
        <w:t>.</w:t>
      </w:r>
    </w:p>
    <w:p>
      <w:pPr>
        <w:pStyle w:val="DGTextstand-alone"/>
      </w:pPr>
      <w:r>
        <w:t>Другите текущи вземания се отнасят главно до лихви за забава. Увеличението през периода 2019—2020 г. се дължи на допълнителни начислени приходи, произтичащи от доклади от проверки на ТСР, и на увеличение, свързано с натрупаните лихви по гаранциите, предоставени от глобените предприятия.</w:t>
      </w:r>
    </w:p>
    <w:p>
      <w:pPr>
        <w:rPr>
          <w:rFonts w:ascii="Verdana" w:eastAsia="Calibri" w:hAnsi="Verdana"/>
          <w:noProof/>
          <w:sz w:val="18"/>
          <w:szCs w:val="18"/>
          <w:bdr w:val="nil"/>
          <w:lang w:eastAsia="en-US"/>
        </w:rPr>
        <w:sectPr>
          <w:headerReference w:type="even" r:id="rId164"/>
          <w:headerReference w:type="default" r:id="rId165"/>
          <w:footerReference w:type="even" r:id="rId166"/>
          <w:footerReference w:type="default" r:id="rId167"/>
          <w:headerReference w:type="first" r:id="rId168"/>
          <w:footerReference w:type="first" r:id="rId169"/>
          <w:type w:val="continuous"/>
          <w:pgSz w:w="11906" w:h="16838"/>
          <w:pgMar w:top="1134" w:right="1134" w:bottom="1134" w:left="1134" w:header="709" w:footer="709" w:gutter="0"/>
          <w:cols w:space="708"/>
          <w:docGrid w:linePitch="360"/>
        </w:sectPr>
      </w:pPr>
    </w:p>
    <w:p>
      <w:pPr>
        <w:pStyle w:val="HEADER2NOTES"/>
        <w:spacing w:before="0"/>
        <w:rPr>
          <w:noProof/>
        </w:rPr>
      </w:pPr>
      <w:bookmarkStart w:id="122" w:name="_DMBM_19789"/>
      <w:r>
        <w:rPr>
          <w:noProof/>
        </w:rPr>
        <w:br w:type="page"/>
        <w:t xml:space="preserve">МАТЕРИАЛНИ ЗАПАСИ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4"/>
        <w:gridCol w:w="2392"/>
        <w:gridCol w:w="2392"/>
      </w:tblGrid>
      <w:tr>
        <w:trPr>
          <w:trHeight w:val="255"/>
        </w:trPr>
        <w:tc>
          <w:tcPr>
            <w:tcW w:w="4974" w:type="dxa"/>
            <w:tcBorders>
              <w:top w:val="nil"/>
              <w:left w:val="nil"/>
              <w:bottom w:val="nil"/>
              <w:right w:val="nil"/>
              <w:tl2br w:val="nil"/>
              <w:tr2bl w:val="nil"/>
            </w:tcBorders>
            <w:shd w:val="clear" w:color="auto" w:fill="auto"/>
            <w:tcMar>
              <w:left w:w="60" w:type="dxa"/>
              <w:right w:w="60" w:type="dxa"/>
            </w:tcMar>
            <w:vAlign w:val="bottom"/>
          </w:tcPr>
          <w:p>
            <w:pPr>
              <w:pStyle w:val="DMETW19881BIPINV"/>
              <w:rPr>
                <w:rFonts w:ascii="Arial" w:eastAsia="Arial" w:hAnsi="Arial" w:cs="Arial"/>
                <w:noProof/>
                <w:color w:val="000000"/>
              </w:rPr>
            </w:pPr>
            <w:bookmarkStart w:id="123" w:name="DOC_TBL00036_1_1"/>
            <w:bookmarkEnd w:id="123"/>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9881BIPINV"/>
              <w:rPr>
                <w:rFonts w:ascii="Arial" w:eastAsia="Arial" w:hAnsi="Arial" w:cs="Arial"/>
                <w:noProof/>
                <w:color w:val="000000"/>
              </w:rPr>
            </w:pPr>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9881BIPINV"/>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974" w:type="dxa"/>
            <w:tcBorders>
              <w:top w:val="nil"/>
              <w:left w:val="nil"/>
              <w:bottom w:val="nil"/>
              <w:right w:val="nil"/>
              <w:tl2br w:val="nil"/>
              <w:tr2bl w:val="nil"/>
            </w:tcBorders>
            <w:shd w:val="solid" w:color="016794" w:fill="FFFFFF"/>
            <w:tcMar>
              <w:left w:w="60" w:type="dxa"/>
              <w:right w:w="60" w:type="dxa"/>
            </w:tcMar>
            <w:vAlign w:val="center"/>
          </w:tcPr>
          <w:p>
            <w:pPr>
              <w:pStyle w:val="DMETW19881BIPINV"/>
              <w:jc w:val="right"/>
              <w:rPr>
                <w:rFonts w:ascii="Verdana" w:eastAsia="Verdana" w:hAnsi="Verdana" w:cs="Verdana"/>
                <w:noProof/>
                <w:color w:val="FFFFFF"/>
                <w:sz w:val="18"/>
              </w:rPr>
            </w:pPr>
          </w:p>
        </w:tc>
        <w:tc>
          <w:tcPr>
            <w:tcW w:w="2392" w:type="dxa"/>
            <w:tcBorders>
              <w:top w:val="nil"/>
              <w:left w:val="nil"/>
              <w:bottom w:val="nil"/>
              <w:right w:val="nil"/>
              <w:tl2br w:val="nil"/>
              <w:tr2bl w:val="nil"/>
            </w:tcBorders>
            <w:shd w:val="solid" w:color="016794" w:fill="FFFFFF"/>
            <w:tcMar>
              <w:left w:w="60" w:type="dxa"/>
              <w:right w:w="60" w:type="dxa"/>
            </w:tcMar>
            <w:vAlign w:val="center"/>
          </w:tcPr>
          <w:p>
            <w:pPr>
              <w:pStyle w:val="DMETW19881BIPINV"/>
              <w:jc w:val="right"/>
              <w:rPr>
                <w:rFonts w:ascii="Verdana" w:eastAsia="Verdana" w:hAnsi="Verdana" w:cs="Verdana"/>
                <w:noProof/>
                <w:color w:val="FFFFFF"/>
              </w:rPr>
            </w:pPr>
            <w:r>
              <w:rPr>
                <w:rFonts w:ascii="Verdana" w:hAnsi="Verdana"/>
                <w:noProof/>
                <w:color w:val="FFFFFF"/>
              </w:rPr>
              <w:t>31.12.2020 г.</w:t>
            </w:r>
          </w:p>
        </w:tc>
        <w:tc>
          <w:tcPr>
            <w:tcW w:w="2392" w:type="dxa"/>
            <w:tcBorders>
              <w:top w:val="nil"/>
              <w:left w:val="nil"/>
              <w:bottom w:val="nil"/>
              <w:right w:val="nil"/>
              <w:tl2br w:val="nil"/>
              <w:tr2bl w:val="nil"/>
            </w:tcBorders>
            <w:shd w:val="solid" w:color="016794" w:fill="FFFFFF"/>
            <w:tcMar>
              <w:left w:w="60" w:type="dxa"/>
              <w:right w:w="60" w:type="dxa"/>
            </w:tcMar>
            <w:vAlign w:val="center"/>
          </w:tcPr>
          <w:p>
            <w:pPr>
              <w:pStyle w:val="DMETW19881BIPINV"/>
              <w:jc w:val="right"/>
              <w:rPr>
                <w:rFonts w:ascii="Verdana" w:eastAsia="Verdana" w:hAnsi="Verdana" w:cs="Verdana"/>
                <w:noProof/>
                <w:color w:val="FFFFFF"/>
              </w:rPr>
            </w:pPr>
            <w:r>
              <w:rPr>
                <w:rFonts w:ascii="Verdana" w:hAnsi="Verdana"/>
                <w:noProof/>
                <w:color w:val="FFFFFF"/>
              </w:rPr>
              <w:t>31.12.2019 г.</w:t>
            </w:r>
          </w:p>
        </w:tc>
      </w:tr>
      <w:tr>
        <w:trPr>
          <w:trHeight w:val="255"/>
        </w:trPr>
        <w:tc>
          <w:tcPr>
            <w:tcW w:w="4974" w:type="dxa"/>
            <w:tcBorders>
              <w:top w:val="nil"/>
              <w:left w:val="nil"/>
              <w:bottom w:val="nil"/>
              <w:right w:val="nil"/>
              <w:tl2br w:val="nil"/>
              <w:tr2bl w:val="nil"/>
            </w:tcBorders>
            <w:shd w:val="clear" w:color="auto" w:fill="auto"/>
            <w:tcMar>
              <w:left w:w="60" w:type="dxa"/>
              <w:right w:w="60" w:type="dxa"/>
            </w:tcMar>
            <w:vAlign w:val="center"/>
          </w:tcPr>
          <w:p>
            <w:pPr>
              <w:pStyle w:val="DMETW19881BIPINV"/>
              <w:rPr>
                <w:rFonts w:ascii="Verdana" w:eastAsia="Verdana" w:hAnsi="Verdana" w:cs="Verdana"/>
                <w:i/>
                <w:noProof/>
                <w:color w:val="000000"/>
                <w:sz w:val="18"/>
              </w:rPr>
            </w:pPr>
            <w:r>
              <w:rPr>
                <w:rFonts w:ascii="Verdana" w:hAnsi="Verdana"/>
                <w:i/>
                <w:noProof/>
                <w:color w:val="000000"/>
                <w:sz w:val="18"/>
              </w:rPr>
              <w:t>Научни материали</w:t>
            </w:r>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9881BIPINV"/>
              <w:jc w:val="right"/>
              <w:rPr>
                <w:rFonts w:ascii="Verdana" w:eastAsia="Verdana" w:hAnsi="Verdana" w:cs="Verdana"/>
                <w:i/>
                <w:noProof/>
                <w:color w:val="000000"/>
                <w:sz w:val="18"/>
              </w:rPr>
            </w:pPr>
            <w:r>
              <w:rPr>
                <w:rFonts w:ascii="Verdana" w:hAnsi="Verdana"/>
                <w:i/>
                <w:noProof/>
                <w:color w:val="000000"/>
                <w:sz w:val="18"/>
              </w:rPr>
              <w:t xml:space="preserve"> 59</w:t>
            </w:r>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9881BIPINV"/>
              <w:jc w:val="right"/>
              <w:rPr>
                <w:rFonts w:ascii="Verdana" w:eastAsia="Verdana" w:hAnsi="Verdana" w:cs="Verdana"/>
                <w:i/>
                <w:noProof/>
                <w:color w:val="000000"/>
                <w:sz w:val="18"/>
              </w:rPr>
            </w:pPr>
            <w:r>
              <w:rPr>
                <w:rFonts w:ascii="Verdana" w:hAnsi="Verdana"/>
                <w:i/>
                <w:noProof/>
                <w:color w:val="000000"/>
                <w:sz w:val="18"/>
              </w:rPr>
              <w:t xml:space="preserve"> 47</w:t>
            </w:r>
          </w:p>
        </w:tc>
      </w:tr>
      <w:tr>
        <w:trPr>
          <w:trHeight w:val="255"/>
        </w:trPr>
        <w:tc>
          <w:tcPr>
            <w:tcW w:w="4974" w:type="dxa"/>
            <w:tcBorders>
              <w:top w:val="nil"/>
              <w:left w:val="nil"/>
              <w:bottom w:val="nil"/>
              <w:right w:val="nil"/>
              <w:tl2br w:val="nil"/>
              <w:tr2bl w:val="nil"/>
            </w:tcBorders>
            <w:shd w:val="clear" w:color="auto" w:fill="auto"/>
            <w:tcMar>
              <w:left w:w="60" w:type="dxa"/>
              <w:right w:w="60" w:type="dxa"/>
            </w:tcMar>
            <w:vAlign w:val="center"/>
          </w:tcPr>
          <w:p>
            <w:pPr>
              <w:pStyle w:val="DMETW19881BIPINV"/>
              <w:rPr>
                <w:rFonts w:ascii="Verdana" w:eastAsia="Verdana" w:hAnsi="Verdana" w:cs="Verdana"/>
                <w:i/>
                <w:noProof/>
                <w:color w:val="000000"/>
                <w:sz w:val="18"/>
              </w:rPr>
            </w:pPr>
            <w:r>
              <w:rPr>
                <w:rFonts w:ascii="Verdana" w:hAnsi="Verdana"/>
                <w:i/>
                <w:noProof/>
                <w:color w:val="000000"/>
                <w:sz w:val="18"/>
              </w:rPr>
              <w:t>Други</w:t>
            </w:r>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9881BIPINV"/>
              <w:jc w:val="right"/>
              <w:rPr>
                <w:rFonts w:ascii="Verdana" w:eastAsia="Verdana" w:hAnsi="Verdana" w:cs="Verdana"/>
                <w:i/>
                <w:noProof/>
                <w:color w:val="000000"/>
                <w:sz w:val="18"/>
              </w:rPr>
            </w:pPr>
            <w:r>
              <w:rPr>
                <w:rFonts w:ascii="Verdana" w:hAnsi="Verdana"/>
                <w:i/>
                <w:noProof/>
                <w:color w:val="000000"/>
                <w:sz w:val="18"/>
              </w:rPr>
              <w:t xml:space="preserve"> 21</w:t>
            </w:r>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9881BIPINV"/>
              <w:jc w:val="right"/>
              <w:rPr>
                <w:rFonts w:ascii="Verdana" w:eastAsia="Verdana" w:hAnsi="Verdana" w:cs="Verdana"/>
                <w:i/>
                <w:noProof/>
                <w:color w:val="000000"/>
                <w:sz w:val="18"/>
              </w:rPr>
            </w:pPr>
            <w:r>
              <w:rPr>
                <w:rFonts w:ascii="Verdana" w:hAnsi="Verdana"/>
                <w:i/>
                <w:noProof/>
                <w:color w:val="000000"/>
                <w:sz w:val="18"/>
              </w:rPr>
              <w:t xml:space="preserve"> 21</w:t>
            </w:r>
          </w:p>
        </w:tc>
      </w:tr>
      <w:tr>
        <w:trPr>
          <w:trHeight w:val="255"/>
        </w:trPr>
        <w:tc>
          <w:tcPr>
            <w:tcW w:w="4974" w:type="dxa"/>
            <w:tcBorders>
              <w:top w:val="nil"/>
              <w:left w:val="nil"/>
              <w:bottom w:val="nil"/>
              <w:right w:val="nil"/>
              <w:tl2br w:val="nil"/>
              <w:tr2bl w:val="nil"/>
            </w:tcBorders>
            <w:shd w:val="solid" w:color="CCE1EA" w:fill="FFFFFF"/>
            <w:tcMar>
              <w:left w:w="60" w:type="dxa"/>
              <w:right w:w="60" w:type="dxa"/>
            </w:tcMar>
            <w:vAlign w:val="center"/>
          </w:tcPr>
          <w:p>
            <w:pPr>
              <w:pStyle w:val="DMETW19881BIPINV"/>
              <w:rPr>
                <w:rFonts w:ascii="Verdana" w:eastAsia="Verdana" w:hAnsi="Verdana" w:cs="Verdana"/>
                <w:b/>
                <w:noProof/>
                <w:color w:val="000000"/>
                <w:sz w:val="18"/>
              </w:rPr>
            </w:pPr>
            <w:r>
              <w:rPr>
                <w:rFonts w:ascii="Verdana" w:hAnsi="Verdana"/>
                <w:b/>
                <w:noProof/>
                <w:color w:val="000000"/>
                <w:sz w:val="18"/>
              </w:rPr>
              <w:t>Общо</w:t>
            </w:r>
          </w:p>
        </w:tc>
        <w:tc>
          <w:tcPr>
            <w:tcW w:w="2392" w:type="dxa"/>
            <w:tcBorders>
              <w:top w:val="nil"/>
              <w:left w:val="nil"/>
              <w:bottom w:val="nil"/>
              <w:right w:val="nil"/>
              <w:tl2br w:val="nil"/>
              <w:tr2bl w:val="nil"/>
            </w:tcBorders>
            <w:shd w:val="solid" w:color="CCE1EA" w:fill="FFFFFF"/>
            <w:tcMar>
              <w:left w:w="60" w:type="dxa"/>
              <w:right w:w="60" w:type="dxa"/>
            </w:tcMar>
            <w:vAlign w:val="bottom"/>
          </w:tcPr>
          <w:p>
            <w:pPr>
              <w:pStyle w:val="DMETW19881BIPINV"/>
              <w:jc w:val="right"/>
              <w:rPr>
                <w:rFonts w:ascii="Verdana" w:eastAsia="Verdana" w:hAnsi="Verdana" w:cs="Verdana"/>
                <w:b/>
                <w:noProof/>
                <w:color w:val="000000"/>
                <w:sz w:val="18"/>
              </w:rPr>
            </w:pPr>
            <w:r>
              <w:rPr>
                <w:rFonts w:ascii="Verdana" w:hAnsi="Verdana"/>
                <w:b/>
                <w:noProof/>
                <w:color w:val="000000"/>
                <w:sz w:val="18"/>
              </w:rPr>
              <w:t xml:space="preserve"> 80</w:t>
            </w:r>
          </w:p>
        </w:tc>
        <w:tc>
          <w:tcPr>
            <w:tcW w:w="2392" w:type="dxa"/>
            <w:tcBorders>
              <w:top w:val="nil"/>
              <w:left w:val="nil"/>
              <w:bottom w:val="nil"/>
              <w:right w:val="nil"/>
              <w:tl2br w:val="nil"/>
              <w:tr2bl w:val="nil"/>
            </w:tcBorders>
            <w:shd w:val="solid" w:color="CCE1EA" w:fill="FFFFFF"/>
            <w:tcMar>
              <w:left w:w="60" w:type="dxa"/>
              <w:right w:w="60" w:type="dxa"/>
            </w:tcMar>
            <w:vAlign w:val="bottom"/>
          </w:tcPr>
          <w:p>
            <w:pPr>
              <w:pStyle w:val="DMETW19881BIPINV"/>
              <w:jc w:val="right"/>
              <w:rPr>
                <w:rFonts w:ascii="Verdana" w:eastAsia="Verdana" w:hAnsi="Verdana" w:cs="Verdana"/>
                <w:b/>
                <w:noProof/>
                <w:color w:val="000000"/>
                <w:sz w:val="18"/>
              </w:rPr>
            </w:pPr>
            <w:r>
              <w:rPr>
                <w:rFonts w:ascii="Verdana" w:hAnsi="Verdana"/>
                <w:b/>
                <w:noProof/>
                <w:color w:val="000000"/>
                <w:sz w:val="18"/>
              </w:rPr>
              <w:t xml:space="preserve"> 68</w:t>
            </w:r>
          </w:p>
        </w:tc>
      </w:tr>
    </w:tbl>
    <w:p>
      <w:pPr>
        <w:pStyle w:val="Textstand-alone"/>
        <w:spacing w:before="0" w:after="0"/>
        <w:sectPr>
          <w:headerReference w:type="even" r:id="rId170"/>
          <w:headerReference w:type="default" r:id="rId171"/>
          <w:footerReference w:type="even" r:id="rId172"/>
          <w:footerReference w:type="default" r:id="rId173"/>
          <w:headerReference w:type="first" r:id="rId174"/>
          <w:footerReference w:type="first" r:id="rId175"/>
          <w:type w:val="continuous"/>
          <w:pgSz w:w="11906" w:h="16838"/>
          <w:pgMar w:top="1134" w:right="1134" w:bottom="1134" w:left="1134" w:header="709" w:footer="709" w:gutter="0"/>
          <w:cols w:space="708"/>
          <w:docGrid w:linePitch="360"/>
        </w:sectPr>
      </w:pPr>
      <w:r>
        <w:t xml:space="preserve"> </w:t>
      </w:r>
      <w:bookmarkEnd w:id="122"/>
    </w:p>
    <w:p>
      <w:pPr>
        <w:pStyle w:val="HEADER2NOTES"/>
        <w:rPr>
          <w:noProof/>
        </w:rPr>
      </w:pPr>
      <w:bookmarkStart w:id="124" w:name="_DMBM_19807"/>
      <w:r>
        <w:rPr>
          <w:noProof/>
        </w:rPr>
        <w:t>ПАРИ И ПАРИЧНИ ЕКВИВАЛЕНТИ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6"/>
        <w:gridCol w:w="1226"/>
        <w:gridCol w:w="1288"/>
        <w:gridCol w:w="1288"/>
      </w:tblGrid>
      <w:tr>
        <w:trPr>
          <w:trHeight w:val="255"/>
        </w:trPr>
        <w:tc>
          <w:tcPr>
            <w:tcW w:w="5956" w:type="dxa"/>
            <w:tcBorders>
              <w:top w:val="nil"/>
              <w:left w:val="nil"/>
              <w:bottom w:val="nil"/>
              <w:right w:val="nil"/>
              <w:tl2br w:val="nil"/>
              <w:tr2bl w:val="nil"/>
            </w:tcBorders>
            <w:shd w:val="clear" w:color="auto" w:fill="auto"/>
            <w:tcMar>
              <w:left w:w="60" w:type="dxa"/>
              <w:right w:w="60" w:type="dxa"/>
            </w:tcMar>
            <w:vAlign w:val="bottom"/>
          </w:tcPr>
          <w:p>
            <w:pPr>
              <w:pStyle w:val="DMETW19882BIPCCE"/>
              <w:rPr>
                <w:rFonts w:ascii="Arial" w:eastAsia="Arial" w:hAnsi="Arial" w:cs="Arial"/>
                <w:noProof/>
                <w:color w:val="000000"/>
              </w:rPr>
            </w:pPr>
            <w:bookmarkStart w:id="125" w:name="DOC_TBL00037_1_1"/>
            <w:bookmarkEnd w:id="125"/>
          </w:p>
        </w:tc>
        <w:tc>
          <w:tcPr>
            <w:tcW w:w="1226" w:type="dxa"/>
            <w:tcBorders>
              <w:top w:val="nil"/>
              <w:left w:val="nil"/>
              <w:bottom w:val="nil"/>
              <w:right w:val="nil"/>
              <w:tl2br w:val="nil"/>
              <w:tr2bl w:val="nil"/>
            </w:tcBorders>
            <w:shd w:val="clear" w:color="auto" w:fill="auto"/>
            <w:tcMar>
              <w:left w:w="60" w:type="dxa"/>
              <w:right w:w="60" w:type="dxa"/>
            </w:tcMar>
            <w:vAlign w:val="bottom"/>
          </w:tcPr>
          <w:p>
            <w:pPr>
              <w:pStyle w:val="DMETW19882BIPCCE"/>
              <w:rPr>
                <w:rFonts w:ascii="Arial" w:eastAsia="Arial" w:hAnsi="Arial" w:cs="Arial"/>
                <w:noProof/>
                <w:color w:val="000000"/>
              </w:rPr>
            </w:pPr>
          </w:p>
        </w:tc>
        <w:tc>
          <w:tcPr>
            <w:tcW w:w="1288" w:type="dxa"/>
            <w:tcBorders>
              <w:top w:val="nil"/>
              <w:left w:val="nil"/>
              <w:bottom w:val="nil"/>
              <w:right w:val="nil"/>
              <w:tl2br w:val="nil"/>
              <w:tr2bl w:val="nil"/>
            </w:tcBorders>
            <w:shd w:val="clear" w:color="auto" w:fill="auto"/>
            <w:tcMar>
              <w:left w:w="60" w:type="dxa"/>
              <w:right w:w="60" w:type="dxa"/>
            </w:tcMar>
            <w:vAlign w:val="bottom"/>
          </w:tcPr>
          <w:p>
            <w:pPr>
              <w:pStyle w:val="DMETW19882BIPCCE"/>
              <w:rPr>
                <w:rFonts w:ascii="Arial" w:eastAsia="Arial" w:hAnsi="Arial" w:cs="Arial"/>
                <w:noProof/>
                <w:color w:val="000000"/>
              </w:rPr>
            </w:pPr>
          </w:p>
        </w:tc>
        <w:tc>
          <w:tcPr>
            <w:tcW w:w="1288" w:type="dxa"/>
            <w:tcBorders>
              <w:top w:val="nil"/>
              <w:left w:val="nil"/>
              <w:bottom w:val="nil"/>
              <w:right w:val="nil"/>
              <w:tl2br w:val="nil"/>
              <w:tr2bl w:val="nil"/>
            </w:tcBorders>
            <w:shd w:val="clear" w:color="auto" w:fill="auto"/>
            <w:tcMar>
              <w:left w:w="60" w:type="dxa"/>
              <w:right w:w="60" w:type="dxa"/>
            </w:tcMar>
            <w:vAlign w:val="bottom"/>
          </w:tcPr>
          <w:p>
            <w:pPr>
              <w:pStyle w:val="DMETW19882BIPCC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956" w:type="dxa"/>
            <w:tcBorders>
              <w:top w:val="nil"/>
              <w:left w:val="nil"/>
              <w:bottom w:val="nil"/>
              <w:right w:val="nil"/>
              <w:tl2br w:val="nil"/>
              <w:tr2bl w:val="nil"/>
            </w:tcBorders>
            <w:shd w:val="solid" w:color="016794" w:fill="FFFFFF"/>
            <w:tcMar>
              <w:left w:w="60" w:type="dxa"/>
              <w:right w:w="60" w:type="dxa"/>
            </w:tcMar>
            <w:vAlign w:val="center"/>
          </w:tcPr>
          <w:p>
            <w:pPr>
              <w:pStyle w:val="DMETW19882BIPCCE"/>
              <w:jc w:val="right"/>
              <w:rPr>
                <w:rFonts w:ascii="Verdana" w:eastAsia="Verdana" w:hAnsi="Verdana" w:cs="Verdana"/>
                <w:noProof/>
                <w:color w:val="FFFFFF"/>
              </w:rPr>
            </w:pPr>
          </w:p>
        </w:tc>
        <w:tc>
          <w:tcPr>
            <w:tcW w:w="1226" w:type="dxa"/>
            <w:tcBorders>
              <w:top w:val="nil"/>
              <w:left w:val="nil"/>
              <w:bottom w:val="nil"/>
              <w:right w:val="nil"/>
              <w:tl2br w:val="nil"/>
              <w:tr2bl w:val="nil"/>
            </w:tcBorders>
            <w:shd w:val="solid" w:color="016794" w:fill="FFFFFF"/>
            <w:tcMar>
              <w:left w:w="60" w:type="dxa"/>
              <w:right w:w="60" w:type="dxa"/>
            </w:tcMar>
            <w:vAlign w:val="center"/>
          </w:tcPr>
          <w:p>
            <w:pPr>
              <w:pStyle w:val="DMETW19882BIPCCE"/>
              <w:jc w:val="center"/>
              <w:rPr>
                <w:rFonts w:ascii="Verdana" w:eastAsia="Verdana" w:hAnsi="Verdana" w:cs="Verdana"/>
                <w:noProof/>
                <w:color w:val="FFFFFF"/>
              </w:rPr>
            </w:pPr>
            <w:r>
              <w:rPr>
                <w:rFonts w:ascii="Verdana" w:hAnsi="Verdana"/>
                <w:noProof/>
                <w:color w:val="FFFFFF"/>
              </w:rPr>
              <w:t>Бележка</w:t>
            </w:r>
          </w:p>
        </w:tc>
        <w:tc>
          <w:tcPr>
            <w:tcW w:w="1288" w:type="dxa"/>
            <w:tcBorders>
              <w:top w:val="nil"/>
              <w:left w:val="nil"/>
              <w:bottom w:val="nil"/>
              <w:right w:val="nil"/>
              <w:tl2br w:val="nil"/>
              <w:tr2bl w:val="nil"/>
            </w:tcBorders>
            <w:shd w:val="solid" w:color="016794" w:fill="FFFFFF"/>
            <w:tcMar>
              <w:left w:w="60" w:type="dxa"/>
              <w:right w:w="60" w:type="dxa"/>
            </w:tcMar>
            <w:vAlign w:val="center"/>
          </w:tcPr>
          <w:p>
            <w:pPr>
              <w:pStyle w:val="DMETW19882BIPCCE"/>
              <w:jc w:val="right"/>
              <w:rPr>
                <w:rFonts w:ascii="Verdana" w:eastAsia="Verdana" w:hAnsi="Verdana" w:cs="Verdana"/>
                <w:noProof/>
                <w:color w:val="FFFFFF"/>
              </w:rPr>
            </w:pPr>
            <w:r>
              <w:rPr>
                <w:rFonts w:ascii="Verdana" w:hAnsi="Verdana"/>
                <w:noProof/>
                <w:color w:val="FFFFFF"/>
              </w:rPr>
              <w:t>31.12.2020 г.</w:t>
            </w:r>
          </w:p>
        </w:tc>
        <w:tc>
          <w:tcPr>
            <w:tcW w:w="1288" w:type="dxa"/>
            <w:tcBorders>
              <w:top w:val="nil"/>
              <w:left w:val="nil"/>
              <w:bottom w:val="nil"/>
              <w:right w:val="nil"/>
              <w:tl2br w:val="nil"/>
              <w:tr2bl w:val="nil"/>
            </w:tcBorders>
            <w:shd w:val="solid" w:color="016794" w:fill="FFFFFF"/>
            <w:tcMar>
              <w:left w:w="60" w:type="dxa"/>
              <w:right w:w="60" w:type="dxa"/>
            </w:tcMar>
            <w:vAlign w:val="center"/>
          </w:tcPr>
          <w:p>
            <w:pPr>
              <w:pStyle w:val="DMETW19882BIPCCE"/>
              <w:jc w:val="right"/>
              <w:rPr>
                <w:rFonts w:ascii="Verdana" w:eastAsia="Verdana" w:hAnsi="Verdana" w:cs="Verdana"/>
                <w:noProof/>
                <w:color w:val="FFFFFF"/>
              </w:rPr>
            </w:pPr>
            <w:r>
              <w:rPr>
                <w:rFonts w:ascii="Verdana" w:hAnsi="Verdana"/>
                <w:noProof/>
                <w:color w:val="FFFFFF"/>
              </w:rPr>
              <w:t>31.12.2019 г.</w:t>
            </w:r>
          </w:p>
        </w:tc>
      </w:tr>
      <w:tr>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pPr>
              <w:pStyle w:val="DMETW19882BIPCCE"/>
              <w:rPr>
                <w:rFonts w:ascii="Verdana" w:eastAsia="Verdana" w:hAnsi="Verdana" w:cs="Verdana"/>
                <w:i/>
                <w:noProof/>
                <w:color w:val="000000"/>
                <w:sz w:val="18"/>
              </w:rPr>
            </w:pPr>
            <w:r>
              <w:rPr>
                <w:rFonts w:ascii="Verdana" w:hAnsi="Verdana"/>
                <w:i/>
                <w:noProof/>
                <w:color w:val="000000"/>
                <w:sz w:val="18"/>
              </w:rPr>
              <w:t>Сметки към министерствата на финансите и в централните банки</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i/>
                <w:noProof/>
                <w:color w:val="000000"/>
                <w:sz w:val="18"/>
              </w:rPr>
            </w:pPr>
            <w:r>
              <w:rPr>
                <w:rFonts w:ascii="Verdana" w:hAnsi="Verdana"/>
                <w:i/>
                <w:noProof/>
                <w:color w:val="000000"/>
                <w:sz w:val="18"/>
              </w:rPr>
              <w:t>11 342</w:t>
            </w: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i/>
                <w:noProof/>
                <w:color w:val="000000"/>
                <w:sz w:val="18"/>
              </w:rPr>
            </w:pPr>
            <w:r>
              <w:rPr>
                <w:rFonts w:ascii="Verdana" w:hAnsi="Verdana"/>
                <w:i/>
                <w:noProof/>
                <w:color w:val="000000"/>
                <w:sz w:val="18"/>
              </w:rPr>
              <w:t>15 519</w:t>
            </w:r>
          </w:p>
        </w:tc>
      </w:tr>
      <w:tr>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pPr>
              <w:pStyle w:val="DMETW19882BIPCCE"/>
              <w:rPr>
                <w:rFonts w:ascii="Verdana" w:eastAsia="Verdana" w:hAnsi="Verdana" w:cs="Verdana"/>
                <w:i/>
                <w:noProof/>
                <w:color w:val="000000"/>
                <w:sz w:val="18"/>
              </w:rPr>
            </w:pPr>
            <w:r>
              <w:rPr>
                <w:rFonts w:ascii="Verdana" w:hAnsi="Verdana"/>
                <w:i/>
                <w:noProof/>
                <w:color w:val="000000"/>
                <w:sz w:val="18"/>
              </w:rPr>
              <w:t>Текущи сметки</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i/>
                <w:noProof/>
                <w:color w:val="000000"/>
                <w:sz w:val="18"/>
              </w:rPr>
            </w:pPr>
            <w:r>
              <w:rPr>
                <w:rFonts w:ascii="Verdana" w:hAnsi="Verdana"/>
                <w:i/>
                <w:noProof/>
                <w:color w:val="000000"/>
                <w:sz w:val="18"/>
              </w:rPr>
              <w:t xml:space="preserve"> 80</w:t>
            </w: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i/>
                <w:noProof/>
                <w:color w:val="000000"/>
                <w:sz w:val="18"/>
              </w:rPr>
            </w:pPr>
            <w:r>
              <w:rPr>
                <w:rFonts w:ascii="Verdana" w:hAnsi="Verdana"/>
                <w:i/>
                <w:noProof/>
                <w:color w:val="000000"/>
                <w:sz w:val="18"/>
              </w:rPr>
              <w:t xml:space="preserve"> 91</w:t>
            </w:r>
          </w:p>
        </w:tc>
      </w:tr>
      <w:tr>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pPr>
              <w:pStyle w:val="DMETW19882BIPCCE"/>
              <w:rPr>
                <w:rFonts w:ascii="Verdana" w:eastAsia="Verdana" w:hAnsi="Verdana" w:cs="Verdana"/>
                <w:i/>
                <w:noProof/>
                <w:color w:val="000000"/>
                <w:sz w:val="18"/>
              </w:rPr>
            </w:pPr>
            <w:r>
              <w:rPr>
                <w:rFonts w:ascii="Verdana" w:hAnsi="Verdana"/>
                <w:i/>
                <w:noProof/>
                <w:color w:val="000000"/>
                <w:sz w:val="18"/>
              </w:rPr>
              <w:t>Сметки за авансови средства</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i/>
                <w:noProof/>
                <w:color w:val="000000"/>
                <w:sz w:val="18"/>
              </w:rPr>
            </w:pPr>
            <w:r>
              <w:rPr>
                <w:rFonts w:ascii="Verdana" w:hAnsi="Verdana"/>
                <w:i/>
                <w:noProof/>
                <w:color w:val="000000"/>
                <w:sz w:val="18"/>
              </w:rPr>
              <w:t xml:space="preserve"> 8</w:t>
            </w: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pPr>
              <w:pStyle w:val="DMETW19882BIPCCE"/>
              <w:rPr>
                <w:rFonts w:ascii="Verdana" w:eastAsia="Verdana" w:hAnsi="Verdana" w:cs="Verdana"/>
                <w:i/>
                <w:noProof/>
                <w:color w:val="000000"/>
                <w:sz w:val="18"/>
              </w:rPr>
            </w:pPr>
            <w:r>
              <w:rPr>
                <w:rFonts w:ascii="Verdana" w:hAnsi="Verdana"/>
                <w:i/>
                <w:noProof/>
                <w:color w:val="000000"/>
                <w:sz w:val="18"/>
              </w:rPr>
              <w:t>Трансфери (парични средства в движение)</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i/>
                <w:noProof/>
                <w:color w:val="000000"/>
                <w:sz w:val="18"/>
              </w:rPr>
            </w:pPr>
            <w:r>
              <w:rPr>
                <w:rFonts w:ascii="Verdana" w:hAnsi="Verdana"/>
                <w:i/>
                <w:noProof/>
                <w:color w:val="000000"/>
                <w:sz w:val="18"/>
              </w:rPr>
              <w:t xml:space="preserve"> 0</w:t>
            </w: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i/>
                <w:noProof/>
                <w:color w:val="000000"/>
                <w:sz w:val="18"/>
              </w:rPr>
            </w:pPr>
            <w:r>
              <w:rPr>
                <w:rFonts w:ascii="Verdana" w:hAnsi="Verdana"/>
                <w:i/>
                <w:noProof/>
                <w:color w:val="000000"/>
                <w:sz w:val="18"/>
              </w:rPr>
              <w:t xml:space="preserve"> 0</w:t>
            </w:r>
          </w:p>
        </w:tc>
      </w:tr>
      <w:tr>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rPr>
                <w:rFonts w:ascii="Verdana" w:eastAsia="Verdana" w:hAnsi="Verdana" w:cs="Verdana"/>
                <w:i/>
                <w:noProof/>
                <w:color w:val="000000"/>
                <w:sz w:val="18"/>
              </w:rPr>
            </w:pPr>
            <w:r>
              <w:rPr>
                <w:rFonts w:ascii="Verdana" w:hAnsi="Verdana"/>
                <w:i/>
                <w:noProof/>
                <w:color w:val="000000"/>
                <w:sz w:val="18"/>
              </w:rPr>
              <w:t>Банкови сметки за изпълнението на бюджета</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center"/>
              <w:rPr>
                <w:rFonts w:ascii="Verdana" w:eastAsia="Verdana" w:hAnsi="Verdana" w:cs="Verdana"/>
                <w:i/>
                <w:noProof/>
                <w:color w:val="000000"/>
                <w:sz w:val="18"/>
              </w:rPr>
            </w:pPr>
            <w:r>
              <w:rPr>
                <w:rFonts w:ascii="Verdana" w:hAnsi="Verdana"/>
                <w:i/>
                <w:noProof/>
                <w:color w:val="000000"/>
                <w:sz w:val="18"/>
              </w:rPr>
              <w:t>2.8.1</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11 430</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15 617</w:t>
            </w:r>
          </w:p>
        </w:tc>
      </w:tr>
      <w:tr>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rPr>
                <w:rFonts w:ascii="Verdana" w:eastAsia="Verdana" w:hAnsi="Verdana" w:cs="Verdana"/>
                <w:i/>
                <w:noProof/>
                <w:color w:val="000000"/>
                <w:sz w:val="18"/>
              </w:rPr>
            </w:pPr>
            <w:r>
              <w:rPr>
                <w:rFonts w:ascii="Verdana" w:hAnsi="Verdana"/>
                <w:i/>
                <w:noProof/>
                <w:color w:val="000000"/>
                <w:sz w:val="18"/>
              </w:rPr>
              <w:t>Парични средства, предназначени за финансови инструменти</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center"/>
              <w:rPr>
                <w:rFonts w:ascii="Verdana" w:eastAsia="Verdana" w:hAnsi="Verdana" w:cs="Verdana"/>
                <w:i/>
                <w:noProof/>
                <w:color w:val="000000"/>
                <w:sz w:val="18"/>
              </w:rPr>
            </w:pPr>
            <w:r>
              <w:rPr>
                <w:rFonts w:ascii="Verdana" w:hAnsi="Verdana"/>
                <w:i/>
                <w:noProof/>
                <w:color w:val="000000"/>
                <w:sz w:val="18"/>
              </w:rPr>
              <w:t>2.8.2</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2 446</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1 567</w:t>
            </w:r>
          </w:p>
        </w:tc>
      </w:tr>
      <w:tr>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rPr>
                <w:rFonts w:ascii="Verdana" w:eastAsia="Verdana" w:hAnsi="Verdana" w:cs="Verdana"/>
                <w:i/>
                <w:noProof/>
                <w:color w:val="000000"/>
                <w:sz w:val="18"/>
              </w:rPr>
            </w:pPr>
            <w:r>
              <w:rPr>
                <w:rFonts w:ascii="Verdana" w:hAnsi="Verdana"/>
                <w:i/>
                <w:noProof/>
                <w:color w:val="000000"/>
                <w:sz w:val="18"/>
              </w:rPr>
              <w:t>Парични средства, свързани с глоби</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center"/>
              <w:rPr>
                <w:rFonts w:ascii="Verdana" w:eastAsia="Verdana" w:hAnsi="Verdana" w:cs="Verdana"/>
                <w:i/>
                <w:noProof/>
                <w:color w:val="000000"/>
                <w:sz w:val="18"/>
              </w:rPr>
            </w:pPr>
            <w:r>
              <w:rPr>
                <w:rFonts w:ascii="Verdana" w:hAnsi="Verdana"/>
                <w:i/>
                <w:noProof/>
                <w:color w:val="000000"/>
                <w:sz w:val="18"/>
              </w:rPr>
              <w:t>2.8.3</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1 458</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1 258</w:t>
            </w:r>
          </w:p>
        </w:tc>
      </w:tr>
      <w:tr>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rPr>
                <w:rFonts w:ascii="Verdana" w:eastAsia="Verdana" w:hAnsi="Verdana" w:cs="Verdana"/>
                <w:i/>
                <w:noProof/>
                <w:color w:val="000000"/>
                <w:sz w:val="18"/>
              </w:rPr>
            </w:pPr>
            <w:r>
              <w:rPr>
                <w:rFonts w:ascii="Verdana" w:hAnsi="Verdana"/>
                <w:i/>
                <w:noProof/>
                <w:color w:val="000000"/>
                <w:sz w:val="18"/>
              </w:rPr>
              <w:t>Парични средства, свързани с други институции, агенции и органи</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center"/>
              <w:rPr>
                <w:rFonts w:ascii="Verdana" w:eastAsia="Verdana" w:hAnsi="Verdana" w:cs="Verdana"/>
                <w:i/>
                <w:noProof/>
                <w:color w:val="000000"/>
                <w:sz w:val="18"/>
              </w:rPr>
            </w:pP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1 362</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1 208</w:t>
            </w:r>
          </w:p>
        </w:tc>
      </w:tr>
      <w:tr>
        <w:trPr>
          <w:trHeight w:val="255"/>
        </w:trPr>
        <w:tc>
          <w:tcPr>
            <w:tcW w:w="595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2BIPCCE"/>
              <w:rPr>
                <w:rFonts w:ascii="Verdana" w:eastAsia="Verdana" w:hAnsi="Verdana" w:cs="Verdana"/>
                <w:i/>
                <w:noProof/>
                <w:color w:val="000000"/>
                <w:sz w:val="18"/>
              </w:rPr>
            </w:pPr>
            <w:r>
              <w:rPr>
                <w:rFonts w:ascii="Verdana" w:hAnsi="Verdana"/>
                <w:i/>
                <w:noProof/>
                <w:color w:val="000000"/>
                <w:sz w:val="18"/>
              </w:rPr>
              <w:t>Парични средства, свързани с доверителни фондове</w:t>
            </w:r>
          </w:p>
        </w:tc>
        <w:tc>
          <w:tcPr>
            <w:tcW w:w="122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2BIPCCE"/>
              <w:jc w:val="center"/>
              <w:rPr>
                <w:rFonts w:ascii="Verdana" w:eastAsia="Verdana" w:hAnsi="Verdana" w:cs="Verdana"/>
                <w:i/>
                <w:noProof/>
                <w:color w:val="000000"/>
                <w:sz w:val="18"/>
              </w:rPr>
            </w:pPr>
          </w:p>
        </w:tc>
        <w:tc>
          <w:tcPr>
            <w:tcW w:w="128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 xml:space="preserve"> 46</w:t>
            </w:r>
          </w:p>
        </w:tc>
        <w:tc>
          <w:tcPr>
            <w:tcW w:w="128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 xml:space="preserve"> 97</w:t>
            </w:r>
          </w:p>
        </w:tc>
      </w:tr>
      <w:tr>
        <w:trPr>
          <w:trHeight w:val="255"/>
        </w:trPr>
        <w:tc>
          <w:tcPr>
            <w:tcW w:w="5956" w:type="dxa"/>
            <w:tcBorders>
              <w:top w:val="nil"/>
              <w:left w:val="nil"/>
              <w:bottom w:val="nil"/>
              <w:right w:val="nil"/>
              <w:tl2br w:val="nil"/>
              <w:tr2bl w:val="nil"/>
            </w:tcBorders>
            <w:shd w:val="solid" w:color="CCE1EA" w:fill="FFFFFF"/>
            <w:tcMar>
              <w:left w:w="60" w:type="dxa"/>
              <w:right w:w="60" w:type="dxa"/>
            </w:tcMar>
            <w:vAlign w:val="center"/>
          </w:tcPr>
          <w:p>
            <w:pPr>
              <w:pStyle w:val="DMETW19882BIPCCE"/>
              <w:rPr>
                <w:rFonts w:ascii="Verdana" w:eastAsia="Verdana" w:hAnsi="Verdana" w:cs="Verdana"/>
                <w:b/>
                <w:noProof/>
                <w:color w:val="000000"/>
                <w:sz w:val="18"/>
              </w:rPr>
            </w:pPr>
            <w:r>
              <w:rPr>
                <w:rFonts w:ascii="Verdana" w:hAnsi="Verdana"/>
                <w:b/>
                <w:noProof/>
                <w:color w:val="000000"/>
                <w:sz w:val="18"/>
              </w:rPr>
              <w:t>Общо</w:t>
            </w:r>
          </w:p>
        </w:tc>
        <w:tc>
          <w:tcPr>
            <w:tcW w:w="1226" w:type="dxa"/>
            <w:tcBorders>
              <w:top w:val="nil"/>
              <w:left w:val="nil"/>
              <w:bottom w:val="nil"/>
              <w:right w:val="nil"/>
              <w:tl2br w:val="nil"/>
              <w:tr2bl w:val="nil"/>
            </w:tcBorders>
            <w:shd w:val="solid" w:color="CCE1EA" w:fill="FFFFFF"/>
            <w:tcMar>
              <w:left w:w="60" w:type="dxa"/>
              <w:right w:w="60" w:type="dxa"/>
            </w:tcMar>
            <w:vAlign w:val="center"/>
          </w:tcPr>
          <w:p>
            <w:pPr>
              <w:pStyle w:val="DMETW19882BIPCCE"/>
              <w:rPr>
                <w:rFonts w:ascii="Verdana" w:eastAsia="Verdana" w:hAnsi="Verdana" w:cs="Verdana"/>
                <w:b/>
                <w:noProof/>
                <w:color w:val="000000"/>
                <w:sz w:val="18"/>
              </w:rPr>
            </w:pPr>
          </w:p>
        </w:tc>
        <w:tc>
          <w:tcPr>
            <w:tcW w:w="1288" w:type="dxa"/>
            <w:tcBorders>
              <w:top w:val="nil"/>
              <w:left w:val="nil"/>
              <w:bottom w:val="nil"/>
              <w:right w:val="nil"/>
              <w:tl2br w:val="nil"/>
              <w:tr2bl w:val="nil"/>
            </w:tcBorders>
            <w:shd w:val="solid" w:color="CCE1EA" w:fill="FFFFFF"/>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16 742</w:t>
            </w:r>
          </w:p>
        </w:tc>
        <w:tc>
          <w:tcPr>
            <w:tcW w:w="1288" w:type="dxa"/>
            <w:tcBorders>
              <w:top w:val="nil"/>
              <w:left w:val="nil"/>
              <w:bottom w:val="nil"/>
              <w:right w:val="nil"/>
              <w:tl2br w:val="nil"/>
              <w:tr2bl w:val="nil"/>
            </w:tcBorders>
            <w:shd w:val="solid" w:color="CCE1EA" w:fill="FFFFFF"/>
            <w:tcMar>
              <w:left w:w="60" w:type="dxa"/>
              <w:right w:w="60" w:type="dxa"/>
            </w:tcMar>
            <w:vAlign w:val="center"/>
          </w:tcPr>
          <w:p>
            <w:pPr>
              <w:pStyle w:val="DMETW19882BIPCCE"/>
              <w:jc w:val="right"/>
              <w:rPr>
                <w:rFonts w:ascii="Verdana" w:eastAsia="Verdana" w:hAnsi="Verdana" w:cs="Verdana"/>
                <w:b/>
                <w:noProof/>
                <w:color w:val="000000"/>
                <w:sz w:val="18"/>
              </w:rPr>
            </w:pPr>
            <w:r>
              <w:rPr>
                <w:rFonts w:ascii="Verdana" w:hAnsi="Verdana"/>
                <w:b/>
                <w:noProof/>
                <w:color w:val="000000"/>
                <w:sz w:val="18"/>
              </w:rPr>
              <w:t>19 745</w:t>
            </w:r>
          </w:p>
        </w:tc>
      </w:tr>
    </w:tbl>
    <w:p>
      <w:pPr>
        <w:pStyle w:val="HEADER3NOTES"/>
        <w:rPr>
          <w:noProof/>
        </w:rPr>
      </w:pPr>
      <w:r>
        <w:rPr>
          <w:noProof/>
        </w:rPr>
        <w:t>Банкови сметки за изпълнението на бюджета</w:t>
      </w:r>
    </w:p>
    <w:p>
      <w:pPr>
        <w:pStyle w:val="DGTextstand-alone"/>
      </w:pPr>
      <w:r>
        <w:t>Тази позиция обхваща средствата, които Комисията държи в банковите си сметки във всяка държава членка и държава от ЕАСТ (към министерството на финансите или в централната банка), както и в текущи сметки в търговски банки, в сметки за авансови средства и в каса. Касовите наличности към края на 2020 г. се определят от следните основни елементи:</w:t>
      </w:r>
    </w:p>
    <w:p>
      <w:pPr>
        <w:pStyle w:val="DGTextstand-alone"/>
        <w:numPr>
          <w:ilvl w:val="0"/>
          <w:numId w:val="28"/>
        </w:numPr>
        <w:pBdr>
          <w:top w:val="nil"/>
          <w:left w:val="nil"/>
          <w:bottom w:val="nil"/>
          <w:right w:val="nil"/>
          <w:between w:val="nil"/>
          <w:bar w:val="nil"/>
        </w:pBdr>
        <w:rPr>
          <w:sz w:val="16"/>
        </w:rPr>
      </w:pPr>
      <w:r>
        <w:t xml:space="preserve">плащания в размер на 9,4 милиарда евро, които все още не са извършени към края на годината, от която сума 7,9 милиарда евро са свързани с целеви приходи. Целевите приходи включват 1,3 милиарда евро парични средства, набрани от продажбата на квоти за емисии и събрани от ЕИБ, след като са били разпределени от държавите членки за Фонда за иновации — вж. бележка </w:t>
      </w:r>
      <w:r>
        <w:rPr>
          <w:b/>
          <w:szCs w:val="20"/>
        </w:rPr>
        <w:t>3.7</w:t>
      </w:r>
      <w:r>
        <w:t xml:space="preserve">; </w:t>
      </w:r>
    </w:p>
    <w:p>
      <w:pPr>
        <w:pStyle w:val="DGTextstand-alone"/>
        <w:numPr>
          <w:ilvl w:val="0"/>
          <w:numId w:val="28"/>
        </w:numPr>
        <w:pBdr>
          <w:top w:val="nil"/>
          <w:left w:val="nil"/>
          <w:bottom w:val="nil"/>
          <w:right w:val="nil"/>
          <w:between w:val="nil"/>
          <w:bar w:val="nil"/>
        </w:pBdr>
        <w:rPr>
          <w:color w:val="000000"/>
          <w:sz w:val="16"/>
        </w:rPr>
      </w:pPr>
      <w:r>
        <w:rPr>
          <w:color w:val="000000"/>
          <w:szCs w:val="20"/>
        </w:rPr>
        <w:t>1,6 милиарда евро, свързани с касата на агенциите и съвместните предприятия — тъй като Комисията управлява касата от името на тези субекти, въпросните суми са посочени в тази подпозиция.</w:t>
      </w:r>
    </w:p>
    <w:p>
      <w:pPr>
        <w:pStyle w:val="HEADER3NOTES"/>
        <w:rPr>
          <w:noProof/>
        </w:rPr>
      </w:pPr>
      <w:r>
        <w:rPr>
          <w:noProof/>
        </w:rPr>
        <w:t>Парични средства, предназначени за финансови инструменти</w:t>
      </w:r>
    </w:p>
    <w:p>
      <w:pPr>
        <w:pStyle w:val="Textstand-alone"/>
      </w:pPr>
      <w:r>
        <w:t>Сумите в тази позиция се отнасят предимно до парични еквиваленти, управлявани от доверени лица от името на Комисията с цел изпълнение на конкретни програми по линия на финансови инструменти, финансирани от бюджета на ЕС, и пари и парични еквиваленти, държани в гаранционните фондове, свързани с бюджетните гаранции — вж. бележка </w:t>
      </w:r>
      <w:r>
        <w:rPr>
          <w:b/>
        </w:rPr>
        <w:t>2.4.1</w:t>
      </w:r>
      <w:r>
        <w:t>. Паричните средства, предназначени за финансови инструменти и гаранционни фондове, могат да се използват само в съответните програми. Увеличението на салдото се дължи главно на i) допълнително провизиране на гаранционните фондове на ЕФСИ и ЕФУР, което в края на 2020 г. все още не е било инвестирано в облигации, и ii) плащания за финансовите инструменти на ЕС, по-специално по програмите COSME и „Хоризонт 2020“, които все още не са били използвани за искания за плащане по гаранции, нито за капиталови инвестиции.</w:t>
      </w:r>
    </w:p>
    <w:p>
      <w:pPr>
        <w:pStyle w:val="HEADER3NOTES"/>
        <w:rPr>
          <w:noProof/>
        </w:rPr>
      </w:pPr>
      <w:r>
        <w:rPr>
          <w:noProof/>
        </w:rPr>
        <w:br w:type="page"/>
        <w:t>Парични средства, свързани с глоби</w:t>
      </w:r>
    </w:p>
    <w:p>
      <w:pPr>
        <w:pStyle w:val="Textstand-alone"/>
      </w:pPr>
      <w:r>
        <w:t>Това са главно парични средства, получени във връзка с глоби, наложени от Комисията, по които случаят все още не е приключен. Тези суми се държат в специални депозитни сметки, които не се използват за никакви други дейности. При обжалване или когато не е известно дали другата страна ще обжалва, съответната сума се оповестява като условен пасив в бележка </w:t>
      </w:r>
      <w:r>
        <w:rPr>
          <w:b/>
        </w:rPr>
        <w:t>4.1.4</w:t>
      </w:r>
      <w:r>
        <w:t>. От 2010 г. всички следващи условно платени глоби се управляват от Комисията във фонда BUFI и се инвестират във финансови инструменти, категоризирани като обявени за продажба (вж. бележка </w:t>
      </w:r>
      <w:r>
        <w:rPr>
          <w:b/>
        </w:rPr>
        <w:t>2.4.1</w:t>
      </w:r>
      <w:r>
        <w:t>). Увеличението на паричните средства, свързани с глоби, в края на 2020 г. се дължи на по-голямото парично салдо в BUFI в сравнение с края на 2019 г., както и на окончателно получените глоби, които следва да бъдат прехвърлени към бюджета.</w:t>
      </w:r>
    </w:p>
    <w:p>
      <w:pPr>
        <w:pStyle w:val="Textstand-alone"/>
        <w:spacing w:after="0"/>
        <w:sectPr>
          <w:headerReference w:type="even" r:id="rId176"/>
          <w:headerReference w:type="default" r:id="rId177"/>
          <w:footerReference w:type="even" r:id="rId178"/>
          <w:footerReference w:type="default" r:id="rId179"/>
          <w:headerReference w:type="first" r:id="rId180"/>
          <w:footerReference w:type="first" r:id="rId181"/>
          <w:type w:val="continuous"/>
          <w:pgSz w:w="11906" w:h="16838"/>
          <w:pgMar w:top="1134" w:right="1134" w:bottom="1134" w:left="1134" w:header="709" w:footer="709" w:gutter="0"/>
          <w:cols w:space="708"/>
          <w:docGrid w:linePitch="360"/>
        </w:sectPr>
      </w:pPr>
      <w:r>
        <w:t xml:space="preserve"> </w:t>
      </w:r>
      <w:bookmarkEnd w:id="124"/>
    </w:p>
    <w:p>
      <w:pPr>
        <w:pStyle w:val="HEADERTABLE"/>
        <w:spacing w:after="0"/>
        <w:rPr>
          <w:noProof/>
        </w:rPr>
      </w:pPr>
      <w:bookmarkStart w:id="126" w:name="_DMBM_19778"/>
      <w:r>
        <w:rPr>
          <w:noProof/>
        </w:rPr>
        <w:t>ПАСИВИ</w:t>
      </w:r>
    </w:p>
    <w:p>
      <w:pPr>
        <w:pStyle w:val="Textstand-alone"/>
        <w:spacing w:before="0" w:after="0"/>
        <w:sectPr>
          <w:headerReference w:type="even" r:id="rId182"/>
          <w:headerReference w:type="default" r:id="rId183"/>
          <w:footerReference w:type="even" r:id="rId184"/>
          <w:footerReference w:type="default" r:id="rId185"/>
          <w:headerReference w:type="first" r:id="rId186"/>
          <w:footerReference w:type="first" r:id="rId187"/>
          <w:pgSz w:w="11906" w:h="16838"/>
          <w:pgMar w:top="1134" w:right="1134" w:bottom="1134" w:left="1134" w:header="709" w:footer="709" w:gutter="0"/>
          <w:cols w:space="708"/>
          <w:docGrid w:linePitch="360"/>
        </w:sectPr>
      </w:pPr>
      <w:r>
        <w:t xml:space="preserve"> </w:t>
      </w:r>
      <w:bookmarkEnd w:id="126"/>
    </w:p>
    <w:p>
      <w:pPr>
        <w:pStyle w:val="HEADER2NOTES"/>
        <w:rPr>
          <w:noProof/>
        </w:rPr>
      </w:pPr>
      <w:bookmarkStart w:id="127" w:name="_DMBM_19841"/>
      <w:r>
        <w:rPr>
          <w:noProof/>
        </w:rPr>
        <w:t>ПЕНСИИ И ДРУГИ ДОХОДИ НА НАЕТИ ЛИЦА</w:t>
      </w:r>
    </w:p>
    <w:p>
      <w:pPr>
        <w:pStyle w:val="HEADER3NOTES"/>
        <w:spacing w:after="240"/>
        <w:rPr>
          <w:noProof/>
        </w:rPr>
      </w:pPr>
      <w:r>
        <w:rPr>
          <w:noProof/>
        </w:rPr>
        <w:t>Нетно задължение във връзка със схемата за доходи на наети лица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49"/>
        <w:gridCol w:w="1401"/>
        <w:gridCol w:w="1402"/>
        <w:gridCol w:w="1402"/>
        <w:gridCol w:w="1402"/>
        <w:gridCol w:w="1402"/>
      </w:tblGrid>
      <w:tr>
        <w:trPr>
          <w:trHeight w:val="255"/>
        </w:trPr>
        <w:tc>
          <w:tcPr>
            <w:tcW w:w="2749" w:type="dxa"/>
            <w:tcBorders>
              <w:top w:val="nil"/>
              <w:left w:val="nil"/>
              <w:bottom w:val="nil"/>
              <w:right w:val="nil"/>
            </w:tcBorders>
            <w:tcMar>
              <w:top w:w="0" w:type="dxa"/>
              <w:left w:w="60" w:type="dxa"/>
              <w:bottom w:w="0" w:type="dxa"/>
              <w:right w:w="60" w:type="dxa"/>
            </w:tcMar>
            <w:vAlign w:val="bottom"/>
          </w:tcPr>
          <w:p>
            <w:pPr>
              <w:pStyle w:val="DMETW19883BIPPENS1"/>
              <w:rPr>
                <w:rFonts w:ascii="Arial" w:eastAsia="Times New Roman" w:hAnsi="Arial" w:cs="Arial"/>
                <w:noProof/>
                <w:color w:val="000000"/>
              </w:rPr>
            </w:pPr>
            <w:bookmarkStart w:id="128" w:name="DOC_TBL00038_1_1"/>
            <w:bookmarkEnd w:id="128"/>
          </w:p>
        </w:tc>
        <w:tc>
          <w:tcPr>
            <w:tcW w:w="1401" w:type="dxa"/>
            <w:tcBorders>
              <w:top w:val="nil"/>
              <w:left w:val="nil"/>
              <w:bottom w:val="nil"/>
              <w:right w:val="nil"/>
            </w:tcBorders>
            <w:tcMar>
              <w:top w:w="0" w:type="dxa"/>
              <w:left w:w="60" w:type="dxa"/>
              <w:bottom w:w="0" w:type="dxa"/>
              <w:right w:w="60" w:type="dxa"/>
            </w:tcMar>
            <w:vAlign w:val="bottom"/>
          </w:tcPr>
          <w:p>
            <w:pPr>
              <w:pStyle w:val="DMETW19883BIPPENS1"/>
              <w:rPr>
                <w:rFonts w:ascii="Arial" w:eastAsia="Times New Roman" w:hAnsi="Arial" w:cs="Arial"/>
                <w:noProof/>
                <w:color w:val="000000"/>
              </w:rPr>
            </w:pPr>
          </w:p>
        </w:tc>
        <w:tc>
          <w:tcPr>
            <w:tcW w:w="1402" w:type="dxa"/>
            <w:tcBorders>
              <w:top w:val="nil"/>
              <w:left w:val="nil"/>
              <w:bottom w:val="nil"/>
              <w:right w:val="nil"/>
            </w:tcBorders>
            <w:tcMar>
              <w:top w:w="0" w:type="dxa"/>
              <w:left w:w="60" w:type="dxa"/>
              <w:bottom w:w="0" w:type="dxa"/>
              <w:right w:w="60" w:type="dxa"/>
            </w:tcMar>
            <w:vAlign w:val="bottom"/>
          </w:tcPr>
          <w:p>
            <w:pPr>
              <w:pStyle w:val="DMETW19883BIPPENS1"/>
              <w:rPr>
                <w:rFonts w:ascii="Arial" w:eastAsia="Times New Roman" w:hAnsi="Arial" w:cs="Arial"/>
                <w:noProof/>
                <w:color w:val="000000"/>
              </w:rPr>
            </w:pPr>
          </w:p>
        </w:tc>
        <w:tc>
          <w:tcPr>
            <w:tcW w:w="1402" w:type="dxa"/>
            <w:tcBorders>
              <w:top w:val="nil"/>
              <w:left w:val="nil"/>
              <w:bottom w:val="nil"/>
              <w:right w:val="nil"/>
            </w:tcBorders>
            <w:tcMar>
              <w:top w:w="0" w:type="dxa"/>
              <w:left w:w="60" w:type="dxa"/>
              <w:bottom w:w="0" w:type="dxa"/>
              <w:right w:w="60" w:type="dxa"/>
            </w:tcMar>
            <w:vAlign w:val="bottom"/>
          </w:tcPr>
          <w:p>
            <w:pPr>
              <w:pStyle w:val="DMETW19883BIPPENS1"/>
              <w:rPr>
                <w:rFonts w:ascii="Arial" w:eastAsia="Times New Roman" w:hAnsi="Arial" w:cs="Arial"/>
                <w:noProof/>
                <w:color w:val="000000"/>
              </w:rPr>
            </w:pPr>
          </w:p>
        </w:tc>
        <w:tc>
          <w:tcPr>
            <w:tcW w:w="1402" w:type="dxa"/>
            <w:tcBorders>
              <w:top w:val="nil"/>
              <w:left w:val="nil"/>
              <w:bottom w:val="nil"/>
              <w:right w:val="nil"/>
            </w:tcBorders>
            <w:tcMar>
              <w:top w:w="0" w:type="dxa"/>
              <w:left w:w="60" w:type="dxa"/>
              <w:bottom w:w="0" w:type="dxa"/>
              <w:right w:w="60" w:type="dxa"/>
            </w:tcMar>
            <w:vAlign w:val="bottom"/>
          </w:tcPr>
          <w:p>
            <w:pPr>
              <w:pStyle w:val="DMETW19883BIPPENS1"/>
              <w:rPr>
                <w:rFonts w:ascii="Arial" w:eastAsia="Times New Roman" w:hAnsi="Arial" w:cs="Arial"/>
                <w:noProof/>
                <w:color w:val="000000"/>
              </w:rPr>
            </w:pPr>
          </w:p>
        </w:tc>
        <w:tc>
          <w:tcPr>
            <w:tcW w:w="1402" w:type="dxa"/>
            <w:tcBorders>
              <w:top w:val="nil"/>
              <w:left w:val="nil"/>
              <w:bottom w:val="nil"/>
              <w:right w:val="nil"/>
            </w:tcBorders>
            <w:tcMar>
              <w:top w:w="0" w:type="dxa"/>
              <w:left w:w="60" w:type="dxa"/>
              <w:bottom w:w="0" w:type="dxa"/>
              <w:right w:w="60" w:type="dxa"/>
            </w:tcMar>
            <w:vAlign w:val="bottom"/>
          </w:tcPr>
          <w:p>
            <w:pPr>
              <w:pStyle w:val="DMETW19883BIPPENS1"/>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274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
              <w:jc w:val="right"/>
              <w:rPr>
                <w:rFonts w:ascii="Verdana" w:eastAsia="Times New Roman" w:hAnsi="Verdana" w:cs="Verdana"/>
                <w:noProof/>
                <w:color w:val="FFFFFF"/>
                <w:spacing w:val="-4"/>
                <w:sz w:val="18"/>
              </w:rPr>
            </w:pPr>
          </w:p>
        </w:tc>
        <w:tc>
          <w:tcPr>
            <w:tcW w:w="1401" w:type="dxa"/>
            <w:tcBorders>
              <w:top w:val="nil"/>
              <w:left w:val="nil"/>
              <w:bottom w:val="nil"/>
              <w:right w:val="nil"/>
            </w:tcBorders>
            <w:shd w:val="solid" w:color="016794" w:fill="FFFFFF"/>
            <w:tcMar>
              <w:top w:w="0" w:type="dxa"/>
              <w:left w:w="60" w:type="dxa"/>
              <w:bottom w:w="0" w:type="dxa"/>
              <w:right w:w="60" w:type="dxa"/>
            </w:tcMar>
          </w:tcPr>
          <w:p>
            <w:pPr>
              <w:pStyle w:val="DMETW19883BIPPENS1"/>
              <w:jc w:val="right"/>
              <w:rPr>
                <w:rFonts w:ascii="Verdana" w:eastAsia="Times New Roman" w:hAnsi="Verdana" w:cs="Verdana"/>
                <w:noProof/>
                <w:color w:val="FFFFFF"/>
                <w:spacing w:val="-4"/>
                <w:sz w:val="18"/>
              </w:rPr>
            </w:pPr>
            <w:r>
              <w:rPr>
                <w:rFonts w:ascii="Verdana" w:hAnsi="Verdana"/>
                <w:noProof/>
                <w:color w:val="FFFFFF"/>
                <w:spacing w:val="-4"/>
                <w:sz w:val="18"/>
              </w:rPr>
              <w:t>Пенсионноосигурителна схема на европейските длъжностни лица</w:t>
            </w:r>
          </w:p>
        </w:tc>
        <w:tc>
          <w:tcPr>
            <w:tcW w:w="1402" w:type="dxa"/>
            <w:tcBorders>
              <w:top w:val="nil"/>
              <w:left w:val="nil"/>
              <w:bottom w:val="nil"/>
              <w:right w:val="nil"/>
            </w:tcBorders>
            <w:shd w:val="solid" w:color="016794" w:fill="FFFFFF"/>
            <w:tcMar>
              <w:top w:w="0" w:type="dxa"/>
              <w:left w:w="60" w:type="dxa"/>
              <w:bottom w:w="0" w:type="dxa"/>
              <w:right w:w="60" w:type="dxa"/>
            </w:tcMar>
          </w:tcPr>
          <w:p>
            <w:pPr>
              <w:pStyle w:val="DMETW19883BIPPENS1"/>
              <w:jc w:val="right"/>
              <w:rPr>
                <w:rFonts w:ascii="Verdana" w:eastAsia="Times New Roman" w:hAnsi="Verdana" w:cs="Verdana"/>
                <w:noProof/>
                <w:color w:val="FFFFFF"/>
                <w:spacing w:val="-4"/>
                <w:sz w:val="18"/>
              </w:rPr>
            </w:pPr>
            <w:r>
              <w:rPr>
                <w:rFonts w:ascii="Verdana" w:hAnsi="Verdana"/>
                <w:noProof/>
                <w:color w:val="FFFFFF"/>
                <w:spacing w:val="-4"/>
                <w:sz w:val="18"/>
              </w:rPr>
              <w:t>Други схеми за доходи след пенсиониране</w:t>
            </w:r>
          </w:p>
        </w:tc>
        <w:tc>
          <w:tcPr>
            <w:tcW w:w="1402" w:type="dxa"/>
            <w:tcBorders>
              <w:top w:val="nil"/>
              <w:left w:val="nil"/>
              <w:bottom w:val="nil"/>
              <w:right w:val="nil"/>
            </w:tcBorders>
            <w:shd w:val="solid" w:color="016794" w:fill="FFFFFF"/>
            <w:tcMar>
              <w:top w:w="0" w:type="dxa"/>
              <w:left w:w="60" w:type="dxa"/>
              <w:bottom w:w="0" w:type="dxa"/>
              <w:right w:w="60" w:type="dxa"/>
            </w:tcMar>
          </w:tcPr>
          <w:p>
            <w:pPr>
              <w:pStyle w:val="DMETW19883BIPPENS1"/>
              <w:jc w:val="right"/>
              <w:rPr>
                <w:rFonts w:ascii="Verdana" w:eastAsia="Times New Roman" w:hAnsi="Verdana" w:cs="Verdana"/>
                <w:noProof/>
                <w:color w:val="FFFFFF"/>
                <w:spacing w:val="-4"/>
                <w:sz w:val="18"/>
              </w:rPr>
            </w:pPr>
            <w:r>
              <w:rPr>
                <w:rFonts w:ascii="Verdana" w:hAnsi="Verdana"/>
                <w:noProof/>
                <w:color w:val="FFFFFF"/>
                <w:spacing w:val="-4"/>
                <w:sz w:val="18"/>
              </w:rPr>
              <w:t>Обща здравноосигурителна схема</w:t>
            </w:r>
          </w:p>
        </w:tc>
        <w:tc>
          <w:tcPr>
            <w:tcW w:w="1402" w:type="dxa"/>
            <w:tcBorders>
              <w:top w:val="nil"/>
              <w:left w:val="nil"/>
              <w:bottom w:val="nil"/>
              <w:right w:val="nil"/>
            </w:tcBorders>
            <w:shd w:val="solid" w:color="016794" w:fill="FFFFFF"/>
            <w:tcMar>
              <w:top w:w="0" w:type="dxa"/>
              <w:left w:w="60" w:type="dxa"/>
              <w:bottom w:w="0" w:type="dxa"/>
              <w:right w:w="60" w:type="dxa"/>
            </w:tcMar>
          </w:tcPr>
          <w:p>
            <w:pPr>
              <w:pStyle w:val="DMETW19883BIPPENS1"/>
              <w:jc w:val="right"/>
              <w:rPr>
                <w:rFonts w:ascii="Verdana" w:eastAsia="Times New Roman" w:hAnsi="Verdana" w:cs="Verdana"/>
                <w:noProof/>
                <w:color w:val="FFFFFF"/>
                <w:spacing w:val="-4"/>
                <w:sz w:val="18"/>
              </w:rPr>
            </w:pPr>
            <w:r>
              <w:rPr>
                <w:rFonts w:ascii="Verdana" w:hAnsi="Verdana"/>
                <w:noProof/>
                <w:color w:val="FFFFFF"/>
                <w:spacing w:val="-4"/>
                <w:sz w:val="18"/>
              </w:rPr>
              <w:t>31.12.2020 г. Общо</w:t>
            </w:r>
          </w:p>
        </w:tc>
        <w:tc>
          <w:tcPr>
            <w:tcW w:w="1402" w:type="dxa"/>
            <w:tcBorders>
              <w:top w:val="nil"/>
              <w:left w:val="nil"/>
              <w:bottom w:val="nil"/>
              <w:right w:val="nil"/>
            </w:tcBorders>
            <w:shd w:val="solid" w:color="016794" w:fill="FFFFFF"/>
            <w:tcMar>
              <w:top w:w="0" w:type="dxa"/>
              <w:left w:w="60" w:type="dxa"/>
              <w:bottom w:w="0" w:type="dxa"/>
              <w:right w:w="60" w:type="dxa"/>
            </w:tcMar>
          </w:tcPr>
          <w:p>
            <w:pPr>
              <w:pStyle w:val="DMETW19883BIPPENS1"/>
              <w:jc w:val="right"/>
              <w:rPr>
                <w:rFonts w:ascii="Verdana" w:eastAsia="Times New Roman" w:hAnsi="Verdana" w:cs="Verdana"/>
                <w:noProof/>
                <w:color w:val="FFFFFF"/>
                <w:spacing w:val="-4"/>
                <w:sz w:val="18"/>
              </w:rPr>
            </w:pPr>
            <w:r>
              <w:rPr>
                <w:rFonts w:ascii="Verdana" w:hAnsi="Verdana"/>
                <w:noProof/>
                <w:color w:val="FFFFFF"/>
                <w:spacing w:val="-4"/>
                <w:sz w:val="18"/>
              </w:rPr>
              <w:t>31.12.2019 г. Общо</w:t>
            </w:r>
          </w:p>
        </w:tc>
      </w:tr>
      <w:tr>
        <w:trPr>
          <w:trHeight w:val="255"/>
        </w:trPr>
        <w:tc>
          <w:tcPr>
            <w:tcW w:w="2749" w:type="dxa"/>
            <w:tcBorders>
              <w:top w:val="nil"/>
              <w:left w:val="nil"/>
              <w:bottom w:val="nil"/>
              <w:right w:val="nil"/>
            </w:tcBorders>
            <w:tcMar>
              <w:top w:w="0" w:type="dxa"/>
              <w:left w:w="60" w:type="dxa"/>
              <w:bottom w:w="0" w:type="dxa"/>
              <w:right w:w="60" w:type="dxa"/>
            </w:tcMar>
            <w:vAlign w:val="center"/>
          </w:tcPr>
          <w:p>
            <w:pPr>
              <w:pStyle w:val="DMETW19883BIPPENS1"/>
              <w:rPr>
                <w:rFonts w:ascii="Verdana" w:eastAsia="Times New Roman"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401" w:type="dxa"/>
            <w:tcBorders>
              <w:top w:val="nil"/>
              <w:left w:val="nil"/>
              <w:bottom w:val="nil"/>
              <w:right w:val="nil"/>
            </w:tcBorders>
            <w:tcMar>
              <w:top w:w="0" w:type="dxa"/>
              <w:left w:w="60" w:type="dxa"/>
              <w:bottom w:w="0" w:type="dxa"/>
              <w:right w:w="60" w:type="dxa"/>
            </w:tcMar>
            <w:vAlign w:val="bottom"/>
          </w:tcPr>
          <w:p>
            <w:pPr>
              <w:pStyle w:val="DMETW19883BIPPENS1"/>
              <w:jc w:val="right"/>
              <w:rPr>
                <w:rFonts w:ascii="Verdana" w:eastAsia="Times New Roman" w:hAnsi="Verdana" w:cs="Verdana"/>
                <w:i/>
                <w:noProof/>
                <w:color w:val="000000"/>
                <w:sz w:val="18"/>
              </w:rPr>
            </w:pPr>
            <w:r>
              <w:rPr>
                <w:rFonts w:ascii="Verdana" w:hAnsi="Verdana"/>
                <w:i/>
                <w:noProof/>
                <w:color w:val="000000"/>
                <w:sz w:val="18"/>
              </w:rPr>
              <w:t>100 741</w:t>
            </w:r>
          </w:p>
        </w:tc>
        <w:tc>
          <w:tcPr>
            <w:tcW w:w="1402" w:type="dxa"/>
            <w:tcBorders>
              <w:top w:val="nil"/>
              <w:left w:val="nil"/>
              <w:bottom w:val="nil"/>
              <w:right w:val="nil"/>
            </w:tcBorders>
            <w:tcMar>
              <w:top w:w="0" w:type="dxa"/>
              <w:left w:w="60" w:type="dxa"/>
              <w:bottom w:w="0" w:type="dxa"/>
              <w:right w:w="60" w:type="dxa"/>
            </w:tcMar>
            <w:vAlign w:val="bottom"/>
          </w:tcPr>
          <w:p>
            <w:pPr>
              <w:pStyle w:val="DMETW19883BIPPENS1"/>
              <w:jc w:val="right"/>
              <w:rPr>
                <w:rFonts w:ascii="Verdana" w:eastAsia="Times New Roman" w:hAnsi="Verdana" w:cs="Verdana"/>
                <w:i/>
                <w:noProof/>
                <w:color w:val="000000"/>
                <w:sz w:val="18"/>
              </w:rPr>
            </w:pPr>
            <w:r>
              <w:rPr>
                <w:rFonts w:ascii="Verdana" w:hAnsi="Verdana"/>
                <w:i/>
                <w:noProof/>
                <w:color w:val="000000"/>
                <w:sz w:val="18"/>
              </w:rPr>
              <w:t>2 438</w:t>
            </w:r>
          </w:p>
        </w:tc>
        <w:tc>
          <w:tcPr>
            <w:tcW w:w="1402" w:type="dxa"/>
            <w:tcBorders>
              <w:top w:val="nil"/>
              <w:left w:val="nil"/>
              <w:bottom w:val="nil"/>
              <w:right w:val="nil"/>
            </w:tcBorders>
            <w:tcMar>
              <w:top w:w="0" w:type="dxa"/>
              <w:left w:w="60" w:type="dxa"/>
              <w:bottom w:w="0" w:type="dxa"/>
              <w:right w:w="60" w:type="dxa"/>
            </w:tcMar>
            <w:vAlign w:val="bottom"/>
          </w:tcPr>
          <w:p>
            <w:pPr>
              <w:pStyle w:val="DMETW19883BIPPENS1"/>
              <w:jc w:val="right"/>
              <w:rPr>
                <w:rFonts w:ascii="Verdana" w:eastAsia="Times New Roman" w:hAnsi="Verdana" w:cs="Verdana"/>
                <w:i/>
                <w:noProof/>
                <w:color w:val="000000"/>
                <w:sz w:val="18"/>
              </w:rPr>
            </w:pPr>
            <w:r>
              <w:rPr>
                <w:rFonts w:ascii="Verdana" w:hAnsi="Verdana"/>
                <w:i/>
                <w:noProof/>
                <w:color w:val="000000"/>
                <w:sz w:val="18"/>
              </w:rPr>
              <w:t>13 289</w:t>
            </w:r>
          </w:p>
        </w:tc>
        <w:tc>
          <w:tcPr>
            <w:tcW w:w="1402" w:type="dxa"/>
            <w:tcBorders>
              <w:top w:val="nil"/>
              <w:left w:val="nil"/>
              <w:bottom w:val="nil"/>
              <w:right w:val="nil"/>
            </w:tcBorders>
            <w:tcMar>
              <w:top w:w="0" w:type="dxa"/>
              <w:left w:w="60" w:type="dxa"/>
              <w:bottom w:w="0" w:type="dxa"/>
              <w:right w:w="60" w:type="dxa"/>
            </w:tcMar>
            <w:vAlign w:val="bottom"/>
          </w:tcPr>
          <w:p>
            <w:pPr>
              <w:pStyle w:val="DMETW19883BIPPENS1"/>
              <w:jc w:val="right"/>
              <w:rPr>
                <w:rFonts w:ascii="Verdana" w:eastAsia="Times New Roman" w:hAnsi="Verdana" w:cs="Verdana"/>
                <w:i/>
                <w:noProof/>
                <w:color w:val="000000"/>
                <w:sz w:val="18"/>
              </w:rPr>
            </w:pPr>
            <w:r>
              <w:rPr>
                <w:rFonts w:ascii="Verdana" w:hAnsi="Verdana"/>
                <w:i/>
                <w:noProof/>
                <w:color w:val="000000"/>
                <w:sz w:val="18"/>
              </w:rPr>
              <w:t>116 468</w:t>
            </w:r>
          </w:p>
        </w:tc>
        <w:tc>
          <w:tcPr>
            <w:tcW w:w="1402" w:type="dxa"/>
            <w:tcBorders>
              <w:top w:val="nil"/>
              <w:left w:val="nil"/>
              <w:bottom w:val="nil"/>
              <w:right w:val="nil"/>
            </w:tcBorders>
            <w:tcMar>
              <w:top w:w="0" w:type="dxa"/>
              <w:left w:w="60" w:type="dxa"/>
              <w:bottom w:w="0" w:type="dxa"/>
              <w:right w:w="60" w:type="dxa"/>
            </w:tcMar>
            <w:vAlign w:val="bottom"/>
          </w:tcPr>
          <w:p>
            <w:pPr>
              <w:pStyle w:val="DMETW19883BIPPENS1"/>
              <w:jc w:val="right"/>
              <w:rPr>
                <w:rFonts w:ascii="Verdana" w:eastAsia="Times New Roman" w:hAnsi="Verdana" w:cs="Verdana"/>
                <w:i/>
                <w:noProof/>
                <w:color w:val="000000"/>
                <w:sz w:val="18"/>
              </w:rPr>
            </w:pPr>
            <w:r>
              <w:rPr>
                <w:rFonts w:ascii="Verdana" w:hAnsi="Verdana"/>
                <w:i/>
                <w:noProof/>
                <w:color w:val="000000"/>
                <w:sz w:val="18"/>
              </w:rPr>
              <w:t>98 062</w:t>
            </w:r>
          </w:p>
        </w:tc>
      </w:tr>
      <w:tr>
        <w:trPr>
          <w:trHeight w:val="255"/>
        </w:trPr>
        <w:tc>
          <w:tcPr>
            <w:tcW w:w="2749" w:type="dxa"/>
            <w:tcBorders>
              <w:top w:val="nil"/>
              <w:left w:val="nil"/>
              <w:bottom w:val="nil"/>
              <w:right w:val="nil"/>
            </w:tcBorders>
            <w:tcMar>
              <w:top w:w="0" w:type="dxa"/>
              <w:left w:w="60" w:type="dxa"/>
              <w:bottom w:w="0" w:type="dxa"/>
              <w:right w:w="60" w:type="dxa"/>
            </w:tcMar>
            <w:vAlign w:val="center"/>
          </w:tcPr>
          <w:p>
            <w:pPr>
              <w:pStyle w:val="DMETW19883BIPPENS1"/>
              <w:rPr>
                <w:rFonts w:ascii="Verdana" w:eastAsia="Times New Roman" w:hAnsi="Verdana" w:cs="Verdana"/>
                <w:i/>
                <w:noProof/>
                <w:color w:val="000000"/>
                <w:sz w:val="18"/>
              </w:rPr>
            </w:pPr>
            <w:r>
              <w:rPr>
                <w:rFonts w:ascii="Verdana" w:hAnsi="Verdana"/>
                <w:i/>
                <w:noProof/>
                <w:color w:val="000000"/>
                <w:sz w:val="18"/>
              </w:rPr>
              <w:t>Активи на плана</w:t>
            </w:r>
          </w:p>
        </w:tc>
        <w:tc>
          <w:tcPr>
            <w:tcW w:w="1401" w:type="dxa"/>
            <w:tcBorders>
              <w:top w:val="nil"/>
              <w:left w:val="nil"/>
              <w:bottom w:val="nil"/>
              <w:right w:val="nil"/>
            </w:tcBorders>
            <w:tcMar>
              <w:top w:w="0" w:type="dxa"/>
              <w:left w:w="60" w:type="dxa"/>
              <w:bottom w:w="0" w:type="dxa"/>
              <w:right w:w="60" w:type="dxa"/>
            </w:tcMar>
            <w:vAlign w:val="bottom"/>
          </w:tcPr>
          <w:p>
            <w:pPr>
              <w:pStyle w:val="DMETW19883BIPPENS1"/>
              <w:jc w:val="right"/>
              <w:rPr>
                <w:rFonts w:ascii="Verdana" w:eastAsia="Times New Roman" w:hAnsi="Verdana" w:cs="Verdana"/>
                <w:i/>
                <w:noProof/>
                <w:color w:val="000000"/>
                <w:sz w:val="18"/>
              </w:rPr>
            </w:pPr>
            <w:r>
              <w:rPr>
                <w:rFonts w:ascii="Verdana" w:hAnsi="Verdana"/>
                <w:i/>
                <w:noProof/>
                <w:color w:val="000000"/>
                <w:sz w:val="18"/>
              </w:rPr>
              <w:t>N/A</w:t>
            </w:r>
          </w:p>
        </w:tc>
        <w:tc>
          <w:tcPr>
            <w:tcW w:w="1402" w:type="dxa"/>
            <w:tcBorders>
              <w:top w:val="nil"/>
              <w:left w:val="nil"/>
              <w:bottom w:val="nil"/>
              <w:right w:val="nil"/>
            </w:tcBorders>
            <w:tcMar>
              <w:top w:w="0" w:type="dxa"/>
              <w:left w:w="60" w:type="dxa"/>
              <w:bottom w:w="0" w:type="dxa"/>
              <w:right w:w="60" w:type="dxa"/>
            </w:tcMar>
            <w:vAlign w:val="bottom"/>
          </w:tcPr>
          <w:p>
            <w:pPr>
              <w:pStyle w:val="DMETW19883BIPPENS1"/>
              <w:jc w:val="right"/>
              <w:rPr>
                <w:rFonts w:ascii="Verdana" w:eastAsia="Times New Roman" w:hAnsi="Verdana" w:cs="Verdana"/>
                <w:i/>
                <w:noProof/>
                <w:color w:val="000000"/>
                <w:sz w:val="18"/>
              </w:rPr>
            </w:pPr>
            <w:r>
              <w:rPr>
                <w:rFonts w:ascii="Verdana" w:hAnsi="Verdana"/>
                <w:i/>
                <w:noProof/>
                <w:color w:val="000000"/>
                <w:sz w:val="18"/>
              </w:rPr>
              <w:t xml:space="preserve"> (94)</w:t>
            </w:r>
          </w:p>
        </w:tc>
        <w:tc>
          <w:tcPr>
            <w:tcW w:w="1402" w:type="dxa"/>
            <w:tcBorders>
              <w:top w:val="nil"/>
              <w:left w:val="nil"/>
              <w:bottom w:val="nil"/>
              <w:right w:val="nil"/>
            </w:tcBorders>
            <w:tcMar>
              <w:top w:w="0" w:type="dxa"/>
              <w:left w:w="60" w:type="dxa"/>
              <w:bottom w:w="0" w:type="dxa"/>
              <w:right w:w="60" w:type="dxa"/>
            </w:tcMar>
            <w:vAlign w:val="bottom"/>
          </w:tcPr>
          <w:p>
            <w:pPr>
              <w:pStyle w:val="DMETW19883BIPPENS1"/>
              <w:jc w:val="right"/>
              <w:rPr>
                <w:rFonts w:ascii="Verdana" w:eastAsia="Times New Roman" w:hAnsi="Verdana" w:cs="Verdana"/>
                <w:i/>
                <w:noProof/>
                <w:color w:val="000000"/>
                <w:sz w:val="18"/>
              </w:rPr>
            </w:pPr>
            <w:r>
              <w:rPr>
                <w:rFonts w:ascii="Verdana" w:hAnsi="Verdana"/>
                <w:i/>
                <w:noProof/>
                <w:color w:val="000000"/>
                <w:sz w:val="18"/>
              </w:rPr>
              <w:t xml:space="preserve"> (354)</w:t>
            </w:r>
          </w:p>
        </w:tc>
        <w:tc>
          <w:tcPr>
            <w:tcW w:w="1402" w:type="dxa"/>
            <w:tcBorders>
              <w:top w:val="nil"/>
              <w:left w:val="nil"/>
              <w:bottom w:val="nil"/>
              <w:right w:val="nil"/>
            </w:tcBorders>
            <w:tcMar>
              <w:top w:w="0" w:type="dxa"/>
              <w:left w:w="60" w:type="dxa"/>
              <w:bottom w:w="0" w:type="dxa"/>
              <w:right w:w="60" w:type="dxa"/>
            </w:tcMar>
            <w:vAlign w:val="bottom"/>
          </w:tcPr>
          <w:p>
            <w:pPr>
              <w:pStyle w:val="DMETW19883BIPPENS1"/>
              <w:jc w:val="right"/>
              <w:rPr>
                <w:rFonts w:ascii="Verdana" w:eastAsia="Times New Roman" w:hAnsi="Verdana" w:cs="Verdana"/>
                <w:i/>
                <w:noProof/>
                <w:color w:val="000000"/>
                <w:sz w:val="18"/>
              </w:rPr>
            </w:pPr>
            <w:r>
              <w:rPr>
                <w:rFonts w:ascii="Verdana" w:hAnsi="Verdana"/>
                <w:i/>
                <w:noProof/>
                <w:color w:val="000000"/>
                <w:sz w:val="18"/>
              </w:rPr>
              <w:t xml:space="preserve"> (448)</w:t>
            </w:r>
          </w:p>
        </w:tc>
        <w:tc>
          <w:tcPr>
            <w:tcW w:w="1402" w:type="dxa"/>
            <w:tcBorders>
              <w:top w:val="nil"/>
              <w:left w:val="nil"/>
              <w:bottom w:val="nil"/>
              <w:right w:val="nil"/>
            </w:tcBorders>
            <w:tcMar>
              <w:top w:w="0" w:type="dxa"/>
              <w:left w:w="60" w:type="dxa"/>
              <w:bottom w:w="0" w:type="dxa"/>
              <w:right w:w="60" w:type="dxa"/>
            </w:tcMar>
            <w:vAlign w:val="bottom"/>
          </w:tcPr>
          <w:p>
            <w:pPr>
              <w:pStyle w:val="DMETW19883BIPPENS1"/>
              <w:jc w:val="right"/>
              <w:rPr>
                <w:rFonts w:ascii="Verdana" w:eastAsia="Times New Roman" w:hAnsi="Verdana" w:cs="Verdana"/>
                <w:i/>
                <w:noProof/>
                <w:color w:val="000000"/>
                <w:sz w:val="18"/>
              </w:rPr>
            </w:pPr>
            <w:r>
              <w:rPr>
                <w:rFonts w:ascii="Verdana" w:hAnsi="Verdana"/>
                <w:i/>
                <w:noProof/>
                <w:color w:val="000000"/>
                <w:sz w:val="18"/>
              </w:rPr>
              <w:t xml:space="preserve"> (403)</w:t>
            </w:r>
          </w:p>
        </w:tc>
      </w:tr>
      <w:tr>
        <w:trPr>
          <w:trHeight w:val="255"/>
        </w:trPr>
        <w:tc>
          <w:tcPr>
            <w:tcW w:w="2749" w:type="dxa"/>
            <w:tcBorders>
              <w:top w:val="nil"/>
              <w:left w:val="nil"/>
              <w:bottom w:val="nil"/>
              <w:right w:val="nil"/>
            </w:tcBorders>
            <w:shd w:val="solid" w:color="CCE1EA" w:fill="FFFFFF"/>
            <w:tcMar>
              <w:top w:w="0" w:type="dxa"/>
              <w:left w:w="60" w:type="dxa"/>
              <w:bottom w:w="0" w:type="dxa"/>
              <w:right w:w="60" w:type="dxa"/>
            </w:tcMar>
            <w:vAlign w:val="center"/>
          </w:tcPr>
          <w:p>
            <w:pPr>
              <w:pStyle w:val="DMETW19883BIPPENS1"/>
              <w:rPr>
                <w:rFonts w:ascii="Verdana" w:eastAsia="Times New Roman" w:hAnsi="Verdana" w:cs="Verdana"/>
                <w:b/>
                <w:noProof/>
                <w:color w:val="000000"/>
                <w:sz w:val="18"/>
              </w:rPr>
            </w:pPr>
            <w:r>
              <w:rPr>
                <w:rFonts w:ascii="Verdana" w:hAnsi="Verdana"/>
                <w:b/>
                <w:noProof/>
                <w:color w:val="000000"/>
                <w:sz w:val="18"/>
              </w:rPr>
              <w:t>Нетни задължения</w:t>
            </w:r>
          </w:p>
        </w:tc>
        <w:tc>
          <w:tcPr>
            <w:tcW w:w="1401" w:type="dxa"/>
            <w:tcBorders>
              <w:top w:val="nil"/>
              <w:left w:val="nil"/>
              <w:bottom w:val="nil"/>
              <w:right w:val="nil"/>
            </w:tcBorders>
            <w:shd w:val="solid" w:color="CCE1EA" w:fill="FFFFFF"/>
            <w:tcMar>
              <w:top w:w="0" w:type="dxa"/>
              <w:left w:w="60" w:type="dxa"/>
              <w:bottom w:w="0" w:type="dxa"/>
              <w:right w:w="60" w:type="dxa"/>
            </w:tcMar>
            <w:vAlign w:val="bottom"/>
          </w:tcPr>
          <w:p>
            <w:pPr>
              <w:pStyle w:val="DMETW19883BIPPENS1"/>
              <w:jc w:val="right"/>
              <w:rPr>
                <w:rFonts w:ascii="Verdana" w:eastAsia="Times New Roman" w:hAnsi="Verdana" w:cs="Verdana"/>
                <w:b/>
                <w:noProof/>
                <w:color w:val="000000"/>
                <w:sz w:val="18"/>
              </w:rPr>
            </w:pPr>
            <w:r>
              <w:rPr>
                <w:rFonts w:ascii="Verdana" w:hAnsi="Verdana"/>
                <w:b/>
                <w:noProof/>
                <w:color w:val="000000"/>
                <w:sz w:val="18"/>
              </w:rPr>
              <w:t>100 741</w:t>
            </w:r>
          </w:p>
        </w:tc>
        <w:tc>
          <w:tcPr>
            <w:tcW w:w="1402" w:type="dxa"/>
            <w:tcBorders>
              <w:top w:val="nil"/>
              <w:left w:val="nil"/>
              <w:bottom w:val="nil"/>
              <w:right w:val="nil"/>
            </w:tcBorders>
            <w:shd w:val="solid" w:color="CCE1EA" w:fill="FFFFFF"/>
            <w:tcMar>
              <w:top w:w="0" w:type="dxa"/>
              <w:left w:w="60" w:type="dxa"/>
              <w:bottom w:w="0" w:type="dxa"/>
              <w:right w:w="60" w:type="dxa"/>
            </w:tcMar>
            <w:vAlign w:val="bottom"/>
          </w:tcPr>
          <w:p>
            <w:pPr>
              <w:pStyle w:val="DMETW19883BIPPENS1"/>
              <w:jc w:val="right"/>
              <w:rPr>
                <w:rFonts w:ascii="Verdana" w:eastAsia="Times New Roman" w:hAnsi="Verdana" w:cs="Verdana"/>
                <w:b/>
                <w:noProof/>
                <w:color w:val="000000"/>
                <w:sz w:val="18"/>
              </w:rPr>
            </w:pPr>
            <w:r>
              <w:rPr>
                <w:rFonts w:ascii="Verdana" w:hAnsi="Verdana"/>
                <w:b/>
                <w:noProof/>
                <w:color w:val="000000"/>
                <w:sz w:val="18"/>
              </w:rPr>
              <w:t>2 344</w:t>
            </w:r>
          </w:p>
        </w:tc>
        <w:tc>
          <w:tcPr>
            <w:tcW w:w="1402" w:type="dxa"/>
            <w:tcBorders>
              <w:top w:val="nil"/>
              <w:left w:val="nil"/>
              <w:bottom w:val="nil"/>
              <w:right w:val="nil"/>
            </w:tcBorders>
            <w:shd w:val="solid" w:color="CCE1EA" w:fill="FFFFFF"/>
            <w:tcMar>
              <w:top w:w="0" w:type="dxa"/>
              <w:left w:w="60" w:type="dxa"/>
              <w:bottom w:w="0" w:type="dxa"/>
              <w:right w:w="60" w:type="dxa"/>
            </w:tcMar>
            <w:vAlign w:val="bottom"/>
          </w:tcPr>
          <w:p>
            <w:pPr>
              <w:pStyle w:val="DMETW19883BIPPENS1"/>
              <w:jc w:val="right"/>
              <w:rPr>
                <w:rFonts w:ascii="Verdana" w:eastAsia="Times New Roman" w:hAnsi="Verdana" w:cs="Verdana"/>
                <w:b/>
                <w:noProof/>
                <w:color w:val="000000"/>
                <w:sz w:val="18"/>
              </w:rPr>
            </w:pPr>
            <w:r>
              <w:rPr>
                <w:rFonts w:ascii="Verdana" w:hAnsi="Verdana"/>
                <w:b/>
                <w:noProof/>
                <w:color w:val="000000"/>
                <w:sz w:val="18"/>
              </w:rPr>
              <w:t>12 935</w:t>
            </w:r>
          </w:p>
        </w:tc>
        <w:tc>
          <w:tcPr>
            <w:tcW w:w="1402" w:type="dxa"/>
            <w:tcBorders>
              <w:top w:val="nil"/>
              <w:left w:val="nil"/>
              <w:bottom w:val="nil"/>
              <w:right w:val="nil"/>
            </w:tcBorders>
            <w:shd w:val="solid" w:color="CCE1EA" w:fill="FFFFFF"/>
            <w:tcMar>
              <w:top w:w="0" w:type="dxa"/>
              <w:left w:w="60" w:type="dxa"/>
              <w:bottom w:w="0" w:type="dxa"/>
              <w:right w:w="60" w:type="dxa"/>
            </w:tcMar>
            <w:vAlign w:val="bottom"/>
          </w:tcPr>
          <w:p>
            <w:pPr>
              <w:pStyle w:val="DMETW19883BIPPENS1"/>
              <w:jc w:val="right"/>
              <w:rPr>
                <w:rFonts w:ascii="Verdana" w:eastAsia="Times New Roman" w:hAnsi="Verdana" w:cs="Verdana"/>
                <w:b/>
                <w:noProof/>
                <w:color w:val="000000"/>
                <w:sz w:val="18"/>
              </w:rPr>
            </w:pPr>
            <w:r>
              <w:rPr>
                <w:rFonts w:ascii="Verdana" w:hAnsi="Verdana"/>
                <w:b/>
                <w:noProof/>
                <w:color w:val="000000"/>
                <w:sz w:val="18"/>
              </w:rPr>
              <w:t>116 020</w:t>
            </w:r>
          </w:p>
        </w:tc>
        <w:tc>
          <w:tcPr>
            <w:tcW w:w="1402" w:type="dxa"/>
            <w:tcBorders>
              <w:top w:val="nil"/>
              <w:left w:val="nil"/>
              <w:bottom w:val="nil"/>
              <w:right w:val="nil"/>
            </w:tcBorders>
            <w:shd w:val="solid" w:color="CCE1EA" w:fill="FFFFFF"/>
            <w:tcMar>
              <w:top w:w="0" w:type="dxa"/>
              <w:left w:w="60" w:type="dxa"/>
              <w:bottom w:w="0" w:type="dxa"/>
              <w:right w:w="60" w:type="dxa"/>
            </w:tcMar>
            <w:vAlign w:val="bottom"/>
          </w:tcPr>
          <w:p>
            <w:pPr>
              <w:pStyle w:val="DMETW19883BIPPENS1"/>
              <w:jc w:val="right"/>
              <w:rPr>
                <w:rFonts w:ascii="Verdana" w:eastAsia="Times New Roman" w:hAnsi="Verdana" w:cs="Verdana"/>
                <w:b/>
                <w:noProof/>
                <w:color w:val="000000"/>
                <w:sz w:val="18"/>
              </w:rPr>
            </w:pPr>
            <w:r>
              <w:rPr>
                <w:rFonts w:ascii="Verdana" w:hAnsi="Verdana"/>
                <w:b/>
                <w:noProof/>
                <w:color w:val="000000"/>
                <w:sz w:val="18"/>
              </w:rPr>
              <w:t>97 659</w:t>
            </w:r>
          </w:p>
        </w:tc>
      </w:tr>
    </w:tbl>
    <w:p>
      <w:pPr>
        <w:pStyle w:val="HEADER5"/>
        <w:rPr>
          <w:noProof/>
        </w:rPr>
      </w:pPr>
    </w:p>
    <w:p>
      <w:pPr>
        <w:pStyle w:val="DGTextstand-alone"/>
      </w:pPr>
      <w:r>
        <w:t xml:space="preserve">Увеличението на общия размер на задължението, свързано с доходите на наети лица, се дължи предимно на увеличението на нетното задължение на пенсионноосигурителната схема на европейските длъжностни лица (ПСЕДЛ) — най-голямата действаща схема. Това задължение на ПСЕДЛ се е увеличило основно поради актюерската загуба вследствие на промени във финансовите предположения, причинени от рязко намаление на номиналния дисконтов процент. Освен това, тъй като номиналният дисконтов процент се коригира с инфлацията, за да се получи реалният дисконтов процент, през 2020 г. реалният дисконтов процент бе отрицателен за втора поредна година, което означава, че всяка бъдеща сума струва повече днес, отколкото в бъдеще: това води до значително увеличение на размера на задължението в края на годината. По-ниският дисконтов процент имаше сходен ефект и върху другите схеми. </w:t>
      </w:r>
    </w:p>
    <w:p>
      <w:pPr>
        <w:pStyle w:val="DGTextstand-alone"/>
      </w:pPr>
      <w:r>
        <w:t>Освен това правата, придобити през годината поради изработен стаж, са по-високи от доходите, изплатени през годината. Освен това има увеличение поради годишния разход за лихви (намаляване на дисконтирането на задължението), както и актюерски загуби от опит.</w:t>
      </w:r>
    </w:p>
    <w:p>
      <w:pPr>
        <w:pStyle w:val="DGTextstand-alone"/>
        <w:rPr>
          <w:color w:val="016794"/>
        </w:rPr>
      </w:pPr>
      <w:r>
        <w:rPr>
          <w:color w:val="016794"/>
        </w:rPr>
        <w:t>Пенсионноосигурителна схема на европейските длъжностни лица</w:t>
      </w:r>
    </w:p>
    <w:p>
      <w:pPr>
        <w:pStyle w:val="DGTextstand-alone"/>
      </w:pPr>
      <w:r>
        <w:t>Това задължение за изплащане на дефинирани доходи представлява настоящата стойност на очакваните бъдещи плащания, които ЕС трябва да направи, за да изпълни пенсионните задължения, произтичащи от трудовия стаж на служителите през текущия и минали периоди. Тъй като схемата е текуща, всички плащания, които трябва да бъдат направени от нея на годишна основа, се включват в бюджета на ЕС всяка година.</w:t>
      </w:r>
    </w:p>
    <w:p>
      <w:pPr>
        <w:pStyle w:val="DGTextstand-alone"/>
      </w:pPr>
      <w:r>
        <w:t>В съответствие с член 83 от Правилника за длъжностните лица плащането на доходите, предвидени в пенсионноосигурителната схема на персонала, представлява разход за бюджета на ЕС. Схемата се финансира теоретично и държавите членки гарантират колективно изплащането на тези доходи. От основните заплати на активните членове се удържа задължителна пенсионна вноска, която понастоящем е 10,1 %. Тези вноски се третират като бюджетен приход за годината и допринасят за финансирането на разходите на ЕС като цяло — вж. също бележка </w:t>
      </w:r>
      <w:r>
        <w:rPr>
          <w:b/>
        </w:rPr>
        <w:t>3.7</w:t>
      </w:r>
      <w:r>
        <w:t>.</w:t>
      </w:r>
    </w:p>
    <w:p>
      <w:pPr>
        <w:pStyle w:val="DGTextstand-alone"/>
      </w:pPr>
      <w:r>
        <w:t>Задълженията на пенсионноосигурителната схема бяха оценени въз основа на броя на персонала в ПСЕДЛ (активно зает персонал, пенсионирани служители, бивш активно зает персонал, сега получаващ пенсия за инвалидност, и лица на издръжката на починали служители) към 31 декември 2020 г. и на правилата на Правилника за персонала, приложими към тази дата. Тази оценка беше извършена в съответствие с методиката на МССПС 39 (а следователно и на счетоводно правило 12 на ЕС).</w:t>
      </w:r>
    </w:p>
    <w:p>
      <w:pPr>
        <w:pStyle w:val="DGTextstand-alone"/>
        <w:rPr>
          <w:color w:val="016794"/>
        </w:rPr>
      </w:pPr>
      <w:r>
        <w:rPr>
          <w:color w:val="016794"/>
        </w:rPr>
        <w:t>Други схеми за доходи след пенсиониране</w:t>
      </w:r>
    </w:p>
    <w:p>
      <w:pPr>
        <w:pStyle w:val="DGTextstand-alone"/>
      </w:pPr>
      <w:r>
        <w:t>Тази позиция се отнася до пасива, свързан с пенсионните задължения към членовете и бившите членове на Комисията, Съда (и Общия съд) и Сметната палата, Съвета, Омбудсмана, Европейския надзорен орган по защита на данните и Съда на публичната служба на Европейския съюз. Също включен в тази позиция е пасив, свързан с пенсиите на членовете на Европейския парламент.</w:t>
      </w:r>
    </w:p>
    <w:p>
      <w:pPr>
        <w:pStyle w:val="DGTextstand-alone"/>
        <w:rPr>
          <w:color w:val="016794"/>
        </w:rPr>
      </w:pPr>
      <w:r>
        <w:rPr>
          <w:color w:val="016794"/>
        </w:rPr>
        <w:t>Обща здравноосигурителна схема</w:t>
      </w:r>
    </w:p>
    <w:p>
      <w:pPr>
        <w:pStyle w:val="HEADER5"/>
        <w:jc w:val="both"/>
        <w:rPr>
          <w:rFonts w:eastAsia="Calibri"/>
          <w:noProof/>
          <w:color w:val="auto"/>
        </w:rPr>
      </w:pPr>
      <w:r>
        <w:rPr>
          <w:noProof/>
          <w:color w:val="auto"/>
        </w:rPr>
        <w:t>В допълнение към горепосочените схеми за доходи след пенсиониране се прави оценка на очакваното задължение на ЕС, що се отнася до общата здравноосигурителна схема (ОЗОС), във връзка с разходите за здравеопазване, които трябва да се плащат по време на периодите след дейността (като се приспаднат техните вноски). Както е посочено в бележка </w:t>
      </w:r>
      <w:r>
        <w:rPr>
          <w:b/>
          <w:noProof/>
          <w:color w:val="auto"/>
        </w:rPr>
        <w:t>1.5.10</w:t>
      </w:r>
      <w:r>
        <w:rPr>
          <w:noProof/>
          <w:color w:val="auto"/>
        </w:rPr>
        <w:t>, при изчисляването на това задължение се взема под внимание целият период на активна служба, като се гарантира, че както пенсионноосигурителната схема, така и здравноосигурителната схема на плана на персонала за доходи след напускане винаги се вземат предвид. Като взехме под внимание задължението за достоверно представяне на икономическата същност на положението, както изискват СПЕС и МССПС, не сме изтълкували МССПС 39 в по-тесен смисъл при отнасянето на доходите към периодите на служба. Ако бъдат начислени разходите за трудов стаж за ОЗОС изцяло за 10 години за всички длъжностни лица, вместо за периода на активна служба на служителя, отражението на този подход върху задължението за изплащане на дефинирани доходи към края на годината ще представлява увеличение в размер на 4,6 милиарда евро. Както вече беше посочено обаче, този по-строг подход няма да е съвместим с качествената характеристика на достоверното представяне, поради което няма да се счита, че предоставя надеждна информация в съответствие със СПЕС 1 и концептуалната рамка на МССПС. Тази оценка е силно чувствителна на промените в административния статут на настоящите служители (по-специално броя на осигурените лица, работещи на срочен договор, които се очаква да станат длъжностни лица в бъдеще).</w:t>
      </w:r>
    </w:p>
    <w:p>
      <w:pPr>
        <w:pStyle w:val="HEADER3NOTES"/>
        <w:rPr>
          <w:noProof/>
        </w:rPr>
      </w:pPr>
      <w:r>
        <w:rPr>
          <w:noProof/>
        </w:rPr>
        <w:t>Движение на настоящата стойност на задължението за изплащане на дефинирани доходи за доходите на наети лица</w:t>
      </w:r>
    </w:p>
    <w:p>
      <w:pPr>
        <w:pStyle w:val="DGTextstand-alone"/>
      </w:pPr>
      <w:r>
        <w:t>Настоящата стойност на задължението за изплащане на дефинирани доходи е дисконтираната стойност на очакваните бъдещи плащания, необходими за уреждане на задължението, произтичащо от трудовия стаж на наетите лица през текущия и миналите периоди.</w:t>
      </w:r>
    </w:p>
    <w:p>
      <w:pPr>
        <w:pStyle w:val="DGTextstand-alone"/>
      </w:pPr>
      <w:r>
        <w:t>По-долу е представен анализ на движението на задължението за изплащане на дефинирани доходи за текущата година: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0"/>
        <w:gridCol w:w="1615"/>
        <w:gridCol w:w="1615"/>
        <w:gridCol w:w="1616"/>
        <w:gridCol w:w="1152"/>
      </w:tblGrid>
      <w:tr>
        <w:trPr>
          <w:trHeight w:val="255"/>
        </w:trPr>
        <w:tc>
          <w:tcPr>
            <w:tcW w:w="3760" w:type="dxa"/>
            <w:tcBorders>
              <w:top w:val="nil"/>
              <w:left w:val="nil"/>
              <w:bottom w:val="nil"/>
              <w:right w:val="nil"/>
            </w:tcBorders>
            <w:tcMar>
              <w:top w:w="0" w:type="dxa"/>
              <w:left w:w="60" w:type="dxa"/>
              <w:bottom w:w="0" w:type="dxa"/>
              <w:right w:w="60" w:type="dxa"/>
            </w:tcMar>
            <w:vAlign w:val="bottom"/>
          </w:tcPr>
          <w:p>
            <w:pPr>
              <w:pStyle w:val="DMETW19883BIPPENS2"/>
              <w:rPr>
                <w:rFonts w:ascii="Arial" w:eastAsia="Times New Roman" w:hAnsi="Arial" w:cs="Arial"/>
                <w:noProof/>
                <w:color w:val="000000"/>
              </w:rPr>
            </w:pPr>
            <w:bookmarkStart w:id="129" w:name="DOC_TBL00039_1_1"/>
            <w:bookmarkEnd w:id="129"/>
          </w:p>
        </w:tc>
        <w:tc>
          <w:tcPr>
            <w:tcW w:w="1615" w:type="dxa"/>
            <w:tcBorders>
              <w:top w:val="nil"/>
              <w:left w:val="nil"/>
              <w:bottom w:val="nil"/>
              <w:right w:val="nil"/>
            </w:tcBorders>
            <w:tcMar>
              <w:top w:w="0" w:type="dxa"/>
              <w:left w:w="60" w:type="dxa"/>
              <w:bottom w:w="0" w:type="dxa"/>
              <w:right w:w="60" w:type="dxa"/>
            </w:tcMar>
            <w:vAlign w:val="bottom"/>
          </w:tcPr>
          <w:p>
            <w:pPr>
              <w:pStyle w:val="DMETW19883BIPPENS2"/>
              <w:rPr>
                <w:rFonts w:ascii="Arial" w:eastAsia="Times New Roman" w:hAnsi="Arial" w:cs="Arial"/>
                <w:noProof/>
                <w:color w:val="000000"/>
              </w:rPr>
            </w:pPr>
          </w:p>
        </w:tc>
        <w:tc>
          <w:tcPr>
            <w:tcW w:w="1615" w:type="dxa"/>
            <w:tcBorders>
              <w:top w:val="nil"/>
              <w:left w:val="nil"/>
              <w:bottom w:val="nil"/>
              <w:right w:val="nil"/>
            </w:tcBorders>
            <w:tcMar>
              <w:top w:w="0" w:type="dxa"/>
              <w:left w:w="60" w:type="dxa"/>
              <w:bottom w:w="0" w:type="dxa"/>
              <w:right w:w="60" w:type="dxa"/>
            </w:tcMar>
            <w:vAlign w:val="bottom"/>
          </w:tcPr>
          <w:p>
            <w:pPr>
              <w:pStyle w:val="DMETW19883BIPPENS2"/>
              <w:rPr>
                <w:rFonts w:ascii="Arial" w:eastAsia="Times New Roman" w:hAnsi="Arial" w:cs="Arial"/>
                <w:noProof/>
                <w:color w:val="000000"/>
              </w:rPr>
            </w:pPr>
          </w:p>
        </w:tc>
        <w:tc>
          <w:tcPr>
            <w:tcW w:w="1616" w:type="dxa"/>
            <w:tcBorders>
              <w:top w:val="nil"/>
              <w:left w:val="nil"/>
              <w:bottom w:val="nil"/>
              <w:right w:val="nil"/>
            </w:tcBorders>
            <w:tcMar>
              <w:top w:w="0" w:type="dxa"/>
              <w:left w:w="60" w:type="dxa"/>
              <w:bottom w:w="0" w:type="dxa"/>
              <w:right w:w="60" w:type="dxa"/>
            </w:tcMar>
            <w:vAlign w:val="bottom"/>
          </w:tcPr>
          <w:p>
            <w:pPr>
              <w:pStyle w:val="DMETW19883BIPPENS2"/>
              <w:rPr>
                <w:rFonts w:ascii="Arial" w:eastAsia="Times New Roman" w:hAnsi="Arial" w:cs="Arial"/>
                <w:noProof/>
                <w:color w:val="000000"/>
              </w:rPr>
            </w:pPr>
          </w:p>
        </w:tc>
        <w:tc>
          <w:tcPr>
            <w:tcW w:w="1152" w:type="dxa"/>
            <w:tcBorders>
              <w:top w:val="nil"/>
              <w:left w:val="nil"/>
              <w:bottom w:val="nil"/>
              <w:right w:val="nil"/>
            </w:tcBorders>
            <w:tcMar>
              <w:top w:w="0" w:type="dxa"/>
              <w:left w:w="60" w:type="dxa"/>
              <w:bottom w:w="0" w:type="dxa"/>
              <w:right w:w="60" w:type="dxa"/>
            </w:tcMar>
            <w:vAlign w:val="bottom"/>
          </w:tcPr>
          <w:p>
            <w:pPr>
              <w:pStyle w:val="DMETW19883BIPPENS2"/>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3760"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2"/>
              <w:jc w:val="right"/>
              <w:rPr>
                <w:rFonts w:ascii="Verdana" w:eastAsia="Times New Roman" w:hAnsi="Verdana" w:cs="Verdana"/>
                <w:noProof/>
                <w:color w:val="FFFFFF"/>
                <w:sz w:val="18"/>
              </w:rPr>
            </w:pPr>
          </w:p>
        </w:tc>
        <w:tc>
          <w:tcPr>
            <w:tcW w:w="1615" w:type="dxa"/>
            <w:tcBorders>
              <w:top w:val="nil"/>
              <w:left w:val="nil"/>
              <w:bottom w:val="nil"/>
              <w:right w:val="nil"/>
            </w:tcBorders>
            <w:shd w:val="solid" w:color="016794" w:fill="FFFFFF"/>
            <w:tcMar>
              <w:top w:w="0" w:type="dxa"/>
              <w:left w:w="60" w:type="dxa"/>
              <w:bottom w:w="0" w:type="dxa"/>
              <w:right w:w="60" w:type="dxa"/>
            </w:tcMar>
          </w:tcPr>
          <w:p>
            <w:pPr>
              <w:pStyle w:val="DMETW19883BIPPENS2"/>
              <w:jc w:val="right"/>
              <w:rPr>
                <w:rFonts w:ascii="Verdana" w:eastAsia="Times New Roman" w:hAnsi="Verdana" w:cs="Verdana"/>
                <w:noProof/>
                <w:color w:val="FFFFFF"/>
                <w:sz w:val="18"/>
              </w:rPr>
            </w:pPr>
            <w:r>
              <w:rPr>
                <w:rFonts w:ascii="Verdana" w:hAnsi="Verdana"/>
                <w:noProof/>
                <w:color w:val="FFFFFF"/>
                <w:sz w:val="18"/>
              </w:rPr>
              <w:t xml:space="preserve">Пенсионноосигурителна схема на европейските длъжностни лица </w:t>
            </w:r>
          </w:p>
        </w:tc>
        <w:tc>
          <w:tcPr>
            <w:tcW w:w="1615" w:type="dxa"/>
            <w:tcBorders>
              <w:top w:val="nil"/>
              <w:left w:val="nil"/>
              <w:bottom w:val="nil"/>
              <w:right w:val="nil"/>
            </w:tcBorders>
            <w:shd w:val="solid" w:color="016794" w:fill="FFFFFF"/>
            <w:tcMar>
              <w:top w:w="0" w:type="dxa"/>
              <w:left w:w="60" w:type="dxa"/>
              <w:bottom w:w="0" w:type="dxa"/>
              <w:right w:w="60" w:type="dxa"/>
            </w:tcMar>
          </w:tcPr>
          <w:p>
            <w:pPr>
              <w:pStyle w:val="DMETW19883BIPPENS2"/>
              <w:jc w:val="right"/>
              <w:rPr>
                <w:rFonts w:ascii="Verdana" w:eastAsia="Times New Roman" w:hAnsi="Verdana" w:cs="Verdana"/>
                <w:noProof/>
                <w:color w:val="FFFFFF"/>
                <w:sz w:val="18"/>
              </w:rPr>
            </w:pPr>
            <w:r>
              <w:rPr>
                <w:rFonts w:ascii="Verdana" w:hAnsi="Verdana"/>
                <w:noProof/>
                <w:color w:val="FFFFFF"/>
                <w:sz w:val="18"/>
              </w:rPr>
              <w:t>Други схеми за доходи след пенсиониране</w:t>
            </w:r>
          </w:p>
        </w:tc>
        <w:tc>
          <w:tcPr>
            <w:tcW w:w="1616" w:type="dxa"/>
            <w:tcBorders>
              <w:top w:val="nil"/>
              <w:left w:val="nil"/>
              <w:bottom w:val="nil"/>
              <w:right w:val="nil"/>
            </w:tcBorders>
            <w:shd w:val="solid" w:color="016794" w:fill="FFFFFF"/>
            <w:tcMar>
              <w:top w:w="0" w:type="dxa"/>
              <w:left w:w="60" w:type="dxa"/>
              <w:bottom w:w="0" w:type="dxa"/>
              <w:right w:w="60" w:type="dxa"/>
            </w:tcMar>
          </w:tcPr>
          <w:p>
            <w:pPr>
              <w:pStyle w:val="DMETW19883BIPPENS2"/>
              <w:jc w:val="right"/>
              <w:rPr>
                <w:rFonts w:ascii="Verdana" w:eastAsia="Times New Roman" w:hAnsi="Verdana" w:cs="Verdana"/>
                <w:noProof/>
                <w:color w:val="FFFFFF"/>
                <w:sz w:val="18"/>
              </w:rPr>
            </w:pPr>
            <w:r>
              <w:rPr>
                <w:rFonts w:ascii="Verdana" w:hAnsi="Verdana"/>
                <w:noProof/>
                <w:color w:val="FFFFFF"/>
                <w:sz w:val="18"/>
              </w:rPr>
              <w:t>Обща здравноосигурителна схема</w:t>
            </w:r>
          </w:p>
        </w:tc>
        <w:tc>
          <w:tcPr>
            <w:tcW w:w="1152" w:type="dxa"/>
            <w:tcBorders>
              <w:top w:val="nil"/>
              <w:left w:val="nil"/>
              <w:bottom w:val="nil"/>
              <w:right w:val="nil"/>
            </w:tcBorders>
            <w:shd w:val="solid" w:color="016794" w:fill="FFFFFF"/>
            <w:tcMar>
              <w:top w:w="0" w:type="dxa"/>
              <w:left w:w="60" w:type="dxa"/>
              <w:bottom w:w="0" w:type="dxa"/>
              <w:right w:w="60" w:type="dxa"/>
            </w:tcMar>
          </w:tcPr>
          <w:p>
            <w:pPr>
              <w:pStyle w:val="DMETW19883BIPPENS2"/>
              <w:jc w:val="right"/>
              <w:rPr>
                <w:rFonts w:ascii="Verdana" w:eastAsia="Times New Roman" w:hAnsi="Verdana" w:cs="Verdana"/>
                <w:noProof/>
                <w:color w:val="FFFFFF"/>
                <w:sz w:val="18"/>
              </w:rPr>
            </w:pPr>
            <w:r>
              <w:rPr>
                <w:rFonts w:ascii="Verdana" w:hAnsi="Verdana"/>
                <w:noProof/>
                <w:color w:val="FFFFFF"/>
                <w:sz w:val="18"/>
              </w:rPr>
              <w:t>Общо</w:t>
            </w:r>
          </w:p>
        </w:tc>
      </w:tr>
      <w:tr>
        <w:trPr>
          <w:trHeight w:val="255"/>
        </w:trPr>
        <w:tc>
          <w:tcPr>
            <w:tcW w:w="3760" w:type="dxa"/>
            <w:tcBorders>
              <w:top w:val="nil"/>
              <w:left w:val="nil"/>
              <w:bottom w:val="single" w:sz="4" w:space="0" w:color="016794"/>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r>
              <w:rPr>
                <w:rFonts w:ascii="Verdana" w:hAnsi="Verdana"/>
                <w:b/>
                <w:noProof/>
                <w:color w:val="000000"/>
                <w:sz w:val="18"/>
              </w:rPr>
              <w:t>Настояща стойност към 31.12.2019 г.</w:t>
            </w:r>
          </w:p>
        </w:tc>
        <w:tc>
          <w:tcPr>
            <w:tcW w:w="1615" w:type="dxa"/>
            <w:tcBorders>
              <w:top w:val="nil"/>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b/>
                <w:noProof/>
                <w:color w:val="000000"/>
                <w:sz w:val="18"/>
              </w:rPr>
            </w:pPr>
            <w:r>
              <w:rPr>
                <w:rFonts w:ascii="Verdana" w:hAnsi="Verdana"/>
                <w:b/>
                <w:noProof/>
                <w:color w:val="000000"/>
                <w:sz w:val="18"/>
              </w:rPr>
              <w:t>83 842</w:t>
            </w:r>
          </w:p>
        </w:tc>
        <w:tc>
          <w:tcPr>
            <w:tcW w:w="1615" w:type="dxa"/>
            <w:tcBorders>
              <w:top w:val="nil"/>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b/>
                <w:noProof/>
                <w:color w:val="000000"/>
                <w:sz w:val="18"/>
              </w:rPr>
            </w:pPr>
            <w:r>
              <w:rPr>
                <w:rFonts w:ascii="Verdana" w:hAnsi="Verdana"/>
                <w:b/>
                <w:noProof/>
                <w:color w:val="000000"/>
                <w:sz w:val="18"/>
              </w:rPr>
              <w:t>2 149</w:t>
            </w:r>
          </w:p>
        </w:tc>
        <w:tc>
          <w:tcPr>
            <w:tcW w:w="1616" w:type="dxa"/>
            <w:tcBorders>
              <w:top w:val="nil"/>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b/>
                <w:noProof/>
                <w:color w:val="000000"/>
                <w:sz w:val="18"/>
              </w:rPr>
            </w:pPr>
            <w:r>
              <w:rPr>
                <w:rFonts w:ascii="Verdana" w:hAnsi="Verdana"/>
                <w:b/>
                <w:noProof/>
                <w:color w:val="000000"/>
                <w:sz w:val="18"/>
              </w:rPr>
              <w:t>12 071</w:t>
            </w:r>
          </w:p>
        </w:tc>
        <w:tc>
          <w:tcPr>
            <w:tcW w:w="1152" w:type="dxa"/>
            <w:tcBorders>
              <w:top w:val="nil"/>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b/>
                <w:noProof/>
                <w:color w:val="000000"/>
                <w:sz w:val="18"/>
              </w:rPr>
            </w:pPr>
            <w:r>
              <w:rPr>
                <w:rFonts w:ascii="Verdana" w:hAnsi="Verdana"/>
                <w:b/>
                <w:noProof/>
                <w:color w:val="000000"/>
                <w:sz w:val="18"/>
              </w:rPr>
              <w:t>98 062</w:t>
            </w:r>
          </w:p>
        </w:tc>
      </w:tr>
      <w:tr>
        <w:trPr>
          <w:trHeight w:val="255"/>
        </w:trPr>
        <w:tc>
          <w:tcPr>
            <w:tcW w:w="3760" w:type="dxa"/>
            <w:tcBorders>
              <w:top w:val="single" w:sz="4" w:space="0" w:color="016794"/>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r>
              <w:rPr>
                <w:rFonts w:ascii="Verdana" w:hAnsi="Verdana"/>
                <w:b/>
                <w:noProof/>
                <w:color w:val="000000"/>
                <w:sz w:val="18"/>
              </w:rPr>
              <w:t>Признати в отчета за финансовия резултат</w:t>
            </w:r>
          </w:p>
        </w:tc>
        <w:tc>
          <w:tcPr>
            <w:tcW w:w="1615" w:type="dxa"/>
            <w:tcBorders>
              <w:top w:val="single" w:sz="4" w:space="0" w:color="016794"/>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615" w:type="dxa"/>
            <w:tcBorders>
              <w:top w:val="single" w:sz="4" w:space="0" w:color="016794"/>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616" w:type="dxa"/>
            <w:tcBorders>
              <w:top w:val="single" w:sz="4" w:space="0" w:color="016794"/>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152" w:type="dxa"/>
            <w:tcBorders>
              <w:top w:val="single" w:sz="4" w:space="0" w:color="016794"/>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r>
      <w:tr>
        <w:trPr>
          <w:trHeight w:val="255"/>
        </w:trPr>
        <w:tc>
          <w:tcPr>
            <w:tcW w:w="3760"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i/>
                <w:noProof/>
                <w:color w:val="000000"/>
                <w:sz w:val="18"/>
              </w:rPr>
            </w:pPr>
            <w:r>
              <w:rPr>
                <w:rFonts w:ascii="Verdana" w:hAnsi="Verdana"/>
                <w:i/>
                <w:noProof/>
                <w:color w:val="000000"/>
                <w:sz w:val="18"/>
              </w:rPr>
              <w:t>Разходи за текущ трудов стаж</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3 441</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97</w:t>
            </w:r>
          </w:p>
        </w:tc>
        <w:tc>
          <w:tcPr>
            <w:tcW w:w="1616"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348</w:t>
            </w:r>
          </w:p>
        </w:tc>
        <w:tc>
          <w:tcPr>
            <w:tcW w:w="1152"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3 886</w:t>
            </w:r>
          </w:p>
        </w:tc>
      </w:tr>
      <w:tr>
        <w:trPr>
          <w:trHeight w:val="255"/>
        </w:trPr>
        <w:tc>
          <w:tcPr>
            <w:tcW w:w="3760"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i/>
                <w:noProof/>
                <w:color w:val="000000"/>
                <w:sz w:val="18"/>
              </w:rPr>
            </w:pPr>
            <w:r>
              <w:rPr>
                <w:rFonts w:ascii="Verdana" w:hAnsi="Verdana"/>
                <w:i/>
                <w:noProof/>
                <w:color w:val="000000"/>
                <w:sz w:val="18"/>
              </w:rPr>
              <w:t>Разходи за лихви</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919</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17</w:t>
            </w:r>
          </w:p>
        </w:tc>
        <w:tc>
          <w:tcPr>
            <w:tcW w:w="1616"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145</w:t>
            </w:r>
          </w:p>
        </w:tc>
        <w:tc>
          <w:tcPr>
            <w:tcW w:w="1152"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1 081</w:t>
            </w:r>
          </w:p>
        </w:tc>
      </w:tr>
      <w:tr>
        <w:trPr>
          <w:trHeight w:val="255"/>
        </w:trPr>
        <w:tc>
          <w:tcPr>
            <w:tcW w:w="3760"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i/>
                <w:noProof/>
                <w:color w:val="000000"/>
                <w:sz w:val="18"/>
              </w:rPr>
            </w:pPr>
            <w:r>
              <w:rPr>
                <w:rFonts w:ascii="Verdana" w:hAnsi="Verdana"/>
                <w:i/>
                <w:noProof/>
                <w:color w:val="000000"/>
                <w:sz w:val="18"/>
              </w:rPr>
              <w:t>Разходи за минал трудов стаж</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w:t>
            </w:r>
          </w:p>
        </w:tc>
        <w:tc>
          <w:tcPr>
            <w:tcW w:w="1616"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w:t>
            </w:r>
          </w:p>
        </w:tc>
        <w:tc>
          <w:tcPr>
            <w:tcW w:w="1152"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w:t>
            </w:r>
          </w:p>
        </w:tc>
      </w:tr>
      <w:tr>
        <w:trPr>
          <w:trHeight w:val="255"/>
        </w:trPr>
        <w:tc>
          <w:tcPr>
            <w:tcW w:w="3760"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r>
              <w:rPr>
                <w:rFonts w:ascii="Verdana" w:hAnsi="Verdana"/>
                <w:b/>
                <w:noProof/>
                <w:color w:val="000000"/>
                <w:sz w:val="18"/>
              </w:rPr>
              <w:t>Признати в нетните активи</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615"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616"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152"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r>
      <w:tr>
        <w:trPr>
          <w:trHeight w:val="255"/>
        </w:trPr>
        <w:tc>
          <w:tcPr>
            <w:tcW w:w="3760"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i/>
                <w:noProof/>
                <w:color w:val="000000"/>
                <w:sz w:val="18"/>
              </w:rPr>
            </w:pPr>
            <w:r>
              <w:rPr>
                <w:rFonts w:ascii="Verdana" w:hAnsi="Verdana"/>
                <w:i/>
                <w:noProof/>
                <w:color w:val="000000"/>
                <w:sz w:val="18"/>
              </w:rPr>
              <w:t>Преоценки на задълженията, свързани с доходите на наети лица</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615"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616"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152"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r>
      <w:tr>
        <w:trPr>
          <w:trHeight w:val="255"/>
        </w:trPr>
        <w:tc>
          <w:tcPr>
            <w:tcW w:w="3760"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i/>
                <w:noProof/>
                <w:color w:val="000000"/>
                <w:sz w:val="18"/>
              </w:rPr>
            </w:pPr>
            <w:r>
              <w:rPr>
                <w:rFonts w:ascii="Verdana" w:hAnsi="Verdana"/>
                <w:i/>
                <w:noProof/>
                <w:color w:val="000000"/>
                <w:sz w:val="18"/>
              </w:rPr>
              <w:t xml:space="preserve">     Актюерски (печалби)/загуби от</w:t>
            </w:r>
          </w:p>
          <w:p>
            <w:pPr>
              <w:pStyle w:val="DMETW19883BIPPENS2"/>
              <w:rPr>
                <w:rFonts w:ascii="Verdana" w:eastAsia="Times New Roman" w:hAnsi="Verdana" w:cs="Verdana"/>
                <w:i/>
                <w:noProof/>
                <w:color w:val="000000"/>
                <w:sz w:val="18"/>
              </w:rPr>
            </w:pPr>
            <w:r>
              <w:rPr>
                <w:rFonts w:ascii="Verdana" w:hAnsi="Verdana"/>
                <w:i/>
                <w:noProof/>
                <w:color w:val="000000"/>
                <w:sz w:val="18"/>
              </w:rPr>
              <w:t xml:space="preserve">     опит</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2 348</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(7)</w:t>
            </w:r>
          </w:p>
        </w:tc>
        <w:tc>
          <w:tcPr>
            <w:tcW w:w="1616"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(141)</w:t>
            </w:r>
          </w:p>
        </w:tc>
        <w:tc>
          <w:tcPr>
            <w:tcW w:w="1152"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2 200</w:t>
            </w:r>
          </w:p>
        </w:tc>
      </w:tr>
      <w:tr>
        <w:trPr>
          <w:trHeight w:val="255"/>
        </w:trPr>
        <w:tc>
          <w:tcPr>
            <w:tcW w:w="3760"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i/>
                <w:noProof/>
                <w:color w:val="000000"/>
                <w:sz w:val="18"/>
              </w:rPr>
            </w:pPr>
            <w:r>
              <w:rPr>
                <w:rFonts w:ascii="Verdana" w:hAnsi="Verdana"/>
                <w:i/>
                <w:noProof/>
                <w:color w:val="000000"/>
                <w:sz w:val="18"/>
              </w:rPr>
              <w:t xml:space="preserve">     Актюерски (печалби)/загуби от </w:t>
            </w:r>
          </w:p>
          <w:p>
            <w:pPr>
              <w:pStyle w:val="DMETW19883BIPPENS2"/>
              <w:rPr>
                <w:rFonts w:ascii="Verdana" w:eastAsia="Times New Roman" w:hAnsi="Verdana" w:cs="Verdana"/>
                <w:i/>
                <w:noProof/>
                <w:color w:val="000000"/>
                <w:sz w:val="18"/>
              </w:rPr>
            </w:pPr>
            <w:r>
              <w:rPr>
                <w:rFonts w:ascii="Verdana" w:hAnsi="Verdana"/>
                <w:i/>
                <w:noProof/>
                <w:color w:val="000000"/>
                <w:sz w:val="18"/>
              </w:rPr>
              <w:t xml:space="preserve">     демографски предположения</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(3)</w:t>
            </w:r>
          </w:p>
        </w:tc>
        <w:tc>
          <w:tcPr>
            <w:tcW w:w="1616"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w:t>
            </w:r>
          </w:p>
        </w:tc>
        <w:tc>
          <w:tcPr>
            <w:tcW w:w="1152"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(3)</w:t>
            </w:r>
          </w:p>
        </w:tc>
      </w:tr>
      <w:tr>
        <w:trPr>
          <w:trHeight w:val="255"/>
        </w:trPr>
        <w:tc>
          <w:tcPr>
            <w:tcW w:w="3760"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i/>
                <w:noProof/>
                <w:color w:val="000000"/>
                <w:sz w:val="18"/>
              </w:rPr>
            </w:pPr>
            <w:r>
              <w:rPr>
                <w:rFonts w:ascii="Verdana" w:hAnsi="Verdana"/>
                <w:i/>
                <w:noProof/>
                <w:color w:val="000000"/>
                <w:sz w:val="18"/>
              </w:rPr>
              <w:t xml:space="preserve">     Актюерски (печалби)/загуби от</w:t>
            </w:r>
          </w:p>
          <w:p>
            <w:pPr>
              <w:pStyle w:val="DMETW19883BIPPENS2"/>
              <w:rPr>
                <w:rFonts w:ascii="Verdana" w:eastAsia="Times New Roman" w:hAnsi="Verdana" w:cs="Verdana"/>
                <w:i/>
                <w:noProof/>
                <w:color w:val="000000"/>
                <w:sz w:val="18"/>
              </w:rPr>
            </w:pPr>
            <w:r>
              <w:rPr>
                <w:rFonts w:ascii="Verdana" w:hAnsi="Verdana"/>
                <w:i/>
                <w:noProof/>
                <w:color w:val="000000"/>
                <w:sz w:val="18"/>
              </w:rPr>
              <w:t xml:space="preserve">     финансови предположения</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11 896</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259</w:t>
            </w:r>
          </w:p>
        </w:tc>
        <w:tc>
          <w:tcPr>
            <w:tcW w:w="1616"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964</w:t>
            </w:r>
          </w:p>
        </w:tc>
        <w:tc>
          <w:tcPr>
            <w:tcW w:w="1152" w:type="dxa"/>
            <w:tcBorders>
              <w:top w:val="nil"/>
              <w:left w:val="nil"/>
              <w:bottom w:val="nil"/>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13 119</w:t>
            </w:r>
          </w:p>
        </w:tc>
      </w:tr>
      <w:tr>
        <w:trPr>
          <w:trHeight w:val="255"/>
        </w:trPr>
        <w:tc>
          <w:tcPr>
            <w:tcW w:w="3760"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r>
              <w:rPr>
                <w:rFonts w:ascii="Verdana" w:hAnsi="Verdana"/>
                <w:b/>
                <w:noProof/>
                <w:color w:val="000000"/>
                <w:sz w:val="18"/>
              </w:rPr>
              <w:t>Други</w:t>
            </w:r>
          </w:p>
        </w:tc>
        <w:tc>
          <w:tcPr>
            <w:tcW w:w="1615"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615"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616"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c>
          <w:tcPr>
            <w:tcW w:w="1152" w:type="dxa"/>
            <w:tcBorders>
              <w:top w:val="nil"/>
              <w:left w:val="nil"/>
              <w:bottom w:val="nil"/>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p>
        </w:tc>
      </w:tr>
      <w:tr>
        <w:trPr>
          <w:trHeight w:val="255"/>
        </w:trPr>
        <w:tc>
          <w:tcPr>
            <w:tcW w:w="3760" w:type="dxa"/>
            <w:tcBorders>
              <w:top w:val="nil"/>
              <w:left w:val="nil"/>
              <w:bottom w:val="single" w:sz="4" w:space="0" w:color="016794"/>
              <w:right w:val="nil"/>
            </w:tcBorders>
            <w:tcMar>
              <w:top w:w="0" w:type="dxa"/>
              <w:left w:w="60" w:type="dxa"/>
              <w:bottom w:w="0" w:type="dxa"/>
              <w:right w:w="60" w:type="dxa"/>
            </w:tcMar>
            <w:vAlign w:val="center"/>
          </w:tcPr>
          <w:p>
            <w:pPr>
              <w:pStyle w:val="DMETW19883BIPPENS2"/>
              <w:rPr>
                <w:rFonts w:ascii="Verdana" w:eastAsia="Times New Roman" w:hAnsi="Verdana" w:cs="Verdana"/>
                <w:i/>
                <w:noProof/>
                <w:color w:val="000000"/>
                <w:sz w:val="18"/>
              </w:rPr>
            </w:pPr>
            <w:r>
              <w:rPr>
                <w:rFonts w:ascii="Verdana" w:hAnsi="Verdana"/>
                <w:i/>
                <w:noProof/>
                <w:color w:val="000000"/>
                <w:sz w:val="18"/>
              </w:rPr>
              <w:t>Изплатени доходи</w:t>
            </w:r>
          </w:p>
        </w:tc>
        <w:tc>
          <w:tcPr>
            <w:tcW w:w="1615" w:type="dxa"/>
            <w:tcBorders>
              <w:top w:val="nil"/>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(1 706)</w:t>
            </w:r>
          </w:p>
        </w:tc>
        <w:tc>
          <w:tcPr>
            <w:tcW w:w="1615" w:type="dxa"/>
            <w:tcBorders>
              <w:top w:val="nil"/>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(75)</w:t>
            </w:r>
          </w:p>
        </w:tc>
        <w:tc>
          <w:tcPr>
            <w:tcW w:w="1616" w:type="dxa"/>
            <w:tcBorders>
              <w:top w:val="nil"/>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 xml:space="preserve"> (97)</w:t>
            </w:r>
          </w:p>
        </w:tc>
        <w:tc>
          <w:tcPr>
            <w:tcW w:w="1152" w:type="dxa"/>
            <w:tcBorders>
              <w:top w:val="nil"/>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i/>
                <w:noProof/>
                <w:color w:val="000000"/>
                <w:sz w:val="18"/>
              </w:rPr>
            </w:pPr>
            <w:r>
              <w:rPr>
                <w:rFonts w:ascii="Verdana" w:hAnsi="Verdana"/>
                <w:i/>
                <w:noProof/>
                <w:color w:val="000000"/>
                <w:sz w:val="18"/>
              </w:rPr>
              <w:t>(1 878)</w:t>
            </w:r>
          </w:p>
        </w:tc>
      </w:tr>
      <w:tr>
        <w:trPr>
          <w:trHeight w:val="255"/>
        </w:trPr>
        <w:tc>
          <w:tcPr>
            <w:tcW w:w="3760"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3BIPPENS2"/>
              <w:rPr>
                <w:rFonts w:ascii="Verdana" w:eastAsia="Times New Roman" w:hAnsi="Verdana" w:cs="Verdana"/>
                <w:b/>
                <w:noProof/>
                <w:color w:val="000000"/>
                <w:sz w:val="18"/>
              </w:rPr>
            </w:pPr>
            <w:r>
              <w:rPr>
                <w:rFonts w:ascii="Verdana" w:hAnsi="Verdana"/>
                <w:b/>
                <w:noProof/>
                <w:color w:val="000000"/>
                <w:sz w:val="18"/>
              </w:rPr>
              <w:t>Настояща стойност към 31.12.2020 г.</w:t>
            </w:r>
          </w:p>
        </w:tc>
        <w:tc>
          <w:tcPr>
            <w:tcW w:w="161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b/>
                <w:noProof/>
                <w:color w:val="000000"/>
                <w:sz w:val="18"/>
              </w:rPr>
            </w:pPr>
            <w:r>
              <w:rPr>
                <w:rFonts w:ascii="Verdana" w:hAnsi="Verdana"/>
                <w:b/>
                <w:noProof/>
                <w:color w:val="000000"/>
                <w:sz w:val="18"/>
              </w:rPr>
              <w:t>100 741</w:t>
            </w:r>
          </w:p>
        </w:tc>
        <w:tc>
          <w:tcPr>
            <w:tcW w:w="161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b/>
                <w:noProof/>
                <w:color w:val="000000"/>
                <w:sz w:val="18"/>
              </w:rPr>
            </w:pPr>
            <w:r>
              <w:rPr>
                <w:rFonts w:ascii="Verdana" w:hAnsi="Verdana"/>
                <w:b/>
                <w:noProof/>
                <w:color w:val="000000"/>
                <w:sz w:val="18"/>
              </w:rPr>
              <w:t>2 438</w:t>
            </w:r>
          </w:p>
        </w:tc>
        <w:tc>
          <w:tcPr>
            <w:tcW w:w="161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b/>
                <w:noProof/>
                <w:color w:val="000000"/>
                <w:sz w:val="18"/>
              </w:rPr>
            </w:pPr>
            <w:r>
              <w:rPr>
                <w:rFonts w:ascii="Verdana" w:hAnsi="Verdana"/>
                <w:b/>
                <w:noProof/>
                <w:color w:val="000000"/>
                <w:sz w:val="18"/>
              </w:rPr>
              <w:t>13 289</w:t>
            </w:r>
          </w:p>
        </w:tc>
        <w:tc>
          <w:tcPr>
            <w:tcW w:w="115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3BIPPENS2"/>
              <w:jc w:val="right"/>
              <w:rPr>
                <w:rFonts w:ascii="Verdana" w:eastAsia="Times New Roman" w:hAnsi="Verdana" w:cs="Verdana"/>
                <w:b/>
                <w:noProof/>
                <w:color w:val="000000"/>
                <w:sz w:val="18"/>
              </w:rPr>
            </w:pPr>
            <w:r>
              <w:rPr>
                <w:rFonts w:ascii="Verdana" w:hAnsi="Verdana"/>
                <w:b/>
                <w:noProof/>
                <w:color w:val="000000"/>
                <w:sz w:val="18"/>
              </w:rPr>
              <w:t>116 468</w:t>
            </w:r>
          </w:p>
        </w:tc>
      </w:tr>
    </w:tbl>
    <w:p>
      <w:pPr>
        <w:pStyle w:val="HEADER5"/>
        <w:spacing w:before="240"/>
        <w:jc w:val="both"/>
        <w:rPr>
          <w:rFonts w:eastAsia="Calibri"/>
          <w:noProof/>
          <w:color w:val="auto"/>
        </w:rPr>
      </w:pPr>
      <w:r>
        <w:rPr>
          <w:noProof/>
          <w:color w:val="auto"/>
        </w:rPr>
        <w:t>Разходите за текущ трудов стаж представляват увеличението на настоящата стойност на задължението за изплащане на дефинирани доходи, което увеличение е следствие от изработения стаж от осигурените лица през текущата година.</w:t>
      </w:r>
    </w:p>
    <w:p>
      <w:pPr>
        <w:pStyle w:val="HEADER5"/>
        <w:jc w:val="both"/>
        <w:rPr>
          <w:rFonts w:eastAsia="Calibri"/>
          <w:noProof/>
          <w:color w:val="auto"/>
        </w:rPr>
      </w:pPr>
    </w:p>
    <w:p>
      <w:pPr>
        <w:pStyle w:val="HEADER5"/>
        <w:jc w:val="both"/>
        <w:rPr>
          <w:rFonts w:eastAsia="Calibri"/>
          <w:noProof/>
          <w:color w:val="auto"/>
        </w:rPr>
      </w:pPr>
      <w:r>
        <w:rPr>
          <w:noProof/>
          <w:color w:val="auto"/>
        </w:rPr>
        <w:t xml:space="preserve">Разходите за лихви се отнасят до увеличението през периода на настоящата стойност на задължението за изплащане на дефинирани доходи, което увеличение е следствие от това, че доходите са с един период по-близо до своето плащане. </w:t>
      </w:r>
    </w:p>
    <w:p>
      <w:pPr>
        <w:pStyle w:val="HEADER5"/>
        <w:jc w:val="both"/>
        <w:rPr>
          <w:rFonts w:eastAsia="Calibri"/>
          <w:noProof/>
          <w:color w:val="auto"/>
        </w:rPr>
      </w:pPr>
    </w:p>
    <w:p>
      <w:pPr>
        <w:pStyle w:val="HEADER5"/>
        <w:jc w:val="both"/>
        <w:rPr>
          <w:rFonts w:eastAsia="Calibri"/>
          <w:b/>
          <w:noProof/>
          <w:color w:val="auto"/>
        </w:rPr>
      </w:pPr>
      <w:r>
        <w:rPr>
          <w:noProof/>
          <w:color w:val="auto"/>
        </w:rPr>
        <w:t>Актюерските печалби и загуби от опит се отнасят до последиците от разликите между очакванията съгласно направените предходната година предположения за 2020 г. и това, което действително се е случило през 2020 г.</w:t>
      </w:r>
    </w:p>
    <w:p>
      <w:pPr>
        <w:pStyle w:val="HEADER5"/>
        <w:jc w:val="both"/>
        <w:rPr>
          <w:rFonts w:eastAsia="Calibri"/>
          <w:noProof/>
          <w:color w:val="auto"/>
        </w:rPr>
      </w:pPr>
    </w:p>
    <w:p>
      <w:pPr>
        <w:pStyle w:val="HEADER5"/>
        <w:jc w:val="both"/>
        <w:rPr>
          <w:rFonts w:eastAsia="Calibri"/>
          <w:noProof/>
          <w:color w:val="FF0000"/>
        </w:rPr>
      </w:pPr>
      <w:r>
        <w:rPr>
          <w:noProof/>
          <w:color w:val="auto"/>
        </w:rPr>
        <w:t xml:space="preserve">Актюерските печалби и загуби вследствие на актюерските предположения (демографски променливи, като текучеството и смъртността на персонала, и финансови променливи, като дисконтовите проценти и очакваните увеличения на заплатите) възникват, когато тези предположения бъдат актуализирани, за да бъдат отразени промените в съответните условия. </w:t>
      </w:r>
    </w:p>
    <w:p>
      <w:pPr>
        <w:pStyle w:val="HEADER5"/>
        <w:rPr>
          <w:rFonts w:eastAsia="Calibri"/>
          <w:noProof/>
          <w:color w:val="auto"/>
        </w:rPr>
      </w:pPr>
    </w:p>
    <w:p>
      <w:pPr>
        <w:pStyle w:val="HEADER5"/>
        <w:jc w:val="both"/>
        <w:rPr>
          <w:noProof/>
          <w:color w:val="auto"/>
        </w:rPr>
      </w:pPr>
      <w:r>
        <w:rPr>
          <w:noProof/>
          <w:color w:val="auto"/>
        </w:rPr>
        <w:t>Доходите (например пенсии или възстановени медицински разходи) се изплащат през годината съгласно правилата на схемата. Тези платени доходи водят до намаление на задължението за изплащане на дефинирани доходи.</w:t>
      </w:r>
    </w:p>
    <w:p>
      <w:pPr>
        <w:pStyle w:val="HEADER5"/>
        <w:jc w:val="both"/>
        <w:rPr>
          <w:rFonts w:eastAsia="Calibri"/>
          <w:noProof/>
          <w:color w:val="auto"/>
        </w:rPr>
      </w:pPr>
    </w:p>
    <w:p>
      <w:pPr>
        <w:pStyle w:val="HEADER3NOTES"/>
        <w:spacing w:before="0" w:after="240"/>
        <w:rPr>
          <w:noProof/>
        </w:rPr>
      </w:pPr>
      <w:r>
        <w:rPr>
          <w:noProof/>
        </w:rPr>
        <w:t>Активи на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6"/>
        <w:gridCol w:w="1954"/>
        <w:gridCol w:w="1954"/>
        <w:gridCol w:w="1954"/>
      </w:tblGrid>
      <w:tr>
        <w:trPr>
          <w:trHeight w:val="255"/>
        </w:trPr>
        <w:tc>
          <w:tcPr>
            <w:tcW w:w="3896" w:type="dxa"/>
            <w:tcBorders>
              <w:top w:val="nil"/>
              <w:left w:val="nil"/>
              <w:bottom w:val="nil"/>
              <w:right w:val="nil"/>
            </w:tcBorders>
            <w:tcMar>
              <w:top w:w="0" w:type="dxa"/>
              <w:left w:w="60" w:type="dxa"/>
              <w:bottom w:w="0" w:type="dxa"/>
              <w:right w:w="60" w:type="dxa"/>
            </w:tcMar>
            <w:vAlign w:val="bottom"/>
          </w:tcPr>
          <w:p>
            <w:pPr>
              <w:pStyle w:val="DMETW19883BIPPENS3"/>
              <w:rPr>
                <w:rFonts w:ascii="Arial" w:eastAsia="Times New Roman" w:hAnsi="Arial" w:cs="Arial"/>
                <w:noProof/>
                <w:color w:val="000000"/>
              </w:rPr>
            </w:pPr>
            <w:bookmarkStart w:id="130" w:name="DOC_TBL00040_1_1"/>
            <w:bookmarkEnd w:id="130"/>
          </w:p>
        </w:tc>
        <w:tc>
          <w:tcPr>
            <w:tcW w:w="1954" w:type="dxa"/>
            <w:tcBorders>
              <w:top w:val="nil"/>
              <w:left w:val="nil"/>
              <w:bottom w:val="nil"/>
              <w:right w:val="nil"/>
            </w:tcBorders>
            <w:tcMar>
              <w:top w:w="0" w:type="dxa"/>
              <w:left w:w="60" w:type="dxa"/>
              <w:bottom w:w="0" w:type="dxa"/>
              <w:right w:w="60" w:type="dxa"/>
            </w:tcMar>
            <w:vAlign w:val="bottom"/>
          </w:tcPr>
          <w:p>
            <w:pPr>
              <w:pStyle w:val="DMETW19883BIPPENS3"/>
              <w:jc w:val="right"/>
              <w:rPr>
                <w:rFonts w:ascii="Verdana" w:eastAsia="Times New Roman" w:hAnsi="Verdana" w:cs="Verdana"/>
                <w:i/>
                <w:noProof/>
                <w:color w:val="000000"/>
                <w:sz w:val="16"/>
              </w:rPr>
            </w:pPr>
          </w:p>
        </w:tc>
        <w:tc>
          <w:tcPr>
            <w:tcW w:w="1954" w:type="dxa"/>
            <w:tcBorders>
              <w:top w:val="nil"/>
              <w:left w:val="nil"/>
              <w:bottom w:val="nil"/>
              <w:right w:val="nil"/>
            </w:tcBorders>
            <w:tcMar>
              <w:top w:w="0" w:type="dxa"/>
              <w:left w:w="60" w:type="dxa"/>
              <w:bottom w:w="0" w:type="dxa"/>
              <w:right w:w="60" w:type="dxa"/>
            </w:tcMar>
            <w:vAlign w:val="bottom"/>
          </w:tcPr>
          <w:p>
            <w:pPr>
              <w:pStyle w:val="DMETW19883BIPPENS3"/>
              <w:jc w:val="right"/>
              <w:rPr>
                <w:rFonts w:ascii="Verdana" w:eastAsia="Times New Roman" w:hAnsi="Verdana" w:cs="Verdana"/>
                <w:i/>
                <w:noProof/>
                <w:color w:val="000000"/>
                <w:sz w:val="16"/>
              </w:rPr>
            </w:pPr>
          </w:p>
        </w:tc>
        <w:tc>
          <w:tcPr>
            <w:tcW w:w="1954" w:type="dxa"/>
            <w:tcBorders>
              <w:top w:val="nil"/>
              <w:left w:val="nil"/>
              <w:bottom w:val="nil"/>
              <w:right w:val="nil"/>
            </w:tcBorders>
            <w:tcMar>
              <w:top w:w="0" w:type="dxa"/>
              <w:left w:w="60" w:type="dxa"/>
              <w:bottom w:w="0" w:type="dxa"/>
              <w:right w:w="60" w:type="dxa"/>
            </w:tcMar>
            <w:vAlign w:val="bottom"/>
          </w:tcPr>
          <w:p>
            <w:pPr>
              <w:pStyle w:val="DMETW19883BIPPENS3"/>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3896"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3"/>
              <w:jc w:val="right"/>
              <w:rPr>
                <w:rFonts w:ascii="Verdana" w:eastAsia="Times New Roman" w:hAnsi="Verdana" w:cs="Verdana"/>
                <w:noProof/>
                <w:color w:val="FFFFFF"/>
                <w:sz w:val="18"/>
              </w:rPr>
            </w:pPr>
          </w:p>
        </w:tc>
        <w:tc>
          <w:tcPr>
            <w:tcW w:w="1954" w:type="dxa"/>
            <w:tcBorders>
              <w:top w:val="nil"/>
              <w:left w:val="nil"/>
              <w:bottom w:val="nil"/>
              <w:right w:val="nil"/>
            </w:tcBorders>
            <w:shd w:val="solid" w:color="016794" w:fill="FFFFFF"/>
            <w:tcMar>
              <w:top w:w="0" w:type="dxa"/>
              <w:left w:w="60" w:type="dxa"/>
              <w:bottom w:w="0" w:type="dxa"/>
              <w:right w:w="60" w:type="dxa"/>
            </w:tcMar>
          </w:tcPr>
          <w:p>
            <w:pPr>
              <w:pStyle w:val="DMETW19883BIPPENS3"/>
              <w:jc w:val="right"/>
              <w:rPr>
                <w:rFonts w:ascii="Verdana" w:eastAsia="Times New Roman" w:hAnsi="Verdana" w:cs="Verdana"/>
                <w:noProof/>
                <w:color w:val="FFFFFF"/>
                <w:sz w:val="18"/>
              </w:rPr>
            </w:pPr>
            <w:r>
              <w:rPr>
                <w:rFonts w:ascii="Verdana" w:hAnsi="Verdana"/>
                <w:noProof/>
                <w:color w:val="FFFFFF"/>
                <w:sz w:val="18"/>
              </w:rPr>
              <w:t>Други схеми за доходи след пенсиониране</w:t>
            </w:r>
          </w:p>
        </w:tc>
        <w:tc>
          <w:tcPr>
            <w:tcW w:w="1954" w:type="dxa"/>
            <w:tcBorders>
              <w:top w:val="nil"/>
              <w:left w:val="nil"/>
              <w:bottom w:val="nil"/>
              <w:right w:val="nil"/>
            </w:tcBorders>
            <w:shd w:val="solid" w:color="016794" w:fill="FFFFFF"/>
            <w:tcMar>
              <w:top w:w="0" w:type="dxa"/>
              <w:left w:w="60" w:type="dxa"/>
              <w:bottom w:w="0" w:type="dxa"/>
              <w:right w:w="60" w:type="dxa"/>
            </w:tcMar>
          </w:tcPr>
          <w:p>
            <w:pPr>
              <w:pStyle w:val="DMETW19883BIPPENS3"/>
              <w:jc w:val="right"/>
              <w:rPr>
                <w:rFonts w:ascii="Verdana" w:eastAsia="Times New Roman" w:hAnsi="Verdana" w:cs="Verdana"/>
                <w:noProof/>
                <w:color w:val="FFFFFF"/>
                <w:sz w:val="18"/>
              </w:rPr>
            </w:pPr>
            <w:r>
              <w:rPr>
                <w:rFonts w:ascii="Verdana" w:hAnsi="Verdana"/>
                <w:noProof/>
                <w:color w:val="FFFFFF"/>
                <w:sz w:val="18"/>
              </w:rPr>
              <w:t>Обща здравноосигурителна схема</w:t>
            </w:r>
          </w:p>
        </w:tc>
        <w:tc>
          <w:tcPr>
            <w:tcW w:w="1954" w:type="dxa"/>
            <w:tcBorders>
              <w:top w:val="nil"/>
              <w:left w:val="nil"/>
              <w:bottom w:val="nil"/>
              <w:right w:val="nil"/>
            </w:tcBorders>
            <w:shd w:val="solid" w:color="016794" w:fill="FFFFFF"/>
            <w:tcMar>
              <w:top w:w="0" w:type="dxa"/>
              <w:left w:w="60" w:type="dxa"/>
              <w:bottom w:w="0" w:type="dxa"/>
              <w:right w:w="60" w:type="dxa"/>
            </w:tcMar>
          </w:tcPr>
          <w:p>
            <w:pPr>
              <w:pStyle w:val="DMETW19883BIPPENS3"/>
              <w:jc w:val="right"/>
              <w:rPr>
                <w:rFonts w:ascii="Verdana" w:eastAsia="Times New Roman" w:hAnsi="Verdana" w:cs="Verdana"/>
                <w:noProof/>
                <w:color w:val="FFFFFF"/>
                <w:sz w:val="18"/>
              </w:rPr>
            </w:pPr>
            <w:r>
              <w:rPr>
                <w:rFonts w:ascii="Verdana" w:hAnsi="Verdana"/>
                <w:noProof/>
                <w:color w:val="FFFFFF"/>
                <w:sz w:val="18"/>
              </w:rPr>
              <w:t>Общо</w:t>
            </w:r>
          </w:p>
        </w:tc>
      </w:tr>
      <w:tr>
        <w:trPr>
          <w:trHeight w:val="255"/>
        </w:trPr>
        <w:tc>
          <w:tcPr>
            <w:tcW w:w="3896" w:type="dxa"/>
            <w:tcBorders>
              <w:top w:val="nil"/>
              <w:left w:val="nil"/>
              <w:bottom w:val="nil"/>
              <w:right w:val="nil"/>
            </w:tcBorders>
            <w:tcMar>
              <w:top w:w="0" w:type="dxa"/>
              <w:left w:w="60" w:type="dxa"/>
              <w:bottom w:w="0" w:type="dxa"/>
              <w:right w:w="60" w:type="dxa"/>
            </w:tcMar>
            <w:vAlign w:val="center"/>
          </w:tcPr>
          <w:p>
            <w:pPr>
              <w:pStyle w:val="DMETW19883BIPPENS3"/>
              <w:rPr>
                <w:rFonts w:ascii="Verdana" w:eastAsia="Times New Roman" w:hAnsi="Verdana" w:cs="Verdana"/>
                <w:b/>
                <w:noProof/>
                <w:color w:val="000000"/>
                <w:sz w:val="18"/>
              </w:rPr>
            </w:pPr>
            <w:r>
              <w:rPr>
                <w:rFonts w:ascii="Verdana" w:hAnsi="Verdana"/>
                <w:b/>
                <w:noProof/>
                <w:color w:val="000000"/>
                <w:sz w:val="18"/>
              </w:rPr>
              <w:t>Настояща стойност към 31.12.2019 г.</w:t>
            </w:r>
          </w:p>
        </w:tc>
        <w:tc>
          <w:tcPr>
            <w:tcW w:w="1954" w:type="dxa"/>
            <w:tcBorders>
              <w:top w:val="nil"/>
              <w:left w:val="nil"/>
              <w:bottom w:val="nil"/>
              <w:right w:val="nil"/>
            </w:tcBorders>
            <w:tcMar>
              <w:top w:w="0" w:type="dxa"/>
              <w:left w:w="60" w:type="dxa"/>
              <w:bottom w:w="0" w:type="dxa"/>
              <w:right w:w="60" w:type="dxa"/>
            </w:tcMar>
            <w:vAlign w:val="bottom"/>
          </w:tcPr>
          <w:p>
            <w:pPr>
              <w:pStyle w:val="DMETW19883BIPPENS3"/>
              <w:jc w:val="right"/>
              <w:rPr>
                <w:rFonts w:ascii="Verdana" w:eastAsia="Times New Roman" w:hAnsi="Verdana" w:cs="Verdana"/>
                <w:b/>
                <w:noProof/>
                <w:color w:val="000000"/>
                <w:sz w:val="18"/>
              </w:rPr>
            </w:pPr>
            <w:r>
              <w:rPr>
                <w:rFonts w:ascii="Verdana" w:hAnsi="Verdana"/>
                <w:b/>
                <w:noProof/>
                <w:color w:val="000000"/>
                <w:sz w:val="18"/>
              </w:rPr>
              <w:t xml:space="preserve"> 94</w:t>
            </w:r>
          </w:p>
        </w:tc>
        <w:tc>
          <w:tcPr>
            <w:tcW w:w="1954" w:type="dxa"/>
            <w:tcBorders>
              <w:top w:val="nil"/>
              <w:left w:val="nil"/>
              <w:bottom w:val="nil"/>
              <w:right w:val="nil"/>
            </w:tcBorders>
            <w:tcMar>
              <w:top w:w="0" w:type="dxa"/>
              <w:left w:w="60" w:type="dxa"/>
              <w:bottom w:w="0" w:type="dxa"/>
              <w:right w:w="60" w:type="dxa"/>
            </w:tcMar>
            <w:vAlign w:val="bottom"/>
          </w:tcPr>
          <w:p>
            <w:pPr>
              <w:pStyle w:val="DMETW19883BIPPENS3"/>
              <w:jc w:val="right"/>
              <w:rPr>
                <w:rFonts w:ascii="Verdana" w:eastAsia="Times New Roman" w:hAnsi="Verdana" w:cs="Verdana"/>
                <w:b/>
                <w:noProof/>
                <w:color w:val="000000"/>
                <w:sz w:val="18"/>
              </w:rPr>
            </w:pPr>
            <w:r>
              <w:rPr>
                <w:rFonts w:ascii="Verdana" w:hAnsi="Verdana"/>
                <w:b/>
                <w:noProof/>
                <w:color w:val="000000"/>
                <w:sz w:val="18"/>
              </w:rPr>
              <w:t xml:space="preserve"> 309</w:t>
            </w:r>
          </w:p>
        </w:tc>
        <w:tc>
          <w:tcPr>
            <w:tcW w:w="1954" w:type="dxa"/>
            <w:tcBorders>
              <w:top w:val="nil"/>
              <w:left w:val="nil"/>
              <w:bottom w:val="nil"/>
              <w:right w:val="nil"/>
            </w:tcBorders>
            <w:tcMar>
              <w:top w:w="0" w:type="dxa"/>
              <w:left w:w="60" w:type="dxa"/>
              <w:bottom w:w="0" w:type="dxa"/>
              <w:right w:w="60" w:type="dxa"/>
            </w:tcMar>
            <w:vAlign w:val="bottom"/>
          </w:tcPr>
          <w:p>
            <w:pPr>
              <w:pStyle w:val="DMETW19883BIPPENS3"/>
              <w:jc w:val="right"/>
              <w:rPr>
                <w:rFonts w:ascii="Verdana" w:eastAsia="Times New Roman" w:hAnsi="Verdana" w:cs="Verdana"/>
                <w:b/>
                <w:noProof/>
                <w:color w:val="000000"/>
                <w:sz w:val="18"/>
              </w:rPr>
            </w:pPr>
            <w:r>
              <w:rPr>
                <w:rFonts w:ascii="Verdana" w:hAnsi="Verdana"/>
                <w:b/>
                <w:noProof/>
                <w:color w:val="000000"/>
                <w:sz w:val="18"/>
              </w:rPr>
              <w:t xml:space="preserve"> 403</w:t>
            </w:r>
          </w:p>
        </w:tc>
      </w:tr>
      <w:tr>
        <w:trPr>
          <w:trHeight w:val="255"/>
        </w:trPr>
        <w:tc>
          <w:tcPr>
            <w:tcW w:w="3896" w:type="dxa"/>
            <w:tcBorders>
              <w:top w:val="nil"/>
              <w:left w:val="nil"/>
              <w:bottom w:val="single" w:sz="4" w:space="0" w:color="016794"/>
              <w:right w:val="nil"/>
            </w:tcBorders>
            <w:tcMar>
              <w:top w:w="0" w:type="dxa"/>
              <w:left w:w="60" w:type="dxa"/>
              <w:bottom w:w="0" w:type="dxa"/>
              <w:right w:w="60" w:type="dxa"/>
            </w:tcMar>
            <w:vAlign w:val="center"/>
          </w:tcPr>
          <w:p>
            <w:pPr>
              <w:pStyle w:val="DMETW19883BIPPENS3"/>
              <w:rPr>
                <w:rFonts w:ascii="Verdana" w:eastAsia="Times New Roman" w:hAnsi="Verdana" w:cs="Verdana"/>
                <w:i/>
                <w:noProof/>
                <w:color w:val="000000"/>
                <w:sz w:val="18"/>
              </w:rPr>
            </w:pPr>
            <w:r>
              <w:rPr>
                <w:rFonts w:ascii="Verdana" w:hAnsi="Verdana"/>
                <w:i/>
                <w:noProof/>
                <w:color w:val="000000"/>
                <w:sz w:val="18"/>
              </w:rPr>
              <w:t>Нетно движение на активите на плана</w:t>
            </w:r>
          </w:p>
        </w:tc>
        <w:tc>
          <w:tcPr>
            <w:tcW w:w="1954" w:type="dxa"/>
            <w:tcBorders>
              <w:top w:val="nil"/>
              <w:left w:val="nil"/>
              <w:bottom w:val="single" w:sz="4" w:space="0" w:color="016794"/>
              <w:right w:val="nil"/>
            </w:tcBorders>
            <w:tcMar>
              <w:top w:w="0" w:type="dxa"/>
              <w:left w:w="60" w:type="dxa"/>
              <w:bottom w:w="0" w:type="dxa"/>
              <w:right w:w="60" w:type="dxa"/>
            </w:tcMar>
            <w:vAlign w:val="bottom"/>
          </w:tcPr>
          <w:p>
            <w:pPr>
              <w:pStyle w:val="DMETW19883BIPPENS3"/>
              <w:jc w:val="right"/>
              <w:rPr>
                <w:rFonts w:ascii="Verdana" w:eastAsia="Times New Roman" w:hAnsi="Verdana" w:cs="Verdana"/>
                <w:i/>
                <w:noProof/>
                <w:color w:val="000000"/>
                <w:sz w:val="18"/>
              </w:rPr>
            </w:pPr>
            <w:r>
              <w:rPr>
                <w:rFonts w:ascii="Verdana" w:hAnsi="Verdana"/>
                <w:i/>
                <w:noProof/>
                <w:color w:val="000000"/>
                <w:sz w:val="18"/>
              </w:rPr>
              <w:t xml:space="preserve"> 0</w:t>
            </w:r>
          </w:p>
        </w:tc>
        <w:tc>
          <w:tcPr>
            <w:tcW w:w="1954" w:type="dxa"/>
            <w:tcBorders>
              <w:top w:val="nil"/>
              <w:left w:val="nil"/>
              <w:bottom w:val="single" w:sz="4" w:space="0" w:color="016794"/>
              <w:right w:val="nil"/>
            </w:tcBorders>
            <w:tcMar>
              <w:top w:w="0" w:type="dxa"/>
              <w:left w:w="60" w:type="dxa"/>
              <w:bottom w:w="0" w:type="dxa"/>
              <w:right w:w="60" w:type="dxa"/>
            </w:tcMar>
            <w:vAlign w:val="bottom"/>
          </w:tcPr>
          <w:p>
            <w:pPr>
              <w:pStyle w:val="DMETW19883BIPPENS3"/>
              <w:jc w:val="right"/>
              <w:rPr>
                <w:rFonts w:ascii="Verdana" w:eastAsia="Times New Roman" w:hAnsi="Verdana" w:cs="Verdana"/>
                <w:i/>
                <w:noProof/>
                <w:color w:val="000000"/>
                <w:sz w:val="18"/>
              </w:rPr>
            </w:pPr>
            <w:r>
              <w:rPr>
                <w:rFonts w:ascii="Verdana" w:hAnsi="Verdana"/>
                <w:i/>
                <w:noProof/>
                <w:color w:val="000000"/>
                <w:sz w:val="18"/>
              </w:rPr>
              <w:t xml:space="preserve"> 45</w:t>
            </w:r>
          </w:p>
        </w:tc>
        <w:tc>
          <w:tcPr>
            <w:tcW w:w="1954" w:type="dxa"/>
            <w:tcBorders>
              <w:top w:val="nil"/>
              <w:left w:val="nil"/>
              <w:bottom w:val="single" w:sz="4" w:space="0" w:color="016794"/>
              <w:right w:val="nil"/>
            </w:tcBorders>
            <w:tcMar>
              <w:top w:w="0" w:type="dxa"/>
              <w:left w:w="60" w:type="dxa"/>
              <w:bottom w:w="0" w:type="dxa"/>
              <w:right w:w="60" w:type="dxa"/>
            </w:tcMar>
            <w:vAlign w:val="bottom"/>
          </w:tcPr>
          <w:p>
            <w:pPr>
              <w:pStyle w:val="DMETW19883BIPPENS3"/>
              <w:jc w:val="right"/>
              <w:rPr>
                <w:rFonts w:ascii="Verdana" w:eastAsia="Times New Roman" w:hAnsi="Verdana" w:cs="Verdana"/>
                <w:i/>
                <w:noProof/>
                <w:color w:val="000000"/>
                <w:sz w:val="18"/>
              </w:rPr>
            </w:pPr>
            <w:r>
              <w:rPr>
                <w:rFonts w:ascii="Verdana" w:hAnsi="Verdana"/>
                <w:i/>
                <w:noProof/>
                <w:color w:val="000000"/>
                <w:sz w:val="18"/>
              </w:rPr>
              <w:t xml:space="preserve"> 45</w:t>
            </w:r>
          </w:p>
        </w:tc>
      </w:tr>
      <w:tr>
        <w:trPr>
          <w:trHeight w:val="255"/>
        </w:trPr>
        <w:tc>
          <w:tcPr>
            <w:tcW w:w="389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83BIPPENS3"/>
              <w:rPr>
                <w:rFonts w:ascii="Verdana" w:eastAsia="Times New Roman" w:hAnsi="Verdana" w:cs="Verdana"/>
                <w:b/>
                <w:noProof/>
                <w:color w:val="000000"/>
                <w:sz w:val="18"/>
              </w:rPr>
            </w:pPr>
            <w:r>
              <w:rPr>
                <w:rFonts w:ascii="Verdana" w:hAnsi="Verdana"/>
                <w:b/>
                <w:noProof/>
                <w:color w:val="000000"/>
                <w:sz w:val="18"/>
              </w:rPr>
              <w:t>Настояща стойност към 31.12.2020 г.</w:t>
            </w:r>
          </w:p>
        </w:tc>
        <w:tc>
          <w:tcPr>
            <w:tcW w:w="1954"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83BIPPENS3"/>
              <w:jc w:val="right"/>
              <w:rPr>
                <w:rFonts w:ascii="Verdana" w:eastAsia="Times New Roman" w:hAnsi="Verdana" w:cs="Verdana"/>
                <w:b/>
                <w:noProof/>
                <w:color w:val="000000"/>
                <w:sz w:val="18"/>
              </w:rPr>
            </w:pPr>
            <w:r>
              <w:rPr>
                <w:rFonts w:ascii="Verdana" w:hAnsi="Verdana"/>
                <w:b/>
                <w:noProof/>
                <w:color w:val="000000"/>
                <w:sz w:val="18"/>
              </w:rPr>
              <w:t xml:space="preserve"> 94</w:t>
            </w:r>
          </w:p>
        </w:tc>
        <w:tc>
          <w:tcPr>
            <w:tcW w:w="1954"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83BIPPENS3"/>
              <w:jc w:val="right"/>
              <w:rPr>
                <w:rFonts w:ascii="Verdana" w:eastAsia="Times New Roman" w:hAnsi="Verdana" w:cs="Verdana"/>
                <w:b/>
                <w:noProof/>
                <w:color w:val="000000"/>
                <w:sz w:val="18"/>
              </w:rPr>
            </w:pPr>
            <w:r>
              <w:rPr>
                <w:rFonts w:ascii="Verdana" w:hAnsi="Verdana"/>
                <w:b/>
                <w:noProof/>
                <w:color w:val="000000"/>
                <w:sz w:val="18"/>
              </w:rPr>
              <w:t xml:space="preserve"> 354</w:t>
            </w:r>
          </w:p>
        </w:tc>
        <w:tc>
          <w:tcPr>
            <w:tcW w:w="1954" w:type="dxa"/>
            <w:tcBorders>
              <w:top w:val="single" w:sz="4" w:space="0" w:color="016794"/>
              <w:left w:val="nil"/>
              <w:bottom w:val="single" w:sz="4" w:space="0" w:color="016794"/>
              <w:right w:val="nil"/>
            </w:tcBorders>
            <w:tcMar>
              <w:top w:w="0" w:type="dxa"/>
              <w:left w:w="60" w:type="dxa"/>
              <w:bottom w:w="0" w:type="dxa"/>
              <w:right w:w="60" w:type="dxa"/>
            </w:tcMar>
            <w:vAlign w:val="bottom"/>
          </w:tcPr>
          <w:p>
            <w:pPr>
              <w:pStyle w:val="DMETW19883BIPPENS3"/>
              <w:jc w:val="right"/>
              <w:rPr>
                <w:rFonts w:ascii="Verdana" w:eastAsia="Times New Roman" w:hAnsi="Verdana" w:cs="Verdana"/>
                <w:b/>
                <w:noProof/>
                <w:color w:val="000000"/>
                <w:sz w:val="18"/>
              </w:rPr>
            </w:pPr>
            <w:r>
              <w:rPr>
                <w:rFonts w:ascii="Verdana" w:hAnsi="Verdana"/>
                <w:b/>
                <w:noProof/>
                <w:color w:val="000000"/>
                <w:sz w:val="18"/>
              </w:rPr>
              <w:t xml:space="preserve"> 448</w:t>
            </w:r>
          </w:p>
        </w:tc>
      </w:tr>
    </w:tbl>
    <w:p>
      <w:pPr>
        <w:pStyle w:val="HEADER3NOTES"/>
        <w:rPr>
          <w:noProof/>
        </w:rPr>
      </w:pPr>
      <w:r>
        <w:rPr>
          <w:noProof/>
        </w:rPr>
        <w:t>Актюерски предположения — доходи на наети лица</w:t>
      </w:r>
    </w:p>
    <w:p>
      <w:pPr>
        <w:pStyle w:val="DGTextstand-alone"/>
      </w:pPr>
      <w:r>
        <w:t>Основните актюерски предположения, използвани при оценяването на двете основни схеми за доходи на наети лица на ЕС, са показани по-долу: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8"/>
        <w:gridCol w:w="2435"/>
        <w:gridCol w:w="2435"/>
      </w:tblGrid>
      <w:tr>
        <w:trPr>
          <w:trHeight w:val="255"/>
        </w:trPr>
        <w:tc>
          <w:tcPr>
            <w:tcW w:w="4888"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SPL"/>
              <w:jc w:val="right"/>
              <w:rPr>
                <w:rFonts w:ascii="Verdana" w:eastAsia="Times New Roman" w:hAnsi="Verdana" w:cs="Verdana"/>
                <w:noProof/>
                <w:color w:val="FFFFFF"/>
                <w:sz w:val="18"/>
              </w:rPr>
            </w:pPr>
            <w:bookmarkStart w:id="131" w:name="DOC_TBL00041_1_1"/>
            <w:bookmarkEnd w:id="131"/>
          </w:p>
        </w:tc>
        <w:tc>
          <w:tcPr>
            <w:tcW w:w="2435"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SPL"/>
              <w:jc w:val="right"/>
              <w:rPr>
                <w:rFonts w:ascii="Verdana" w:eastAsia="Times New Roman" w:hAnsi="Verdana" w:cs="Verdana"/>
                <w:noProof/>
                <w:color w:val="FFFFFF"/>
                <w:sz w:val="18"/>
              </w:rPr>
            </w:pPr>
            <w:r>
              <w:rPr>
                <w:rFonts w:ascii="Verdana" w:hAnsi="Verdana"/>
                <w:noProof/>
                <w:color w:val="FFFFFF"/>
                <w:sz w:val="18"/>
              </w:rPr>
              <w:t>Пенсионноосигурителна схема на европейските длъжностни лица</w:t>
            </w:r>
          </w:p>
        </w:tc>
        <w:tc>
          <w:tcPr>
            <w:tcW w:w="2435"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SPL"/>
              <w:jc w:val="right"/>
              <w:rPr>
                <w:rFonts w:ascii="Verdana" w:eastAsia="Times New Roman" w:hAnsi="Verdana" w:cs="Verdana"/>
                <w:noProof/>
                <w:color w:val="FFFFFF"/>
                <w:sz w:val="18"/>
              </w:rPr>
            </w:pPr>
            <w:r>
              <w:rPr>
                <w:rFonts w:ascii="Verdana" w:hAnsi="Verdana"/>
                <w:noProof/>
                <w:color w:val="FFFFFF"/>
                <w:sz w:val="18"/>
              </w:rPr>
              <w:t>Обща здравноосигурителна схема</w:t>
            </w:r>
          </w:p>
        </w:tc>
      </w:tr>
      <w:tr>
        <w:trPr>
          <w:trHeight w:val="255"/>
        </w:trPr>
        <w:tc>
          <w:tcPr>
            <w:tcW w:w="4888" w:type="dxa"/>
            <w:tcBorders>
              <w:top w:val="nil"/>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b/>
                <w:noProof/>
                <w:color w:val="000000"/>
                <w:sz w:val="18"/>
              </w:rPr>
            </w:pPr>
            <w:r>
              <w:rPr>
                <w:rFonts w:ascii="Verdana" w:hAnsi="Verdana"/>
                <w:b/>
                <w:noProof/>
                <w:color w:val="000000"/>
                <w:sz w:val="18"/>
              </w:rPr>
              <w:t>2020 г.</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b/>
                <w:noProof/>
                <w:color w:val="000000"/>
                <w:sz w:val="18"/>
              </w:rPr>
            </w:pPr>
          </w:p>
        </w:tc>
        <w:tc>
          <w:tcPr>
            <w:tcW w:w="2435" w:type="dxa"/>
            <w:tcBorders>
              <w:top w:val="nil"/>
              <w:left w:val="nil"/>
              <w:bottom w:val="nil"/>
              <w:right w:val="nil"/>
            </w:tcBorders>
            <w:tcMar>
              <w:top w:w="0" w:type="dxa"/>
              <w:left w:w="60" w:type="dxa"/>
              <w:bottom w:w="0" w:type="dxa"/>
              <w:right w:w="60" w:type="dxa"/>
            </w:tcMar>
            <w:vAlign w:val="bottom"/>
          </w:tcPr>
          <w:p>
            <w:pPr>
              <w:pStyle w:val="DMETW19883BIPSPL"/>
              <w:jc w:val="right"/>
              <w:rPr>
                <w:rFonts w:ascii="Verdana" w:eastAsia="Times New Roman" w:hAnsi="Verdana" w:cs="Verdana"/>
                <w:noProof/>
                <w:color w:val="000000"/>
                <w:sz w:val="18"/>
              </w:rPr>
            </w:pPr>
          </w:p>
        </w:tc>
      </w:tr>
      <w:tr>
        <w:trPr>
          <w:trHeight w:val="255"/>
        </w:trPr>
        <w:tc>
          <w:tcPr>
            <w:tcW w:w="4888" w:type="dxa"/>
            <w:tcBorders>
              <w:top w:val="nil"/>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 xml:space="preserve">Номинален дисконтов процент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0,4 %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0,5 %</w:t>
            </w:r>
          </w:p>
        </w:tc>
      </w:tr>
      <w:tr>
        <w:trPr>
          <w:trHeight w:val="255"/>
        </w:trPr>
        <w:tc>
          <w:tcPr>
            <w:tcW w:w="4888" w:type="dxa"/>
            <w:tcBorders>
              <w:top w:val="nil"/>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 xml:space="preserve">Очаквана инфлация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1,2 %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1,3 %</w:t>
            </w:r>
          </w:p>
        </w:tc>
      </w:tr>
      <w:tr>
        <w:trPr>
          <w:trHeight w:val="255"/>
        </w:trPr>
        <w:tc>
          <w:tcPr>
            <w:tcW w:w="4888" w:type="dxa"/>
            <w:tcBorders>
              <w:top w:val="nil"/>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Реален дисконтов процент</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(0,8)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(0,8) %</w:t>
            </w:r>
          </w:p>
        </w:tc>
      </w:tr>
      <w:tr>
        <w:trPr>
          <w:trHeight w:val="255"/>
        </w:trPr>
        <w:tc>
          <w:tcPr>
            <w:tcW w:w="4888" w:type="dxa"/>
            <w:tcBorders>
              <w:top w:val="nil"/>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Очаквано увеличение на заплатите</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1,8 %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1,8 %</w:t>
            </w:r>
          </w:p>
        </w:tc>
      </w:tr>
      <w:tr>
        <w:trPr>
          <w:trHeight w:val="255"/>
        </w:trPr>
        <w:tc>
          <w:tcPr>
            <w:tcW w:w="4888" w:type="dxa"/>
            <w:tcBorders>
              <w:top w:val="nil"/>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Промяна в медицинските разходи</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N/A</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2,6 %</w:t>
            </w:r>
          </w:p>
        </w:tc>
      </w:tr>
      <w:tr>
        <w:trPr>
          <w:trHeight w:val="255"/>
        </w:trPr>
        <w:tc>
          <w:tcPr>
            <w:tcW w:w="4888" w:type="dxa"/>
            <w:tcBorders>
              <w:top w:val="nil"/>
              <w:left w:val="nil"/>
              <w:bottom w:val="single" w:sz="4" w:space="0" w:color="016794"/>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Възраст на пенсиониране</w:t>
            </w:r>
          </w:p>
        </w:tc>
        <w:tc>
          <w:tcPr>
            <w:tcW w:w="2435" w:type="dxa"/>
            <w:tcBorders>
              <w:top w:val="nil"/>
              <w:left w:val="nil"/>
              <w:bottom w:val="single" w:sz="4" w:space="0" w:color="016794"/>
              <w:right w:val="nil"/>
            </w:tcBorders>
            <w:tcMar>
              <w:top w:w="0" w:type="dxa"/>
              <w:left w:w="60" w:type="dxa"/>
              <w:bottom w:w="0" w:type="dxa"/>
              <w:right w:w="60" w:type="dxa"/>
            </w:tcMar>
            <w:vAlign w:val="bottom"/>
          </w:tcPr>
          <w:p>
            <w:pPr>
              <w:pStyle w:val="DMETW19883BIPSPL"/>
              <w:jc w:val="right"/>
              <w:rPr>
                <w:rFonts w:ascii="Verdana" w:eastAsia="Times New Roman" w:hAnsi="Verdana" w:cs="Verdana"/>
                <w:i/>
                <w:noProof/>
                <w:color w:val="000000"/>
                <w:sz w:val="18"/>
              </w:rPr>
            </w:pPr>
            <w:r>
              <w:rPr>
                <w:rFonts w:ascii="Verdana" w:hAnsi="Verdana"/>
                <w:i/>
                <w:noProof/>
                <w:color w:val="000000"/>
                <w:sz w:val="18"/>
              </w:rPr>
              <w:t>63/64/66</w:t>
            </w:r>
          </w:p>
        </w:tc>
        <w:tc>
          <w:tcPr>
            <w:tcW w:w="2435" w:type="dxa"/>
            <w:tcBorders>
              <w:top w:val="nil"/>
              <w:left w:val="nil"/>
              <w:bottom w:val="single" w:sz="4" w:space="0" w:color="016794"/>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63/64/66</w:t>
            </w:r>
          </w:p>
        </w:tc>
      </w:tr>
      <w:tr>
        <w:trPr>
          <w:trHeight w:val="255"/>
        </w:trPr>
        <w:tc>
          <w:tcPr>
            <w:tcW w:w="4888" w:type="dxa"/>
            <w:tcBorders>
              <w:top w:val="single" w:sz="4" w:space="0" w:color="016794"/>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b/>
                <w:noProof/>
                <w:color w:val="000000"/>
                <w:sz w:val="18"/>
              </w:rPr>
            </w:pPr>
            <w:r>
              <w:rPr>
                <w:rFonts w:ascii="Verdana" w:hAnsi="Verdana"/>
                <w:b/>
                <w:noProof/>
                <w:color w:val="000000"/>
                <w:sz w:val="18"/>
              </w:rPr>
              <w:t>2019 г.</w:t>
            </w:r>
          </w:p>
        </w:tc>
        <w:tc>
          <w:tcPr>
            <w:tcW w:w="2435" w:type="dxa"/>
            <w:tcBorders>
              <w:top w:val="single" w:sz="4" w:space="0" w:color="016794"/>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b/>
                <w:noProof/>
                <w:color w:val="000000"/>
                <w:sz w:val="18"/>
              </w:rPr>
            </w:pPr>
          </w:p>
        </w:tc>
        <w:tc>
          <w:tcPr>
            <w:tcW w:w="2435" w:type="dxa"/>
            <w:tcBorders>
              <w:top w:val="single" w:sz="4" w:space="0" w:color="016794"/>
              <w:left w:val="nil"/>
              <w:bottom w:val="nil"/>
              <w:right w:val="nil"/>
            </w:tcBorders>
            <w:tcMar>
              <w:top w:w="0" w:type="dxa"/>
              <w:left w:w="60" w:type="dxa"/>
              <w:bottom w:w="0" w:type="dxa"/>
              <w:right w:w="60" w:type="dxa"/>
            </w:tcMar>
            <w:vAlign w:val="bottom"/>
          </w:tcPr>
          <w:p>
            <w:pPr>
              <w:pStyle w:val="DMETW19883BIPSPL"/>
              <w:jc w:val="right"/>
              <w:rPr>
                <w:rFonts w:ascii="Verdana" w:eastAsia="Times New Roman" w:hAnsi="Verdana" w:cs="Verdana"/>
                <w:noProof/>
                <w:color w:val="000000"/>
                <w:sz w:val="18"/>
              </w:rPr>
            </w:pPr>
          </w:p>
        </w:tc>
      </w:tr>
      <w:tr>
        <w:trPr>
          <w:trHeight w:val="255"/>
        </w:trPr>
        <w:tc>
          <w:tcPr>
            <w:tcW w:w="4888" w:type="dxa"/>
            <w:tcBorders>
              <w:top w:val="nil"/>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 xml:space="preserve">Номинален дисконтов процент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1,1 %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1,2 %</w:t>
            </w:r>
          </w:p>
        </w:tc>
      </w:tr>
      <w:tr>
        <w:trPr>
          <w:trHeight w:val="255"/>
        </w:trPr>
        <w:tc>
          <w:tcPr>
            <w:tcW w:w="4888" w:type="dxa"/>
            <w:tcBorders>
              <w:top w:val="nil"/>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 xml:space="preserve">Очаквана инфлация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1,3 %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1,3 %</w:t>
            </w:r>
          </w:p>
        </w:tc>
      </w:tr>
      <w:tr>
        <w:trPr>
          <w:trHeight w:val="255"/>
        </w:trPr>
        <w:tc>
          <w:tcPr>
            <w:tcW w:w="4888" w:type="dxa"/>
            <w:tcBorders>
              <w:top w:val="nil"/>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Реален дисконтов процент</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(0,2)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(0,1) %</w:t>
            </w:r>
          </w:p>
        </w:tc>
      </w:tr>
      <w:tr>
        <w:trPr>
          <w:trHeight w:val="255"/>
        </w:trPr>
        <w:tc>
          <w:tcPr>
            <w:tcW w:w="4888" w:type="dxa"/>
            <w:tcBorders>
              <w:top w:val="nil"/>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Очаквано увеличение на заплатите</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1,8 %</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1,8 %</w:t>
            </w:r>
          </w:p>
        </w:tc>
      </w:tr>
      <w:tr>
        <w:trPr>
          <w:trHeight w:val="255"/>
        </w:trPr>
        <w:tc>
          <w:tcPr>
            <w:tcW w:w="4888" w:type="dxa"/>
            <w:tcBorders>
              <w:top w:val="nil"/>
              <w:left w:val="nil"/>
              <w:bottom w:val="nil"/>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Промяна в медицинските разходи</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N/A</w:t>
            </w:r>
          </w:p>
        </w:tc>
        <w:tc>
          <w:tcPr>
            <w:tcW w:w="2435" w:type="dxa"/>
            <w:tcBorders>
              <w:top w:val="nil"/>
              <w:left w:val="nil"/>
              <w:bottom w:val="nil"/>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3,0 %</w:t>
            </w:r>
          </w:p>
        </w:tc>
      </w:tr>
      <w:tr>
        <w:trPr>
          <w:trHeight w:val="255"/>
        </w:trPr>
        <w:tc>
          <w:tcPr>
            <w:tcW w:w="4888" w:type="dxa"/>
            <w:tcBorders>
              <w:top w:val="nil"/>
              <w:left w:val="nil"/>
              <w:bottom w:val="single" w:sz="4" w:space="0" w:color="016794"/>
              <w:right w:val="nil"/>
            </w:tcBorders>
            <w:tcMar>
              <w:top w:w="0" w:type="dxa"/>
              <w:left w:w="60" w:type="dxa"/>
              <w:bottom w:w="0" w:type="dxa"/>
              <w:right w:w="60" w:type="dxa"/>
            </w:tcMar>
            <w:vAlign w:val="center"/>
          </w:tcPr>
          <w:p>
            <w:pPr>
              <w:pStyle w:val="DMETW19883BIPSPL"/>
              <w:rPr>
                <w:rFonts w:ascii="Verdana" w:eastAsia="Times New Roman" w:hAnsi="Verdana" w:cs="Verdana"/>
                <w:i/>
                <w:noProof/>
                <w:color w:val="000000"/>
                <w:sz w:val="18"/>
              </w:rPr>
            </w:pPr>
            <w:r>
              <w:rPr>
                <w:rFonts w:ascii="Verdana" w:hAnsi="Verdana"/>
                <w:i/>
                <w:noProof/>
                <w:color w:val="000000"/>
                <w:sz w:val="18"/>
              </w:rPr>
              <w:t>Възраст на пенсиониране</w:t>
            </w:r>
          </w:p>
        </w:tc>
        <w:tc>
          <w:tcPr>
            <w:tcW w:w="2435" w:type="dxa"/>
            <w:tcBorders>
              <w:top w:val="nil"/>
              <w:left w:val="nil"/>
              <w:bottom w:val="single" w:sz="4" w:space="0" w:color="016794"/>
              <w:right w:val="nil"/>
            </w:tcBorders>
            <w:tcMar>
              <w:top w:w="0" w:type="dxa"/>
              <w:left w:w="60" w:type="dxa"/>
              <w:bottom w:w="0" w:type="dxa"/>
              <w:right w:w="60" w:type="dxa"/>
            </w:tcMar>
            <w:vAlign w:val="bottom"/>
          </w:tcPr>
          <w:p>
            <w:pPr>
              <w:pStyle w:val="DMETW19883BIPSPL"/>
              <w:jc w:val="right"/>
              <w:rPr>
                <w:rFonts w:ascii="Verdana" w:eastAsia="Times New Roman" w:hAnsi="Verdana" w:cs="Verdana"/>
                <w:i/>
                <w:noProof/>
                <w:color w:val="000000"/>
                <w:sz w:val="18"/>
              </w:rPr>
            </w:pPr>
            <w:r>
              <w:rPr>
                <w:rFonts w:ascii="Verdana" w:hAnsi="Verdana"/>
                <w:i/>
                <w:noProof/>
                <w:color w:val="000000"/>
                <w:sz w:val="18"/>
              </w:rPr>
              <w:t>63/64/66</w:t>
            </w:r>
          </w:p>
        </w:tc>
        <w:tc>
          <w:tcPr>
            <w:tcW w:w="2435" w:type="dxa"/>
            <w:tcBorders>
              <w:top w:val="nil"/>
              <w:left w:val="nil"/>
              <w:bottom w:val="single" w:sz="4" w:space="0" w:color="016794"/>
              <w:right w:val="nil"/>
            </w:tcBorders>
            <w:tcMar>
              <w:top w:w="0" w:type="dxa"/>
              <w:left w:w="60" w:type="dxa"/>
              <w:bottom w:w="0" w:type="dxa"/>
              <w:right w:w="60" w:type="dxa"/>
            </w:tcMar>
            <w:vAlign w:val="center"/>
          </w:tcPr>
          <w:p>
            <w:pPr>
              <w:pStyle w:val="DMETW19883BIPSPL"/>
              <w:jc w:val="right"/>
              <w:rPr>
                <w:rFonts w:ascii="Verdana" w:eastAsia="Times New Roman" w:hAnsi="Verdana" w:cs="Verdana"/>
                <w:i/>
                <w:noProof/>
                <w:color w:val="000000"/>
                <w:sz w:val="18"/>
              </w:rPr>
            </w:pPr>
            <w:r>
              <w:rPr>
                <w:rFonts w:ascii="Verdana" w:hAnsi="Verdana"/>
                <w:i/>
                <w:noProof/>
                <w:color w:val="000000"/>
                <w:sz w:val="18"/>
              </w:rPr>
              <w:t>63/64/66</w:t>
            </w:r>
          </w:p>
        </w:tc>
      </w:tr>
    </w:tbl>
    <w:p>
      <w:pPr>
        <w:pStyle w:val="DGTextstand-alone"/>
      </w:pPr>
      <w:r>
        <w:t>Смъртността за 2019 г. и 2020 г. се основава на таблицата „Живот“ за служителите на ЕС (EU Civil Servants Life Table — EULT 2018).</w:t>
      </w:r>
    </w:p>
    <w:p>
      <w:pPr>
        <w:pStyle w:val="DGTextstand-alone"/>
      </w:pPr>
      <w:r>
        <w:t>Номиналният дисконтов процент се определя като стойността на доходността на облигациите с нулев купон в евро (със срок 23 години, считано от декември 2020 г., за ПСЕДЛ и 27 години за общата здравноосигурителна схема). Използваната инфлация е очакваната инфлация през еквивалентния период. Тя трябва да бъде определена емпирично въз основа на очаквани стойности, изразени чрез свързани с индекс облигации на европейските финансови пазари. Реалният дисконтов процент се изчислява чрез номиналния дисконтов процент и очакваната инфлация в дългосрочен план.</w:t>
      </w:r>
    </w:p>
    <w:p>
      <w:pPr>
        <w:pStyle w:val="DGTextstand-alone"/>
      </w:pPr>
      <w:r>
        <w:t>През 2019 г. се наблюдаваше особено рязко намаляване на реалния дисконтов процент, т.е. разликата между номиналния дисконтов процент и очакваната инфлация, което продължи през 2020 г. Намалението на реалния дисконтов процент се дължи предимно на намалението на номиналния дисконтов процент, което съответства на трайната тенденция, наблюдавана в световен мащаб на финансовите пазари. Спадът на номиналния дисконтов процент не беше компенсиран в достатъчна степен от промените в предположението за инфлацията. Това доведе до значително намаляване на реалния дисконтов процент, което поддържа отрицателната тенденция и допринася за значителната актюерска загуба от финансовите предположения.</w:t>
      </w:r>
    </w:p>
    <w:p>
      <w:pPr>
        <w:pStyle w:val="DGTextstand-alone"/>
      </w:pPr>
      <w:r>
        <w:t>Както в случая с ПСЕДЛ, увеличението на задължението, свързано с ОЗОС, се дължеше главно на продължаващото намаляване на реалния дисконтов процент, въпреки че ефектът бе частично компенсиран от актуализацията на предполагаемото годишно увеличение на медицинските разходи, което е ключово предположение в контекста на медицинските схеми. През 2020 г. прогнозната тенденция по отношение на медицинските разходи беше изведена от много по-дълги поредици от данни, обхващащи периода 2005—2019 г., като по този начин бяха осигурени по-голяма съгласуваност с продължителността на схемата и по-точна оценка на очакваната бъдеща тенденция по отношение на медицинските разходи. Поради извънредните обстоятелства, свързани с пандемията от COVID-19, и за да се избегне рискът от изкривяване на прогнозата, 2020 г. беше изключена от динамичните редове.</w:t>
      </w:r>
    </w:p>
    <w:p>
      <w:pPr>
        <w:pStyle w:val="HEADER3NOTES"/>
        <w:spacing w:before="0"/>
        <w:rPr>
          <w:noProof/>
        </w:rPr>
      </w:pPr>
      <w:r>
        <w:rPr>
          <w:noProof/>
        </w:rPr>
        <w:t xml:space="preserve">Анализ на чувствителността </w:t>
      </w:r>
    </w:p>
    <w:p>
      <w:pPr>
        <w:pStyle w:val="DGTextstand-alone"/>
      </w:pPr>
      <w:r>
        <w:t>Анализът на чувствителността се основава на симулации, при които се променя, при равни други условия, стойността на съответните предположения.</w:t>
      </w:r>
    </w:p>
    <w:p>
      <w:pPr>
        <w:pStyle w:val="DGTextstand-alone"/>
        <w:rPr>
          <w:color w:val="016794"/>
        </w:rPr>
      </w:pPr>
      <w:r>
        <w:rPr>
          <w:color w:val="016794"/>
        </w:rPr>
        <w:t>Чувствителност на пенсионноосигурителната схема на европейските длъжностни лица</w:t>
      </w:r>
    </w:p>
    <w:p>
      <w:pPr>
        <w:pStyle w:val="DGTextstand-alone"/>
        <w:spacing w:after="120"/>
      </w:pPr>
      <w:r>
        <w:t>Промяна с десет базисни пункта (0,1 %) на предположения дисконтов процент води до следните последици:</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trPr>
          <w:trHeight w:val="255"/>
        </w:trPr>
        <w:tc>
          <w:tcPr>
            <w:tcW w:w="3229" w:type="dxa"/>
            <w:tcBorders>
              <w:top w:val="nil"/>
              <w:left w:val="nil"/>
              <w:bottom w:val="nil"/>
              <w:right w:val="nil"/>
            </w:tcBorders>
            <w:tcMar>
              <w:top w:w="0" w:type="dxa"/>
              <w:left w:w="60" w:type="dxa"/>
              <w:bottom w:w="0" w:type="dxa"/>
              <w:right w:w="60" w:type="dxa"/>
            </w:tcMar>
            <w:vAlign w:val="bottom"/>
          </w:tcPr>
          <w:p>
            <w:pPr>
              <w:pStyle w:val="DMETW19883BIPPENS10"/>
              <w:rPr>
                <w:rFonts w:ascii="Arial" w:eastAsia="Times New Roman" w:hAnsi="Arial" w:cs="Arial"/>
                <w:noProof/>
                <w:color w:val="000000"/>
              </w:rPr>
            </w:pPr>
            <w:bookmarkStart w:id="132" w:name="DOC_TBL00042_1_1"/>
            <w:bookmarkEnd w:id="132"/>
          </w:p>
        </w:tc>
        <w:tc>
          <w:tcPr>
            <w:tcW w:w="1633" w:type="dxa"/>
            <w:tcBorders>
              <w:top w:val="nil"/>
              <w:left w:val="nil"/>
              <w:bottom w:val="nil"/>
              <w:right w:val="nil"/>
            </w:tcBorders>
            <w:tcMar>
              <w:top w:w="0" w:type="dxa"/>
              <w:left w:w="60" w:type="dxa"/>
              <w:bottom w:w="0" w:type="dxa"/>
              <w:right w:w="60" w:type="dxa"/>
            </w:tcMar>
            <w:vAlign w:val="bottom"/>
          </w:tcPr>
          <w:p>
            <w:pPr>
              <w:pStyle w:val="DMETW19883BIPPENS10"/>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10"/>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10"/>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10"/>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322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0"/>
              <w:jc w:val="right"/>
              <w:rPr>
                <w:rFonts w:ascii="Verdana" w:eastAsia="Times New Roman" w:hAnsi="Verdana" w:cs="Verdana"/>
                <w:noProof/>
                <w:color w:val="FFFFFF"/>
                <w:sz w:val="18"/>
              </w:rPr>
            </w:pPr>
          </w:p>
        </w:tc>
        <w:tc>
          <w:tcPr>
            <w:tcW w:w="163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10"/>
              <w:jc w:val="center"/>
              <w:rPr>
                <w:rFonts w:ascii="Verdana" w:eastAsia="Times New Roman" w:hAnsi="Verdana" w:cs="Verdana"/>
                <w:noProof/>
                <w:color w:val="FFFFFF"/>
                <w:sz w:val="18"/>
              </w:rPr>
            </w:pPr>
            <w:r>
              <w:rPr>
                <w:rFonts w:ascii="Verdana" w:hAnsi="Verdana"/>
                <w:noProof/>
                <w:color w:val="FFFFFF"/>
                <w:sz w:val="18"/>
              </w:rPr>
              <w:t>2020 г.</w:t>
            </w:r>
          </w:p>
        </w:tc>
        <w:tc>
          <w:tcPr>
            <w:tcW w:w="163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10"/>
              <w:jc w:val="center"/>
              <w:rPr>
                <w:rFonts w:ascii="Verdana" w:eastAsia="Times New Roman" w:hAnsi="Verdana" w:cs="Verdana"/>
                <w:noProof/>
                <w:color w:val="FFFFFF"/>
                <w:sz w:val="18"/>
              </w:rPr>
            </w:pPr>
            <w:r>
              <w:rPr>
                <w:rFonts w:ascii="Verdana" w:hAnsi="Verdana"/>
                <w:noProof/>
                <w:color w:val="FFFFFF"/>
                <w:sz w:val="18"/>
              </w:rPr>
              <w:t>2019 г.</w:t>
            </w:r>
          </w:p>
        </w:tc>
      </w:tr>
      <w:tr>
        <w:trPr>
          <w:trHeight w:val="255"/>
        </w:trPr>
        <w:tc>
          <w:tcPr>
            <w:tcW w:w="322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0"/>
              <w:jc w:val="right"/>
              <w:rPr>
                <w:rFonts w:ascii="Verdana" w:eastAsia="Times New Roman" w:hAnsi="Verdana" w:cs="Verdana"/>
                <w:noProof/>
                <w:color w:val="FFFFFF"/>
                <w:sz w:val="18"/>
              </w:rPr>
            </w:pPr>
          </w:p>
        </w:tc>
        <w:tc>
          <w:tcPr>
            <w:tcW w:w="1633"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0"/>
              <w:jc w:val="right"/>
              <w:rPr>
                <w:rFonts w:ascii="Verdana" w:eastAsia="Times New Roman"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0"/>
              <w:jc w:val="right"/>
              <w:rPr>
                <w:rFonts w:ascii="Verdana" w:eastAsia="Times New Roman" w:hAnsi="Verdana" w:cs="Verdana"/>
                <w:noProof/>
                <w:color w:val="FFFFFF"/>
                <w:sz w:val="18"/>
              </w:rPr>
            </w:pPr>
            <w:r>
              <w:rPr>
                <w:rFonts w:ascii="Verdana" w:hAnsi="Verdana"/>
                <w:noProof/>
                <w:color w:val="FFFFFF"/>
                <w:sz w:val="18"/>
              </w:rPr>
              <w:t>Намаление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0"/>
              <w:jc w:val="right"/>
              <w:rPr>
                <w:rFonts w:ascii="Verdana" w:eastAsia="Times New Roman"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0"/>
              <w:jc w:val="right"/>
              <w:rPr>
                <w:rFonts w:ascii="Verdana" w:eastAsia="Times New Roman" w:hAnsi="Verdana" w:cs="Verdana"/>
                <w:noProof/>
                <w:color w:val="FFFFFF"/>
                <w:sz w:val="18"/>
              </w:rPr>
            </w:pPr>
            <w:r>
              <w:rPr>
                <w:rFonts w:ascii="Verdana" w:hAnsi="Verdana"/>
                <w:noProof/>
                <w:color w:val="FFFFFF"/>
                <w:sz w:val="18"/>
              </w:rPr>
              <w:t>Намаление с 0,1 %</w:t>
            </w:r>
          </w:p>
        </w:tc>
      </w:tr>
      <w:tr>
        <w:trPr>
          <w:trHeight w:val="255"/>
        </w:trPr>
        <w:tc>
          <w:tcPr>
            <w:tcW w:w="3229" w:type="dxa"/>
            <w:tcBorders>
              <w:top w:val="nil"/>
              <w:left w:val="nil"/>
              <w:bottom w:val="single" w:sz="4" w:space="0" w:color="016794"/>
              <w:right w:val="nil"/>
            </w:tcBorders>
            <w:tcMar>
              <w:top w:w="0" w:type="dxa"/>
              <w:left w:w="60" w:type="dxa"/>
              <w:bottom w:w="0" w:type="dxa"/>
              <w:right w:w="60" w:type="dxa"/>
            </w:tcMar>
            <w:vAlign w:val="center"/>
          </w:tcPr>
          <w:p>
            <w:pPr>
              <w:pStyle w:val="DMETW19883BIPPENS10"/>
              <w:rPr>
                <w:rFonts w:ascii="Verdana" w:eastAsia="Times New Roman"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633" w:type="dxa"/>
            <w:tcBorders>
              <w:top w:val="nil"/>
              <w:left w:val="nil"/>
              <w:bottom w:val="single" w:sz="4" w:space="0" w:color="016794"/>
              <w:right w:val="nil"/>
            </w:tcBorders>
            <w:tcMar>
              <w:top w:w="0" w:type="dxa"/>
              <w:left w:w="60" w:type="dxa"/>
              <w:bottom w:w="0" w:type="dxa"/>
              <w:right w:w="60" w:type="dxa"/>
            </w:tcMar>
            <w:vAlign w:val="center"/>
          </w:tcPr>
          <w:p>
            <w:pPr>
              <w:pStyle w:val="DMETW19883BIPPENS10"/>
              <w:jc w:val="right"/>
              <w:rPr>
                <w:rFonts w:ascii="Verdana" w:eastAsia="Times New Roman" w:hAnsi="Verdana" w:cs="Verdana"/>
                <w:i/>
                <w:noProof/>
                <w:color w:val="000000"/>
                <w:sz w:val="18"/>
              </w:rPr>
            </w:pPr>
            <w:r>
              <w:rPr>
                <w:rFonts w:ascii="Verdana" w:hAnsi="Verdana"/>
                <w:i/>
                <w:noProof/>
                <w:color w:val="000000"/>
                <w:sz w:val="18"/>
              </w:rPr>
              <w:t>(2 247)</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10"/>
              <w:jc w:val="right"/>
              <w:rPr>
                <w:rFonts w:ascii="Verdana" w:eastAsia="Times New Roman" w:hAnsi="Verdana" w:cs="Verdana"/>
                <w:i/>
                <w:noProof/>
                <w:color w:val="000000"/>
                <w:sz w:val="18"/>
              </w:rPr>
            </w:pPr>
            <w:r>
              <w:rPr>
                <w:rFonts w:ascii="Verdana" w:hAnsi="Verdana"/>
                <w:i/>
                <w:noProof/>
                <w:color w:val="000000"/>
                <w:sz w:val="18"/>
              </w:rPr>
              <w:t>2 319</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10"/>
              <w:jc w:val="right"/>
              <w:rPr>
                <w:rFonts w:ascii="Verdana" w:eastAsia="Times New Roman" w:hAnsi="Verdana" w:cs="Verdana"/>
                <w:i/>
                <w:noProof/>
                <w:color w:val="000000"/>
                <w:sz w:val="18"/>
              </w:rPr>
            </w:pPr>
            <w:r>
              <w:rPr>
                <w:rFonts w:ascii="Verdana" w:hAnsi="Verdana"/>
                <w:i/>
                <w:noProof/>
                <w:color w:val="000000"/>
                <w:sz w:val="18"/>
              </w:rPr>
              <w:t>(1 797)</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10"/>
              <w:jc w:val="right"/>
              <w:rPr>
                <w:rFonts w:ascii="Verdana" w:eastAsia="Times New Roman" w:hAnsi="Verdana" w:cs="Verdana"/>
                <w:i/>
                <w:noProof/>
                <w:color w:val="000000"/>
                <w:sz w:val="18"/>
              </w:rPr>
            </w:pPr>
            <w:r>
              <w:rPr>
                <w:rFonts w:ascii="Verdana" w:hAnsi="Verdana"/>
                <w:i/>
                <w:noProof/>
                <w:color w:val="000000"/>
                <w:sz w:val="18"/>
              </w:rPr>
              <w:t>1 854</w:t>
            </w:r>
          </w:p>
        </w:tc>
      </w:tr>
    </w:tbl>
    <w:p>
      <w:pPr>
        <w:pStyle w:val="DGTextstand-alone"/>
        <w:spacing w:after="120"/>
      </w:pPr>
      <w:r>
        <w:t>Промяна с десет базисни пункта (0,1 %) в очакваните увеличения на заплатите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trPr>
          <w:trHeight w:val="255"/>
        </w:trPr>
        <w:tc>
          <w:tcPr>
            <w:tcW w:w="3229" w:type="dxa"/>
            <w:tcBorders>
              <w:top w:val="nil"/>
              <w:left w:val="nil"/>
              <w:bottom w:val="nil"/>
              <w:right w:val="nil"/>
            </w:tcBorders>
            <w:tcMar>
              <w:top w:w="0" w:type="dxa"/>
              <w:left w:w="60" w:type="dxa"/>
              <w:bottom w:w="0" w:type="dxa"/>
              <w:right w:w="60" w:type="dxa"/>
            </w:tcMar>
            <w:vAlign w:val="bottom"/>
          </w:tcPr>
          <w:p>
            <w:pPr>
              <w:pStyle w:val="DMETW19883BIPPENS11"/>
              <w:rPr>
                <w:rFonts w:ascii="Arial" w:eastAsia="Times New Roman" w:hAnsi="Arial" w:cs="Arial"/>
                <w:noProof/>
                <w:color w:val="000000"/>
              </w:rPr>
            </w:pPr>
            <w:bookmarkStart w:id="133" w:name="DOC_TBL00043_1_1"/>
            <w:bookmarkEnd w:id="133"/>
          </w:p>
        </w:tc>
        <w:tc>
          <w:tcPr>
            <w:tcW w:w="1633" w:type="dxa"/>
            <w:tcBorders>
              <w:top w:val="nil"/>
              <w:left w:val="nil"/>
              <w:bottom w:val="nil"/>
              <w:right w:val="nil"/>
            </w:tcBorders>
            <w:tcMar>
              <w:top w:w="0" w:type="dxa"/>
              <w:left w:w="60" w:type="dxa"/>
              <w:bottom w:w="0" w:type="dxa"/>
              <w:right w:w="60" w:type="dxa"/>
            </w:tcMar>
            <w:vAlign w:val="bottom"/>
          </w:tcPr>
          <w:p>
            <w:pPr>
              <w:pStyle w:val="DMETW19883BIPPENS11"/>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11"/>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11"/>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11"/>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322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1"/>
              <w:jc w:val="right"/>
              <w:rPr>
                <w:rFonts w:ascii="Verdana" w:eastAsia="Times New Roman" w:hAnsi="Verdana" w:cs="Verdana"/>
                <w:noProof/>
                <w:color w:val="FFFFFF"/>
                <w:sz w:val="18"/>
              </w:rPr>
            </w:pPr>
          </w:p>
        </w:tc>
        <w:tc>
          <w:tcPr>
            <w:tcW w:w="163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11"/>
              <w:jc w:val="center"/>
              <w:rPr>
                <w:rFonts w:ascii="Verdana" w:eastAsia="Times New Roman" w:hAnsi="Verdana" w:cs="Verdana"/>
                <w:noProof/>
                <w:color w:val="FFFFFF"/>
                <w:sz w:val="18"/>
              </w:rPr>
            </w:pPr>
            <w:r>
              <w:rPr>
                <w:rFonts w:ascii="Verdana" w:hAnsi="Verdana"/>
                <w:noProof/>
                <w:color w:val="FFFFFF"/>
                <w:sz w:val="18"/>
              </w:rPr>
              <w:t>2020 г.</w:t>
            </w:r>
          </w:p>
        </w:tc>
        <w:tc>
          <w:tcPr>
            <w:tcW w:w="163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11"/>
              <w:jc w:val="center"/>
              <w:rPr>
                <w:rFonts w:ascii="Verdana" w:eastAsia="Times New Roman" w:hAnsi="Verdana" w:cs="Verdana"/>
                <w:noProof/>
                <w:color w:val="FFFFFF"/>
                <w:sz w:val="18"/>
              </w:rPr>
            </w:pPr>
            <w:r>
              <w:rPr>
                <w:rFonts w:ascii="Verdana" w:hAnsi="Verdana"/>
                <w:noProof/>
                <w:color w:val="FFFFFF"/>
                <w:sz w:val="18"/>
              </w:rPr>
              <w:t>2019 г.</w:t>
            </w:r>
          </w:p>
        </w:tc>
      </w:tr>
      <w:tr>
        <w:trPr>
          <w:trHeight w:val="255"/>
        </w:trPr>
        <w:tc>
          <w:tcPr>
            <w:tcW w:w="322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1"/>
              <w:jc w:val="right"/>
              <w:rPr>
                <w:rFonts w:ascii="Verdana" w:eastAsia="Times New Roman" w:hAnsi="Verdana" w:cs="Verdana"/>
                <w:noProof/>
                <w:color w:val="FFFFFF"/>
                <w:sz w:val="18"/>
              </w:rPr>
            </w:pPr>
          </w:p>
        </w:tc>
        <w:tc>
          <w:tcPr>
            <w:tcW w:w="1633"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1"/>
              <w:jc w:val="right"/>
              <w:rPr>
                <w:rFonts w:ascii="Verdana" w:eastAsia="Times New Roman"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1"/>
              <w:jc w:val="right"/>
              <w:rPr>
                <w:rFonts w:ascii="Verdana" w:eastAsia="Times New Roman" w:hAnsi="Verdana" w:cs="Verdana"/>
                <w:noProof/>
                <w:color w:val="FFFFFF"/>
                <w:sz w:val="18"/>
              </w:rPr>
            </w:pPr>
            <w:r>
              <w:rPr>
                <w:rFonts w:ascii="Verdana" w:hAnsi="Verdana"/>
                <w:noProof/>
                <w:color w:val="FFFFFF"/>
                <w:sz w:val="18"/>
              </w:rPr>
              <w:t>Намаление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1"/>
              <w:jc w:val="right"/>
              <w:rPr>
                <w:rFonts w:ascii="Verdana" w:eastAsia="Times New Roman"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1"/>
              <w:jc w:val="right"/>
              <w:rPr>
                <w:rFonts w:ascii="Verdana" w:eastAsia="Times New Roman" w:hAnsi="Verdana" w:cs="Verdana"/>
                <w:noProof/>
                <w:color w:val="FFFFFF"/>
                <w:sz w:val="18"/>
              </w:rPr>
            </w:pPr>
            <w:r>
              <w:rPr>
                <w:rFonts w:ascii="Verdana" w:hAnsi="Verdana"/>
                <w:noProof/>
                <w:color w:val="FFFFFF"/>
                <w:sz w:val="18"/>
              </w:rPr>
              <w:t>Намаление с 0,1 %</w:t>
            </w:r>
          </w:p>
        </w:tc>
      </w:tr>
      <w:tr>
        <w:trPr>
          <w:trHeight w:val="255"/>
        </w:trPr>
        <w:tc>
          <w:tcPr>
            <w:tcW w:w="3229" w:type="dxa"/>
            <w:tcBorders>
              <w:top w:val="nil"/>
              <w:left w:val="nil"/>
              <w:bottom w:val="single" w:sz="4" w:space="0" w:color="016794"/>
              <w:right w:val="nil"/>
            </w:tcBorders>
            <w:tcMar>
              <w:top w:w="0" w:type="dxa"/>
              <w:left w:w="60" w:type="dxa"/>
              <w:bottom w:w="0" w:type="dxa"/>
              <w:right w:w="60" w:type="dxa"/>
            </w:tcMar>
            <w:vAlign w:val="center"/>
          </w:tcPr>
          <w:p>
            <w:pPr>
              <w:pStyle w:val="DMETW19883BIPPENS11"/>
              <w:rPr>
                <w:rFonts w:ascii="Verdana" w:eastAsia="Times New Roman"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633" w:type="dxa"/>
            <w:tcBorders>
              <w:top w:val="nil"/>
              <w:left w:val="nil"/>
              <w:bottom w:val="single" w:sz="4" w:space="0" w:color="016794"/>
              <w:right w:val="nil"/>
            </w:tcBorders>
            <w:tcMar>
              <w:top w:w="0" w:type="dxa"/>
              <w:left w:w="60" w:type="dxa"/>
              <w:bottom w:w="0" w:type="dxa"/>
              <w:right w:w="60" w:type="dxa"/>
            </w:tcMar>
            <w:vAlign w:val="center"/>
          </w:tcPr>
          <w:p>
            <w:pPr>
              <w:pStyle w:val="DMETW19883BIPPENS11"/>
              <w:jc w:val="right"/>
              <w:rPr>
                <w:rFonts w:ascii="Verdana" w:eastAsia="Times New Roman" w:hAnsi="Verdana" w:cs="Verdana"/>
                <w:i/>
                <w:noProof/>
                <w:color w:val="000000"/>
                <w:sz w:val="18"/>
              </w:rPr>
            </w:pPr>
            <w:r>
              <w:rPr>
                <w:rFonts w:ascii="Verdana" w:hAnsi="Verdana"/>
                <w:i/>
                <w:noProof/>
                <w:color w:val="000000"/>
                <w:sz w:val="18"/>
              </w:rPr>
              <w:t>2 206</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11"/>
              <w:jc w:val="right"/>
              <w:rPr>
                <w:rFonts w:ascii="Verdana" w:eastAsia="Times New Roman" w:hAnsi="Verdana" w:cs="Verdana"/>
                <w:i/>
                <w:noProof/>
                <w:color w:val="000000"/>
                <w:sz w:val="18"/>
              </w:rPr>
            </w:pPr>
            <w:r>
              <w:rPr>
                <w:rFonts w:ascii="Verdana" w:hAnsi="Verdana"/>
                <w:i/>
                <w:noProof/>
                <w:color w:val="000000"/>
                <w:sz w:val="18"/>
              </w:rPr>
              <w:t>(2 143)</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11"/>
              <w:jc w:val="right"/>
              <w:rPr>
                <w:rFonts w:ascii="Verdana" w:eastAsia="Times New Roman" w:hAnsi="Verdana" w:cs="Verdana"/>
                <w:i/>
                <w:noProof/>
                <w:color w:val="000000"/>
                <w:sz w:val="18"/>
              </w:rPr>
            </w:pPr>
            <w:r>
              <w:rPr>
                <w:rFonts w:ascii="Verdana" w:hAnsi="Verdana"/>
                <w:i/>
                <w:noProof/>
                <w:color w:val="000000"/>
                <w:sz w:val="18"/>
              </w:rPr>
              <w:t>1 774</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11"/>
              <w:jc w:val="right"/>
              <w:rPr>
                <w:rFonts w:ascii="Verdana" w:eastAsia="Times New Roman" w:hAnsi="Verdana" w:cs="Verdana"/>
                <w:i/>
                <w:noProof/>
                <w:color w:val="000000"/>
                <w:sz w:val="18"/>
              </w:rPr>
            </w:pPr>
            <w:r>
              <w:rPr>
                <w:rFonts w:ascii="Verdana" w:hAnsi="Verdana"/>
                <w:i/>
                <w:noProof/>
                <w:color w:val="000000"/>
                <w:sz w:val="18"/>
              </w:rPr>
              <w:t>(1 724)</w:t>
            </w:r>
          </w:p>
        </w:tc>
      </w:tr>
    </w:tbl>
    <w:p>
      <w:pPr>
        <w:pStyle w:val="DGTextstand-alone"/>
        <w:spacing w:after="120"/>
      </w:pPr>
      <w:r>
        <w:t>Едногодишна промяна в предположената възраст на пенсиониране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820"/>
        <w:gridCol w:w="1819"/>
        <w:gridCol w:w="1819"/>
        <w:gridCol w:w="1819"/>
      </w:tblGrid>
      <w:tr>
        <w:trPr>
          <w:trHeight w:val="255"/>
        </w:trPr>
        <w:tc>
          <w:tcPr>
            <w:tcW w:w="2481" w:type="dxa"/>
            <w:tcBorders>
              <w:top w:val="nil"/>
              <w:left w:val="nil"/>
              <w:bottom w:val="nil"/>
              <w:right w:val="nil"/>
            </w:tcBorders>
            <w:tcMar>
              <w:top w:w="0" w:type="dxa"/>
              <w:left w:w="60" w:type="dxa"/>
              <w:bottom w:w="0" w:type="dxa"/>
              <w:right w:w="60" w:type="dxa"/>
            </w:tcMar>
            <w:vAlign w:val="bottom"/>
          </w:tcPr>
          <w:p>
            <w:pPr>
              <w:pStyle w:val="DMETW19883BIPPENS12"/>
              <w:rPr>
                <w:rFonts w:ascii="Arial" w:eastAsia="Times New Roman" w:hAnsi="Arial" w:cs="Arial"/>
                <w:noProof/>
                <w:color w:val="000000"/>
              </w:rPr>
            </w:pPr>
            <w:bookmarkStart w:id="134" w:name="DOC_TBL00044_1_1"/>
            <w:bookmarkEnd w:id="134"/>
          </w:p>
        </w:tc>
        <w:tc>
          <w:tcPr>
            <w:tcW w:w="1820" w:type="dxa"/>
            <w:tcBorders>
              <w:top w:val="nil"/>
              <w:left w:val="nil"/>
              <w:bottom w:val="nil"/>
              <w:right w:val="nil"/>
            </w:tcBorders>
            <w:tcMar>
              <w:top w:w="0" w:type="dxa"/>
              <w:left w:w="60" w:type="dxa"/>
              <w:bottom w:w="0" w:type="dxa"/>
              <w:right w:w="60" w:type="dxa"/>
            </w:tcMar>
            <w:vAlign w:val="bottom"/>
          </w:tcPr>
          <w:p>
            <w:pPr>
              <w:pStyle w:val="DMETW19883BIPPENS12"/>
              <w:rPr>
                <w:rFonts w:ascii="Arial" w:eastAsia="Times New Roman" w:hAnsi="Arial" w:cs="Arial"/>
                <w:noProof/>
                <w:color w:val="000000"/>
              </w:rPr>
            </w:pPr>
          </w:p>
        </w:tc>
        <w:tc>
          <w:tcPr>
            <w:tcW w:w="1819" w:type="dxa"/>
            <w:tcBorders>
              <w:top w:val="nil"/>
              <w:left w:val="nil"/>
              <w:bottom w:val="nil"/>
              <w:right w:val="nil"/>
            </w:tcBorders>
            <w:tcMar>
              <w:top w:w="0" w:type="dxa"/>
              <w:left w:w="60" w:type="dxa"/>
              <w:bottom w:w="0" w:type="dxa"/>
              <w:right w:w="60" w:type="dxa"/>
            </w:tcMar>
            <w:vAlign w:val="bottom"/>
          </w:tcPr>
          <w:p>
            <w:pPr>
              <w:pStyle w:val="DMETW19883BIPPENS12"/>
              <w:rPr>
                <w:rFonts w:ascii="Arial" w:eastAsia="Times New Roman" w:hAnsi="Arial" w:cs="Arial"/>
                <w:noProof/>
                <w:color w:val="000000"/>
              </w:rPr>
            </w:pPr>
          </w:p>
        </w:tc>
        <w:tc>
          <w:tcPr>
            <w:tcW w:w="1819" w:type="dxa"/>
            <w:tcBorders>
              <w:top w:val="nil"/>
              <w:left w:val="nil"/>
              <w:bottom w:val="nil"/>
              <w:right w:val="nil"/>
            </w:tcBorders>
            <w:tcMar>
              <w:top w:w="0" w:type="dxa"/>
              <w:left w:w="60" w:type="dxa"/>
              <w:bottom w:w="0" w:type="dxa"/>
              <w:right w:w="60" w:type="dxa"/>
            </w:tcMar>
            <w:vAlign w:val="bottom"/>
          </w:tcPr>
          <w:p>
            <w:pPr>
              <w:pStyle w:val="DMETW19883BIPPENS12"/>
              <w:rPr>
                <w:rFonts w:ascii="Arial" w:eastAsia="Times New Roman" w:hAnsi="Arial" w:cs="Arial"/>
                <w:noProof/>
                <w:color w:val="000000"/>
              </w:rPr>
            </w:pPr>
          </w:p>
        </w:tc>
        <w:tc>
          <w:tcPr>
            <w:tcW w:w="1819" w:type="dxa"/>
            <w:tcBorders>
              <w:top w:val="nil"/>
              <w:left w:val="nil"/>
              <w:bottom w:val="nil"/>
              <w:right w:val="nil"/>
            </w:tcBorders>
            <w:tcMar>
              <w:top w:w="0" w:type="dxa"/>
              <w:left w:w="60" w:type="dxa"/>
              <w:bottom w:w="0" w:type="dxa"/>
              <w:right w:w="60" w:type="dxa"/>
            </w:tcMar>
            <w:vAlign w:val="bottom"/>
          </w:tcPr>
          <w:p>
            <w:pPr>
              <w:pStyle w:val="DMETW19883BIPPENS12"/>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2481"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2"/>
              <w:jc w:val="right"/>
              <w:rPr>
                <w:rFonts w:ascii="Verdana" w:eastAsia="Times New Roman" w:hAnsi="Verdana" w:cs="Verdana"/>
                <w:noProof/>
                <w:color w:val="FFFFFF"/>
                <w:sz w:val="18"/>
              </w:rPr>
            </w:pPr>
          </w:p>
        </w:tc>
        <w:tc>
          <w:tcPr>
            <w:tcW w:w="1820"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12"/>
              <w:jc w:val="center"/>
              <w:rPr>
                <w:rFonts w:ascii="Verdana" w:eastAsia="Times New Roman" w:hAnsi="Verdana" w:cs="Verdana"/>
                <w:noProof/>
                <w:color w:val="FFFFFF"/>
                <w:sz w:val="18"/>
              </w:rPr>
            </w:pPr>
            <w:r>
              <w:rPr>
                <w:rFonts w:ascii="Verdana" w:hAnsi="Verdana"/>
                <w:noProof/>
                <w:color w:val="FFFFFF"/>
                <w:sz w:val="18"/>
              </w:rPr>
              <w:t>2020 г.</w:t>
            </w:r>
          </w:p>
        </w:tc>
        <w:tc>
          <w:tcPr>
            <w:tcW w:w="1819"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12"/>
              <w:jc w:val="center"/>
              <w:rPr>
                <w:rFonts w:ascii="Verdana" w:eastAsia="Times New Roman" w:hAnsi="Verdana" w:cs="Verdana"/>
                <w:noProof/>
                <w:color w:val="FFFFFF"/>
                <w:sz w:val="18"/>
              </w:rPr>
            </w:pPr>
            <w:r>
              <w:rPr>
                <w:rFonts w:ascii="Verdana" w:hAnsi="Verdana"/>
                <w:noProof/>
                <w:color w:val="FFFFFF"/>
                <w:sz w:val="18"/>
              </w:rPr>
              <w:t>2019 г.</w:t>
            </w:r>
          </w:p>
        </w:tc>
      </w:tr>
      <w:tr>
        <w:trPr>
          <w:trHeight w:val="255"/>
        </w:trPr>
        <w:tc>
          <w:tcPr>
            <w:tcW w:w="2481"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2"/>
              <w:jc w:val="right"/>
              <w:rPr>
                <w:rFonts w:ascii="Verdana" w:eastAsia="Times New Roman" w:hAnsi="Verdana" w:cs="Verdana"/>
                <w:noProof/>
                <w:color w:val="FFFFFF"/>
                <w:sz w:val="18"/>
              </w:rPr>
            </w:pPr>
          </w:p>
        </w:tc>
        <w:tc>
          <w:tcPr>
            <w:tcW w:w="1820"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2"/>
              <w:jc w:val="right"/>
              <w:rPr>
                <w:rFonts w:ascii="Verdana" w:eastAsia="Times New Roman" w:hAnsi="Verdana" w:cs="Verdana"/>
                <w:noProof/>
                <w:color w:val="FFFFFF"/>
                <w:sz w:val="18"/>
              </w:rPr>
            </w:pPr>
            <w:r>
              <w:rPr>
                <w:rFonts w:ascii="Verdana" w:hAnsi="Verdana"/>
                <w:noProof/>
                <w:color w:val="FFFFFF"/>
                <w:sz w:val="18"/>
              </w:rPr>
              <w:t>Увеличение с една година</w:t>
            </w:r>
          </w:p>
        </w:tc>
        <w:tc>
          <w:tcPr>
            <w:tcW w:w="181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2"/>
              <w:jc w:val="right"/>
              <w:rPr>
                <w:rFonts w:ascii="Verdana" w:eastAsia="Times New Roman" w:hAnsi="Verdana" w:cs="Verdana"/>
                <w:noProof/>
                <w:color w:val="FFFFFF"/>
                <w:sz w:val="18"/>
              </w:rPr>
            </w:pPr>
            <w:r>
              <w:rPr>
                <w:rFonts w:ascii="Verdana" w:hAnsi="Verdana"/>
                <w:noProof/>
                <w:color w:val="FFFFFF"/>
                <w:sz w:val="18"/>
              </w:rPr>
              <w:t>Намаление с една година</w:t>
            </w:r>
          </w:p>
        </w:tc>
        <w:tc>
          <w:tcPr>
            <w:tcW w:w="181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2"/>
              <w:jc w:val="right"/>
              <w:rPr>
                <w:rFonts w:ascii="Verdana" w:eastAsia="Times New Roman" w:hAnsi="Verdana" w:cs="Verdana"/>
                <w:noProof/>
                <w:color w:val="FFFFFF"/>
                <w:sz w:val="18"/>
              </w:rPr>
            </w:pPr>
            <w:r>
              <w:rPr>
                <w:rFonts w:ascii="Verdana" w:hAnsi="Verdana"/>
                <w:noProof/>
                <w:color w:val="FFFFFF"/>
                <w:sz w:val="18"/>
              </w:rPr>
              <w:t>Увеличение с една година</w:t>
            </w:r>
          </w:p>
        </w:tc>
        <w:tc>
          <w:tcPr>
            <w:tcW w:w="181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12"/>
              <w:jc w:val="right"/>
              <w:rPr>
                <w:rFonts w:ascii="Verdana" w:eastAsia="Times New Roman" w:hAnsi="Verdana" w:cs="Verdana"/>
                <w:noProof/>
                <w:color w:val="FFFFFF"/>
                <w:sz w:val="18"/>
              </w:rPr>
            </w:pPr>
            <w:r>
              <w:rPr>
                <w:rFonts w:ascii="Verdana" w:hAnsi="Verdana"/>
                <w:noProof/>
                <w:color w:val="FFFFFF"/>
                <w:sz w:val="18"/>
              </w:rPr>
              <w:t>Намаление с една година</w:t>
            </w:r>
          </w:p>
        </w:tc>
      </w:tr>
      <w:tr>
        <w:trPr>
          <w:trHeight w:val="255"/>
        </w:trPr>
        <w:tc>
          <w:tcPr>
            <w:tcW w:w="2481" w:type="dxa"/>
            <w:tcBorders>
              <w:top w:val="nil"/>
              <w:left w:val="nil"/>
              <w:bottom w:val="single" w:sz="4" w:space="0" w:color="016794"/>
              <w:right w:val="nil"/>
            </w:tcBorders>
            <w:tcMar>
              <w:top w:w="0" w:type="dxa"/>
              <w:left w:w="60" w:type="dxa"/>
              <w:bottom w:w="0" w:type="dxa"/>
              <w:right w:w="60" w:type="dxa"/>
            </w:tcMar>
            <w:vAlign w:val="center"/>
          </w:tcPr>
          <w:p>
            <w:pPr>
              <w:pStyle w:val="DMETW19883BIPPENS12"/>
              <w:rPr>
                <w:rFonts w:ascii="Verdana" w:eastAsia="Times New Roman"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820" w:type="dxa"/>
            <w:tcBorders>
              <w:top w:val="nil"/>
              <w:left w:val="nil"/>
              <w:bottom w:val="single" w:sz="4" w:space="0" w:color="016794"/>
              <w:right w:val="nil"/>
            </w:tcBorders>
            <w:tcMar>
              <w:top w:w="0" w:type="dxa"/>
              <w:left w:w="60" w:type="dxa"/>
              <w:bottom w:w="0" w:type="dxa"/>
              <w:right w:w="60" w:type="dxa"/>
            </w:tcMar>
            <w:vAlign w:val="center"/>
          </w:tcPr>
          <w:p>
            <w:pPr>
              <w:pStyle w:val="DMETW19883BIPPENS12"/>
              <w:jc w:val="right"/>
              <w:rPr>
                <w:rFonts w:ascii="Verdana" w:eastAsia="Times New Roman" w:hAnsi="Verdana" w:cs="Verdana"/>
                <w:i/>
                <w:noProof/>
                <w:color w:val="000000"/>
                <w:sz w:val="18"/>
              </w:rPr>
            </w:pPr>
            <w:r>
              <w:rPr>
                <w:rFonts w:ascii="Verdana" w:hAnsi="Verdana"/>
                <w:i/>
                <w:noProof/>
                <w:color w:val="000000"/>
                <w:sz w:val="18"/>
              </w:rPr>
              <w:t>(1 104)</w:t>
            </w:r>
          </w:p>
        </w:tc>
        <w:tc>
          <w:tcPr>
            <w:tcW w:w="1819" w:type="dxa"/>
            <w:tcBorders>
              <w:top w:val="nil"/>
              <w:left w:val="nil"/>
              <w:bottom w:val="single" w:sz="4" w:space="0" w:color="016794"/>
              <w:right w:val="nil"/>
            </w:tcBorders>
            <w:tcMar>
              <w:top w:w="0" w:type="dxa"/>
              <w:left w:w="60" w:type="dxa"/>
              <w:bottom w:w="0" w:type="dxa"/>
              <w:right w:w="60" w:type="dxa"/>
            </w:tcMar>
            <w:vAlign w:val="center"/>
          </w:tcPr>
          <w:p>
            <w:pPr>
              <w:pStyle w:val="DMETW19883BIPPENS12"/>
              <w:jc w:val="right"/>
              <w:rPr>
                <w:rFonts w:ascii="Verdana" w:eastAsia="Times New Roman" w:hAnsi="Verdana" w:cs="Verdana"/>
                <w:i/>
                <w:noProof/>
                <w:color w:val="000000"/>
                <w:sz w:val="18"/>
              </w:rPr>
            </w:pPr>
            <w:r>
              <w:rPr>
                <w:rFonts w:ascii="Verdana" w:hAnsi="Verdana"/>
                <w:i/>
                <w:noProof/>
                <w:color w:val="000000"/>
                <w:sz w:val="18"/>
              </w:rPr>
              <w:t>1 417</w:t>
            </w:r>
          </w:p>
        </w:tc>
        <w:tc>
          <w:tcPr>
            <w:tcW w:w="1819" w:type="dxa"/>
            <w:tcBorders>
              <w:top w:val="nil"/>
              <w:left w:val="nil"/>
              <w:bottom w:val="single" w:sz="4" w:space="0" w:color="016794"/>
              <w:right w:val="nil"/>
            </w:tcBorders>
            <w:tcMar>
              <w:top w:w="0" w:type="dxa"/>
              <w:left w:w="60" w:type="dxa"/>
              <w:bottom w:w="0" w:type="dxa"/>
              <w:right w:w="60" w:type="dxa"/>
            </w:tcMar>
            <w:vAlign w:val="center"/>
          </w:tcPr>
          <w:p>
            <w:pPr>
              <w:pStyle w:val="DMETW19883BIPPENS12"/>
              <w:jc w:val="right"/>
              <w:rPr>
                <w:rFonts w:ascii="Verdana" w:eastAsia="Times New Roman" w:hAnsi="Verdana" w:cs="Verdana"/>
                <w:i/>
                <w:noProof/>
                <w:color w:val="000000"/>
                <w:sz w:val="18"/>
              </w:rPr>
            </w:pPr>
            <w:r>
              <w:rPr>
                <w:rFonts w:ascii="Verdana" w:hAnsi="Verdana"/>
                <w:i/>
                <w:noProof/>
                <w:color w:val="000000"/>
                <w:sz w:val="18"/>
              </w:rPr>
              <w:t xml:space="preserve"> (620)</w:t>
            </w:r>
          </w:p>
        </w:tc>
        <w:tc>
          <w:tcPr>
            <w:tcW w:w="1819" w:type="dxa"/>
            <w:tcBorders>
              <w:top w:val="nil"/>
              <w:left w:val="nil"/>
              <w:bottom w:val="single" w:sz="4" w:space="0" w:color="016794"/>
              <w:right w:val="nil"/>
            </w:tcBorders>
            <w:tcMar>
              <w:top w:w="0" w:type="dxa"/>
              <w:left w:w="60" w:type="dxa"/>
              <w:bottom w:w="0" w:type="dxa"/>
              <w:right w:w="60" w:type="dxa"/>
            </w:tcMar>
            <w:vAlign w:val="center"/>
          </w:tcPr>
          <w:p>
            <w:pPr>
              <w:pStyle w:val="DMETW19883BIPPENS12"/>
              <w:jc w:val="right"/>
              <w:rPr>
                <w:rFonts w:ascii="Verdana" w:eastAsia="Times New Roman" w:hAnsi="Verdana" w:cs="Verdana"/>
                <w:i/>
                <w:noProof/>
                <w:color w:val="000000"/>
                <w:sz w:val="18"/>
              </w:rPr>
            </w:pPr>
            <w:r>
              <w:rPr>
                <w:rFonts w:ascii="Verdana" w:hAnsi="Verdana"/>
                <w:i/>
                <w:noProof/>
                <w:color w:val="000000"/>
                <w:sz w:val="18"/>
              </w:rPr>
              <w:t xml:space="preserve"> 771</w:t>
            </w:r>
          </w:p>
        </w:tc>
      </w:tr>
    </w:tbl>
    <w:p>
      <w:pPr>
        <w:pStyle w:val="DGTextstand-alone"/>
        <w:rPr>
          <w:color w:val="016794"/>
        </w:rPr>
      </w:pPr>
    </w:p>
    <w:p>
      <w:pPr>
        <w:pStyle w:val="DGTextstand-alone"/>
        <w:rPr>
          <w:color w:val="016794"/>
        </w:rPr>
      </w:pPr>
      <w:r>
        <w:rPr>
          <w:color w:val="016794"/>
        </w:rPr>
        <w:t>Чувствителност на общата здравноосигурителна схема</w:t>
      </w:r>
    </w:p>
    <w:p>
      <w:pPr>
        <w:pStyle w:val="DGTextstand-alone"/>
        <w:spacing w:after="120"/>
      </w:pPr>
      <w:r>
        <w:t>Промяна с десет базисни пункта на предположената промяна в медицинските разходи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trPr>
          <w:trHeight w:val="255"/>
        </w:trPr>
        <w:tc>
          <w:tcPr>
            <w:tcW w:w="3229" w:type="dxa"/>
            <w:tcBorders>
              <w:top w:val="nil"/>
              <w:left w:val="nil"/>
              <w:bottom w:val="nil"/>
              <w:right w:val="nil"/>
            </w:tcBorders>
            <w:tcMar>
              <w:top w:w="0" w:type="dxa"/>
              <w:left w:w="60" w:type="dxa"/>
              <w:bottom w:w="0" w:type="dxa"/>
              <w:right w:w="60" w:type="dxa"/>
            </w:tcMar>
            <w:vAlign w:val="bottom"/>
          </w:tcPr>
          <w:p>
            <w:pPr>
              <w:pStyle w:val="DMETW19883BIPPENS6"/>
              <w:rPr>
                <w:rFonts w:ascii="Arial" w:eastAsia="Times New Roman" w:hAnsi="Arial" w:cs="Arial"/>
                <w:noProof/>
                <w:color w:val="000000"/>
              </w:rPr>
            </w:pPr>
            <w:bookmarkStart w:id="135" w:name="DOC_TBL00045_1_1"/>
            <w:bookmarkEnd w:id="135"/>
          </w:p>
        </w:tc>
        <w:tc>
          <w:tcPr>
            <w:tcW w:w="1633" w:type="dxa"/>
            <w:tcBorders>
              <w:top w:val="nil"/>
              <w:left w:val="nil"/>
              <w:bottom w:val="nil"/>
              <w:right w:val="nil"/>
            </w:tcBorders>
            <w:tcMar>
              <w:top w:w="0" w:type="dxa"/>
              <w:left w:w="60" w:type="dxa"/>
              <w:bottom w:w="0" w:type="dxa"/>
              <w:right w:w="60" w:type="dxa"/>
            </w:tcMar>
            <w:vAlign w:val="bottom"/>
          </w:tcPr>
          <w:p>
            <w:pPr>
              <w:pStyle w:val="DMETW19883BIPPENS6"/>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6"/>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6"/>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6"/>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322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6"/>
              <w:jc w:val="right"/>
              <w:rPr>
                <w:rFonts w:ascii="Verdana" w:eastAsia="Times New Roman" w:hAnsi="Verdana" w:cs="Verdana"/>
                <w:noProof/>
                <w:color w:val="FFFFFF"/>
                <w:sz w:val="18"/>
              </w:rPr>
            </w:pPr>
          </w:p>
        </w:tc>
        <w:tc>
          <w:tcPr>
            <w:tcW w:w="163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6"/>
              <w:jc w:val="center"/>
              <w:rPr>
                <w:rFonts w:ascii="Verdana" w:eastAsia="Times New Roman" w:hAnsi="Verdana" w:cs="Verdana"/>
                <w:noProof/>
                <w:color w:val="FFFFFF"/>
                <w:sz w:val="18"/>
              </w:rPr>
            </w:pPr>
            <w:r>
              <w:rPr>
                <w:rFonts w:ascii="Verdana" w:hAnsi="Verdana"/>
                <w:noProof/>
                <w:color w:val="FFFFFF"/>
                <w:sz w:val="18"/>
              </w:rPr>
              <w:t>2020 г.</w:t>
            </w:r>
          </w:p>
        </w:tc>
        <w:tc>
          <w:tcPr>
            <w:tcW w:w="163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6"/>
              <w:jc w:val="center"/>
              <w:rPr>
                <w:rFonts w:ascii="Verdana" w:eastAsia="Times New Roman" w:hAnsi="Verdana" w:cs="Verdana"/>
                <w:noProof/>
                <w:color w:val="FFFFFF"/>
                <w:sz w:val="18"/>
              </w:rPr>
            </w:pPr>
            <w:r>
              <w:rPr>
                <w:rFonts w:ascii="Verdana" w:hAnsi="Verdana"/>
                <w:noProof/>
                <w:color w:val="FFFFFF"/>
                <w:sz w:val="18"/>
              </w:rPr>
              <w:t>2019 г.</w:t>
            </w:r>
          </w:p>
        </w:tc>
      </w:tr>
      <w:tr>
        <w:trPr>
          <w:trHeight w:val="255"/>
        </w:trPr>
        <w:tc>
          <w:tcPr>
            <w:tcW w:w="322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6"/>
              <w:jc w:val="right"/>
              <w:rPr>
                <w:rFonts w:ascii="Verdana" w:eastAsia="Times New Roman" w:hAnsi="Verdana" w:cs="Verdana"/>
                <w:noProof/>
                <w:color w:val="FFFFFF"/>
                <w:sz w:val="18"/>
              </w:rPr>
            </w:pPr>
          </w:p>
        </w:tc>
        <w:tc>
          <w:tcPr>
            <w:tcW w:w="1633"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6"/>
              <w:jc w:val="right"/>
              <w:rPr>
                <w:rFonts w:ascii="Verdana" w:eastAsia="Times New Roman"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6"/>
              <w:jc w:val="right"/>
              <w:rPr>
                <w:rFonts w:ascii="Verdana" w:eastAsia="Times New Roman" w:hAnsi="Verdana" w:cs="Verdana"/>
                <w:noProof/>
                <w:color w:val="FFFFFF"/>
                <w:sz w:val="18"/>
              </w:rPr>
            </w:pPr>
            <w:r>
              <w:rPr>
                <w:rFonts w:ascii="Verdana" w:hAnsi="Verdana"/>
                <w:noProof/>
                <w:color w:val="FFFFFF"/>
                <w:sz w:val="18"/>
              </w:rPr>
              <w:t>Намаление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6"/>
              <w:jc w:val="right"/>
              <w:rPr>
                <w:rFonts w:ascii="Verdana" w:eastAsia="Times New Roman"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6"/>
              <w:jc w:val="right"/>
              <w:rPr>
                <w:rFonts w:ascii="Verdana" w:eastAsia="Times New Roman" w:hAnsi="Verdana" w:cs="Verdana"/>
                <w:noProof/>
                <w:color w:val="FFFFFF"/>
                <w:sz w:val="18"/>
              </w:rPr>
            </w:pPr>
            <w:r>
              <w:rPr>
                <w:rFonts w:ascii="Verdana" w:hAnsi="Verdana"/>
                <w:noProof/>
                <w:color w:val="FFFFFF"/>
                <w:sz w:val="18"/>
              </w:rPr>
              <w:t>Намаление с 0,1 %</w:t>
            </w:r>
          </w:p>
        </w:tc>
      </w:tr>
      <w:tr>
        <w:trPr>
          <w:trHeight w:val="255"/>
        </w:trPr>
        <w:tc>
          <w:tcPr>
            <w:tcW w:w="3229" w:type="dxa"/>
            <w:tcBorders>
              <w:top w:val="nil"/>
              <w:left w:val="nil"/>
              <w:bottom w:val="nil"/>
              <w:right w:val="nil"/>
            </w:tcBorders>
            <w:tcMar>
              <w:top w:w="0" w:type="dxa"/>
              <w:left w:w="60" w:type="dxa"/>
              <w:bottom w:w="0" w:type="dxa"/>
              <w:right w:w="60" w:type="dxa"/>
            </w:tcMar>
            <w:vAlign w:val="center"/>
          </w:tcPr>
          <w:p>
            <w:pPr>
              <w:pStyle w:val="DMETW19883BIPPENS6"/>
              <w:rPr>
                <w:rFonts w:ascii="Verdana" w:eastAsia="Times New Roman" w:hAnsi="Verdana" w:cs="Verdana"/>
                <w:i/>
                <w:noProof/>
                <w:color w:val="000000"/>
                <w:sz w:val="18"/>
              </w:rPr>
            </w:pPr>
            <w:r>
              <w:rPr>
                <w:rFonts w:ascii="Verdana" w:hAnsi="Verdana"/>
                <w:i/>
                <w:noProof/>
                <w:color w:val="000000"/>
                <w:sz w:val="18"/>
              </w:rPr>
              <w:t>Обща стойност на компонента на разходите за текущ трудов стаж и компонента на разходите за лихви от нетните периодични медицински разходи след напускане</w:t>
            </w:r>
          </w:p>
        </w:tc>
        <w:tc>
          <w:tcPr>
            <w:tcW w:w="1633" w:type="dxa"/>
            <w:tcBorders>
              <w:top w:val="nil"/>
              <w:left w:val="nil"/>
              <w:bottom w:val="nil"/>
              <w:right w:val="nil"/>
            </w:tcBorders>
            <w:tcMar>
              <w:top w:w="0" w:type="dxa"/>
              <w:left w:w="60" w:type="dxa"/>
              <w:bottom w:w="0" w:type="dxa"/>
              <w:right w:w="60" w:type="dxa"/>
            </w:tcMar>
            <w:vAlign w:val="center"/>
          </w:tcPr>
          <w:p>
            <w:pPr>
              <w:pStyle w:val="DMETW19883BIPPENS6"/>
              <w:jc w:val="right"/>
              <w:rPr>
                <w:rFonts w:ascii="Verdana" w:eastAsia="Times New Roman" w:hAnsi="Verdana" w:cs="Verdana"/>
                <w:i/>
                <w:noProof/>
                <w:color w:val="000000"/>
                <w:sz w:val="18"/>
              </w:rPr>
            </w:pPr>
            <w:r>
              <w:rPr>
                <w:rFonts w:ascii="Verdana" w:hAnsi="Verdana"/>
                <w:i/>
                <w:noProof/>
                <w:color w:val="000000"/>
                <w:sz w:val="18"/>
              </w:rPr>
              <w:t xml:space="preserve"> 15</w:t>
            </w:r>
          </w:p>
        </w:tc>
        <w:tc>
          <w:tcPr>
            <w:tcW w:w="1632" w:type="dxa"/>
            <w:tcBorders>
              <w:top w:val="nil"/>
              <w:left w:val="nil"/>
              <w:bottom w:val="nil"/>
              <w:right w:val="nil"/>
            </w:tcBorders>
            <w:tcMar>
              <w:top w:w="0" w:type="dxa"/>
              <w:left w:w="60" w:type="dxa"/>
              <w:bottom w:w="0" w:type="dxa"/>
              <w:right w:w="60" w:type="dxa"/>
            </w:tcMar>
            <w:vAlign w:val="center"/>
          </w:tcPr>
          <w:p>
            <w:pPr>
              <w:pStyle w:val="DMETW19883BIPPENS6"/>
              <w:jc w:val="right"/>
              <w:rPr>
                <w:rFonts w:ascii="Verdana" w:eastAsia="Times New Roman" w:hAnsi="Verdana" w:cs="Verdana"/>
                <w:i/>
                <w:noProof/>
                <w:color w:val="000000"/>
                <w:sz w:val="18"/>
              </w:rPr>
            </w:pPr>
            <w:r>
              <w:rPr>
                <w:rFonts w:ascii="Verdana" w:hAnsi="Verdana"/>
                <w:i/>
                <w:noProof/>
                <w:color w:val="000000"/>
                <w:sz w:val="18"/>
              </w:rPr>
              <w:t xml:space="preserve"> (14)</w:t>
            </w:r>
          </w:p>
        </w:tc>
        <w:tc>
          <w:tcPr>
            <w:tcW w:w="1632" w:type="dxa"/>
            <w:tcBorders>
              <w:top w:val="nil"/>
              <w:left w:val="nil"/>
              <w:bottom w:val="nil"/>
              <w:right w:val="nil"/>
            </w:tcBorders>
            <w:tcMar>
              <w:top w:w="0" w:type="dxa"/>
              <w:left w:w="60" w:type="dxa"/>
              <w:bottom w:w="0" w:type="dxa"/>
              <w:right w:w="60" w:type="dxa"/>
            </w:tcMar>
            <w:vAlign w:val="center"/>
          </w:tcPr>
          <w:p>
            <w:pPr>
              <w:pStyle w:val="DMETW19883BIPPENS6"/>
              <w:jc w:val="right"/>
              <w:rPr>
                <w:rFonts w:ascii="Verdana" w:eastAsia="Times New Roman" w:hAnsi="Verdana" w:cs="Verdana"/>
                <w:i/>
                <w:noProof/>
                <w:color w:val="000000"/>
                <w:sz w:val="18"/>
              </w:rPr>
            </w:pPr>
            <w:r>
              <w:rPr>
                <w:rFonts w:ascii="Verdana" w:hAnsi="Verdana"/>
                <w:i/>
                <w:noProof/>
                <w:color w:val="000000"/>
                <w:sz w:val="18"/>
              </w:rPr>
              <w:t xml:space="preserve"> 8</w:t>
            </w:r>
          </w:p>
        </w:tc>
        <w:tc>
          <w:tcPr>
            <w:tcW w:w="1632" w:type="dxa"/>
            <w:tcBorders>
              <w:top w:val="nil"/>
              <w:left w:val="nil"/>
              <w:bottom w:val="nil"/>
              <w:right w:val="nil"/>
            </w:tcBorders>
            <w:tcMar>
              <w:top w:w="0" w:type="dxa"/>
              <w:left w:w="60" w:type="dxa"/>
              <w:bottom w:w="0" w:type="dxa"/>
              <w:right w:w="60" w:type="dxa"/>
            </w:tcMar>
            <w:vAlign w:val="center"/>
          </w:tcPr>
          <w:p>
            <w:pPr>
              <w:pStyle w:val="DMETW19883BIPPENS6"/>
              <w:jc w:val="right"/>
              <w:rPr>
                <w:rFonts w:ascii="Verdana" w:eastAsia="Times New Roman" w:hAnsi="Verdana" w:cs="Verdana"/>
                <w:i/>
                <w:noProof/>
                <w:color w:val="000000"/>
                <w:sz w:val="18"/>
              </w:rPr>
            </w:pPr>
            <w:r>
              <w:rPr>
                <w:rFonts w:ascii="Verdana" w:hAnsi="Verdana"/>
                <w:i/>
                <w:noProof/>
                <w:color w:val="000000"/>
                <w:sz w:val="18"/>
              </w:rPr>
              <w:t xml:space="preserve"> (8)</w:t>
            </w:r>
          </w:p>
        </w:tc>
      </w:tr>
      <w:tr>
        <w:trPr>
          <w:trHeight w:val="255"/>
        </w:trPr>
        <w:tc>
          <w:tcPr>
            <w:tcW w:w="3229" w:type="dxa"/>
            <w:tcBorders>
              <w:top w:val="nil"/>
              <w:left w:val="nil"/>
              <w:bottom w:val="single" w:sz="4" w:space="0" w:color="016794"/>
              <w:right w:val="nil"/>
            </w:tcBorders>
            <w:tcMar>
              <w:top w:w="0" w:type="dxa"/>
              <w:left w:w="60" w:type="dxa"/>
              <w:bottom w:w="0" w:type="dxa"/>
              <w:right w:w="60" w:type="dxa"/>
            </w:tcMar>
            <w:vAlign w:val="center"/>
          </w:tcPr>
          <w:p>
            <w:pPr>
              <w:pStyle w:val="DMETW19883BIPPENS6"/>
              <w:rPr>
                <w:rFonts w:ascii="Verdana" w:eastAsia="Times New Roman"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633" w:type="dxa"/>
            <w:tcBorders>
              <w:top w:val="nil"/>
              <w:left w:val="nil"/>
              <w:bottom w:val="single" w:sz="4" w:space="0" w:color="016794"/>
              <w:right w:val="nil"/>
            </w:tcBorders>
            <w:tcMar>
              <w:top w:w="0" w:type="dxa"/>
              <w:left w:w="60" w:type="dxa"/>
              <w:bottom w:w="0" w:type="dxa"/>
              <w:right w:w="60" w:type="dxa"/>
            </w:tcMar>
            <w:vAlign w:val="center"/>
          </w:tcPr>
          <w:p>
            <w:pPr>
              <w:pStyle w:val="DMETW19883BIPPENS6"/>
              <w:jc w:val="right"/>
              <w:rPr>
                <w:rFonts w:ascii="Verdana" w:eastAsia="Times New Roman" w:hAnsi="Verdana" w:cs="Verdana"/>
                <w:i/>
                <w:noProof/>
                <w:color w:val="000000"/>
                <w:sz w:val="18"/>
              </w:rPr>
            </w:pPr>
            <w:r>
              <w:rPr>
                <w:rFonts w:ascii="Verdana" w:hAnsi="Verdana"/>
                <w:i/>
                <w:noProof/>
                <w:color w:val="000000"/>
                <w:sz w:val="18"/>
              </w:rPr>
              <w:t xml:space="preserve"> 397</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6"/>
              <w:jc w:val="right"/>
              <w:rPr>
                <w:rFonts w:ascii="Verdana" w:eastAsia="Times New Roman" w:hAnsi="Verdana" w:cs="Verdana"/>
                <w:i/>
                <w:noProof/>
                <w:color w:val="000000"/>
                <w:sz w:val="18"/>
              </w:rPr>
            </w:pPr>
            <w:r>
              <w:rPr>
                <w:rFonts w:ascii="Verdana" w:hAnsi="Verdana"/>
                <w:i/>
                <w:noProof/>
                <w:color w:val="000000"/>
                <w:sz w:val="18"/>
              </w:rPr>
              <w:t xml:space="preserve"> (385)</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6"/>
              <w:jc w:val="right"/>
              <w:rPr>
                <w:rFonts w:ascii="Verdana" w:eastAsia="Times New Roman" w:hAnsi="Verdana" w:cs="Verdana"/>
                <w:i/>
                <w:noProof/>
                <w:color w:val="000000"/>
                <w:sz w:val="18"/>
              </w:rPr>
            </w:pPr>
            <w:r>
              <w:rPr>
                <w:rFonts w:ascii="Verdana" w:hAnsi="Verdana"/>
                <w:i/>
                <w:noProof/>
                <w:color w:val="000000"/>
                <w:sz w:val="18"/>
              </w:rPr>
              <w:t xml:space="preserve"> 352</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6"/>
              <w:jc w:val="right"/>
              <w:rPr>
                <w:rFonts w:ascii="Verdana" w:eastAsia="Times New Roman" w:hAnsi="Verdana" w:cs="Verdana"/>
                <w:i/>
                <w:noProof/>
                <w:color w:val="000000"/>
                <w:sz w:val="18"/>
              </w:rPr>
            </w:pPr>
            <w:r>
              <w:rPr>
                <w:rFonts w:ascii="Verdana" w:hAnsi="Verdana"/>
                <w:i/>
                <w:noProof/>
                <w:color w:val="000000"/>
                <w:sz w:val="18"/>
              </w:rPr>
              <w:t xml:space="preserve"> (341)</w:t>
            </w:r>
          </w:p>
        </w:tc>
      </w:tr>
    </w:tbl>
    <w:p>
      <w:pPr>
        <w:pStyle w:val="DGTextstand-alone"/>
        <w:spacing w:after="120"/>
      </w:pPr>
      <w:r>
        <w:t>Промяна с десет базисни пункта (0,1 %) на предположения дисконтов процент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trPr>
          <w:trHeight w:val="255"/>
        </w:trPr>
        <w:tc>
          <w:tcPr>
            <w:tcW w:w="3229" w:type="dxa"/>
            <w:tcBorders>
              <w:top w:val="nil"/>
              <w:left w:val="nil"/>
              <w:bottom w:val="nil"/>
              <w:right w:val="nil"/>
            </w:tcBorders>
            <w:tcMar>
              <w:top w:w="0" w:type="dxa"/>
              <w:left w:w="60" w:type="dxa"/>
              <w:bottom w:w="0" w:type="dxa"/>
              <w:right w:w="60" w:type="dxa"/>
            </w:tcMar>
            <w:vAlign w:val="bottom"/>
          </w:tcPr>
          <w:p>
            <w:pPr>
              <w:pStyle w:val="DMETW19883BIPPENS7"/>
              <w:rPr>
                <w:rFonts w:ascii="Arial" w:eastAsia="Times New Roman" w:hAnsi="Arial" w:cs="Arial"/>
                <w:noProof/>
                <w:color w:val="000000"/>
              </w:rPr>
            </w:pPr>
            <w:bookmarkStart w:id="136" w:name="DOC_TBL00046_1_1"/>
            <w:bookmarkEnd w:id="136"/>
          </w:p>
        </w:tc>
        <w:tc>
          <w:tcPr>
            <w:tcW w:w="1633" w:type="dxa"/>
            <w:tcBorders>
              <w:top w:val="nil"/>
              <w:left w:val="nil"/>
              <w:bottom w:val="nil"/>
              <w:right w:val="nil"/>
            </w:tcBorders>
            <w:tcMar>
              <w:top w:w="0" w:type="dxa"/>
              <w:left w:w="60" w:type="dxa"/>
              <w:bottom w:w="0" w:type="dxa"/>
              <w:right w:w="60" w:type="dxa"/>
            </w:tcMar>
            <w:vAlign w:val="bottom"/>
          </w:tcPr>
          <w:p>
            <w:pPr>
              <w:pStyle w:val="DMETW19883BIPPENS7"/>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7"/>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7"/>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7"/>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322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7"/>
              <w:jc w:val="right"/>
              <w:rPr>
                <w:rFonts w:ascii="Verdana" w:eastAsia="Times New Roman" w:hAnsi="Verdana" w:cs="Verdana"/>
                <w:noProof/>
                <w:color w:val="FFFFFF"/>
                <w:sz w:val="18"/>
              </w:rPr>
            </w:pPr>
          </w:p>
        </w:tc>
        <w:tc>
          <w:tcPr>
            <w:tcW w:w="163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7"/>
              <w:jc w:val="center"/>
              <w:rPr>
                <w:rFonts w:ascii="Verdana" w:eastAsia="Times New Roman" w:hAnsi="Verdana" w:cs="Verdana"/>
                <w:noProof/>
                <w:color w:val="FFFFFF"/>
                <w:sz w:val="18"/>
              </w:rPr>
            </w:pPr>
            <w:r>
              <w:rPr>
                <w:rFonts w:ascii="Verdana" w:hAnsi="Verdana"/>
                <w:noProof/>
                <w:color w:val="FFFFFF"/>
                <w:sz w:val="18"/>
              </w:rPr>
              <w:t>2020 г.</w:t>
            </w:r>
          </w:p>
        </w:tc>
        <w:tc>
          <w:tcPr>
            <w:tcW w:w="163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7"/>
              <w:jc w:val="center"/>
              <w:rPr>
                <w:rFonts w:ascii="Verdana" w:eastAsia="Times New Roman" w:hAnsi="Verdana" w:cs="Verdana"/>
                <w:noProof/>
                <w:color w:val="FFFFFF"/>
                <w:sz w:val="18"/>
              </w:rPr>
            </w:pPr>
            <w:r>
              <w:rPr>
                <w:rFonts w:ascii="Verdana" w:hAnsi="Verdana"/>
                <w:noProof/>
                <w:color w:val="FFFFFF"/>
                <w:sz w:val="18"/>
              </w:rPr>
              <w:t>2019 г.</w:t>
            </w:r>
          </w:p>
        </w:tc>
      </w:tr>
      <w:tr>
        <w:trPr>
          <w:trHeight w:val="255"/>
        </w:trPr>
        <w:tc>
          <w:tcPr>
            <w:tcW w:w="322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7"/>
              <w:jc w:val="right"/>
              <w:rPr>
                <w:rFonts w:ascii="Verdana" w:eastAsia="Times New Roman" w:hAnsi="Verdana" w:cs="Verdana"/>
                <w:noProof/>
                <w:color w:val="FFFFFF"/>
                <w:sz w:val="18"/>
              </w:rPr>
            </w:pPr>
          </w:p>
        </w:tc>
        <w:tc>
          <w:tcPr>
            <w:tcW w:w="1633"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7"/>
              <w:jc w:val="right"/>
              <w:rPr>
                <w:rFonts w:ascii="Verdana" w:eastAsia="Times New Roman"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7"/>
              <w:jc w:val="right"/>
              <w:rPr>
                <w:rFonts w:ascii="Verdana" w:eastAsia="Times New Roman" w:hAnsi="Verdana" w:cs="Verdana"/>
                <w:noProof/>
                <w:color w:val="FFFFFF"/>
                <w:sz w:val="18"/>
              </w:rPr>
            </w:pPr>
            <w:r>
              <w:rPr>
                <w:rFonts w:ascii="Verdana" w:hAnsi="Verdana"/>
                <w:noProof/>
                <w:color w:val="FFFFFF"/>
                <w:sz w:val="18"/>
              </w:rPr>
              <w:t>Намаление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7"/>
              <w:jc w:val="right"/>
              <w:rPr>
                <w:rFonts w:ascii="Verdana" w:eastAsia="Times New Roman"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7"/>
              <w:jc w:val="right"/>
              <w:rPr>
                <w:rFonts w:ascii="Verdana" w:eastAsia="Times New Roman" w:hAnsi="Verdana" w:cs="Verdana"/>
                <w:noProof/>
                <w:color w:val="FFFFFF"/>
                <w:sz w:val="18"/>
              </w:rPr>
            </w:pPr>
            <w:r>
              <w:rPr>
                <w:rFonts w:ascii="Verdana" w:hAnsi="Verdana"/>
                <w:noProof/>
                <w:color w:val="FFFFFF"/>
                <w:sz w:val="18"/>
              </w:rPr>
              <w:t>Намаление с 0,1 %</w:t>
            </w:r>
          </w:p>
        </w:tc>
      </w:tr>
      <w:tr>
        <w:trPr>
          <w:trHeight w:val="255"/>
        </w:trPr>
        <w:tc>
          <w:tcPr>
            <w:tcW w:w="3229" w:type="dxa"/>
            <w:tcBorders>
              <w:top w:val="nil"/>
              <w:left w:val="nil"/>
              <w:bottom w:val="single" w:sz="4" w:space="0" w:color="016794"/>
              <w:right w:val="nil"/>
            </w:tcBorders>
            <w:tcMar>
              <w:top w:w="0" w:type="dxa"/>
              <w:left w:w="60" w:type="dxa"/>
              <w:bottom w:w="0" w:type="dxa"/>
              <w:right w:w="60" w:type="dxa"/>
            </w:tcMar>
            <w:vAlign w:val="center"/>
          </w:tcPr>
          <w:p>
            <w:pPr>
              <w:pStyle w:val="DMETW19883BIPPENS7"/>
              <w:rPr>
                <w:rFonts w:ascii="Verdana" w:eastAsia="Times New Roman"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633" w:type="dxa"/>
            <w:tcBorders>
              <w:top w:val="nil"/>
              <w:left w:val="nil"/>
              <w:bottom w:val="single" w:sz="4" w:space="0" w:color="016794"/>
              <w:right w:val="nil"/>
            </w:tcBorders>
            <w:tcMar>
              <w:top w:w="0" w:type="dxa"/>
              <w:left w:w="60" w:type="dxa"/>
              <w:bottom w:w="0" w:type="dxa"/>
              <w:right w:w="60" w:type="dxa"/>
            </w:tcMar>
            <w:vAlign w:val="center"/>
          </w:tcPr>
          <w:p>
            <w:pPr>
              <w:pStyle w:val="DMETW19883BIPPENS7"/>
              <w:jc w:val="right"/>
              <w:rPr>
                <w:rFonts w:ascii="Verdana" w:eastAsia="Times New Roman" w:hAnsi="Verdana" w:cs="Verdana"/>
                <w:i/>
                <w:noProof/>
                <w:color w:val="000000"/>
                <w:sz w:val="18"/>
              </w:rPr>
            </w:pPr>
            <w:r>
              <w:rPr>
                <w:rFonts w:ascii="Verdana" w:hAnsi="Verdana"/>
                <w:i/>
                <w:noProof/>
                <w:color w:val="000000"/>
                <w:sz w:val="18"/>
              </w:rPr>
              <w:t xml:space="preserve"> (348)</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7"/>
              <w:jc w:val="right"/>
              <w:rPr>
                <w:rFonts w:ascii="Verdana" w:eastAsia="Times New Roman" w:hAnsi="Verdana" w:cs="Verdana"/>
                <w:i/>
                <w:noProof/>
                <w:color w:val="000000"/>
                <w:sz w:val="18"/>
              </w:rPr>
            </w:pPr>
            <w:r>
              <w:rPr>
                <w:rFonts w:ascii="Verdana" w:hAnsi="Verdana"/>
                <w:i/>
                <w:noProof/>
                <w:color w:val="000000"/>
                <w:sz w:val="18"/>
              </w:rPr>
              <w:t xml:space="preserve"> 361</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7"/>
              <w:jc w:val="right"/>
              <w:rPr>
                <w:rFonts w:ascii="Verdana" w:eastAsia="Times New Roman" w:hAnsi="Verdana" w:cs="Verdana"/>
                <w:i/>
                <w:noProof/>
                <w:color w:val="000000"/>
                <w:sz w:val="18"/>
              </w:rPr>
            </w:pPr>
            <w:r>
              <w:rPr>
                <w:rFonts w:ascii="Verdana" w:hAnsi="Verdana"/>
                <w:i/>
                <w:noProof/>
                <w:color w:val="000000"/>
                <w:sz w:val="18"/>
              </w:rPr>
              <w:t xml:space="preserve"> (311)</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7"/>
              <w:jc w:val="right"/>
              <w:rPr>
                <w:rFonts w:ascii="Verdana" w:eastAsia="Times New Roman" w:hAnsi="Verdana" w:cs="Verdana"/>
                <w:i/>
                <w:noProof/>
                <w:color w:val="000000"/>
                <w:sz w:val="18"/>
              </w:rPr>
            </w:pPr>
            <w:r>
              <w:rPr>
                <w:rFonts w:ascii="Verdana" w:hAnsi="Verdana"/>
                <w:i/>
                <w:noProof/>
                <w:color w:val="000000"/>
                <w:sz w:val="18"/>
              </w:rPr>
              <w:t xml:space="preserve"> 322</w:t>
            </w:r>
          </w:p>
        </w:tc>
      </w:tr>
    </w:tbl>
    <w:p>
      <w:pPr>
        <w:pStyle w:val="DGTextstand-alone"/>
        <w:spacing w:after="120"/>
      </w:pPr>
      <w:r>
        <w:t>Промяна с десет базисни пункта (0,1 %) в очакваните увеличения на заплатите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trPr>
          <w:trHeight w:val="255"/>
        </w:trPr>
        <w:tc>
          <w:tcPr>
            <w:tcW w:w="3229" w:type="dxa"/>
            <w:tcBorders>
              <w:top w:val="nil"/>
              <w:left w:val="nil"/>
              <w:bottom w:val="nil"/>
              <w:right w:val="nil"/>
            </w:tcBorders>
            <w:tcMar>
              <w:top w:w="0" w:type="dxa"/>
              <w:left w:w="60" w:type="dxa"/>
              <w:bottom w:w="0" w:type="dxa"/>
              <w:right w:w="60" w:type="dxa"/>
            </w:tcMar>
            <w:vAlign w:val="bottom"/>
          </w:tcPr>
          <w:p>
            <w:pPr>
              <w:pStyle w:val="DMETW19883BIPPENS8"/>
              <w:rPr>
                <w:rFonts w:ascii="Arial" w:eastAsia="Times New Roman" w:hAnsi="Arial" w:cs="Arial"/>
                <w:noProof/>
                <w:color w:val="000000"/>
              </w:rPr>
            </w:pPr>
            <w:bookmarkStart w:id="137" w:name="DOC_TBL00047_1_1"/>
            <w:bookmarkEnd w:id="137"/>
          </w:p>
        </w:tc>
        <w:tc>
          <w:tcPr>
            <w:tcW w:w="1633" w:type="dxa"/>
            <w:tcBorders>
              <w:top w:val="nil"/>
              <w:left w:val="nil"/>
              <w:bottom w:val="nil"/>
              <w:right w:val="nil"/>
            </w:tcBorders>
            <w:tcMar>
              <w:top w:w="0" w:type="dxa"/>
              <w:left w:w="60" w:type="dxa"/>
              <w:bottom w:w="0" w:type="dxa"/>
              <w:right w:w="60" w:type="dxa"/>
            </w:tcMar>
            <w:vAlign w:val="bottom"/>
          </w:tcPr>
          <w:p>
            <w:pPr>
              <w:pStyle w:val="DMETW19883BIPPENS8"/>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8"/>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8"/>
              <w:rPr>
                <w:rFonts w:ascii="Arial" w:eastAsia="Times New Roman" w:hAnsi="Arial" w:cs="Arial"/>
                <w:noProof/>
                <w:color w:val="000000"/>
              </w:rPr>
            </w:pPr>
          </w:p>
        </w:tc>
        <w:tc>
          <w:tcPr>
            <w:tcW w:w="1632" w:type="dxa"/>
            <w:tcBorders>
              <w:top w:val="nil"/>
              <w:left w:val="nil"/>
              <w:bottom w:val="nil"/>
              <w:right w:val="nil"/>
            </w:tcBorders>
            <w:tcMar>
              <w:top w:w="0" w:type="dxa"/>
              <w:left w:w="60" w:type="dxa"/>
              <w:bottom w:w="0" w:type="dxa"/>
              <w:right w:w="60" w:type="dxa"/>
            </w:tcMar>
            <w:vAlign w:val="bottom"/>
          </w:tcPr>
          <w:p>
            <w:pPr>
              <w:pStyle w:val="DMETW19883BIPPENS8"/>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322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8"/>
              <w:jc w:val="right"/>
              <w:rPr>
                <w:rFonts w:ascii="Verdana" w:eastAsia="Times New Roman" w:hAnsi="Verdana" w:cs="Verdana"/>
                <w:noProof/>
                <w:color w:val="FFFFFF"/>
                <w:sz w:val="18"/>
              </w:rPr>
            </w:pPr>
          </w:p>
        </w:tc>
        <w:tc>
          <w:tcPr>
            <w:tcW w:w="1633"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8"/>
              <w:jc w:val="center"/>
              <w:rPr>
                <w:rFonts w:ascii="Verdana" w:eastAsia="Times New Roman" w:hAnsi="Verdana" w:cs="Verdana"/>
                <w:noProof/>
                <w:color w:val="FFFFFF"/>
                <w:sz w:val="18"/>
              </w:rPr>
            </w:pPr>
            <w:r>
              <w:rPr>
                <w:rFonts w:ascii="Verdana" w:hAnsi="Verdana"/>
                <w:noProof/>
                <w:color w:val="FFFFFF"/>
                <w:sz w:val="18"/>
              </w:rPr>
              <w:t>2020 г.</w:t>
            </w:r>
          </w:p>
        </w:tc>
        <w:tc>
          <w:tcPr>
            <w:tcW w:w="1632"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8"/>
              <w:jc w:val="center"/>
              <w:rPr>
                <w:rFonts w:ascii="Verdana" w:eastAsia="Times New Roman" w:hAnsi="Verdana" w:cs="Verdana"/>
                <w:noProof/>
                <w:color w:val="FFFFFF"/>
                <w:sz w:val="18"/>
              </w:rPr>
            </w:pPr>
            <w:r>
              <w:rPr>
                <w:rFonts w:ascii="Verdana" w:hAnsi="Verdana"/>
                <w:noProof/>
                <w:color w:val="FFFFFF"/>
                <w:sz w:val="18"/>
              </w:rPr>
              <w:t>2019 г.</w:t>
            </w:r>
          </w:p>
        </w:tc>
      </w:tr>
      <w:tr>
        <w:trPr>
          <w:trHeight w:val="255"/>
        </w:trPr>
        <w:tc>
          <w:tcPr>
            <w:tcW w:w="322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8"/>
              <w:jc w:val="right"/>
              <w:rPr>
                <w:rFonts w:ascii="Verdana" w:eastAsia="Times New Roman" w:hAnsi="Verdana" w:cs="Verdana"/>
                <w:noProof/>
                <w:color w:val="FFFFFF"/>
                <w:sz w:val="18"/>
              </w:rPr>
            </w:pPr>
          </w:p>
        </w:tc>
        <w:tc>
          <w:tcPr>
            <w:tcW w:w="1633"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8"/>
              <w:jc w:val="right"/>
              <w:rPr>
                <w:rFonts w:ascii="Verdana" w:eastAsia="Times New Roman"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8"/>
              <w:jc w:val="right"/>
              <w:rPr>
                <w:rFonts w:ascii="Verdana" w:eastAsia="Times New Roman" w:hAnsi="Verdana" w:cs="Verdana"/>
                <w:noProof/>
                <w:color w:val="FFFFFF"/>
                <w:sz w:val="18"/>
              </w:rPr>
            </w:pPr>
            <w:r>
              <w:rPr>
                <w:rFonts w:ascii="Verdana" w:hAnsi="Verdana"/>
                <w:noProof/>
                <w:color w:val="FFFFFF"/>
                <w:sz w:val="18"/>
              </w:rPr>
              <w:t>Намаление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8"/>
              <w:jc w:val="right"/>
              <w:rPr>
                <w:rFonts w:ascii="Verdana" w:eastAsia="Times New Roman"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8"/>
              <w:jc w:val="right"/>
              <w:rPr>
                <w:rFonts w:ascii="Verdana" w:eastAsia="Times New Roman" w:hAnsi="Verdana" w:cs="Verdana"/>
                <w:noProof/>
                <w:color w:val="FFFFFF"/>
                <w:sz w:val="18"/>
              </w:rPr>
            </w:pPr>
            <w:r>
              <w:rPr>
                <w:rFonts w:ascii="Verdana" w:hAnsi="Verdana"/>
                <w:noProof/>
                <w:color w:val="FFFFFF"/>
                <w:sz w:val="18"/>
              </w:rPr>
              <w:t>Намаление с 0,1 %</w:t>
            </w:r>
          </w:p>
        </w:tc>
      </w:tr>
      <w:tr>
        <w:trPr>
          <w:trHeight w:val="255"/>
        </w:trPr>
        <w:tc>
          <w:tcPr>
            <w:tcW w:w="3229" w:type="dxa"/>
            <w:tcBorders>
              <w:top w:val="nil"/>
              <w:left w:val="nil"/>
              <w:bottom w:val="single" w:sz="4" w:space="0" w:color="016794"/>
              <w:right w:val="nil"/>
            </w:tcBorders>
            <w:tcMar>
              <w:top w:w="0" w:type="dxa"/>
              <w:left w:w="60" w:type="dxa"/>
              <w:bottom w:w="0" w:type="dxa"/>
              <w:right w:w="60" w:type="dxa"/>
            </w:tcMar>
            <w:vAlign w:val="center"/>
          </w:tcPr>
          <w:p>
            <w:pPr>
              <w:pStyle w:val="DMETW19883BIPPENS8"/>
              <w:rPr>
                <w:rFonts w:ascii="Verdana" w:eastAsia="Times New Roman"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633" w:type="dxa"/>
            <w:tcBorders>
              <w:top w:val="nil"/>
              <w:left w:val="nil"/>
              <w:bottom w:val="single" w:sz="4" w:space="0" w:color="016794"/>
              <w:right w:val="nil"/>
            </w:tcBorders>
            <w:tcMar>
              <w:top w:w="0" w:type="dxa"/>
              <w:left w:w="60" w:type="dxa"/>
              <w:bottom w:w="0" w:type="dxa"/>
              <w:right w:w="60" w:type="dxa"/>
            </w:tcMar>
            <w:vAlign w:val="center"/>
          </w:tcPr>
          <w:p>
            <w:pPr>
              <w:pStyle w:val="DMETW19883BIPPENS8"/>
              <w:jc w:val="right"/>
              <w:rPr>
                <w:rFonts w:ascii="Verdana" w:eastAsia="Times New Roman" w:hAnsi="Verdana" w:cs="Verdana"/>
                <w:i/>
                <w:noProof/>
                <w:color w:val="000000"/>
                <w:sz w:val="18"/>
              </w:rPr>
            </w:pPr>
            <w:r>
              <w:rPr>
                <w:rFonts w:ascii="Verdana" w:hAnsi="Verdana"/>
                <w:i/>
                <w:noProof/>
                <w:color w:val="000000"/>
                <w:sz w:val="18"/>
              </w:rPr>
              <w:t xml:space="preserve"> (38)</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8"/>
              <w:jc w:val="right"/>
              <w:rPr>
                <w:rFonts w:ascii="Verdana" w:eastAsia="Times New Roman" w:hAnsi="Verdana" w:cs="Verdana"/>
                <w:i/>
                <w:noProof/>
                <w:color w:val="000000"/>
                <w:sz w:val="18"/>
              </w:rPr>
            </w:pPr>
            <w:r>
              <w:rPr>
                <w:rFonts w:ascii="Verdana" w:hAnsi="Verdana"/>
                <w:i/>
                <w:noProof/>
                <w:color w:val="000000"/>
                <w:sz w:val="18"/>
              </w:rPr>
              <w:t xml:space="preserve"> 37</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8"/>
              <w:jc w:val="right"/>
              <w:rPr>
                <w:rFonts w:ascii="Verdana" w:eastAsia="Times New Roman" w:hAnsi="Verdana" w:cs="Verdana"/>
                <w:i/>
                <w:noProof/>
                <w:color w:val="000000"/>
                <w:sz w:val="18"/>
              </w:rPr>
            </w:pPr>
            <w:r>
              <w:rPr>
                <w:rFonts w:ascii="Verdana" w:hAnsi="Verdana"/>
                <w:i/>
                <w:noProof/>
                <w:color w:val="000000"/>
                <w:sz w:val="18"/>
              </w:rPr>
              <w:t xml:space="preserve"> (30)</w:t>
            </w:r>
          </w:p>
        </w:tc>
        <w:tc>
          <w:tcPr>
            <w:tcW w:w="1632" w:type="dxa"/>
            <w:tcBorders>
              <w:top w:val="nil"/>
              <w:left w:val="nil"/>
              <w:bottom w:val="single" w:sz="4" w:space="0" w:color="016794"/>
              <w:right w:val="nil"/>
            </w:tcBorders>
            <w:tcMar>
              <w:top w:w="0" w:type="dxa"/>
              <w:left w:w="60" w:type="dxa"/>
              <w:bottom w:w="0" w:type="dxa"/>
              <w:right w:w="60" w:type="dxa"/>
            </w:tcMar>
            <w:vAlign w:val="center"/>
          </w:tcPr>
          <w:p>
            <w:pPr>
              <w:pStyle w:val="DMETW19883BIPPENS8"/>
              <w:jc w:val="right"/>
              <w:rPr>
                <w:rFonts w:ascii="Verdana" w:eastAsia="Times New Roman" w:hAnsi="Verdana" w:cs="Verdana"/>
                <w:i/>
                <w:noProof/>
                <w:color w:val="000000"/>
                <w:sz w:val="18"/>
              </w:rPr>
            </w:pPr>
            <w:r>
              <w:rPr>
                <w:rFonts w:ascii="Verdana" w:hAnsi="Verdana"/>
                <w:i/>
                <w:noProof/>
                <w:color w:val="000000"/>
                <w:sz w:val="18"/>
              </w:rPr>
              <w:t xml:space="preserve"> 29</w:t>
            </w:r>
          </w:p>
        </w:tc>
      </w:tr>
    </w:tbl>
    <w:p>
      <w:pPr>
        <w:pStyle w:val="DGTextstand-alone"/>
        <w:spacing w:after="120"/>
      </w:pPr>
      <w:r>
        <w:t>Едногодишна промяна в предположената възраст на пенсиониране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820"/>
        <w:gridCol w:w="1819"/>
        <w:gridCol w:w="1819"/>
        <w:gridCol w:w="1819"/>
      </w:tblGrid>
      <w:tr>
        <w:trPr>
          <w:trHeight w:val="255"/>
        </w:trPr>
        <w:tc>
          <w:tcPr>
            <w:tcW w:w="2481" w:type="dxa"/>
            <w:tcBorders>
              <w:top w:val="nil"/>
              <w:left w:val="nil"/>
              <w:bottom w:val="nil"/>
              <w:right w:val="nil"/>
            </w:tcBorders>
            <w:tcMar>
              <w:top w:w="0" w:type="dxa"/>
              <w:left w:w="60" w:type="dxa"/>
              <w:bottom w:w="0" w:type="dxa"/>
              <w:right w:w="60" w:type="dxa"/>
            </w:tcMar>
            <w:vAlign w:val="bottom"/>
          </w:tcPr>
          <w:p>
            <w:pPr>
              <w:pStyle w:val="DMETW19883BIPPENS9"/>
              <w:rPr>
                <w:rFonts w:ascii="Arial" w:eastAsia="Times New Roman" w:hAnsi="Arial" w:cs="Arial"/>
                <w:noProof/>
                <w:color w:val="000000"/>
              </w:rPr>
            </w:pPr>
            <w:bookmarkStart w:id="138" w:name="DOC_TBL00048_1_1"/>
            <w:bookmarkEnd w:id="138"/>
          </w:p>
        </w:tc>
        <w:tc>
          <w:tcPr>
            <w:tcW w:w="1820" w:type="dxa"/>
            <w:tcBorders>
              <w:top w:val="nil"/>
              <w:left w:val="nil"/>
              <w:bottom w:val="nil"/>
              <w:right w:val="nil"/>
            </w:tcBorders>
            <w:tcMar>
              <w:top w:w="0" w:type="dxa"/>
              <w:left w:w="60" w:type="dxa"/>
              <w:bottom w:w="0" w:type="dxa"/>
              <w:right w:w="60" w:type="dxa"/>
            </w:tcMar>
            <w:vAlign w:val="bottom"/>
          </w:tcPr>
          <w:p>
            <w:pPr>
              <w:pStyle w:val="DMETW19883BIPPENS9"/>
              <w:rPr>
                <w:rFonts w:ascii="Arial" w:eastAsia="Times New Roman" w:hAnsi="Arial" w:cs="Arial"/>
                <w:noProof/>
                <w:color w:val="000000"/>
              </w:rPr>
            </w:pPr>
          </w:p>
        </w:tc>
        <w:tc>
          <w:tcPr>
            <w:tcW w:w="1819" w:type="dxa"/>
            <w:tcBorders>
              <w:top w:val="nil"/>
              <w:left w:val="nil"/>
              <w:bottom w:val="nil"/>
              <w:right w:val="nil"/>
            </w:tcBorders>
            <w:tcMar>
              <w:top w:w="0" w:type="dxa"/>
              <w:left w:w="60" w:type="dxa"/>
              <w:bottom w:w="0" w:type="dxa"/>
              <w:right w:w="60" w:type="dxa"/>
            </w:tcMar>
            <w:vAlign w:val="bottom"/>
          </w:tcPr>
          <w:p>
            <w:pPr>
              <w:pStyle w:val="DMETW19883BIPPENS9"/>
              <w:rPr>
                <w:rFonts w:ascii="Arial" w:eastAsia="Times New Roman" w:hAnsi="Arial" w:cs="Arial"/>
                <w:noProof/>
                <w:color w:val="000000"/>
              </w:rPr>
            </w:pPr>
          </w:p>
        </w:tc>
        <w:tc>
          <w:tcPr>
            <w:tcW w:w="1819" w:type="dxa"/>
            <w:tcBorders>
              <w:top w:val="nil"/>
              <w:left w:val="nil"/>
              <w:bottom w:val="nil"/>
              <w:right w:val="nil"/>
            </w:tcBorders>
            <w:tcMar>
              <w:top w:w="0" w:type="dxa"/>
              <w:left w:w="60" w:type="dxa"/>
              <w:bottom w:w="0" w:type="dxa"/>
              <w:right w:w="60" w:type="dxa"/>
            </w:tcMar>
            <w:vAlign w:val="bottom"/>
          </w:tcPr>
          <w:p>
            <w:pPr>
              <w:pStyle w:val="DMETW19883BIPPENS9"/>
              <w:rPr>
                <w:rFonts w:ascii="Arial" w:eastAsia="Times New Roman" w:hAnsi="Arial" w:cs="Arial"/>
                <w:noProof/>
                <w:color w:val="000000"/>
              </w:rPr>
            </w:pPr>
          </w:p>
        </w:tc>
        <w:tc>
          <w:tcPr>
            <w:tcW w:w="1819" w:type="dxa"/>
            <w:tcBorders>
              <w:top w:val="nil"/>
              <w:left w:val="nil"/>
              <w:bottom w:val="nil"/>
              <w:right w:val="nil"/>
            </w:tcBorders>
            <w:tcMar>
              <w:top w:w="0" w:type="dxa"/>
              <w:left w:w="60" w:type="dxa"/>
              <w:bottom w:w="0" w:type="dxa"/>
              <w:right w:w="60" w:type="dxa"/>
            </w:tcMar>
            <w:vAlign w:val="bottom"/>
          </w:tcPr>
          <w:p>
            <w:pPr>
              <w:pStyle w:val="DMETW19883BIPPENS9"/>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2481"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9"/>
              <w:jc w:val="right"/>
              <w:rPr>
                <w:rFonts w:ascii="Verdana" w:eastAsia="Times New Roman" w:hAnsi="Verdana" w:cs="Verdana"/>
                <w:noProof/>
                <w:color w:val="FFFFFF"/>
                <w:sz w:val="18"/>
              </w:rPr>
            </w:pPr>
          </w:p>
        </w:tc>
        <w:tc>
          <w:tcPr>
            <w:tcW w:w="1820"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9"/>
              <w:jc w:val="center"/>
              <w:rPr>
                <w:rFonts w:ascii="Verdana" w:eastAsia="Times New Roman" w:hAnsi="Verdana" w:cs="Verdana"/>
                <w:noProof/>
                <w:color w:val="FFFFFF"/>
                <w:sz w:val="18"/>
              </w:rPr>
            </w:pPr>
            <w:r>
              <w:rPr>
                <w:rFonts w:ascii="Verdana" w:hAnsi="Verdana"/>
                <w:noProof/>
                <w:color w:val="FFFFFF"/>
                <w:sz w:val="18"/>
              </w:rPr>
              <w:t>2020 г.</w:t>
            </w:r>
          </w:p>
        </w:tc>
        <w:tc>
          <w:tcPr>
            <w:tcW w:w="1819" w:type="dxa"/>
            <w:gridSpan w:val="2"/>
            <w:tcBorders>
              <w:top w:val="nil"/>
              <w:left w:val="nil"/>
              <w:bottom w:val="nil"/>
              <w:right w:val="nil"/>
            </w:tcBorders>
            <w:shd w:val="solid" w:color="016794" w:fill="FFFFFF"/>
            <w:tcMar>
              <w:top w:w="0" w:type="dxa"/>
              <w:left w:w="60" w:type="dxa"/>
              <w:bottom w:w="0" w:type="dxa"/>
              <w:right w:w="60" w:type="dxa"/>
            </w:tcMar>
            <w:vAlign w:val="center"/>
          </w:tcPr>
          <w:p>
            <w:pPr>
              <w:pStyle w:val="DMETW19883BIPPENS9"/>
              <w:jc w:val="center"/>
              <w:rPr>
                <w:rFonts w:ascii="Verdana" w:eastAsia="Times New Roman" w:hAnsi="Verdana" w:cs="Verdana"/>
                <w:noProof/>
                <w:color w:val="FFFFFF"/>
                <w:sz w:val="18"/>
              </w:rPr>
            </w:pPr>
            <w:r>
              <w:rPr>
                <w:rFonts w:ascii="Verdana" w:hAnsi="Verdana"/>
                <w:noProof/>
                <w:color w:val="FFFFFF"/>
                <w:sz w:val="18"/>
              </w:rPr>
              <w:t>2019 г.</w:t>
            </w:r>
          </w:p>
        </w:tc>
      </w:tr>
      <w:tr>
        <w:trPr>
          <w:trHeight w:val="255"/>
        </w:trPr>
        <w:tc>
          <w:tcPr>
            <w:tcW w:w="2481"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9"/>
              <w:jc w:val="right"/>
              <w:rPr>
                <w:rFonts w:ascii="Verdana" w:eastAsia="Times New Roman" w:hAnsi="Verdana" w:cs="Verdana"/>
                <w:noProof/>
                <w:color w:val="FFFFFF"/>
                <w:sz w:val="18"/>
              </w:rPr>
            </w:pPr>
          </w:p>
        </w:tc>
        <w:tc>
          <w:tcPr>
            <w:tcW w:w="1820"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9"/>
              <w:jc w:val="right"/>
              <w:rPr>
                <w:rFonts w:ascii="Verdana" w:eastAsia="Times New Roman" w:hAnsi="Verdana" w:cs="Verdana"/>
                <w:noProof/>
                <w:color w:val="FFFFFF"/>
                <w:sz w:val="18"/>
              </w:rPr>
            </w:pPr>
            <w:r>
              <w:rPr>
                <w:rFonts w:ascii="Verdana" w:hAnsi="Verdana"/>
                <w:noProof/>
                <w:color w:val="FFFFFF"/>
                <w:sz w:val="18"/>
              </w:rPr>
              <w:t>Увеличение с една година</w:t>
            </w:r>
          </w:p>
        </w:tc>
        <w:tc>
          <w:tcPr>
            <w:tcW w:w="181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9"/>
              <w:jc w:val="right"/>
              <w:rPr>
                <w:rFonts w:ascii="Verdana" w:eastAsia="Times New Roman" w:hAnsi="Verdana" w:cs="Verdana"/>
                <w:noProof/>
                <w:color w:val="FFFFFF"/>
                <w:sz w:val="18"/>
              </w:rPr>
            </w:pPr>
            <w:r>
              <w:rPr>
                <w:rFonts w:ascii="Verdana" w:hAnsi="Verdana"/>
                <w:noProof/>
                <w:color w:val="FFFFFF"/>
                <w:sz w:val="18"/>
              </w:rPr>
              <w:t>Намаление с една година</w:t>
            </w:r>
          </w:p>
        </w:tc>
        <w:tc>
          <w:tcPr>
            <w:tcW w:w="181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9"/>
              <w:jc w:val="right"/>
              <w:rPr>
                <w:rFonts w:ascii="Verdana" w:eastAsia="Times New Roman" w:hAnsi="Verdana" w:cs="Verdana"/>
                <w:noProof/>
                <w:color w:val="FFFFFF"/>
                <w:sz w:val="18"/>
              </w:rPr>
            </w:pPr>
            <w:r>
              <w:rPr>
                <w:rFonts w:ascii="Verdana" w:hAnsi="Verdana"/>
                <w:noProof/>
                <w:color w:val="FFFFFF"/>
                <w:sz w:val="18"/>
              </w:rPr>
              <w:t>Увеличение с една година</w:t>
            </w:r>
          </w:p>
        </w:tc>
        <w:tc>
          <w:tcPr>
            <w:tcW w:w="1819" w:type="dxa"/>
            <w:tcBorders>
              <w:top w:val="nil"/>
              <w:left w:val="nil"/>
              <w:bottom w:val="nil"/>
              <w:right w:val="nil"/>
            </w:tcBorders>
            <w:shd w:val="solid" w:color="016794" w:fill="FFFFFF"/>
            <w:tcMar>
              <w:top w:w="0" w:type="dxa"/>
              <w:left w:w="60" w:type="dxa"/>
              <w:bottom w:w="0" w:type="dxa"/>
              <w:right w:w="60" w:type="dxa"/>
            </w:tcMar>
            <w:vAlign w:val="center"/>
          </w:tcPr>
          <w:p>
            <w:pPr>
              <w:pStyle w:val="DMETW19883BIPPENS9"/>
              <w:jc w:val="right"/>
              <w:rPr>
                <w:rFonts w:ascii="Verdana" w:eastAsia="Times New Roman" w:hAnsi="Verdana" w:cs="Verdana"/>
                <w:noProof/>
                <w:color w:val="FFFFFF"/>
                <w:sz w:val="18"/>
              </w:rPr>
            </w:pPr>
            <w:r>
              <w:rPr>
                <w:rFonts w:ascii="Verdana" w:hAnsi="Verdana"/>
                <w:noProof/>
                <w:color w:val="FFFFFF"/>
                <w:sz w:val="18"/>
              </w:rPr>
              <w:t>Намаление с една година</w:t>
            </w:r>
          </w:p>
        </w:tc>
      </w:tr>
      <w:tr>
        <w:trPr>
          <w:trHeight w:val="255"/>
        </w:trPr>
        <w:tc>
          <w:tcPr>
            <w:tcW w:w="2481" w:type="dxa"/>
            <w:tcBorders>
              <w:top w:val="nil"/>
              <w:left w:val="nil"/>
              <w:bottom w:val="single" w:sz="4" w:space="0" w:color="016794"/>
              <w:right w:val="nil"/>
            </w:tcBorders>
            <w:tcMar>
              <w:top w:w="0" w:type="dxa"/>
              <w:left w:w="60" w:type="dxa"/>
              <w:bottom w:w="0" w:type="dxa"/>
              <w:right w:w="60" w:type="dxa"/>
            </w:tcMar>
            <w:vAlign w:val="center"/>
          </w:tcPr>
          <w:p>
            <w:pPr>
              <w:pStyle w:val="DMETW19883BIPPENS9"/>
              <w:rPr>
                <w:rFonts w:ascii="Verdana" w:eastAsia="Times New Roman"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820" w:type="dxa"/>
            <w:tcBorders>
              <w:top w:val="nil"/>
              <w:left w:val="nil"/>
              <w:bottom w:val="single" w:sz="4" w:space="0" w:color="016794"/>
              <w:right w:val="nil"/>
            </w:tcBorders>
            <w:tcMar>
              <w:top w:w="0" w:type="dxa"/>
              <w:left w:w="60" w:type="dxa"/>
              <w:bottom w:w="0" w:type="dxa"/>
              <w:right w:w="60" w:type="dxa"/>
            </w:tcMar>
            <w:vAlign w:val="center"/>
          </w:tcPr>
          <w:p>
            <w:pPr>
              <w:pStyle w:val="DMETW19883BIPPENS9"/>
              <w:jc w:val="right"/>
              <w:rPr>
                <w:rFonts w:ascii="Verdana" w:eastAsia="Times New Roman" w:hAnsi="Verdana" w:cs="Verdana"/>
                <w:i/>
                <w:noProof/>
                <w:color w:val="000000"/>
                <w:sz w:val="18"/>
              </w:rPr>
            </w:pPr>
            <w:r>
              <w:rPr>
                <w:rFonts w:ascii="Verdana" w:hAnsi="Verdana"/>
                <w:i/>
                <w:noProof/>
                <w:color w:val="000000"/>
                <w:sz w:val="18"/>
              </w:rPr>
              <w:t xml:space="preserve"> (401)</w:t>
            </w:r>
          </w:p>
        </w:tc>
        <w:tc>
          <w:tcPr>
            <w:tcW w:w="1819" w:type="dxa"/>
            <w:tcBorders>
              <w:top w:val="nil"/>
              <w:left w:val="nil"/>
              <w:bottom w:val="single" w:sz="4" w:space="0" w:color="016794"/>
              <w:right w:val="nil"/>
            </w:tcBorders>
            <w:tcMar>
              <w:top w:w="0" w:type="dxa"/>
              <w:left w:w="60" w:type="dxa"/>
              <w:bottom w:w="0" w:type="dxa"/>
              <w:right w:w="60" w:type="dxa"/>
            </w:tcMar>
            <w:vAlign w:val="center"/>
          </w:tcPr>
          <w:p>
            <w:pPr>
              <w:pStyle w:val="DMETW19883BIPPENS9"/>
              <w:jc w:val="right"/>
              <w:rPr>
                <w:rFonts w:ascii="Verdana" w:eastAsia="Times New Roman" w:hAnsi="Verdana" w:cs="Verdana"/>
                <w:i/>
                <w:noProof/>
                <w:color w:val="000000"/>
                <w:sz w:val="18"/>
              </w:rPr>
            </w:pPr>
            <w:r>
              <w:rPr>
                <w:rFonts w:ascii="Verdana" w:hAnsi="Verdana"/>
                <w:i/>
                <w:noProof/>
                <w:color w:val="000000"/>
                <w:sz w:val="18"/>
              </w:rPr>
              <w:t xml:space="preserve"> 421</w:t>
            </w:r>
          </w:p>
        </w:tc>
        <w:tc>
          <w:tcPr>
            <w:tcW w:w="1819" w:type="dxa"/>
            <w:tcBorders>
              <w:top w:val="nil"/>
              <w:left w:val="nil"/>
              <w:bottom w:val="single" w:sz="4" w:space="0" w:color="016794"/>
              <w:right w:val="nil"/>
            </w:tcBorders>
            <w:tcMar>
              <w:top w:w="0" w:type="dxa"/>
              <w:left w:w="60" w:type="dxa"/>
              <w:bottom w:w="0" w:type="dxa"/>
              <w:right w:w="60" w:type="dxa"/>
            </w:tcMar>
            <w:vAlign w:val="center"/>
          </w:tcPr>
          <w:p>
            <w:pPr>
              <w:pStyle w:val="DMETW19883BIPPENS9"/>
              <w:jc w:val="right"/>
              <w:rPr>
                <w:rFonts w:ascii="Verdana" w:eastAsia="Times New Roman" w:hAnsi="Verdana" w:cs="Verdana"/>
                <w:i/>
                <w:noProof/>
                <w:color w:val="000000"/>
                <w:sz w:val="18"/>
              </w:rPr>
            </w:pPr>
            <w:r>
              <w:rPr>
                <w:rFonts w:ascii="Verdana" w:hAnsi="Verdana"/>
                <w:i/>
                <w:noProof/>
                <w:color w:val="000000"/>
                <w:sz w:val="18"/>
              </w:rPr>
              <w:t xml:space="preserve"> (363)</w:t>
            </w:r>
          </w:p>
        </w:tc>
        <w:tc>
          <w:tcPr>
            <w:tcW w:w="1819" w:type="dxa"/>
            <w:tcBorders>
              <w:top w:val="nil"/>
              <w:left w:val="nil"/>
              <w:bottom w:val="single" w:sz="4" w:space="0" w:color="016794"/>
              <w:right w:val="nil"/>
            </w:tcBorders>
            <w:tcMar>
              <w:top w:w="0" w:type="dxa"/>
              <w:left w:w="60" w:type="dxa"/>
              <w:bottom w:w="0" w:type="dxa"/>
              <w:right w:w="60" w:type="dxa"/>
            </w:tcMar>
            <w:vAlign w:val="center"/>
          </w:tcPr>
          <w:p>
            <w:pPr>
              <w:pStyle w:val="DMETW19883BIPPENS9"/>
              <w:jc w:val="right"/>
              <w:rPr>
                <w:rFonts w:ascii="Verdana" w:eastAsia="Times New Roman" w:hAnsi="Verdana" w:cs="Verdana"/>
                <w:i/>
                <w:noProof/>
                <w:color w:val="000000"/>
                <w:sz w:val="18"/>
              </w:rPr>
            </w:pPr>
            <w:r>
              <w:rPr>
                <w:rFonts w:ascii="Verdana" w:hAnsi="Verdana"/>
                <w:i/>
                <w:noProof/>
                <w:color w:val="000000"/>
                <w:sz w:val="18"/>
              </w:rPr>
              <w:t xml:space="preserve"> 383</w:t>
            </w:r>
          </w:p>
        </w:tc>
      </w:tr>
      <w:bookmarkEnd w:id="127"/>
    </w:tbl>
    <w:p>
      <w:pPr>
        <w:pStyle w:val="DGTextstand-alone"/>
        <w:rPr>
          <w:lang w:bidi="en-GB"/>
        </w:rPr>
        <w:sectPr>
          <w:headerReference w:type="even" r:id="rId188"/>
          <w:headerReference w:type="default" r:id="rId189"/>
          <w:footerReference w:type="even" r:id="rId190"/>
          <w:footerReference w:type="default" r:id="rId191"/>
          <w:headerReference w:type="first" r:id="rId192"/>
          <w:footerReference w:type="first" r:id="rId193"/>
          <w:type w:val="continuous"/>
          <w:pgSz w:w="11906" w:h="16838"/>
          <w:pgMar w:top="1134" w:right="1134" w:bottom="1134" w:left="1134" w:header="709" w:footer="709" w:gutter="0"/>
          <w:cols w:space="708"/>
          <w:docGrid w:linePitch="360"/>
        </w:sectPr>
      </w:pPr>
    </w:p>
    <w:p>
      <w:pPr>
        <w:pStyle w:val="HEADER2NOTES"/>
        <w:spacing w:before="0"/>
        <w:rPr>
          <w:noProof/>
        </w:rPr>
      </w:pPr>
      <w:bookmarkStart w:id="139" w:name="_DMBM_19798"/>
      <w:r>
        <w:rPr>
          <w:noProof/>
        </w:rPr>
        <w:t>ПРОВИЗИИ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03"/>
        <w:gridCol w:w="1179"/>
        <w:gridCol w:w="1179"/>
        <w:gridCol w:w="1179"/>
        <w:gridCol w:w="1180"/>
        <w:gridCol w:w="1179"/>
        <w:gridCol w:w="1179"/>
        <w:gridCol w:w="1180"/>
      </w:tblGrid>
      <w:tr>
        <w:trPr>
          <w:trHeight w:val="255"/>
        </w:trPr>
        <w:tc>
          <w:tcPr>
            <w:tcW w:w="1503" w:type="dxa"/>
            <w:tcBorders>
              <w:top w:val="nil"/>
              <w:left w:val="nil"/>
              <w:bottom w:val="nil"/>
              <w:right w:val="nil"/>
            </w:tcBorders>
            <w:tcMar>
              <w:top w:w="0" w:type="dxa"/>
              <w:left w:w="60" w:type="dxa"/>
              <w:bottom w:w="0" w:type="dxa"/>
              <w:right w:w="60" w:type="dxa"/>
            </w:tcMar>
            <w:vAlign w:val="bottom"/>
          </w:tcPr>
          <w:p>
            <w:pPr>
              <w:pStyle w:val="DMETW19884BIPPROV"/>
              <w:rPr>
                <w:rFonts w:ascii="Arial" w:eastAsia="Times New Roman" w:hAnsi="Arial" w:cs="Arial"/>
                <w:noProof/>
                <w:color w:val="000000"/>
              </w:rPr>
            </w:pPr>
            <w:bookmarkStart w:id="140" w:name="DOC_TBL00049_1_1"/>
            <w:bookmarkEnd w:id="140"/>
          </w:p>
        </w:tc>
        <w:tc>
          <w:tcPr>
            <w:tcW w:w="1179" w:type="dxa"/>
            <w:tcBorders>
              <w:top w:val="nil"/>
              <w:left w:val="nil"/>
              <w:bottom w:val="nil"/>
              <w:right w:val="nil"/>
            </w:tcBorders>
            <w:tcMar>
              <w:top w:w="0" w:type="dxa"/>
              <w:left w:w="60" w:type="dxa"/>
              <w:bottom w:w="0" w:type="dxa"/>
              <w:right w:w="60" w:type="dxa"/>
            </w:tcMar>
            <w:vAlign w:val="bottom"/>
          </w:tcPr>
          <w:p>
            <w:pPr>
              <w:pStyle w:val="DMETW19884BIPPROV"/>
              <w:rPr>
                <w:rFonts w:ascii="Arial" w:eastAsia="Times New Roman" w:hAnsi="Arial" w:cs="Arial"/>
                <w:noProof/>
                <w:color w:val="000000"/>
              </w:rPr>
            </w:pPr>
          </w:p>
        </w:tc>
        <w:tc>
          <w:tcPr>
            <w:tcW w:w="1179" w:type="dxa"/>
            <w:tcBorders>
              <w:top w:val="nil"/>
              <w:left w:val="nil"/>
              <w:bottom w:val="nil"/>
              <w:right w:val="nil"/>
            </w:tcBorders>
            <w:tcMar>
              <w:top w:w="0" w:type="dxa"/>
              <w:left w:w="60" w:type="dxa"/>
              <w:bottom w:w="0" w:type="dxa"/>
              <w:right w:w="60" w:type="dxa"/>
            </w:tcMar>
            <w:vAlign w:val="bottom"/>
          </w:tcPr>
          <w:p>
            <w:pPr>
              <w:pStyle w:val="DMETW19884BIPPROV"/>
              <w:rPr>
                <w:rFonts w:ascii="Arial" w:eastAsia="Times New Roman" w:hAnsi="Arial" w:cs="Arial"/>
                <w:noProof/>
                <w:color w:val="000000"/>
              </w:rPr>
            </w:pPr>
          </w:p>
        </w:tc>
        <w:tc>
          <w:tcPr>
            <w:tcW w:w="1179" w:type="dxa"/>
            <w:tcBorders>
              <w:top w:val="nil"/>
              <w:left w:val="nil"/>
              <w:bottom w:val="nil"/>
              <w:right w:val="nil"/>
            </w:tcBorders>
            <w:tcMar>
              <w:top w:w="0" w:type="dxa"/>
              <w:left w:w="60" w:type="dxa"/>
              <w:bottom w:w="0" w:type="dxa"/>
              <w:right w:w="60" w:type="dxa"/>
            </w:tcMar>
            <w:vAlign w:val="bottom"/>
          </w:tcPr>
          <w:p>
            <w:pPr>
              <w:pStyle w:val="DMETW19884BIPPROV"/>
              <w:rPr>
                <w:rFonts w:ascii="Arial" w:eastAsia="Times New Roman" w:hAnsi="Arial" w:cs="Arial"/>
                <w:noProof/>
                <w:color w:val="000000"/>
              </w:rPr>
            </w:pPr>
          </w:p>
        </w:tc>
        <w:tc>
          <w:tcPr>
            <w:tcW w:w="1180" w:type="dxa"/>
            <w:tcBorders>
              <w:top w:val="nil"/>
              <w:left w:val="nil"/>
              <w:bottom w:val="nil"/>
              <w:right w:val="nil"/>
            </w:tcBorders>
            <w:tcMar>
              <w:top w:w="0" w:type="dxa"/>
              <w:left w:w="60" w:type="dxa"/>
              <w:bottom w:w="0" w:type="dxa"/>
              <w:right w:w="60" w:type="dxa"/>
            </w:tcMar>
            <w:vAlign w:val="bottom"/>
          </w:tcPr>
          <w:p>
            <w:pPr>
              <w:pStyle w:val="DMETW19884BIPPROV"/>
              <w:rPr>
                <w:rFonts w:ascii="Arial" w:eastAsia="Times New Roman" w:hAnsi="Arial" w:cs="Arial"/>
                <w:noProof/>
                <w:color w:val="000000"/>
              </w:rPr>
            </w:pPr>
          </w:p>
        </w:tc>
        <w:tc>
          <w:tcPr>
            <w:tcW w:w="1179" w:type="dxa"/>
            <w:tcBorders>
              <w:top w:val="nil"/>
              <w:left w:val="nil"/>
              <w:bottom w:val="nil"/>
              <w:right w:val="nil"/>
            </w:tcBorders>
            <w:tcMar>
              <w:top w:w="0" w:type="dxa"/>
              <w:left w:w="60" w:type="dxa"/>
              <w:bottom w:w="0" w:type="dxa"/>
              <w:right w:w="60" w:type="dxa"/>
            </w:tcMar>
            <w:vAlign w:val="bottom"/>
          </w:tcPr>
          <w:p>
            <w:pPr>
              <w:pStyle w:val="DMETW19884BIPPROV"/>
              <w:rPr>
                <w:rFonts w:ascii="Arial" w:eastAsia="Times New Roman" w:hAnsi="Arial" w:cs="Arial"/>
                <w:noProof/>
                <w:color w:val="000000"/>
              </w:rPr>
            </w:pPr>
          </w:p>
        </w:tc>
        <w:tc>
          <w:tcPr>
            <w:tcW w:w="1179" w:type="dxa"/>
            <w:tcBorders>
              <w:top w:val="nil"/>
              <w:left w:val="nil"/>
              <w:bottom w:val="nil"/>
              <w:right w:val="nil"/>
            </w:tcBorders>
            <w:tcMar>
              <w:top w:w="0" w:type="dxa"/>
              <w:left w:w="60" w:type="dxa"/>
              <w:bottom w:w="0" w:type="dxa"/>
              <w:right w:w="60" w:type="dxa"/>
            </w:tcMar>
            <w:vAlign w:val="bottom"/>
          </w:tcPr>
          <w:p>
            <w:pPr>
              <w:pStyle w:val="DMETW19884BIPPROV"/>
              <w:rPr>
                <w:rFonts w:ascii="Arial" w:eastAsia="Times New Roman" w:hAnsi="Arial" w:cs="Arial"/>
                <w:noProof/>
                <w:color w:val="000000"/>
              </w:rPr>
            </w:pPr>
          </w:p>
        </w:tc>
        <w:tc>
          <w:tcPr>
            <w:tcW w:w="1180" w:type="dxa"/>
            <w:tcBorders>
              <w:top w:val="nil"/>
              <w:left w:val="nil"/>
              <w:bottom w:val="nil"/>
              <w:right w:val="nil"/>
            </w:tcBorders>
            <w:tcMar>
              <w:top w:w="0" w:type="dxa"/>
              <w:left w:w="60" w:type="dxa"/>
              <w:bottom w:w="0" w:type="dxa"/>
              <w:right w:w="60" w:type="dxa"/>
            </w:tcMar>
            <w:vAlign w:val="bottom"/>
          </w:tcPr>
          <w:p>
            <w:pPr>
              <w:pStyle w:val="DMETW19884BIPPROV"/>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1503" w:type="dxa"/>
            <w:tcBorders>
              <w:top w:val="nil"/>
              <w:left w:val="nil"/>
              <w:bottom w:val="nil"/>
              <w:right w:val="nil"/>
            </w:tcBorders>
            <w:shd w:val="solid" w:color="016794" w:fill="FFFFFF"/>
            <w:tcMar>
              <w:top w:w="0" w:type="dxa"/>
              <w:left w:w="60" w:type="dxa"/>
              <w:bottom w:w="0" w:type="dxa"/>
              <w:right w:w="60" w:type="dxa"/>
            </w:tcMar>
            <w:vAlign w:val="center"/>
          </w:tcPr>
          <w:p>
            <w:pPr>
              <w:pStyle w:val="DMETW19884BIPPROV"/>
              <w:jc w:val="right"/>
              <w:rPr>
                <w:rFonts w:ascii="Verdana" w:eastAsia="Times New Roman" w:hAnsi="Verdana" w:cs="Verdana"/>
                <w:noProof/>
                <w:color w:val="FFFFFF"/>
                <w:sz w:val="18"/>
              </w:rPr>
            </w:pPr>
          </w:p>
        </w:tc>
        <w:tc>
          <w:tcPr>
            <w:tcW w:w="1179" w:type="dxa"/>
            <w:tcBorders>
              <w:top w:val="nil"/>
              <w:left w:val="nil"/>
              <w:bottom w:val="nil"/>
              <w:right w:val="nil"/>
            </w:tcBorders>
            <w:shd w:val="solid" w:color="016794" w:fill="FFFFFF"/>
            <w:tcMar>
              <w:top w:w="0" w:type="dxa"/>
              <w:left w:w="60" w:type="dxa"/>
              <w:bottom w:w="0" w:type="dxa"/>
              <w:right w:w="60" w:type="dxa"/>
            </w:tcMar>
          </w:tcPr>
          <w:p>
            <w:pPr>
              <w:pStyle w:val="DMETW19884BIPPROV"/>
              <w:jc w:val="right"/>
              <w:rPr>
                <w:rFonts w:ascii="Verdana" w:eastAsia="Times New Roman" w:hAnsi="Verdana" w:cs="Verdana"/>
                <w:noProof/>
                <w:color w:val="FFFFFF"/>
                <w:sz w:val="18"/>
              </w:rPr>
            </w:pPr>
            <w:r>
              <w:rPr>
                <w:rFonts w:ascii="Verdana" w:hAnsi="Verdana"/>
                <w:noProof/>
                <w:color w:val="FFFFFF"/>
                <w:sz w:val="18"/>
              </w:rPr>
              <w:t>Сума към 31.12.2019 г.</w:t>
            </w:r>
          </w:p>
        </w:tc>
        <w:tc>
          <w:tcPr>
            <w:tcW w:w="1179" w:type="dxa"/>
            <w:tcBorders>
              <w:top w:val="nil"/>
              <w:left w:val="nil"/>
              <w:bottom w:val="nil"/>
              <w:right w:val="nil"/>
            </w:tcBorders>
            <w:shd w:val="solid" w:color="016794" w:fill="FFFFFF"/>
            <w:tcMar>
              <w:top w:w="0" w:type="dxa"/>
              <w:left w:w="60" w:type="dxa"/>
              <w:bottom w:w="0" w:type="dxa"/>
              <w:right w:w="60" w:type="dxa"/>
            </w:tcMar>
          </w:tcPr>
          <w:p>
            <w:pPr>
              <w:pStyle w:val="DMETW19884BIPPROV"/>
              <w:jc w:val="right"/>
              <w:rPr>
                <w:rFonts w:ascii="Verdana" w:eastAsia="Times New Roman" w:hAnsi="Verdana" w:cs="Verdana"/>
                <w:noProof/>
                <w:color w:val="FFFFFF"/>
                <w:sz w:val="18"/>
              </w:rPr>
            </w:pPr>
            <w:r>
              <w:rPr>
                <w:rFonts w:ascii="Verdana" w:hAnsi="Verdana"/>
                <w:noProof/>
                <w:color w:val="FFFFFF"/>
                <w:sz w:val="18"/>
              </w:rPr>
              <w:t>Допълнителни провизии</w:t>
            </w:r>
          </w:p>
        </w:tc>
        <w:tc>
          <w:tcPr>
            <w:tcW w:w="1179" w:type="dxa"/>
            <w:tcBorders>
              <w:top w:val="nil"/>
              <w:left w:val="nil"/>
              <w:bottom w:val="nil"/>
              <w:right w:val="nil"/>
            </w:tcBorders>
            <w:shd w:val="solid" w:color="016794" w:fill="FFFFFF"/>
            <w:tcMar>
              <w:top w:w="0" w:type="dxa"/>
              <w:left w:w="60" w:type="dxa"/>
              <w:bottom w:w="0" w:type="dxa"/>
              <w:right w:w="60" w:type="dxa"/>
            </w:tcMar>
          </w:tcPr>
          <w:p>
            <w:pPr>
              <w:pStyle w:val="DMETW19884BIPPROV"/>
              <w:jc w:val="right"/>
              <w:rPr>
                <w:rFonts w:ascii="Verdana" w:eastAsia="Times New Roman" w:hAnsi="Verdana" w:cs="Verdana"/>
                <w:noProof/>
                <w:color w:val="FFFFFF"/>
                <w:sz w:val="18"/>
              </w:rPr>
            </w:pPr>
            <w:r>
              <w:rPr>
                <w:rFonts w:ascii="Verdana" w:hAnsi="Verdana"/>
                <w:noProof/>
                <w:color w:val="FFFFFF"/>
                <w:sz w:val="18"/>
              </w:rPr>
              <w:t>Сторнирани неизползвани суми</w:t>
            </w:r>
          </w:p>
        </w:tc>
        <w:tc>
          <w:tcPr>
            <w:tcW w:w="1180" w:type="dxa"/>
            <w:tcBorders>
              <w:top w:val="nil"/>
              <w:left w:val="nil"/>
              <w:bottom w:val="nil"/>
              <w:right w:val="nil"/>
            </w:tcBorders>
            <w:shd w:val="solid" w:color="016794" w:fill="FFFFFF"/>
            <w:tcMar>
              <w:top w:w="0" w:type="dxa"/>
              <w:left w:w="60" w:type="dxa"/>
              <w:bottom w:w="0" w:type="dxa"/>
              <w:right w:w="60" w:type="dxa"/>
            </w:tcMar>
          </w:tcPr>
          <w:p>
            <w:pPr>
              <w:pStyle w:val="DMETW19884BIPPROV"/>
              <w:jc w:val="right"/>
              <w:rPr>
                <w:rFonts w:ascii="Verdana" w:eastAsia="Times New Roman" w:hAnsi="Verdana" w:cs="Verdana"/>
                <w:noProof/>
                <w:color w:val="FFFFFF"/>
                <w:sz w:val="18"/>
              </w:rPr>
            </w:pPr>
            <w:r>
              <w:rPr>
                <w:rFonts w:ascii="Verdana" w:hAnsi="Verdana"/>
                <w:noProof/>
                <w:color w:val="FFFFFF"/>
                <w:sz w:val="18"/>
              </w:rPr>
              <w:t>Използвани суми</w:t>
            </w:r>
          </w:p>
        </w:tc>
        <w:tc>
          <w:tcPr>
            <w:tcW w:w="1179" w:type="dxa"/>
            <w:tcBorders>
              <w:top w:val="nil"/>
              <w:left w:val="nil"/>
              <w:bottom w:val="nil"/>
              <w:right w:val="nil"/>
            </w:tcBorders>
            <w:shd w:val="solid" w:color="016794" w:fill="FFFFFF"/>
            <w:tcMar>
              <w:top w:w="0" w:type="dxa"/>
              <w:left w:w="60" w:type="dxa"/>
              <w:bottom w:w="0" w:type="dxa"/>
              <w:right w:w="60" w:type="dxa"/>
            </w:tcMar>
          </w:tcPr>
          <w:p>
            <w:pPr>
              <w:pStyle w:val="DMETW19884BIPPROV"/>
              <w:jc w:val="right"/>
              <w:rPr>
                <w:rFonts w:ascii="Verdana" w:eastAsia="Times New Roman" w:hAnsi="Verdana" w:cs="Verdana"/>
                <w:noProof/>
                <w:color w:val="FFFFFF"/>
                <w:sz w:val="18"/>
              </w:rPr>
            </w:pPr>
            <w:r>
              <w:rPr>
                <w:rFonts w:ascii="Verdana" w:hAnsi="Verdana"/>
                <w:noProof/>
                <w:color w:val="FFFFFF"/>
                <w:sz w:val="18"/>
              </w:rPr>
              <w:t>Трансфер между категориите</w:t>
            </w:r>
          </w:p>
        </w:tc>
        <w:tc>
          <w:tcPr>
            <w:tcW w:w="1179" w:type="dxa"/>
            <w:tcBorders>
              <w:top w:val="nil"/>
              <w:left w:val="nil"/>
              <w:bottom w:val="nil"/>
              <w:right w:val="nil"/>
            </w:tcBorders>
            <w:shd w:val="solid" w:color="016794" w:fill="FFFFFF"/>
            <w:tcMar>
              <w:top w:w="0" w:type="dxa"/>
              <w:left w:w="60" w:type="dxa"/>
              <w:bottom w:w="0" w:type="dxa"/>
              <w:right w:w="60" w:type="dxa"/>
            </w:tcMar>
          </w:tcPr>
          <w:p>
            <w:pPr>
              <w:pStyle w:val="DMETW19884BIPPROV"/>
              <w:jc w:val="right"/>
              <w:rPr>
                <w:rFonts w:ascii="Verdana" w:eastAsia="Times New Roman" w:hAnsi="Verdana" w:cs="Verdana"/>
                <w:noProof/>
                <w:color w:val="FFFFFF"/>
                <w:sz w:val="18"/>
              </w:rPr>
            </w:pPr>
            <w:r>
              <w:rPr>
                <w:rFonts w:ascii="Verdana" w:hAnsi="Verdana"/>
                <w:noProof/>
                <w:color w:val="FFFFFF"/>
                <w:sz w:val="18"/>
              </w:rPr>
              <w:t>Промяна в очакваната стойност</w:t>
            </w:r>
          </w:p>
        </w:tc>
        <w:tc>
          <w:tcPr>
            <w:tcW w:w="1180" w:type="dxa"/>
            <w:tcBorders>
              <w:top w:val="nil"/>
              <w:left w:val="nil"/>
              <w:bottom w:val="nil"/>
              <w:right w:val="nil"/>
            </w:tcBorders>
            <w:shd w:val="solid" w:color="016794" w:fill="FFFFFF"/>
            <w:tcMar>
              <w:top w:w="0" w:type="dxa"/>
              <w:left w:w="60" w:type="dxa"/>
              <w:bottom w:w="0" w:type="dxa"/>
              <w:right w:w="60" w:type="dxa"/>
            </w:tcMar>
          </w:tcPr>
          <w:p>
            <w:pPr>
              <w:pStyle w:val="DMETW19884BIPPROV"/>
              <w:jc w:val="right"/>
              <w:rPr>
                <w:rFonts w:ascii="Verdana" w:eastAsia="Times New Roman" w:hAnsi="Verdana" w:cs="Verdana"/>
                <w:noProof/>
                <w:color w:val="FFFFFF"/>
                <w:sz w:val="18"/>
              </w:rPr>
            </w:pPr>
            <w:r>
              <w:rPr>
                <w:rFonts w:ascii="Verdana" w:hAnsi="Verdana"/>
                <w:noProof/>
                <w:color w:val="FFFFFF"/>
                <w:sz w:val="18"/>
              </w:rPr>
              <w:t>Сума към 31.12.2020 г.</w:t>
            </w:r>
          </w:p>
        </w:tc>
      </w:tr>
      <w:tr>
        <w:trPr>
          <w:trHeight w:val="255"/>
        </w:trPr>
        <w:tc>
          <w:tcPr>
            <w:tcW w:w="1503" w:type="dxa"/>
            <w:tcBorders>
              <w:top w:val="nil"/>
              <w:left w:val="nil"/>
              <w:bottom w:val="nil"/>
              <w:right w:val="nil"/>
            </w:tcBorders>
            <w:tcMar>
              <w:top w:w="0" w:type="dxa"/>
              <w:left w:w="60" w:type="dxa"/>
              <w:bottom w:w="0" w:type="dxa"/>
              <w:right w:w="60" w:type="dxa"/>
            </w:tcMar>
            <w:vAlign w:val="center"/>
          </w:tcPr>
          <w:p>
            <w:pPr>
              <w:pStyle w:val="DMETW19884BIPPROV"/>
              <w:rPr>
                <w:rFonts w:ascii="Verdana" w:eastAsia="Times New Roman" w:hAnsi="Verdana" w:cs="Verdana"/>
                <w:i/>
                <w:noProof/>
                <w:color w:val="000000"/>
                <w:sz w:val="18"/>
              </w:rPr>
            </w:pPr>
            <w:r>
              <w:rPr>
                <w:rFonts w:ascii="Verdana" w:hAnsi="Verdana"/>
                <w:i/>
                <w:noProof/>
                <w:color w:val="000000"/>
                <w:sz w:val="18"/>
              </w:rPr>
              <w:t>Съдебни дела:</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r>
      <w:tr>
        <w:trPr>
          <w:trHeight w:val="255"/>
        </w:trPr>
        <w:tc>
          <w:tcPr>
            <w:tcW w:w="1503" w:type="dxa"/>
            <w:tcBorders>
              <w:top w:val="nil"/>
              <w:left w:val="nil"/>
              <w:bottom w:val="nil"/>
              <w:right w:val="nil"/>
            </w:tcBorders>
            <w:tcMar>
              <w:top w:w="0" w:type="dxa"/>
              <w:left w:w="60" w:type="dxa"/>
              <w:bottom w:w="0" w:type="dxa"/>
              <w:right w:w="60" w:type="dxa"/>
            </w:tcMar>
            <w:vAlign w:val="center"/>
          </w:tcPr>
          <w:p>
            <w:pPr>
              <w:pStyle w:val="DMETW19884BIPPROV"/>
              <w:rPr>
                <w:rFonts w:ascii="Verdana" w:eastAsia="Times New Roman" w:hAnsi="Verdana" w:cs="Verdana"/>
                <w:i/>
                <w:noProof/>
                <w:color w:val="000000"/>
                <w:sz w:val="18"/>
              </w:rPr>
            </w:pPr>
            <w:r>
              <w:rPr>
                <w:rFonts w:ascii="Verdana" w:hAnsi="Verdana"/>
                <w:i/>
                <w:noProof/>
                <w:color w:val="000000"/>
                <w:sz w:val="18"/>
              </w:rPr>
              <w:t xml:space="preserve">     Селско стопанство</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441</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168</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(4)</w:t>
            </w: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(435)</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w:t>
            </w: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170</w:t>
            </w:r>
          </w:p>
        </w:tc>
      </w:tr>
      <w:tr>
        <w:trPr>
          <w:trHeight w:val="255"/>
        </w:trPr>
        <w:tc>
          <w:tcPr>
            <w:tcW w:w="1503" w:type="dxa"/>
            <w:tcBorders>
              <w:top w:val="nil"/>
              <w:left w:val="nil"/>
              <w:bottom w:val="nil"/>
              <w:right w:val="nil"/>
            </w:tcBorders>
            <w:tcMar>
              <w:top w:w="0" w:type="dxa"/>
              <w:left w:w="60" w:type="dxa"/>
              <w:bottom w:w="0" w:type="dxa"/>
              <w:right w:w="60" w:type="dxa"/>
            </w:tcMar>
            <w:vAlign w:val="center"/>
          </w:tcPr>
          <w:p>
            <w:pPr>
              <w:pStyle w:val="DMETW19884BIPPROV"/>
              <w:rPr>
                <w:rFonts w:ascii="Verdana" w:eastAsia="Times New Roman" w:hAnsi="Verdana" w:cs="Verdana"/>
                <w:i/>
                <w:noProof/>
                <w:color w:val="000000"/>
                <w:sz w:val="18"/>
              </w:rPr>
            </w:pPr>
            <w:r>
              <w:rPr>
                <w:rFonts w:ascii="Verdana" w:hAnsi="Verdana"/>
                <w:i/>
                <w:noProof/>
                <w:color w:val="000000"/>
                <w:sz w:val="18"/>
              </w:rPr>
              <w:t xml:space="preserve">     Други</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103</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17</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(3)</w:t>
            </w: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(77)</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(9)</w:t>
            </w: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31</w:t>
            </w:r>
          </w:p>
        </w:tc>
      </w:tr>
      <w:tr>
        <w:trPr>
          <w:trHeight w:val="255"/>
        </w:trPr>
        <w:tc>
          <w:tcPr>
            <w:tcW w:w="1503" w:type="dxa"/>
            <w:tcBorders>
              <w:top w:val="nil"/>
              <w:left w:val="nil"/>
              <w:bottom w:val="nil"/>
              <w:right w:val="nil"/>
            </w:tcBorders>
            <w:tcMar>
              <w:top w:w="0" w:type="dxa"/>
              <w:left w:w="60" w:type="dxa"/>
              <w:bottom w:w="0" w:type="dxa"/>
              <w:right w:w="60" w:type="dxa"/>
            </w:tcMar>
            <w:vAlign w:val="center"/>
          </w:tcPr>
          <w:p>
            <w:pPr>
              <w:pStyle w:val="DMETW19884BIPPROV"/>
              <w:rPr>
                <w:rFonts w:ascii="Verdana" w:eastAsia="Times New Roman" w:hAnsi="Verdana" w:cs="Verdana"/>
                <w:i/>
                <w:noProof/>
                <w:color w:val="000000"/>
                <w:sz w:val="18"/>
              </w:rPr>
            </w:pPr>
            <w:r>
              <w:rPr>
                <w:rFonts w:ascii="Verdana" w:hAnsi="Verdana"/>
                <w:i/>
                <w:noProof/>
                <w:color w:val="000000"/>
                <w:sz w:val="18"/>
              </w:rPr>
              <w:t>Демонтаж на ядрени обекти</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2 132</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w:t>
            </w: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(30)</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325</w:t>
            </w: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2 426</w:t>
            </w:r>
          </w:p>
        </w:tc>
      </w:tr>
      <w:tr>
        <w:trPr>
          <w:trHeight w:val="255"/>
        </w:trPr>
        <w:tc>
          <w:tcPr>
            <w:tcW w:w="1503" w:type="dxa"/>
            <w:tcBorders>
              <w:top w:val="nil"/>
              <w:left w:val="nil"/>
              <w:bottom w:val="nil"/>
              <w:right w:val="nil"/>
            </w:tcBorders>
            <w:tcMar>
              <w:top w:w="0" w:type="dxa"/>
              <w:left w:w="60" w:type="dxa"/>
              <w:bottom w:w="0" w:type="dxa"/>
              <w:right w:w="60" w:type="dxa"/>
            </w:tcMar>
            <w:vAlign w:val="center"/>
          </w:tcPr>
          <w:p>
            <w:pPr>
              <w:pStyle w:val="DMETW19884BIPPROV"/>
              <w:rPr>
                <w:rFonts w:ascii="Verdana" w:eastAsia="Times New Roman" w:hAnsi="Verdana" w:cs="Verdana"/>
                <w:i/>
                <w:noProof/>
                <w:color w:val="000000"/>
                <w:sz w:val="18"/>
              </w:rPr>
            </w:pPr>
            <w:r>
              <w:rPr>
                <w:rFonts w:ascii="Verdana" w:hAnsi="Verdana"/>
                <w:i/>
                <w:noProof/>
                <w:color w:val="000000"/>
                <w:sz w:val="18"/>
              </w:rPr>
              <w:t>Финансови</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1 938</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812</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(1)</w:t>
            </w: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(225)</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(2)</w:t>
            </w: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2 523</w:t>
            </w:r>
          </w:p>
        </w:tc>
      </w:tr>
      <w:tr>
        <w:trPr>
          <w:trHeight w:val="255"/>
        </w:trPr>
        <w:tc>
          <w:tcPr>
            <w:tcW w:w="1503" w:type="dxa"/>
            <w:tcBorders>
              <w:top w:val="nil"/>
              <w:left w:val="nil"/>
              <w:bottom w:val="single" w:sz="4" w:space="0" w:color="016794"/>
              <w:right w:val="nil"/>
            </w:tcBorders>
            <w:tcMar>
              <w:top w:w="0" w:type="dxa"/>
              <w:left w:w="60" w:type="dxa"/>
              <w:bottom w:w="0" w:type="dxa"/>
              <w:right w:w="60" w:type="dxa"/>
            </w:tcMar>
            <w:vAlign w:val="center"/>
          </w:tcPr>
          <w:p>
            <w:pPr>
              <w:pStyle w:val="DMETW19884BIPPROV"/>
              <w:rPr>
                <w:rFonts w:ascii="Verdana" w:eastAsia="Times New Roman" w:hAnsi="Verdana" w:cs="Verdana"/>
                <w:i/>
                <w:noProof/>
                <w:color w:val="000000"/>
                <w:sz w:val="18"/>
              </w:rPr>
            </w:pPr>
            <w:r>
              <w:rPr>
                <w:rFonts w:ascii="Verdana" w:hAnsi="Verdana"/>
                <w:i/>
                <w:noProof/>
                <w:color w:val="000000"/>
                <w:sz w:val="18"/>
              </w:rPr>
              <w:t>Други</w:t>
            </w:r>
          </w:p>
        </w:tc>
        <w:tc>
          <w:tcPr>
            <w:tcW w:w="1179" w:type="dxa"/>
            <w:tcBorders>
              <w:top w:val="nil"/>
              <w:left w:val="nil"/>
              <w:bottom w:val="single" w:sz="4" w:space="0" w:color="016794"/>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208</w:t>
            </w:r>
          </w:p>
        </w:tc>
        <w:tc>
          <w:tcPr>
            <w:tcW w:w="1179" w:type="dxa"/>
            <w:tcBorders>
              <w:top w:val="nil"/>
              <w:left w:val="nil"/>
              <w:bottom w:val="single" w:sz="4" w:space="0" w:color="016794"/>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59</w:t>
            </w:r>
          </w:p>
        </w:tc>
        <w:tc>
          <w:tcPr>
            <w:tcW w:w="1179" w:type="dxa"/>
            <w:tcBorders>
              <w:top w:val="nil"/>
              <w:left w:val="nil"/>
              <w:bottom w:val="single" w:sz="4" w:space="0" w:color="016794"/>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(13)</w:t>
            </w:r>
          </w:p>
        </w:tc>
        <w:tc>
          <w:tcPr>
            <w:tcW w:w="1180" w:type="dxa"/>
            <w:tcBorders>
              <w:top w:val="nil"/>
              <w:left w:val="nil"/>
              <w:bottom w:val="single" w:sz="4" w:space="0" w:color="016794"/>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(11)</w:t>
            </w:r>
          </w:p>
        </w:tc>
        <w:tc>
          <w:tcPr>
            <w:tcW w:w="1179" w:type="dxa"/>
            <w:tcBorders>
              <w:top w:val="nil"/>
              <w:left w:val="nil"/>
              <w:bottom w:val="single" w:sz="4" w:space="0" w:color="016794"/>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w:t>
            </w:r>
          </w:p>
        </w:tc>
        <w:tc>
          <w:tcPr>
            <w:tcW w:w="1179" w:type="dxa"/>
            <w:tcBorders>
              <w:top w:val="nil"/>
              <w:left w:val="nil"/>
              <w:bottom w:val="single" w:sz="4" w:space="0" w:color="016794"/>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11</w:t>
            </w:r>
          </w:p>
        </w:tc>
        <w:tc>
          <w:tcPr>
            <w:tcW w:w="1180" w:type="dxa"/>
            <w:tcBorders>
              <w:top w:val="nil"/>
              <w:left w:val="nil"/>
              <w:bottom w:val="single" w:sz="4" w:space="0" w:color="016794"/>
              <w:right w:val="nil"/>
            </w:tcBorders>
            <w:tcMar>
              <w:top w:w="0" w:type="dxa"/>
              <w:left w:w="60" w:type="dxa"/>
              <w:bottom w:w="0" w:type="dxa"/>
              <w:right w:w="60" w:type="dxa"/>
            </w:tcMar>
            <w:vAlign w:val="center"/>
          </w:tcPr>
          <w:p>
            <w:pPr>
              <w:pStyle w:val="DMETW19884BIPPROV"/>
              <w:jc w:val="right"/>
              <w:rPr>
                <w:rFonts w:ascii="Verdana" w:eastAsia="Times New Roman" w:hAnsi="Verdana" w:cs="Verdana"/>
                <w:i/>
                <w:noProof/>
                <w:color w:val="000000"/>
                <w:sz w:val="18"/>
              </w:rPr>
            </w:pPr>
            <w:r>
              <w:rPr>
                <w:rFonts w:ascii="Verdana" w:hAnsi="Verdana"/>
                <w:i/>
                <w:noProof/>
                <w:color w:val="000000"/>
                <w:sz w:val="18"/>
              </w:rPr>
              <w:t xml:space="preserve"> 254</w:t>
            </w:r>
          </w:p>
        </w:tc>
      </w:tr>
      <w:tr>
        <w:trPr>
          <w:trHeight w:val="255"/>
        </w:trPr>
        <w:tc>
          <w:tcPr>
            <w:tcW w:w="1503" w:type="dxa"/>
            <w:tcBorders>
              <w:top w:val="single" w:sz="4" w:space="0" w:color="016794"/>
              <w:left w:val="nil"/>
              <w:bottom w:val="nil"/>
              <w:right w:val="nil"/>
            </w:tcBorders>
            <w:tcMar>
              <w:top w:w="0" w:type="dxa"/>
              <w:left w:w="60" w:type="dxa"/>
              <w:bottom w:w="0" w:type="dxa"/>
              <w:right w:w="60" w:type="dxa"/>
            </w:tcMar>
            <w:vAlign w:val="center"/>
          </w:tcPr>
          <w:p>
            <w:pPr>
              <w:pStyle w:val="DMETW19884BIPPROV"/>
              <w:rPr>
                <w:rFonts w:ascii="Verdana" w:eastAsia="Times New Roman" w:hAnsi="Verdana" w:cs="Verdana"/>
                <w:b/>
                <w:noProof/>
                <w:color w:val="000000"/>
                <w:sz w:val="18"/>
              </w:rPr>
            </w:pPr>
            <w:r>
              <w:rPr>
                <w:rFonts w:ascii="Verdana" w:hAnsi="Verdana"/>
                <w:b/>
                <w:noProof/>
                <w:color w:val="000000"/>
                <w:sz w:val="18"/>
              </w:rPr>
              <w:t>Общо</w:t>
            </w:r>
          </w:p>
        </w:tc>
        <w:tc>
          <w:tcPr>
            <w:tcW w:w="1179" w:type="dxa"/>
            <w:tcBorders>
              <w:top w:val="single" w:sz="4" w:space="0" w:color="016794"/>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4 823</w:t>
            </w:r>
          </w:p>
        </w:tc>
        <w:tc>
          <w:tcPr>
            <w:tcW w:w="1179" w:type="dxa"/>
            <w:tcBorders>
              <w:top w:val="single" w:sz="4" w:space="0" w:color="016794"/>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1 056</w:t>
            </w:r>
          </w:p>
        </w:tc>
        <w:tc>
          <w:tcPr>
            <w:tcW w:w="1179" w:type="dxa"/>
            <w:tcBorders>
              <w:top w:val="single" w:sz="4" w:space="0" w:color="016794"/>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(20)</w:t>
            </w:r>
          </w:p>
        </w:tc>
        <w:tc>
          <w:tcPr>
            <w:tcW w:w="1180" w:type="dxa"/>
            <w:tcBorders>
              <w:top w:val="single" w:sz="4" w:space="0" w:color="016794"/>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(778)</w:t>
            </w:r>
          </w:p>
        </w:tc>
        <w:tc>
          <w:tcPr>
            <w:tcW w:w="1179" w:type="dxa"/>
            <w:tcBorders>
              <w:top w:val="single" w:sz="4" w:space="0" w:color="016794"/>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w:t>
            </w:r>
          </w:p>
        </w:tc>
        <w:tc>
          <w:tcPr>
            <w:tcW w:w="1179" w:type="dxa"/>
            <w:tcBorders>
              <w:top w:val="single" w:sz="4" w:space="0" w:color="016794"/>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324</w:t>
            </w:r>
          </w:p>
        </w:tc>
        <w:tc>
          <w:tcPr>
            <w:tcW w:w="1180" w:type="dxa"/>
            <w:tcBorders>
              <w:top w:val="single" w:sz="4" w:space="0" w:color="016794"/>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5 405</w:t>
            </w:r>
          </w:p>
        </w:tc>
      </w:tr>
      <w:tr>
        <w:trPr>
          <w:trHeight w:val="255"/>
        </w:trPr>
        <w:tc>
          <w:tcPr>
            <w:tcW w:w="1503"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rPr>
                <w:rFonts w:ascii="Verdana" w:eastAsia="Times New Roman" w:hAnsi="Verdana" w:cs="Verdana"/>
                <w:b/>
                <w:noProof/>
                <w:color w:val="000000"/>
                <w:sz w:val="18"/>
              </w:rPr>
            </w:pPr>
            <w:r>
              <w:rPr>
                <w:rFonts w:ascii="Verdana" w:hAnsi="Verdana"/>
                <w:b/>
                <w:noProof/>
                <w:color w:val="000000"/>
                <w:sz w:val="18"/>
              </w:rPr>
              <w:t>Нетекущи</w:t>
            </w:r>
          </w:p>
        </w:tc>
        <w:tc>
          <w:tcPr>
            <w:tcW w:w="1179"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3 707</w:t>
            </w:r>
          </w:p>
        </w:tc>
        <w:tc>
          <w:tcPr>
            <w:tcW w:w="1179"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743</w:t>
            </w:r>
          </w:p>
        </w:tc>
        <w:tc>
          <w:tcPr>
            <w:tcW w:w="1179"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(4)</w:t>
            </w:r>
          </w:p>
        </w:tc>
        <w:tc>
          <w:tcPr>
            <w:tcW w:w="1180"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(505)</w:t>
            </w:r>
          </w:p>
        </w:tc>
        <w:tc>
          <w:tcPr>
            <w:tcW w:w="1179"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(393)</w:t>
            </w:r>
          </w:p>
        </w:tc>
        <w:tc>
          <w:tcPr>
            <w:tcW w:w="1179"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330</w:t>
            </w:r>
          </w:p>
        </w:tc>
        <w:tc>
          <w:tcPr>
            <w:tcW w:w="1180"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3 878</w:t>
            </w:r>
          </w:p>
        </w:tc>
      </w:tr>
      <w:tr>
        <w:trPr>
          <w:trHeight w:val="255"/>
        </w:trPr>
        <w:tc>
          <w:tcPr>
            <w:tcW w:w="1503" w:type="dxa"/>
            <w:tcBorders>
              <w:top w:val="nil"/>
              <w:left w:val="nil"/>
              <w:bottom w:val="nil"/>
              <w:right w:val="nil"/>
            </w:tcBorders>
            <w:tcMar>
              <w:top w:w="0" w:type="dxa"/>
              <w:left w:w="60" w:type="dxa"/>
              <w:bottom w:w="0" w:type="dxa"/>
              <w:right w:w="60" w:type="dxa"/>
            </w:tcMar>
            <w:vAlign w:val="center"/>
          </w:tcPr>
          <w:p>
            <w:pPr>
              <w:pStyle w:val="DMETW19884BIPPROV"/>
              <w:rPr>
                <w:rFonts w:ascii="Verdana" w:eastAsia="Times New Roman" w:hAnsi="Verdana" w:cs="Verdana"/>
                <w:b/>
                <w:noProof/>
                <w:color w:val="000000"/>
                <w:sz w:val="18"/>
              </w:rPr>
            </w:pP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79"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c>
          <w:tcPr>
            <w:tcW w:w="1180" w:type="dxa"/>
            <w:tcBorders>
              <w:top w:val="nil"/>
              <w:left w:val="nil"/>
              <w:bottom w:val="nil"/>
              <w:right w:val="nil"/>
            </w:tcBorders>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p>
        </w:tc>
      </w:tr>
      <w:tr>
        <w:trPr>
          <w:trHeight w:val="255"/>
        </w:trPr>
        <w:tc>
          <w:tcPr>
            <w:tcW w:w="1503"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rPr>
                <w:rFonts w:ascii="Verdana" w:eastAsia="Times New Roman" w:hAnsi="Verdana" w:cs="Verdana"/>
                <w:b/>
                <w:noProof/>
                <w:color w:val="000000"/>
                <w:sz w:val="18"/>
              </w:rPr>
            </w:pPr>
            <w:r>
              <w:rPr>
                <w:rFonts w:ascii="Verdana" w:hAnsi="Verdana"/>
                <w:b/>
                <w:noProof/>
                <w:color w:val="000000"/>
                <w:sz w:val="18"/>
              </w:rPr>
              <w:t>Текущи</w:t>
            </w:r>
          </w:p>
        </w:tc>
        <w:tc>
          <w:tcPr>
            <w:tcW w:w="1179"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1 116</w:t>
            </w:r>
          </w:p>
        </w:tc>
        <w:tc>
          <w:tcPr>
            <w:tcW w:w="1179"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313</w:t>
            </w:r>
          </w:p>
        </w:tc>
        <w:tc>
          <w:tcPr>
            <w:tcW w:w="1179"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(16)</w:t>
            </w:r>
          </w:p>
        </w:tc>
        <w:tc>
          <w:tcPr>
            <w:tcW w:w="1180"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(274)</w:t>
            </w:r>
          </w:p>
        </w:tc>
        <w:tc>
          <w:tcPr>
            <w:tcW w:w="1179"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393</w:t>
            </w:r>
          </w:p>
        </w:tc>
        <w:tc>
          <w:tcPr>
            <w:tcW w:w="1179"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 xml:space="preserve"> (6)</w:t>
            </w:r>
          </w:p>
        </w:tc>
        <w:tc>
          <w:tcPr>
            <w:tcW w:w="1180" w:type="dxa"/>
            <w:tcBorders>
              <w:top w:val="nil"/>
              <w:left w:val="nil"/>
              <w:bottom w:val="nil"/>
              <w:right w:val="nil"/>
            </w:tcBorders>
            <w:shd w:val="solid" w:color="CCE1EA" w:fill="FFFFFF"/>
            <w:tcMar>
              <w:top w:w="0" w:type="dxa"/>
              <w:left w:w="60" w:type="dxa"/>
              <w:bottom w:w="0" w:type="dxa"/>
              <w:right w:w="60" w:type="dxa"/>
            </w:tcMar>
            <w:vAlign w:val="center"/>
          </w:tcPr>
          <w:p>
            <w:pPr>
              <w:pStyle w:val="DMETW19884BIPPROV"/>
              <w:jc w:val="right"/>
              <w:rPr>
                <w:rFonts w:ascii="Verdana" w:eastAsia="Times New Roman" w:hAnsi="Verdana" w:cs="Verdana"/>
                <w:b/>
                <w:noProof/>
                <w:color w:val="000000"/>
                <w:sz w:val="18"/>
              </w:rPr>
            </w:pPr>
            <w:r>
              <w:rPr>
                <w:rFonts w:ascii="Verdana" w:hAnsi="Verdana"/>
                <w:b/>
                <w:noProof/>
                <w:color w:val="000000"/>
                <w:sz w:val="18"/>
              </w:rPr>
              <w:t>1 527</w:t>
            </w:r>
          </w:p>
        </w:tc>
      </w:tr>
    </w:tbl>
    <w:p>
      <w:pPr>
        <w:pStyle w:val="DGTextstand-alone"/>
      </w:pPr>
      <w:r>
        <w:t>Провизиите представляват оценени по надежден начин суми, произтичащи от минали събития, които вероятно ще трябва да бъдат платени от бюджета на ЕС в бъдеще.</w:t>
      </w:r>
    </w:p>
    <w:p>
      <w:pPr>
        <w:pStyle w:val="HEADER5"/>
        <w:rPr>
          <w:noProof/>
        </w:rPr>
      </w:pPr>
      <w:r>
        <w:rPr>
          <w:noProof/>
        </w:rPr>
        <w:t>Съдебни дела</w:t>
      </w:r>
    </w:p>
    <w:p>
      <w:pPr>
        <w:pStyle w:val="DGTextstand-alone"/>
      </w:pPr>
      <w:r>
        <w:t>Това са очакваните суми, които вероятно ще трябва да бъдат платени след края на годината във връзка с редица продължаващи съдебни дела. Сумите за земеделието се отнасят до правни действия, предприети от държавите членки срещу решения за уравняване с оглед на съответствието за ЕФГЗ. Намалението се дължи на две приключени дела през 2020 г.</w:t>
      </w:r>
    </w:p>
    <w:p>
      <w:pPr>
        <w:pStyle w:val="HEADER5"/>
        <w:rPr>
          <w:b/>
          <w:noProof/>
        </w:rPr>
      </w:pPr>
      <w:r>
        <w:rPr>
          <w:noProof/>
        </w:rPr>
        <w:t>Демонтаж на ядрени обекти</w:t>
      </w:r>
    </w:p>
    <w:p>
      <w:pPr>
        <w:pStyle w:val="DGTextstand-alone"/>
      </w:pPr>
      <w:r>
        <w:t>От 2017 г. основанието за провизията беше актуализирано в съответствие със стратегията за програма на JRC за извеждане от експлоатация и управление на отпадъците (D&amp;WMP) — актуализирана през 2017 г. Прегледът на стратегията, както и на бюджетните нужди и на нуждите от персонал, беше направен съвместно с независимата експертна група D&amp;WMP. Той представлява най-добрата налична оценка на бюджета и персонала, необходими за приключване на извеждането от експлоатация на обектите на JRC в Испра, Геел, Карлсруе и Петен.</w:t>
      </w:r>
    </w:p>
    <w:p>
      <w:pPr>
        <w:pStyle w:val="DGTextstand-alone"/>
      </w:pPr>
      <w:r>
        <w:t>В съответствие със счетоводните правила на ЕС тази провизия се индексира с инфлацията, след което се дисконтира до нетната ѝ настояща стойност (като се използва суаповата крива в евро). Към 31 декември 2020 г. това доведе до провизия в размер на 2 426 милиона евро, разпределени между сумите, които се очаква да бъдат използвани през 2021 г. (33 милиона евро) и след това (2 393 милиона евро). Увеличението в сравнение с 2019 г. се дължи предимно на намаляващия дисконтов процент, приложен към очакваните бъдещи разходи.</w:t>
      </w:r>
    </w:p>
    <w:p>
      <w:pPr>
        <w:pStyle w:val="DGTextstand-alone"/>
      </w:pPr>
      <w:r>
        <w:t>Трябва да се отбележи, че голямата несигурност, характерна за дългосрочното планиране на извеждането от експлоатация на ядрени съоръжения, може да повлияе на тази оценка, която може да се увеличи значително в бъдеще. Основните източници на несигурност са свързани с крайното състояние на изведения от експлоатация обект, ядрените материали, аспектите на управлението и обезвреждането на отпадъците, непълните или липсващите национални нормативни уредби, сложните и продължителни процеси на получаване на разрешителни и бъдещото развитие на промишления пазар за извеждане от експлоатация.</w:t>
      </w:r>
    </w:p>
    <w:p>
      <w:pPr>
        <w:pStyle w:val="HEADER5"/>
        <w:rPr>
          <w:b/>
          <w:noProof/>
        </w:rPr>
      </w:pPr>
      <w:r>
        <w:rPr>
          <w:noProof/>
        </w:rPr>
        <w:t>Финансови провизии</w:t>
      </w:r>
    </w:p>
    <w:p>
      <w:pPr>
        <w:pStyle w:val="DGTextstand-alone"/>
      </w:pPr>
      <w:r>
        <w:t>Те се отнасят предимно до провизиите, представляващи очакваните загуби, които ще бъдат претърпени във връзка с гаранциите, предоставени по линия на различните финансови инструменти, при които съответните субекти са оправомощени да издават гаранции на свое име, но от името и на риска на ЕС. Финансовият риск за ЕС, свързан с гаранциите, е ограничен, а финансовите активи постепенно се обезпечават със средства с цел покриване на бъдещите задействани гаранции. Тази позиция включва също провизиите за непогасените заеми, отпуснати на Сирия от ЕИБ в рамките на мандата ѝ за външно кредитиране и следователно гарантирани от ЕС чрез Гаранционния фонд за външни дейности. Нетекущите финансови провизии се дисконтират до нетната им настояща стойност.</w:t>
      </w:r>
    </w:p>
    <w:p>
      <w:pPr>
        <w:pStyle w:val="DGTextstand-alone"/>
      </w:pPr>
      <w:r>
        <w:t xml:space="preserve">Увеличението на финансовите провизии е свързано с увеличаването на обема на гарантираните операции по „Хоризонт 2020“, COSME, Гаранционния механизъм за секторите на културата и творчеството и Програмата за заетост и социални иновации, включително за частта, обхваната от гаранцията на ЕС по ЕФСИ в рамките на дълговия портфейл на ПМСП на ЕФСИ — вж. бележка </w:t>
      </w:r>
      <w:r>
        <w:rPr>
          <w:b/>
        </w:rPr>
        <w:t>4.1.1</w:t>
      </w:r>
      <w:r>
        <w:t>.</w:t>
      </w:r>
    </w:p>
    <w:bookmarkEnd w:id="139"/>
    <w:p>
      <w:pPr>
        <w:pStyle w:val="DGTextstand-alone"/>
        <w:sectPr>
          <w:headerReference w:type="even" r:id="rId194"/>
          <w:headerReference w:type="default" r:id="rId195"/>
          <w:footerReference w:type="even" r:id="rId196"/>
          <w:footerReference w:type="default" r:id="rId197"/>
          <w:headerReference w:type="first" r:id="rId198"/>
          <w:footerReference w:type="first" r:id="rId199"/>
          <w:pgSz w:w="11906" w:h="16838"/>
          <w:pgMar w:top="1134" w:right="1134" w:bottom="1134" w:left="1134" w:header="709" w:footer="709" w:gutter="0"/>
          <w:cols w:space="708"/>
          <w:docGrid w:linePitch="360"/>
        </w:sectPr>
      </w:pPr>
    </w:p>
    <w:p>
      <w:pPr>
        <w:pStyle w:val="HEADER2NOTES"/>
        <w:spacing w:before="0"/>
        <w:rPr>
          <w:noProof/>
        </w:rPr>
      </w:pPr>
      <w:bookmarkStart w:id="141" w:name="_DMBM_19794"/>
      <w:r>
        <w:rPr>
          <w:noProof/>
        </w:rPr>
        <w:t>ФИНАНСОВИ ПАСИВИ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5"/>
        <w:gridCol w:w="1464"/>
        <w:gridCol w:w="1464"/>
        <w:gridCol w:w="1465"/>
      </w:tblGrid>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Verdana" w:eastAsia="Verdana" w:hAnsi="Verdana" w:cs="Verdana"/>
                <w:i/>
                <w:noProof/>
                <w:color w:val="FFFFFF"/>
                <w:sz w:val="16"/>
              </w:rPr>
            </w:pPr>
            <w:bookmarkStart w:id="142" w:name="DOC_TBL00050_1_1"/>
            <w:bookmarkEnd w:id="142"/>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Arial" w:eastAsia="Arial" w:hAnsi="Arial" w:cs="Arial"/>
                <w:noProof/>
                <w:color w:val="000000"/>
              </w:rPr>
            </w:pP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365" w:type="dxa"/>
            <w:tcBorders>
              <w:top w:val="nil"/>
              <w:left w:val="nil"/>
              <w:bottom w:val="nil"/>
              <w:right w:val="nil"/>
              <w:tl2br w:val="nil"/>
              <w:tr2bl w:val="nil"/>
            </w:tcBorders>
            <w:shd w:val="solid" w:color="016794" w:fill="FFFFFF"/>
            <w:tcMar>
              <w:left w:w="60" w:type="dxa"/>
              <w:right w:w="60" w:type="dxa"/>
            </w:tcMar>
            <w:vAlign w:val="center"/>
          </w:tcPr>
          <w:p>
            <w:pPr>
              <w:pStyle w:val="DMETW19885BIPFINL"/>
              <w:rPr>
                <w:rFonts w:ascii="Verdana" w:eastAsia="Verdana" w:hAnsi="Verdana" w:cs="Verdana"/>
                <w:noProof/>
                <w:color w:val="FFFFFF"/>
              </w:rPr>
            </w:pPr>
          </w:p>
        </w:tc>
        <w:tc>
          <w:tcPr>
            <w:tcW w:w="1464" w:type="dxa"/>
            <w:tcBorders>
              <w:top w:val="nil"/>
              <w:left w:val="nil"/>
              <w:bottom w:val="nil"/>
              <w:right w:val="nil"/>
              <w:tl2br w:val="nil"/>
              <w:tr2bl w:val="nil"/>
            </w:tcBorders>
            <w:shd w:val="solid" w:color="016794" w:fill="FFFFFF"/>
            <w:tcMar>
              <w:left w:w="60" w:type="dxa"/>
              <w:right w:w="60" w:type="dxa"/>
            </w:tcMar>
            <w:vAlign w:val="center"/>
          </w:tcPr>
          <w:p>
            <w:pPr>
              <w:pStyle w:val="DMETW19885BIPFINL"/>
              <w:jc w:val="center"/>
              <w:rPr>
                <w:rFonts w:ascii="Verdana" w:eastAsia="Verdana" w:hAnsi="Verdana" w:cs="Verdana"/>
                <w:noProof/>
                <w:color w:val="FFFFFF"/>
              </w:rPr>
            </w:pPr>
            <w:r>
              <w:rPr>
                <w:rFonts w:ascii="Verdana" w:hAnsi="Verdana"/>
                <w:noProof/>
                <w:color w:val="FFFFFF"/>
              </w:rPr>
              <w:t>Бележка</w:t>
            </w:r>
          </w:p>
        </w:tc>
        <w:tc>
          <w:tcPr>
            <w:tcW w:w="1464" w:type="dxa"/>
            <w:tcBorders>
              <w:top w:val="nil"/>
              <w:left w:val="nil"/>
              <w:bottom w:val="nil"/>
              <w:right w:val="nil"/>
              <w:tl2br w:val="nil"/>
              <w:tr2bl w:val="nil"/>
            </w:tcBorders>
            <w:shd w:val="solid" w:color="016794" w:fill="FFFFFF"/>
            <w:tcMar>
              <w:left w:w="60" w:type="dxa"/>
              <w:right w:w="60" w:type="dxa"/>
            </w:tcMar>
            <w:vAlign w:val="center"/>
          </w:tcPr>
          <w:p>
            <w:pPr>
              <w:pStyle w:val="DMETW19885BIPFINL"/>
              <w:jc w:val="right"/>
              <w:rPr>
                <w:rFonts w:ascii="Verdana" w:eastAsia="Verdana" w:hAnsi="Verdana" w:cs="Verdana"/>
                <w:noProof/>
                <w:color w:val="FFFFFF"/>
              </w:rPr>
            </w:pPr>
            <w:r>
              <w:rPr>
                <w:rFonts w:ascii="Verdana" w:hAnsi="Verdana"/>
                <w:noProof/>
                <w:color w:val="FFFFFF"/>
              </w:rPr>
              <w:t>31.12.2020 г.</w:t>
            </w:r>
          </w:p>
        </w:tc>
        <w:tc>
          <w:tcPr>
            <w:tcW w:w="1465" w:type="dxa"/>
            <w:tcBorders>
              <w:top w:val="nil"/>
              <w:left w:val="nil"/>
              <w:bottom w:val="nil"/>
              <w:right w:val="nil"/>
              <w:tl2br w:val="nil"/>
              <w:tr2bl w:val="nil"/>
            </w:tcBorders>
            <w:shd w:val="solid" w:color="016794" w:fill="FFFFFF"/>
            <w:tcMar>
              <w:left w:w="60" w:type="dxa"/>
              <w:right w:w="60" w:type="dxa"/>
            </w:tcMar>
            <w:vAlign w:val="center"/>
          </w:tcPr>
          <w:p>
            <w:pPr>
              <w:pStyle w:val="DMETW19885BIPFINL"/>
              <w:jc w:val="right"/>
              <w:rPr>
                <w:rFonts w:ascii="Verdana" w:eastAsia="Verdana" w:hAnsi="Verdana" w:cs="Verdana"/>
                <w:noProof/>
                <w:color w:val="FFFFFF"/>
              </w:rPr>
            </w:pPr>
            <w:r>
              <w:rPr>
                <w:rFonts w:ascii="Verdana" w:hAnsi="Verdana"/>
                <w:noProof/>
                <w:color w:val="FFFFFF"/>
              </w:rPr>
              <w:t>31.12.2019 г.</w:t>
            </w: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Verdana" w:eastAsia="Verdana" w:hAnsi="Verdana" w:cs="Verdana"/>
                <w:b/>
                <w:noProof/>
                <w:color w:val="000000"/>
                <w:sz w:val="18"/>
              </w:rPr>
            </w:pPr>
            <w:r>
              <w:rPr>
                <w:rFonts w:ascii="Verdana" w:hAnsi="Verdana"/>
                <w:b/>
                <w:noProof/>
                <w:color w:val="000000"/>
                <w:sz w:val="18"/>
              </w:rPr>
              <w:t>Нетекущи</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center"/>
              <w:rPr>
                <w:rFonts w:ascii="Verdana" w:eastAsia="Verdana" w:hAnsi="Verdana" w:cs="Verdana"/>
                <w:b/>
                <w:noProof/>
                <w:color w:val="000000"/>
                <w:sz w:val="18"/>
              </w:rPr>
            </w:pP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Arial" w:eastAsia="Arial" w:hAnsi="Arial" w:cs="Arial"/>
                <w:noProof/>
                <w:color w:val="000000"/>
                <w:lang w:bidi="en-GB"/>
              </w:rPr>
            </w:pP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Verdana" w:eastAsia="Verdana" w:hAnsi="Verdana" w:cs="Verdana"/>
                <w:i/>
                <w:noProof/>
                <w:color w:val="000000"/>
                <w:sz w:val="18"/>
              </w:rPr>
            </w:pPr>
            <w:r>
              <w:rPr>
                <w:rFonts w:ascii="Verdana" w:hAnsi="Verdana"/>
                <w:i/>
                <w:noProof/>
                <w:color w:val="000000"/>
                <w:sz w:val="18"/>
              </w:rPr>
              <w:t>Финансови пасиви по амортизирана стойност</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center"/>
              <w:rPr>
                <w:rFonts w:ascii="Verdana" w:eastAsia="Verdana" w:hAnsi="Verdana" w:cs="Verdana"/>
                <w:i/>
                <w:noProof/>
                <w:color w:val="000000"/>
                <w:sz w:val="18"/>
              </w:rPr>
            </w:pPr>
            <w:r>
              <w:rPr>
                <w:rFonts w:ascii="Verdana" w:hAnsi="Verdana"/>
                <w:i/>
                <w:noProof/>
                <w:color w:val="000000"/>
                <w:sz w:val="18"/>
              </w:rPr>
              <w:t>2.11.1</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i/>
                <w:noProof/>
                <w:color w:val="000000"/>
                <w:sz w:val="18"/>
              </w:rPr>
            </w:pPr>
            <w:r>
              <w:rPr>
                <w:rFonts w:ascii="Verdana" w:hAnsi="Verdana"/>
                <w:i/>
                <w:noProof/>
                <w:color w:val="000000"/>
                <w:sz w:val="18"/>
              </w:rPr>
              <w:t>84 395</w:t>
            </w:r>
          </w:p>
        </w:tc>
        <w:tc>
          <w:tcPr>
            <w:tcW w:w="1465"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i/>
                <w:noProof/>
                <w:color w:val="000000"/>
                <w:sz w:val="18"/>
              </w:rPr>
            </w:pPr>
            <w:r>
              <w:rPr>
                <w:rFonts w:ascii="Verdana" w:hAnsi="Verdana"/>
                <w:i/>
                <w:noProof/>
                <w:color w:val="000000"/>
                <w:sz w:val="18"/>
              </w:rPr>
              <w:t>53 062</w:t>
            </w: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Verdana" w:eastAsia="Verdana" w:hAnsi="Verdana" w:cs="Verdana"/>
                <w:i/>
                <w:noProof/>
                <w:color w:val="000000"/>
                <w:sz w:val="18"/>
              </w:rPr>
            </w:pPr>
            <w:r>
              <w:rPr>
                <w:rFonts w:ascii="Verdana" w:hAnsi="Verdana"/>
                <w:i/>
                <w:noProof/>
                <w:color w:val="000000"/>
                <w:sz w:val="18"/>
              </w:rPr>
              <w:t>Финансови пасиви по справедлива стойност чрез излишъка или дефицита</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center"/>
              <w:rPr>
                <w:rFonts w:ascii="Verdana" w:eastAsia="Verdana" w:hAnsi="Verdana" w:cs="Verdana"/>
                <w:i/>
                <w:noProof/>
                <w:color w:val="000000"/>
                <w:sz w:val="18"/>
              </w:rPr>
            </w:pPr>
            <w:r>
              <w:rPr>
                <w:rFonts w:ascii="Verdana" w:hAnsi="Verdana"/>
                <w:i/>
                <w:noProof/>
                <w:color w:val="000000"/>
                <w:sz w:val="18"/>
              </w:rPr>
              <w:t>2.11.2</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i/>
                <w:noProof/>
                <w:color w:val="000000"/>
                <w:sz w:val="18"/>
              </w:rPr>
            </w:pPr>
            <w:r>
              <w:rPr>
                <w:rFonts w:ascii="Verdana" w:hAnsi="Verdana"/>
                <w:i/>
                <w:noProof/>
                <w:color w:val="000000"/>
                <w:sz w:val="18"/>
              </w:rPr>
              <w:t xml:space="preserve"> 4</w:t>
            </w:r>
          </w:p>
        </w:tc>
        <w:tc>
          <w:tcPr>
            <w:tcW w:w="1465"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i/>
                <w:noProof/>
                <w:color w:val="000000"/>
                <w:sz w:val="18"/>
              </w:rPr>
            </w:pPr>
            <w:r>
              <w:rPr>
                <w:rFonts w:ascii="Verdana" w:hAnsi="Verdana"/>
                <w:i/>
                <w:noProof/>
                <w:color w:val="000000"/>
                <w:sz w:val="18"/>
              </w:rPr>
              <w:t xml:space="preserve"> 9</w:t>
            </w:r>
          </w:p>
        </w:tc>
      </w:tr>
      <w:tr>
        <w:trPr>
          <w:trHeight w:val="255"/>
        </w:trPr>
        <w:tc>
          <w:tcPr>
            <w:tcW w:w="5365" w:type="dxa"/>
            <w:tcBorders>
              <w:top w:val="nil"/>
              <w:left w:val="nil"/>
              <w:bottom w:val="nil"/>
              <w:right w:val="nil"/>
              <w:tl2br w:val="nil"/>
              <w:tr2bl w:val="nil"/>
            </w:tcBorders>
            <w:shd w:val="solid" w:color="CCE1EA" w:fill="FFFFFF"/>
            <w:tcMar>
              <w:left w:w="60" w:type="dxa"/>
              <w:right w:w="60" w:type="dxa"/>
            </w:tcMar>
            <w:vAlign w:val="center"/>
          </w:tcPr>
          <w:p>
            <w:pPr>
              <w:pStyle w:val="DMETW19885BIPFINL"/>
              <w:rPr>
                <w:rFonts w:ascii="Verdana" w:eastAsia="Verdana" w:hAnsi="Verdana" w:cs="Verdana"/>
                <w:b/>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pPr>
              <w:pStyle w:val="DMETW19885BIPFINL"/>
              <w:jc w:val="center"/>
              <w:rPr>
                <w:rFonts w:ascii="Verdana" w:eastAsia="Verdana" w:hAnsi="Verdana" w:cs="Verdana"/>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pPr>
              <w:pStyle w:val="DMETW19885BIPFINL"/>
              <w:jc w:val="right"/>
              <w:rPr>
                <w:rFonts w:ascii="Verdana" w:eastAsia="Verdana" w:hAnsi="Verdana" w:cs="Verdana"/>
                <w:b/>
                <w:noProof/>
                <w:color w:val="000000"/>
                <w:sz w:val="18"/>
              </w:rPr>
            </w:pPr>
            <w:r>
              <w:rPr>
                <w:rFonts w:ascii="Verdana" w:hAnsi="Verdana"/>
                <w:b/>
                <w:noProof/>
                <w:color w:val="000000"/>
                <w:sz w:val="18"/>
              </w:rPr>
              <w:t>84 399</w:t>
            </w:r>
          </w:p>
        </w:tc>
        <w:tc>
          <w:tcPr>
            <w:tcW w:w="1465" w:type="dxa"/>
            <w:tcBorders>
              <w:top w:val="nil"/>
              <w:left w:val="nil"/>
              <w:bottom w:val="nil"/>
              <w:right w:val="nil"/>
              <w:tl2br w:val="nil"/>
              <w:tr2bl w:val="nil"/>
            </w:tcBorders>
            <w:shd w:val="solid" w:color="CCE1EA" w:fill="FFFFFF"/>
            <w:tcMar>
              <w:left w:w="60" w:type="dxa"/>
              <w:right w:w="60" w:type="dxa"/>
            </w:tcMar>
            <w:vAlign w:val="center"/>
          </w:tcPr>
          <w:p>
            <w:pPr>
              <w:pStyle w:val="DMETW19885BIPFINL"/>
              <w:jc w:val="right"/>
              <w:rPr>
                <w:rFonts w:ascii="Verdana" w:eastAsia="Verdana" w:hAnsi="Verdana" w:cs="Verdana"/>
                <w:b/>
                <w:noProof/>
                <w:color w:val="000000"/>
                <w:sz w:val="18"/>
              </w:rPr>
            </w:pPr>
            <w:r>
              <w:rPr>
                <w:rFonts w:ascii="Verdana" w:hAnsi="Verdana"/>
                <w:b/>
                <w:noProof/>
                <w:color w:val="000000"/>
                <w:sz w:val="18"/>
              </w:rPr>
              <w:t>53 071</w:t>
            </w: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Verdana" w:eastAsia="Verdana" w:hAnsi="Verdana" w:cs="Verdana"/>
                <w:b/>
                <w:noProof/>
                <w:color w:val="000000"/>
                <w:sz w:val="18"/>
              </w:rPr>
            </w:pPr>
            <w:r>
              <w:rPr>
                <w:rFonts w:ascii="Verdana" w:hAnsi="Verdana"/>
                <w:b/>
                <w:noProof/>
                <w:color w:val="000000"/>
                <w:sz w:val="18"/>
              </w:rPr>
              <w:t>Текущи</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center"/>
              <w:rPr>
                <w:rFonts w:ascii="Verdana" w:eastAsia="Verdana" w:hAnsi="Verdana" w:cs="Verdana"/>
                <w:b/>
                <w:noProof/>
                <w:color w:val="000000"/>
                <w:sz w:val="18"/>
              </w:rPr>
            </w:pP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Arial" w:eastAsia="Arial" w:hAnsi="Arial" w:cs="Arial"/>
                <w:noProof/>
                <w:color w:val="000000"/>
              </w:rPr>
            </w:pPr>
          </w:p>
        </w:tc>
        <w:tc>
          <w:tcPr>
            <w:tcW w:w="1465"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Arial" w:eastAsia="Arial" w:hAnsi="Arial" w:cs="Arial"/>
                <w:noProof/>
                <w:color w:val="000000"/>
                <w:lang w:bidi="en-GB"/>
              </w:rPr>
            </w:pP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Verdana" w:eastAsia="Verdana" w:hAnsi="Verdana" w:cs="Verdana"/>
                <w:i/>
                <w:noProof/>
                <w:color w:val="000000"/>
                <w:sz w:val="18"/>
              </w:rPr>
            </w:pPr>
            <w:r>
              <w:rPr>
                <w:rFonts w:ascii="Verdana" w:hAnsi="Verdana"/>
                <w:i/>
                <w:noProof/>
                <w:color w:val="000000"/>
                <w:sz w:val="18"/>
              </w:rPr>
              <w:t>Финансови пасиви по амортизирана стойност</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center"/>
              <w:rPr>
                <w:rFonts w:ascii="Verdana" w:eastAsia="Verdana" w:hAnsi="Verdana" w:cs="Verdana"/>
                <w:i/>
                <w:noProof/>
                <w:color w:val="000000"/>
                <w:sz w:val="18"/>
              </w:rPr>
            </w:pPr>
            <w:r>
              <w:rPr>
                <w:rFonts w:ascii="Verdana" w:hAnsi="Verdana"/>
                <w:i/>
                <w:noProof/>
                <w:color w:val="000000"/>
                <w:sz w:val="18"/>
              </w:rPr>
              <w:t>2.11.1</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i/>
                <w:noProof/>
                <w:color w:val="000000"/>
                <w:sz w:val="18"/>
              </w:rPr>
            </w:pPr>
            <w:r>
              <w:rPr>
                <w:rFonts w:ascii="Verdana" w:hAnsi="Verdana"/>
                <w:i/>
                <w:noProof/>
                <w:color w:val="000000"/>
                <w:sz w:val="18"/>
              </w:rPr>
              <w:t>10 559</w:t>
            </w:r>
          </w:p>
        </w:tc>
        <w:tc>
          <w:tcPr>
            <w:tcW w:w="1465"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i/>
                <w:noProof/>
                <w:color w:val="000000"/>
                <w:sz w:val="18"/>
              </w:rPr>
            </w:pPr>
            <w:r>
              <w:rPr>
                <w:rFonts w:ascii="Verdana" w:hAnsi="Verdana"/>
                <w:i/>
                <w:noProof/>
                <w:color w:val="000000"/>
                <w:sz w:val="18"/>
              </w:rPr>
              <w:t>1 423</w:t>
            </w: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Verdana" w:eastAsia="Verdana" w:hAnsi="Verdana" w:cs="Verdana"/>
                <w:i/>
                <w:noProof/>
                <w:color w:val="000000"/>
                <w:sz w:val="18"/>
              </w:rPr>
            </w:pPr>
            <w:r>
              <w:rPr>
                <w:rFonts w:ascii="Verdana" w:hAnsi="Verdana"/>
                <w:i/>
                <w:noProof/>
                <w:color w:val="000000"/>
                <w:sz w:val="18"/>
              </w:rPr>
              <w:t>Финансови пасиви по справедлива стойност чрез излишъка или дефицита</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center"/>
              <w:rPr>
                <w:rFonts w:ascii="Verdana" w:eastAsia="Verdana" w:hAnsi="Verdana" w:cs="Verdana"/>
                <w:i/>
                <w:noProof/>
                <w:color w:val="000000"/>
                <w:sz w:val="18"/>
              </w:rPr>
            </w:pPr>
            <w:r>
              <w:rPr>
                <w:rFonts w:ascii="Verdana" w:hAnsi="Verdana"/>
                <w:i/>
                <w:noProof/>
                <w:color w:val="000000"/>
                <w:sz w:val="18"/>
              </w:rPr>
              <w:t>2.11.2</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i/>
                <w:noProof/>
                <w:color w:val="000000"/>
                <w:sz w:val="18"/>
              </w:rPr>
            </w:pPr>
            <w:r>
              <w:rPr>
                <w:rFonts w:ascii="Verdana" w:hAnsi="Verdana"/>
                <w:i/>
                <w:noProof/>
                <w:color w:val="000000"/>
                <w:sz w:val="18"/>
              </w:rPr>
              <w:t xml:space="preserve"> 0</w:t>
            </w:r>
          </w:p>
        </w:tc>
        <w:tc>
          <w:tcPr>
            <w:tcW w:w="1465"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9885BIPFINL"/>
              <w:rPr>
                <w:rFonts w:ascii="Verdana" w:eastAsia="Verdana" w:hAnsi="Verdana" w:cs="Verdana"/>
                <w:i/>
                <w:noProof/>
                <w:color w:val="000000"/>
                <w:sz w:val="18"/>
              </w:rPr>
            </w:pPr>
            <w:r>
              <w:rPr>
                <w:rFonts w:ascii="Verdana" w:hAnsi="Verdana"/>
                <w:i/>
                <w:noProof/>
                <w:color w:val="000000"/>
                <w:sz w:val="18"/>
              </w:rPr>
              <w:t>Задължения по финансови гаранции</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center"/>
              <w:rPr>
                <w:rFonts w:ascii="Verdana" w:eastAsia="Verdana" w:hAnsi="Verdana" w:cs="Verdana"/>
                <w:i/>
                <w:noProof/>
                <w:color w:val="000000"/>
                <w:sz w:val="18"/>
              </w:rPr>
            </w:pPr>
            <w:r>
              <w:rPr>
                <w:rFonts w:ascii="Verdana" w:hAnsi="Verdana"/>
                <w:i/>
                <w:noProof/>
                <w:color w:val="000000"/>
                <w:sz w:val="18"/>
              </w:rPr>
              <w:t>2.11.3</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i/>
                <w:noProof/>
                <w:color w:val="000000"/>
                <w:sz w:val="18"/>
              </w:rPr>
            </w:pPr>
            <w:r>
              <w:rPr>
                <w:rFonts w:ascii="Verdana" w:hAnsi="Verdana"/>
                <w:i/>
                <w:noProof/>
                <w:color w:val="000000"/>
                <w:sz w:val="18"/>
              </w:rPr>
              <w:t xml:space="preserve"> 90</w:t>
            </w:r>
          </w:p>
        </w:tc>
        <w:tc>
          <w:tcPr>
            <w:tcW w:w="1465" w:type="dxa"/>
            <w:tcBorders>
              <w:top w:val="nil"/>
              <w:left w:val="nil"/>
              <w:bottom w:val="nil"/>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i/>
                <w:noProof/>
                <w:color w:val="000000"/>
                <w:sz w:val="18"/>
              </w:rPr>
            </w:pPr>
            <w:r>
              <w:rPr>
                <w:rFonts w:ascii="Verdana" w:hAnsi="Verdana"/>
                <w:i/>
                <w:noProof/>
                <w:color w:val="000000"/>
                <w:sz w:val="18"/>
              </w:rPr>
              <w:t xml:space="preserve"> 20</w:t>
            </w:r>
          </w:p>
        </w:tc>
      </w:tr>
      <w:tr>
        <w:trPr>
          <w:trHeight w:val="255"/>
        </w:trPr>
        <w:tc>
          <w:tcPr>
            <w:tcW w:w="5365" w:type="dxa"/>
            <w:tcBorders>
              <w:top w:val="nil"/>
              <w:left w:val="nil"/>
              <w:bottom w:val="nil"/>
              <w:right w:val="nil"/>
              <w:tl2br w:val="nil"/>
              <w:tr2bl w:val="nil"/>
            </w:tcBorders>
            <w:shd w:val="solid" w:color="CCE1EA" w:fill="FFFFFF"/>
            <w:tcMar>
              <w:left w:w="60" w:type="dxa"/>
              <w:right w:w="60" w:type="dxa"/>
            </w:tcMar>
            <w:vAlign w:val="center"/>
          </w:tcPr>
          <w:p>
            <w:pPr>
              <w:pStyle w:val="DMETW19885BIPFINL"/>
              <w:rPr>
                <w:rFonts w:ascii="Verdana" w:eastAsia="Verdana" w:hAnsi="Verdana" w:cs="Verdana"/>
                <w:b/>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pPr>
              <w:pStyle w:val="DMETW19885BIPFINL"/>
              <w:jc w:val="center"/>
              <w:rPr>
                <w:rFonts w:ascii="Verdana" w:eastAsia="Verdana" w:hAnsi="Verdana" w:cs="Verdana"/>
                <w:noProof/>
                <w:color w:val="000000"/>
                <w:sz w:val="18"/>
              </w:rPr>
            </w:pPr>
          </w:p>
        </w:tc>
        <w:tc>
          <w:tcPr>
            <w:tcW w:w="1464" w:type="dxa"/>
            <w:tcBorders>
              <w:top w:val="nil"/>
              <w:left w:val="nil"/>
              <w:bottom w:val="nil"/>
              <w:right w:val="nil"/>
              <w:tl2br w:val="nil"/>
              <w:tr2bl w:val="nil"/>
            </w:tcBorders>
            <w:shd w:val="solid" w:color="CCE1EA" w:fill="FFFFFF"/>
            <w:tcMar>
              <w:left w:w="60" w:type="dxa"/>
              <w:right w:w="60" w:type="dxa"/>
            </w:tcMar>
            <w:vAlign w:val="center"/>
          </w:tcPr>
          <w:p>
            <w:pPr>
              <w:pStyle w:val="DMETW19885BIPFINL"/>
              <w:jc w:val="right"/>
              <w:rPr>
                <w:rFonts w:ascii="Verdana" w:eastAsia="Verdana" w:hAnsi="Verdana" w:cs="Verdana"/>
                <w:b/>
                <w:noProof/>
                <w:color w:val="000000"/>
                <w:sz w:val="18"/>
              </w:rPr>
            </w:pPr>
            <w:r>
              <w:rPr>
                <w:rFonts w:ascii="Verdana" w:hAnsi="Verdana"/>
                <w:b/>
                <w:noProof/>
                <w:color w:val="000000"/>
                <w:sz w:val="18"/>
              </w:rPr>
              <w:t>10 649</w:t>
            </w:r>
          </w:p>
        </w:tc>
        <w:tc>
          <w:tcPr>
            <w:tcW w:w="1465" w:type="dxa"/>
            <w:tcBorders>
              <w:top w:val="nil"/>
              <w:left w:val="nil"/>
              <w:bottom w:val="nil"/>
              <w:right w:val="nil"/>
              <w:tl2br w:val="nil"/>
              <w:tr2bl w:val="nil"/>
            </w:tcBorders>
            <w:shd w:val="solid" w:color="CCE1EA" w:fill="FFFFFF"/>
            <w:tcMar>
              <w:left w:w="60" w:type="dxa"/>
              <w:right w:w="60" w:type="dxa"/>
            </w:tcMar>
            <w:vAlign w:val="center"/>
          </w:tcPr>
          <w:p>
            <w:pPr>
              <w:pStyle w:val="DMETW19885BIPFINL"/>
              <w:jc w:val="right"/>
              <w:rPr>
                <w:rFonts w:ascii="Verdana" w:eastAsia="Verdana" w:hAnsi="Verdana" w:cs="Verdana"/>
                <w:b/>
                <w:noProof/>
                <w:color w:val="000000"/>
                <w:sz w:val="18"/>
              </w:rPr>
            </w:pPr>
            <w:r>
              <w:rPr>
                <w:rFonts w:ascii="Verdana" w:hAnsi="Verdana"/>
                <w:b/>
                <w:noProof/>
                <w:color w:val="000000"/>
                <w:sz w:val="18"/>
              </w:rPr>
              <w:t>1 446</w:t>
            </w:r>
          </w:p>
        </w:tc>
      </w:tr>
      <w:tr>
        <w:trPr>
          <w:trHeight w:val="255"/>
        </w:trPr>
        <w:tc>
          <w:tcPr>
            <w:tcW w:w="536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5BIPFINL"/>
              <w:rPr>
                <w:rFonts w:ascii="Verdana" w:eastAsia="Verdana" w:hAnsi="Verdana" w:cs="Verdana"/>
                <w:b/>
                <w:noProof/>
                <w:color w:val="000000"/>
                <w:sz w:val="18"/>
              </w:rPr>
            </w:pPr>
            <w:r>
              <w:rPr>
                <w:rFonts w:ascii="Verdana" w:hAnsi="Verdana"/>
                <w:b/>
                <w:noProof/>
                <w:color w:val="000000"/>
                <w:sz w:val="18"/>
              </w:rPr>
              <w:t>Общо</w:t>
            </w:r>
          </w:p>
        </w:tc>
        <w:tc>
          <w:tcPr>
            <w:tcW w:w="146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5BIPFINL"/>
              <w:jc w:val="center"/>
              <w:rPr>
                <w:rFonts w:ascii="Verdana" w:eastAsia="Verdana" w:hAnsi="Verdana" w:cs="Verdana"/>
                <w:noProof/>
                <w:color w:val="000000"/>
                <w:sz w:val="18"/>
              </w:rPr>
            </w:pPr>
          </w:p>
        </w:tc>
        <w:tc>
          <w:tcPr>
            <w:tcW w:w="146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b/>
                <w:noProof/>
                <w:color w:val="000000"/>
                <w:sz w:val="18"/>
              </w:rPr>
            </w:pPr>
            <w:r>
              <w:rPr>
                <w:rFonts w:ascii="Verdana" w:hAnsi="Verdana"/>
                <w:b/>
                <w:noProof/>
                <w:color w:val="000000"/>
                <w:sz w:val="18"/>
              </w:rPr>
              <w:t>95 048</w:t>
            </w:r>
          </w:p>
        </w:tc>
        <w:tc>
          <w:tcPr>
            <w:tcW w:w="146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5BIPFINL"/>
              <w:jc w:val="right"/>
              <w:rPr>
                <w:rFonts w:ascii="Verdana" w:eastAsia="Verdana" w:hAnsi="Verdana" w:cs="Verdana"/>
                <w:b/>
                <w:noProof/>
                <w:color w:val="000000"/>
                <w:sz w:val="18"/>
              </w:rPr>
            </w:pPr>
            <w:r>
              <w:rPr>
                <w:rFonts w:ascii="Verdana" w:hAnsi="Verdana"/>
                <w:b/>
                <w:noProof/>
                <w:color w:val="000000"/>
                <w:sz w:val="18"/>
              </w:rPr>
              <w:t>54 517</w:t>
            </w:r>
          </w:p>
        </w:tc>
      </w:tr>
    </w:tbl>
    <w:p>
      <w:pPr>
        <w:pStyle w:val="HEADER3NOTES"/>
        <w:rPr>
          <w:noProof/>
        </w:rPr>
      </w:pPr>
      <w:r>
        <w:rPr>
          <w:noProof/>
        </w:rPr>
        <w:t xml:space="preserve">Финансови пасиви по амортизирана стойност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6"/>
        <w:gridCol w:w="1464"/>
        <w:gridCol w:w="1464"/>
        <w:gridCol w:w="1464"/>
      </w:tblGrid>
      <w:tr>
        <w:trPr>
          <w:trHeight w:val="255"/>
        </w:trPr>
        <w:tc>
          <w:tcPr>
            <w:tcW w:w="5366" w:type="dxa"/>
            <w:tcBorders>
              <w:top w:val="nil"/>
              <w:left w:val="nil"/>
              <w:bottom w:val="nil"/>
              <w:right w:val="nil"/>
              <w:tl2br w:val="nil"/>
              <w:tr2bl w:val="nil"/>
            </w:tcBorders>
            <w:shd w:val="clear" w:color="auto" w:fill="auto"/>
            <w:tcMar>
              <w:left w:w="60" w:type="dxa"/>
              <w:right w:w="60" w:type="dxa"/>
            </w:tcMar>
            <w:vAlign w:val="center"/>
          </w:tcPr>
          <w:p>
            <w:pPr>
              <w:pStyle w:val="DMETW19885BIPFLB"/>
              <w:rPr>
                <w:rFonts w:ascii="Verdana" w:eastAsia="Verdana" w:hAnsi="Verdana" w:cs="Verdana"/>
                <w:i/>
                <w:noProof/>
                <w:color w:val="FFFFFF"/>
                <w:sz w:val="16"/>
              </w:rPr>
            </w:pPr>
            <w:bookmarkStart w:id="143" w:name="DOC_TBL00051_1_1"/>
            <w:bookmarkEnd w:id="143"/>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LB"/>
              <w:rPr>
                <w:rFonts w:ascii="Arial" w:eastAsia="Arial" w:hAnsi="Arial" w:cs="Arial"/>
                <w:noProof/>
                <w:color w:val="000000"/>
              </w:rPr>
            </w:pP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LB"/>
              <w:rPr>
                <w:rFonts w:ascii="Arial" w:eastAsia="Arial" w:hAnsi="Arial" w:cs="Arial"/>
                <w:noProof/>
                <w:color w:val="000000"/>
              </w:rPr>
            </w:pP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LB"/>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366" w:type="dxa"/>
            <w:tcBorders>
              <w:top w:val="nil"/>
              <w:left w:val="nil"/>
              <w:bottom w:val="nil"/>
              <w:right w:val="nil"/>
              <w:tl2br w:val="nil"/>
              <w:tr2bl w:val="nil"/>
            </w:tcBorders>
            <w:shd w:val="solid" w:color="016794" w:fill="FFFFFF"/>
            <w:tcMar>
              <w:left w:w="60" w:type="dxa"/>
              <w:right w:w="60" w:type="dxa"/>
            </w:tcMar>
            <w:vAlign w:val="center"/>
          </w:tcPr>
          <w:p>
            <w:pPr>
              <w:pStyle w:val="DMETW19885BIPFLB"/>
              <w:rPr>
                <w:rFonts w:ascii="Verdana" w:eastAsia="Verdana" w:hAnsi="Verdana" w:cs="Verdana"/>
                <w:noProof/>
                <w:color w:val="FFFFFF"/>
              </w:rPr>
            </w:pPr>
          </w:p>
        </w:tc>
        <w:tc>
          <w:tcPr>
            <w:tcW w:w="1464" w:type="dxa"/>
            <w:tcBorders>
              <w:top w:val="nil"/>
              <w:left w:val="nil"/>
              <w:bottom w:val="nil"/>
              <w:right w:val="nil"/>
              <w:tl2br w:val="nil"/>
              <w:tr2bl w:val="nil"/>
            </w:tcBorders>
            <w:shd w:val="solid" w:color="016794" w:fill="FFFFFF"/>
            <w:tcMar>
              <w:left w:w="60" w:type="dxa"/>
              <w:right w:w="60" w:type="dxa"/>
            </w:tcMar>
            <w:vAlign w:val="center"/>
          </w:tcPr>
          <w:p>
            <w:pPr>
              <w:pStyle w:val="DMETW19885BIPFLB"/>
              <w:jc w:val="center"/>
              <w:rPr>
                <w:rFonts w:ascii="Verdana" w:eastAsia="Verdana" w:hAnsi="Verdana" w:cs="Verdana"/>
                <w:noProof/>
                <w:color w:val="FFFFFF"/>
              </w:rPr>
            </w:pPr>
            <w:r>
              <w:rPr>
                <w:rFonts w:ascii="Verdana" w:hAnsi="Verdana"/>
                <w:noProof/>
                <w:color w:val="FFFFFF"/>
              </w:rPr>
              <w:t>Бележка</w:t>
            </w:r>
          </w:p>
        </w:tc>
        <w:tc>
          <w:tcPr>
            <w:tcW w:w="1464" w:type="dxa"/>
            <w:tcBorders>
              <w:top w:val="nil"/>
              <w:left w:val="nil"/>
              <w:bottom w:val="nil"/>
              <w:right w:val="nil"/>
              <w:tl2br w:val="nil"/>
              <w:tr2bl w:val="nil"/>
            </w:tcBorders>
            <w:shd w:val="solid" w:color="016794" w:fill="FFFFFF"/>
            <w:tcMar>
              <w:left w:w="60" w:type="dxa"/>
              <w:right w:w="60" w:type="dxa"/>
            </w:tcMar>
            <w:vAlign w:val="center"/>
          </w:tcPr>
          <w:p>
            <w:pPr>
              <w:pStyle w:val="DMETW19885BIPFLB"/>
              <w:jc w:val="right"/>
              <w:rPr>
                <w:rFonts w:ascii="Verdana" w:eastAsia="Verdana" w:hAnsi="Verdana" w:cs="Verdana"/>
                <w:noProof/>
                <w:color w:val="FFFFFF"/>
              </w:rPr>
            </w:pPr>
            <w:r>
              <w:rPr>
                <w:rFonts w:ascii="Verdana" w:hAnsi="Verdana"/>
                <w:noProof/>
                <w:color w:val="FFFFFF"/>
              </w:rPr>
              <w:t>31.12.2020 г.</w:t>
            </w:r>
          </w:p>
        </w:tc>
        <w:tc>
          <w:tcPr>
            <w:tcW w:w="1464" w:type="dxa"/>
            <w:tcBorders>
              <w:top w:val="nil"/>
              <w:left w:val="nil"/>
              <w:bottom w:val="nil"/>
              <w:right w:val="nil"/>
              <w:tl2br w:val="nil"/>
              <w:tr2bl w:val="nil"/>
            </w:tcBorders>
            <w:shd w:val="solid" w:color="016794" w:fill="FFFFFF"/>
            <w:tcMar>
              <w:left w:w="60" w:type="dxa"/>
              <w:right w:w="60" w:type="dxa"/>
            </w:tcMar>
            <w:vAlign w:val="center"/>
          </w:tcPr>
          <w:p>
            <w:pPr>
              <w:pStyle w:val="DMETW19885BIPFLB"/>
              <w:jc w:val="right"/>
              <w:rPr>
                <w:rFonts w:ascii="Verdana" w:eastAsia="Verdana" w:hAnsi="Verdana" w:cs="Verdana"/>
                <w:noProof/>
                <w:color w:val="FFFFFF"/>
              </w:rPr>
            </w:pPr>
            <w:r>
              <w:rPr>
                <w:rFonts w:ascii="Verdana" w:hAnsi="Verdana"/>
                <w:noProof/>
                <w:color w:val="FFFFFF"/>
              </w:rPr>
              <w:t>31.12.2019 г.</w:t>
            </w:r>
          </w:p>
        </w:tc>
      </w:tr>
      <w:tr>
        <w:trPr>
          <w:trHeight w:val="255"/>
        </w:trPr>
        <w:tc>
          <w:tcPr>
            <w:tcW w:w="5366" w:type="dxa"/>
            <w:tcBorders>
              <w:top w:val="nil"/>
              <w:left w:val="nil"/>
              <w:bottom w:val="nil"/>
              <w:right w:val="nil"/>
              <w:tl2br w:val="nil"/>
              <w:tr2bl w:val="nil"/>
            </w:tcBorders>
            <w:shd w:val="clear" w:color="auto" w:fill="auto"/>
            <w:tcMar>
              <w:left w:w="60" w:type="dxa"/>
              <w:right w:w="60" w:type="dxa"/>
            </w:tcMar>
            <w:vAlign w:val="center"/>
          </w:tcPr>
          <w:p>
            <w:pPr>
              <w:pStyle w:val="DMETW19885BIPFLB"/>
              <w:rPr>
                <w:rFonts w:ascii="Verdana" w:eastAsia="Verdana" w:hAnsi="Verdana" w:cs="Verdana"/>
                <w:i/>
                <w:noProof/>
                <w:color w:val="000000"/>
                <w:sz w:val="18"/>
              </w:rPr>
            </w:pPr>
            <w:r>
              <w:rPr>
                <w:rFonts w:ascii="Verdana" w:hAnsi="Verdana"/>
                <w:i/>
                <w:noProof/>
                <w:color w:val="000000"/>
                <w:sz w:val="18"/>
              </w:rPr>
              <w:t>Получени заеми за финансова помощ</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LB"/>
              <w:jc w:val="center"/>
              <w:rPr>
                <w:rFonts w:ascii="Verdana" w:eastAsia="Verdana" w:hAnsi="Verdana" w:cs="Verdana"/>
                <w:i/>
                <w:noProof/>
                <w:color w:val="000000"/>
                <w:sz w:val="18"/>
              </w:rPr>
            </w:pPr>
            <w:r>
              <w:rPr>
                <w:rFonts w:ascii="Verdana" w:hAnsi="Verdana"/>
                <w:i/>
                <w:noProof/>
                <w:color w:val="000000"/>
                <w:sz w:val="18"/>
              </w:rPr>
              <w:t>2.11.1.1</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LB"/>
              <w:jc w:val="right"/>
              <w:rPr>
                <w:rFonts w:ascii="Verdana" w:eastAsia="Verdana" w:hAnsi="Verdana" w:cs="Verdana"/>
                <w:i/>
                <w:noProof/>
                <w:color w:val="000000"/>
                <w:sz w:val="18"/>
              </w:rPr>
            </w:pPr>
            <w:r>
              <w:rPr>
                <w:rFonts w:ascii="Verdana" w:hAnsi="Verdana"/>
                <w:i/>
                <w:noProof/>
                <w:color w:val="000000"/>
                <w:sz w:val="18"/>
              </w:rPr>
              <w:t>93 192</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LB"/>
              <w:jc w:val="right"/>
              <w:rPr>
                <w:rFonts w:ascii="Verdana" w:eastAsia="Verdana" w:hAnsi="Verdana" w:cs="Verdana"/>
                <w:i/>
                <w:noProof/>
                <w:color w:val="000000"/>
                <w:sz w:val="18"/>
              </w:rPr>
            </w:pPr>
            <w:r>
              <w:rPr>
                <w:rFonts w:ascii="Verdana" w:hAnsi="Verdana"/>
                <w:i/>
                <w:noProof/>
                <w:color w:val="000000"/>
                <w:sz w:val="18"/>
              </w:rPr>
              <w:t>52 564</w:t>
            </w:r>
          </w:p>
        </w:tc>
      </w:tr>
      <w:tr>
        <w:trPr>
          <w:trHeight w:val="255"/>
        </w:trPr>
        <w:tc>
          <w:tcPr>
            <w:tcW w:w="536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5BIPFLB"/>
              <w:rPr>
                <w:rFonts w:ascii="Verdana" w:eastAsia="Verdana" w:hAnsi="Verdana" w:cs="Verdana"/>
                <w:i/>
                <w:noProof/>
                <w:color w:val="000000"/>
                <w:sz w:val="18"/>
              </w:rPr>
            </w:pPr>
            <w:r>
              <w:rPr>
                <w:rFonts w:ascii="Verdana" w:hAnsi="Verdana"/>
                <w:i/>
                <w:noProof/>
                <w:color w:val="000000"/>
                <w:sz w:val="18"/>
              </w:rPr>
              <w:t>Други финансови пасиви</w:t>
            </w:r>
          </w:p>
        </w:tc>
        <w:tc>
          <w:tcPr>
            <w:tcW w:w="146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5BIPFLB"/>
              <w:jc w:val="center"/>
              <w:rPr>
                <w:rFonts w:ascii="Verdana" w:eastAsia="Verdana" w:hAnsi="Verdana" w:cs="Verdana"/>
                <w:i/>
                <w:noProof/>
                <w:color w:val="000000"/>
                <w:sz w:val="18"/>
              </w:rPr>
            </w:pPr>
            <w:r>
              <w:rPr>
                <w:rFonts w:ascii="Verdana" w:hAnsi="Verdana"/>
                <w:i/>
                <w:noProof/>
                <w:color w:val="000000"/>
                <w:sz w:val="18"/>
              </w:rPr>
              <w:t>2.11.1.2</w:t>
            </w:r>
          </w:p>
        </w:tc>
        <w:tc>
          <w:tcPr>
            <w:tcW w:w="146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5BIPFLB"/>
              <w:jc w:val="right"/>
              <w:rPr>
                <w:rFonts w:ascii="Verdana" w:eastAsia="Verdana" w:hAnsi="Verdana" w:cs="Verdana"/>
                <w:i/>
                <w:noProof/>
                <w:color w:val="000000"/>
                <w:sz w:val="18"/>
              </w:rPr>
            </w:pPr>
            <w:r>
              <w:rPr>
                <w:rFonts w:ascii="Verdana" w:hAnsi="Verdana"/>
                <w:i/>
                <w:noProof/>
                <w:color w:val="000000"/>
                <w:sz w:val="18"/>
              </w:rPr>
              <w:t>1 761</w:t>
            </w:r>
          </w:p>
        </w:tc>
        <w:tc>
          <w:tcPr>
            <w:tcW w:w="146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5BIPFLB"/>
              <w:jc w:val="right"/>
              <w:rPr>
                <w:rFonts w:ascii="Verdana" w:eastAsia="Verdana" w:hAnsi="Verdana" w:cs="Verdana"/>
                <w:i/>
                <w:noProof/>
                <w:color w:val="000000"/>
                <w:sz w:val="18"/>
              </w:rPr>
            </w:pPr>
            <w:r>
              <w:rPr>
                <w:rFonts w:ascii="Verdana" w:hAnsi="Verdana"/>
                <w:i/>
                <w:noProof/>
                <w:color w:val="000000"/>
                <w:sz w:val="18"/>
              </w:rPr>
              <w:t>1 921</w:t>
            </w:r>
          </w:p>
        </w:tc>
      </w:tr>
      <w:tr>
        <w:trPr>
          <w:trHeight w:val="255"/>
        </w:trPr>
        <w:tc>
          <w:tcPr>
            <w:tcW w:w="53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5BIPFLB"/>
              <w:rPr>
                <w:rFonts w:ascii="Verdana" w:eastAsia="Verdana" w:hAnsi="Verdana" w:cs="Verdana"/>
                <w:b/>
                <w:noProof/>
                <w:color w:val="000000"/>
                <w:sz w:val="18"/>
              </w:rPr>
            </w:pPr>
            <w:r>
              <w:rPr>
                <w:rFonts w:ascii="Verdana" w:hAnsi="Verdana"/>
                <w:b/>
                <w:noProof/>
                <w:color w:val="000000"/>
                <w:sz w:val="18"/>
              </w:rPr>
              <w:t>Общо</w:t>
            </w:r>
          </w:p>
        </w:tc>
        <w:tc>
          <w:tcPr>
            <w:tcW w:w="14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5BIPFLB"/>
              <w:jc w:val="center"/>
              <w:rPr>
                <w:rFonts w:ascii="Verdana" w:eastAsia="Verdana" w:hAnsi="Verdana" w:cs="Verdana"/>
                <w:noProof/>
                <w:color w:val="000000"/>
                <w:sz w:val="18"/>
              </w:rPr>
            </w:pPr>
          </w:p>
        </w:tc>
        <w:tc>
          <w:tcPr>
            <w:tcW w:w="14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5BIPFLB"/>
              <w:jc w:val="right"/>
              <w:rPr>
                <w:rFonts w:ascii="Verdana" w:eastAsia="Verdana" w:hAnsi="Verdana" w:cs="Verdana"/>
                <w:b/>
                <w:noProof/>
                <w:color w:val="000000"/>
                <w:sz w:val="18"/>
              </w:rPr>
            </w:pPr>
            <w:r>
              <w:rPr>
                <w:rFonts w:ascii="Verdana" w:hAnsi="Verdana"/>
                <w:b/>
                <w:noProof/>
                <w:color w:val="000000"/>
                <w:sz w:val="18"/>
              </w:rPr>
              <w:t>94 954</w:t>
            </w:r>
          </w:p>
        </w:tc>
        <w:tc>
          <w:tcPr>
            <w:tcW w:w="146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5BIPFLB"/>
              <w:jc w:val="right"/>
              <w:rPr>
                <w:rFonts w:ascii="Verdana" w:eastAsia="Verdana" w:hAnsi="Verdana" w:cs="Verdana"/>
                <w:b/>
                <w:noProof/>
                <w:color w:val="000000"/>
                <w:sz w:val="18"/>
              </w:rPr>
            </w:pPr>
            <w:r>
              <w:rPr>
                <w:rFonts w:ascii="Verdana" w:hAnsi="Verdana"/>
                <w:b/>
                <w:noProof/>
                <w:color w:val="000000"/>
                <w:sz w:val="18"/>
              </w:rPr>
              <w:t>54 485</w:t>
            </w:r>
          </w:p>
        </w:tc>
      </w:tr>
      <w:tr>
        <w:trPr>
          <w:trHeight w:val="255"/>
        </w:trPr>
        <w:tc>
          <w:tcPr>
            <w:tcW w:w="536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5BIPFLB"/>
              <w:rPr>
                <w:rFonts w:ascii="Verdana" w:eastAsia="Verdana" w:hAnsi="Verdana" w:cs="Verdana"/>
                <w:i/>
                <w:noProof/>
                <w:color w:val="016794"/>
                <w:sz w:val="18"/>
              </w:rPr>
            </w:pPr>
            <w:r>
              <w:rPr>
                <w:rFonts w:ascii="Verdana" w:hAnsi="Verdana"/>
                <w:i/>
                <w:noProof/>
                <w:color w:val="016794"/>
                <w:sz w:val="18"/>
              </w:rPr>
              <w:t>Нетекущи</w:t>
            </w:r>
          </w:p>
        </w:tc>
        <w:tc>
          <w:tcPr>
            <w:tcW w:w="146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5BIPFLB"/>
              <w:jc w:val="center"/>
              <w:rPr>
                <w:rFonts w:ascii="Verdana" w:eastAsia="Verdana" w:hAnsi="Verdana" w:cs="Verdana"/>
                <w:i/>
                <w:noProof/>
                <w:color w:val="016794"/>
                <w:sz w:val="18"/>
              </w:rPr>
            </w:pPr>
          </w:p>
        </w:tc>
        <w:tc>
          <w:tcPr>
            <w:tcW w:w="146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5BIPFLB"/>
              <w:jc w:val="right"/>
              <w:rPr>
                <w:rFonts w:ascii="Verdana" w:eastAsia="Verdana" w:hAnsi="Verdana" w:cs="Verdana"/>
                <w:i/>
                <w:noProof/>
                <w:color w:val="016794"/>
                <w:sz w:val="18"/>
              </w:rPr>
            </w:pPr>
            <w:r>
              <w:rPr>
                <w:rFonts w:ascii="Verdana" w:hAnsi="Verdana"/>
                <w:i/>
                <w:noProof/>
                <w:color w:val="016794"/>
                <w:sz w:val="18"/>
              </w:rPr>
              <w:t>84 395</w:t>
            </w:r>
          </w:p>
        </w:tc>
        <w:tc>
          <w:tcPr>
            <w:tcW w:w="146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5BIPFLB"/>
              <w:jc w:val="right"/>
              <w:rPr>
                <w:rFonts w:ascii="Verdana" w:eastAsia="Verdana" w:hAnsi="Verdana" w:cs="Verdana"/>
                <w:i/>
                <w:noProof/>
                <w:color w:val="016794"/>
                <w:sz w:val="18"/>
              </w:rPr>
            </w:pPr>
            <w:r>
              <w:rPr>
                <w:rFonts w:ascii="Verdana" w:hAnsi="Verdana"/>
                <w:i/>
                <w:noProof/>
                <w:color w:val="016794"/>
                <w:sz w:val="18"/>
              </w:rPr>
              <w:t>53 062</w:t>
            </w:r>
          </w:p>
        </w:tc>
      </w:tr>
      <w:tr>
        <w:trPr>
          <w:trHeight w:val="255"/>
        </w:trPr>
        <w:tc>
          <w:tcPr>
            <w:tcW w:w="5366" w:type="dxa"/>
            <w:tcBorders>
              <w:top w:val="nil"/>
              <w:left w:val="nil"/>
              <w:bottom w:val="nil"/>
              <w:right w:val="nil"/>
              <w:tl2br w:val="nil"/>
              <w:tr2bl w:val="nil"/>
            </w:tcBorders>
            <w:shd w:val="clear" w:color="auto" w:fill="auto"/>
            <w:tcMar>
              <w:left w:w="60" w:type="dxa"/>
              <w:right w:w="60" w:type="dxa"/>
            </w:tcMar>
            <w:vAlign w:val="center"/>
          </w:tcPr>
          <w:p>
            <w:pPr>
              <w:pStyle w:val="DMETW19885BIPFLB"/>
              <w:rPr>
                <w:rFonts w:ascii="Verdana" w:eastAsia="Verdana" w:hAnsi="Verdana" w:cs="Verdana"/>
                <w:i/>
                <w:noProof/>
                <w:color w:val="016794"/>
                <w:sz w:val="18"/>
              </w:rPr>
            </w:pPr>
            <w:r>
              <w:rPr>
                <w:rFonts w:ascii="Verdana" w:hAnsi="Verdana"/>
                <w:i/>
                <w:noProof/>
                <w:color w:val="016794"/>
                <w:sz w:val="18"/>
              </w:rPr>
              <w:t>Текущи</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LB"/>
              <w:jc w:val="center"/>
              <w:rPr>
                <w:rFonts w:ascii="Verdana" w:eastAsia="Verdana" w:hAnsi="Verdana" w:cs="Verdana"/>
                <w:i/>
                <w:noProof/>
                <w:color w:val="016794"/>
                <w:sz w:val="18"/>
              </w:rPr>
            </w:pP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LB"/>
              <w:jc w:val="right"/>
              <w:rPr>
                <w:rFonts w:ascii="Verdana" w:eastAsia="Verdana" w:hAnsi="Verdana" w:cs="Verdana"/>
                <w:i/>
                <w:noProof/>
                <w:color w:val="016794"/>
                <w:sz w:val="18"/>
              </w:rPr>
            </w:pPr>
            <w:r>
              <w:rPr>
                <w:rFonts w:ascii="Verdana" w:hAnsi="Verdana"/>
                <w:i/>
                <w:noProof/>
                <w:color w:val="016794"/>
                <w:sz w:val="18"/>
              </w:rPr>
              <w:t>10 559</w:t>
            </w:r>
          </w:p>
        </w:tc>
        <w:tc>
          <w:tcPr>
            <w:tcW w:w="1464" w:type="dxa"/>
            <w:tcBorders>
              <w:top w:val="nil"/>
              <w:left w:val="nil"/>
              <w:bottom w:val="nil"/>
              <w:right w:val="nil"/>
              <w:tl2br w:val="nil"/>
              <w:tr2bl w:val="nil"/>
            </w:tcBorders>
            <w:shd w:val="clear" w:color="auto" w:fill="auto"/>
            <w:tcMar>
              <w:left w:w="60" w:type="dxa"/>
              <w:right w:w="60" w:type="dxa"/>
            </w:tcMar>
            <w:vAlign w:val="center"/>
          </w:tcPr>
          <w:p>
            <w:pPr>
              <w:pStyle w:val="DMETW19885BIPFLB"/>
              <w:jc w:val="right"/>
              <w:rPr>
                <w:rFonts w:ascii="Verdana" w:eastAsia="Verdana" w:hAnsi="Verdana" w:cs="Verdana"/>
                <w:i/>
                <w:noProof/>
                <w:color w:val="016794"/>
                <w:sz w:val="18"/>
              </w:rPr>
            </w:pPr>
            <w:r>
              <w:rPr>
                <w:rFonts w:ascii="Verdana" w:hAnsi="Verdana"/>
                <w:i/>
                <w:noProof/>
                <w:color w:val="016794"/>
                <w:sz w:val="18"/>
              </w:rPr>
              <w:t>1 423</w:t>
            </w:r>
          </w:p>
        </w:tc>
      </w:tr>
    </w:tbl>
    <w:p>
      <w:pPr>
        <w:pStyle w:val="HEADER4NOTES"/>
        <w:rPr>
          <w:noProof/>
        </w:rPr>
      </w:pPr>
      <w:r>
        <w:rPr>
          <w:noProof/>
        </w:rPr>
        <w:t>Получени заеми за финансова помощ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826"/>
        <w:gridCol w:w="1100"/>
        <w:gridCol w:w="1068"/>
        <w:gridCol w:w="1068"/>
        <w:gridCol w:w="1405"/>
        <w:gridCol w:w="1072"/>
      </w:tblGrid>
      <w:tr>
        <w:trPr>
          <w:trHeight w:val="255"/>
        </w:trPr>
        <w:tc>
          <w:tcPr>
            <w:tcW w:w="3219" w:type="dxa"/>
            <w:tcBorders>
              <w:top w:val="nil"/>
              <w:left w:val="nil"/>
              <w:bottom w:val="nil"/>
              <w:right w:val="nil"/>
              <w:tl2br w:val="nil"/>
              <w:tr2bl w:val="nil"/>
            </w:tcBorders>
            <w:shd w:val="clear" w:color="auto" w:fill="auto"/>
            <w:tcMar>
              <w:left w:w="60" w:type="dxa"/>
              <w:right w:w="60" w:type="dxa"/>
            </w:tcMar>
            <w:vAlign w:val="bottom"/>
          </w:tcPr>
          <w:p>
            <w:pPr>
              <w:pStyle w:val="DMETW19885BIPLGFBF"/>
              <w:rPr>
                <w:rFonts w:ascii="Arial" w:eastAsia="Arial" w:hAnsi="Arial" w:cs="Arial"/>
                <w:noProof/>
                <w:color w:val="000000"/>
              </w:rPr>
            </w:pPr>
            <w:bookmarkStart w:id="144" w:name="DOC_TBL00052_1_1"/>
            <w:bookmarkEnd w:id="144"/>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9885BIPLGFBF"/>
              <w:rPr>
                <w:rFonts w:ascii="Arial" w:eastAsia="Arial" w:hAnsi="Arial" w:cs="Arial"/>
                <w:noProof/>
                <w:color w:val="000000"/>
              </w:rPr>
            </w:pP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9885BIPLGFBF"/>
              <w:rPr>
                <w:rFonts w:ascii="Arial" w:eastAsia="Arial" w:hAnsi="Arial" w:cs="Arial"/>
                <w:noProof/>
                <w:color w:val="000000"/>
              </w:rPr>
            </w:pP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rPr>
                <w:rFonts w:ascii="Arial" w:eastAsia="Arial" w:hAnsi="Arial" w:cs="Arial"/>
                <w:noProof/>
                <w:color w:val="000000"/>
              </w:rPr>
            </w:pP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rPr>
                <w:rFonts w:ascii="Arial" w:eastAsia="Arial" w:hAnsi="Arial" w:cs="Arial"/>
                <w:noProof/>
                <w:color w:val="000000"/>
              </w:rPr>
            </w:pP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9885BIPLGFBF"/>
              <w:rPr>
                <w:rFonts w:ascii="Arial" w:eastAsia="Arial" w:hAnsi="Arial" w:cs="Arial"/>
                <w:noProof/>
                <w:color w:val="000000"/>
              </w:rPr>
            </w:pP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219" w:type="dxa"/>
            <w:tcBorders>
              <w:top w:val="nil"/>
              <w:left w:val="nil"/>
              <w:bottom w:val="nil"/>
              <w:right w:val="nil"/>
              <w:tl2br w:val="nil"/>
              <w:tr2bl w:val="nil"/>
            </w:tcBorders>
            <w:shd w:val="solid" w:color="016794" w:fill="FFFFFF"/>
            <w:tcMar>
              <w:left w:w="60" w:type="dxa"/>
              <w:right w:w="60" w:type="dxa"/>
            </w:tcMar>
            <w:vAlign w:val="center"/>
          </w:tcPr>
          <w:p>
            <w:pPr>
              <w:pStyle w:val="DMETW19885BIPLGFBF"/>
              <w:jc w:val="right"/>
              <w:rPr>
                <w:rFonts w:ascii="Verdana" w:eastAsia="Verdana" w:hAnsi="Verdana" w:cs="Verdana"/>
                <w:noProof/>
                <w:color w:val="FFFFFF"/>
              </w:rPr>
            </w:pPr>
          </w:p>
        </w:tc>
        <w:tc>
          <w:tcPr>
            <w:tcW w:w="826" w:type="dxa"/>
            <w:tcBorders>
              <w:top w:val="nil"/>
              <w:left w:val="nil"/>
              <w:bottom w:val="nil"/>
              <w:right w:val="nil"/>
              <w:tl2br w:val="nil"/>
              <w:tr2bl w:val="nil"/>
            </w:tcBorders>
            <w:shd w:val="solid" w:color="016794" w:fill="FFFFFF"/>
            <w:tcMar>
              <w:left w:w="60" w:type="dxa"/>
              <w:right w:w="60" w:type="dxa"/>
            </w:tcMar>
            <w:vAlign w:val="center"/>
          </w:tcPr>
          <w:p>
            <w:pPr>
              <w:pStyle w:val="DMETW19885BIPLGFBF"/>
              <w:jc w:val="right"/>
              <w:rPr>
                <w:rFonts w:ascii="Verdana" w:eastAsia="Verdana" w:hAnsi="Verdana" w:cs="Verdana"/>
                <w:noProof/>
                <w:color w:val="FFFFFF"/>
                <w:sz w:val="18"/>
              </w:rPr>
            </w:pPr>
            <w:r>
              <w:rPr>
                <w:rFonts w:ascii="Verdana" w:hAnsi="Verdana"/>
                <w:noProof/>
                <w:color w:val="FFFFFF"/>
                <w:sz w:val="18"/>
              </w:rPr>
              <w:t>ЕМФС</w:t>
            </w:r>
          </w:p>
        </w:tc>
        <w:tc>
          <w:tcPr>
            <w:tcW w:w="1100" w:type="dxa"/>
            <w:tcBorders>
              <w:top w:val="nil"/>
              <w:left w:val="nil"/>
              <w:bottom w:val="nil"/>
              <w:right w:val="nil"/>
              <w:tl2br w:val="nil"/>
              <w:tr2bl w:val="nil"/>
            </w:tcBorders>
            <w:shd w:val="solid" w:color="016794" w:fill="FFFFFF"/>
            <w:tcMar>
              <w:left w:w="60" w:type="dxa"/>
              <w:right w:w="60" w:type="dxa"/>
            </w:tcMar>
            <w:vAlign w:val="center"/>
          </w:tcPr>
          <w:p>
            <w:pPr>
              <w:pStyle w:val="DMETW19885BIPLGFBF"/>
              <w:jc w:val="right"/>
              <w:rPr>
                <w:rFonts w:ascii="Verdana" w:eastAsia="Verdana" w:hAnsi="Verdana" w:cs="Verdana"/>
                <w:noProof/>
                <w:color w:val="FFFFFF"/>
                <w:sz w:val="18"/>
              </w:rPr>
            </w:pPr>
            <w:r>
              <w:rPr>
                <w:rFonts w:ascii="Verdana" w:hAnsi="Verdana"/>
                <w:noProof/>
                <w:color w:val="FFFFFF"/>
                <w:sz w:val="18"/>
              </w:rPr>
              <w:t>SURE</w:t>
            </w:r>
          </w:p>
        </w:tc>
        <w:tc>
          <w:tcPr>
            <w:tcW w:w="1068" w:type="dxa"/>
            <w:tcBorders>
              <w:top w:val="nil"/>
              <w:left w:val="nil"/>
              <w:bottom w:val="nil"/>
              <w:right w:val="nil"/>
              <w:tl2br w:val="nil"/>
              <w:tr2bl w:val="nil"/>
            </w:tcBorders>
            <w:shd w:val="solid" w:color="016794" w:fill="FFFFFF"/>
            <w:tcMar>
              <w:left w:w="60" w:type="dxa"/>
              <w:right w:w="60" w:type="dxa"/>
            </w:tcMar>
            <w:vAlign w:val="center"/>
          </w:tcPr>
          <w:p>
            <w:pPr>
              <w:pStyle w:val="DMETW19885BIPLGFBF"/>
              <w:jc w:val="right"/>
              <w:rPr>
                <w:rFonts w:ascii="Verdana" w:eastAsia="Verdana" w:hAnsi="Verdana" w:cs="Verdana"/>
                <w:noProof/>
                <w:color w:val="FFFFFF"/>
                <w:sz w:val="18"/>
              </w:rPr>
            </w:pPr>
            <w:r>
              <w:rPr>
                <w:rFonts w:ascii="Verdana" w:hAnsi="Verdana"/>
                <w:noProof/>
                <w:color w:val="FFFFFF"/>
                <w:sz w:val="18"/>
              </w:rPr>
              <w:t>ПБ</w:t>
            </w:r>
          </w:p>
        </w:tc>
        <w:tc>
          <w:tcPr>
            <w:tcW w:w="1068" w:type="dxa"/>
            <w:tcBorders>
              <w:top w:val="nil"/>
              <w:left w:val="nil"/>
              <w:bottom w:val="nil"/>
              <w:right w:val="nil"/>
              <w:tl2br w:val="nil"/>
              <w:tr2bl w:val="nil"/>
            </w:tcBorders>
            <w:shd w:val="solid" w:color="016794" w:fill="FFFFFF"/>
            <w:tcMar>
              <w:left w:w="60" w:type="dxa"/>
              <w:right w:w="60" w:type="dxa"/>
            </w:tcMar>
            <w:vAlign w:val="center"/>
          </w:tcPr>
          <w:p>
            <w:pPr>
              <w:pStyle w:val="DMETW19885BIPLGFBF"/>
              <w:jc w:val="right"/>
              <w:rPr>
                <w:rFonts w:ascii="Verdana" w:eastAsia="Verdana" w:hAnsi="Verdana" w:cs="Verdana"/>
                <w:noProof/>
                <w:color w:val="FFFFFF"/>
                <w:sz w:val="18"/>
              </w:rPr>
            </w:pPr>
            <w:r>
              <w:rPr>
                <w:rFonts w:ascii="Verdana" w:hAnsi="Verdana"/>
                <w:noProof/>
                <w:color w:val="FFFFFF"/>
                <w:sz w:val="18"/>
              </w:rPr>
              <w:t>МФП</w:t>
            </w:r>
          </w:p>
        </w:tc>
        <w:tc>
          <w:tcPr>
            <w:tcW w:w="1405" w:type="dxa"/>
            <w:tcBorders>
              <w:top w:val="nil"/>
              <w:left w:val="nil"/>
              <w:bottom w:val="nil"/>
              <w:right w:val="nil"/>
              <w:tl2br w:val="nil"/>
              <w:tr2bl w:val="nil"/>
            </w:tcBorders>
            <w:shd w:val="solid" w:color="016794" w:fill="FFFFFF"/>
            <w:tcMar>
              <w:left w:w="60" w:type="dxa"/>
              <w:right w:w="60" w:type="dxa"/>
            </w:tcMar>
            <w:vAlign w:val="center"/>
          </w:tcPr>
          <w:p>
            <w:pPr>
              <w:pStyle w:val="DMETW19885BIPLGFBF"/>
              <w:jc w:val="right"/>
              <w:rPr>
                <w:rFonts w:ascii="Verdana" w:eastAsia="Verdana" w:hAnsi="Verdana" w:cs="Verdana"/>
                <w:noProof/>
                <w:color w:val="FFFFFF"/>
                <w:sz w:val="18"/>
              </w:rPr>
            </w:pPr>
            <w:r>
              <w:rPr>
                <w:rFonts w:ascii="Verdana" w:hAnsi="Verdana"/>
                <w:noProof/>
                <w:color w:val="FFFFFF"/>
                <w:sz w:val="18"/>
              </w:rPr>
              <w:t>Евратом</w:t>
            </w:r>
          </w:p>
        </w:tc>
        <w:tc>
          <w:tcPr>
            <w:tcW w:w="1072" w:type="dxa"/>
            <w:tcBorders>
              <w:top w:val="nil"/>
              <w:left w:val="nil"/>
              <w:bottom w:val="nil"/>
              <w:right w:val="nil"/>
              <w:tl2br w:val="nil"/>
              <w:tr2bl w:val="nil"/>
            </w:tcBorders>
            <w:shd w:val="solid" w:color="016794" w:fill="FFFFFF"/>
            <w:tcMar>
              <w:left w:w="60" w:type="dxa"/>
              <w:right w:w="60" w:type="dxa"/>
            </w:tcMar>
            <w:vAlign w:val="center"/>
          </w:tcPr>
          <w:p>
            <w:pPr>
              <w:pStyle w:val="DMETW19885BIPLGFBF"/>
              <w:jc w:val="right"/>
              <w:rPr>
                <w:rFonts w:ascii="Verdana" w:eastAsia="Verdana" w:hAnsi="Verdana" w:cs="Verdana"/>
                <w:noProof/>
                <w:color w:val="FFFFFF"/>
                <w:sz w:val="18"/>
              </w:rPr>
            </w:pPr>
            <w:r>
              <w:rPr>
                <w:rFonts w:ascii="Verdana" w:hAnsi="Verdana"/>
                <w:noProof/>
                <w:color w:val="FFFFFF"/>
                <w:sz w:val="18"/>
              </w:rPr>
              <w:t>Общо</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9885BIPLGFBF"/>
              <w:rPr>
                <w:rFonts w:ascii="Verdana" w:eastAsia="Verdana" w:hAnsi="Verdana" w:cs="Verdana"/>
                <w:i/>
                <w:noProof/>
                <w:color w:val="000000"/>
                <w:sz w:val="18"/>
              </w:rPr>
            </w:pPr>
            <w:r>
              <w:rPr>
                <w:rFonts w:ascii="Verdana" w:hAnsi="Verdana"/>
                <w:i/>
                <w:noProof/>
                <w:color w:val="000000"/>
                <w:sz w:val="18"/>
              </w:rPr>
              <w:t>Общо към 31.12.2019 г.</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47 394</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201</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4 754</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214</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52 564</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9885BIPLGFBF"/>
              <w:rPr>
                <w:rFonts w:ascii="Verdana" w:eastAsia="Verdana" w:hAnsi="Verdana" w:cs="Verdana"/>
                <w:i/>
                <w:noProof/>
                <w:color w:val="000000"/>
                <w:sz w:val="18"/>
              </w:rPr>
            </w:pPr>
            <w:r>
              <w:rPr>
                <w:rFonts w:ascii="Verdana" w:hAnsi="Verdana"/>
                <w:i/>
                <w:noProof/>
                <w:color w:val="000000"/>
                <w:sz w:val="18"/>
              </w:rPr>
              <w:t>Нови заеми</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39 500</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1 675</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100</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41 275</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9885BIPLGFBF"/>
              <w:rPr>
                <w:rFonts w:ascii="Verdana" w:eastAsia="Verdana" w:hAnsi="Verdana" w:cs="Verdana"/>
                <w:i/>
                <w:noProof/>
                <w:color w:val="000000"/>
                <w:sz w:val="18"/>
              </w:rPr>
            </w:pPr>
            <w:r>
              <w:rPr>
                <w:rFonts w:ascii="Verdana" w:hAnsi="Verdana"/>
                <w:i/>
                <w:noProof/>
                <w:color w:val="000000"/>
                <w:sz w:val="18"/>
              </w:rPr>
              <w:t>Възстановени суми</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(617)</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(35)</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(651)</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9885BIPLGFBF"/>
              <w:rPr>
                <w:rFonts w:ascii="Verdana" w:eastAsia="Verdana" w:hAnsi="Verdana" w:cs="Verdana"/>
                <w:i/>
                <w:noProof/>
                <w:color w:val="000000"/>
                <w:sz w:val="18"/>
              </w:rPr>
            </w:pPr>
            <w:r>
              <w:rPr>
                <w:rFonts w:ascii="Verdana" w:hAnsi="Verdana"/>
                <w:i/>
                <w:noProof/>
                <w:color w:val="000000"/>
                <w:sz w:val="18"/>
              </w:rPr>
              <w:t>Курсови разлики</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32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5BIPLGFBF"/>
              <w:rPr>
                <w:rFonts w:ascii="Verdana" w:eastAsia="Verdana" w:hAnsi="Verdana" w:cs="Verdana"/>
                <w:i/>
                <w:noProof/>
                <w:color w:val="000000"/>
                <w:sz w:val="18"/>
              </w:rPr>
            </w:pPr>
            <w:r>
              <w:rPr>
                <w:rFonts w:ascii="Verdana" w:hAnsi="Verdana"/>
                <w:i/>
                <w:noProof/>
                <w:color w:val="000000"/>
                <w:sz w:val="18"/>
              </w:rPr>
              <w:t>Промени в балансовата стойност</w:t>
            </w:r>
          </w:p>
        </w:tc>
        <w:tc>
          <w:tcPr>
            <w:tcW w:w="826"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2</w:t>
            </w:r>
          </w:p>
        </w:tc>
        <w:tc>
          <w:tcPr>
            <w:tcW w:w="1100"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3</w:t>
            </w:r>
          </w:p>
        </w:tc>
        <w:tc>
          <w:tcPr>
            <w:tcW w:w="106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0</w:t>
            </w:r>
          </w:p>
        </w:tc>
        <w:tc>
          <w:tcPr>
            <w:tcW w:w="1068"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0</w:t>
            </w:r>
          </w:p>
        </w:tc>
        <w:tc>
          <w:tcPr>
            <w:tcW w:w="1405"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(0)</w:t>
            </w:r>
          </w:p>
        </w:tc>
        <w:tc>
          <w:tcPr>
            <w:tcW w:w="1072"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00000"/>
                <w:sz w:val="18"/>
              </w:rPr>
            </w:pPr>
            <w:r>
              <w:rPr>
                <w:rFonts w:ascii="Verdana" w:hAnsi="Verdana"/>
                <w:i/>
                <w:noProof/>
                <w:color w:val="000000"/>
                <w:sz w:val="18"/>
              </w:rPr>
              <w:t xml:space="preserve"> 5</w:t>
            </w:r>
          </w:p>
        </w:tc>
      </w:tr>
      <w:tr>
        <w:trPr>
          <w:trHeight w:val="255"/>
        </w:trPr>
        <w:tc>
          <w:tcPr>
            <w:tcW w:w="32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85BIPLGFBF"/>
              <w:rPr>
                <w:rFonts w:ascii="Verdana" w:eastAsia="Verdana" w:hAnsi="Verdana" w:cs="Verdana"/>
                <w:b/>
                <w:noProof/>
                <w:color w:val="000000"/>
                <w:sz w:val="18"/>
              </w:rPr>
            </w:pPr>
            <w:r>
              <w:rPr>
                <w:rFonts w:ascii="Verdana" w:hAnsi="Verdana"/>
                <w:b/>
                <w:noProof/>
                <w:color w:val="000000"/>
                <w:sz w:val="18"/>
              </w:rPr>
              <w:t>Общо към 31.12.2020 г.</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b/>
                <w:noProof/>
                <w:color w:val="000000"/>
                <w:sz w:val="18"/>
              </w:rPr>
            </w:pPr>
            <w:r>
              <w:rPr>
                <w:rFonts w:ascii="Verdana" w:hAnsi="Verdana"/>
                <w:b/>
                <w:noProof/>
                <w:color w:val="000000"/>
                <w:sz w:val="18"/>
              </w:rPr>
              <w:t>47 396</w:t>
            </w:r>
          </w:p>
        </w:tc>
        <w:tc>
          <w:tcPr>
            <w:tcW w:w="11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b/>
                <w:noProof/>
                <w:color w:val="000000"/>
                <w:sz w:val="18"/>
              </w:rPr>
            </w:pPr>
            <w:r>
              <w:rPr>
                <w:rFonts w:ascii="Verdana" w:hAnsi="Verdana"/>
                <w:b/>
                <w:noProof/>
                <w:color w:val="000000"/>
                <w:sz w:val="18"/>
              </w:rPr>
              <w:t>39 503</w:t>
            </w:r>
          </w:p>
        </w:tc>
        <w:tc>
          <w:tcPr>
            <w:tcW w:w="10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b/>
                <w:noProof/>
                <w:color w:val="000000"/>
                <w:sz w:val="18"/>
              </w:rPr>
            </w:pPr>
            <w:r>
              <w:rPr>
                <w:rFonts w:ascii="Verdana" w:hAnsi="Verdana"/>
                <w:b/>
                <w:noProof/>
                <w:color w:val="000000"/>
                <w:sz w:val="18"/>
              </w:rPr>
              <w:t xml:space="preserve"> 201</w:t>
            </w:r>
          </w:p>
        </w:tc>
        <w:tc>
          <w:tcPr>
            <w:tcW w:w="10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b/>
                <w:noProof/>
                <w:color w:val="000000"/>
                <w:sz w:val="18"/>
              </w:rPr>
            </w:pPr>
            <w:r>
              <w:rPr>
                <w:rFonts w:ascii="Verdana" w:hAnsi="Verdana"/>
                <w:b/>
                <w:noProof/>
                <w:color w:val="000000"/>
                <w:sz w:val="18"/>
              </w:rPr>
              <w:t>5 813</w:t>
            </w:r>
          </w:p>
        </w:tc>
        <w:tc>
          <w:tcPr>
            <w:tcW w:w="14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b/>
                <w:noProof/>
                <w:color w:val="000000"/>
                <w:sz w:val="18"/>
              </w:rPr>
            </w:pPr>
            <w:r>
              <w:rPr>
                <w:rFonts w:ascii="Verdana" w:hAnsi="Verdana"/>
                <w:b/>
                <w:noProof/>
                <w:color w:val="000000"/>
                <w:sz w:val="18"/>
              </w:rPr>
              <w:t xml:space="preserve"> 279</w:t>
            </w:r>
          </w:p>
        </w:tc>
        <w:tc>
          <w:tcPr>
            <w:tcW w:w="1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b/>
                <w:noProof/>
                <w:color w:val="000000"/>
                <w:sz w:val="18"/>
              </w:rPr>
            </w:pPr>
            <w:r>
              <w:rPr>
                <w:rFonts w:ascii="Verdana" w:hAnsi="Verdana"/>
                <w:b/>
                <w:noProof/>
                <w:color w:val="000000"/>
                <w:sz w:val="18"/>
              </w:rPr>
              <w:t>93 192</w:t>
            </w:r>
          </w:p>
        </w:tc>
      </w:tr>
      <w:tr>
        <w:trPr>
          <w:trHeight w:val="255"/>
        </w:trPr>
        <w:tc>
          <w:tcPr>
            <w:tcW w:w="321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5BIPLGFBF"/>
              <w:rPr>
                <w:rFonts w:ascii="Verdana" w:eastAsia="Verdana" w:hAnsi="Verdana" w:cs="Verdana"/>
                <w:i/>
                <w:noProof/>
                <w:color w:val="016794"/>
                <w:sz w:val="18"/>
              </w:rPr>
            </w:pPr>
            <w:r>
              <w:rPr>
                <w:rFonts w:ascii="Verdana" w:hAnsi="Verdana"/>
                <w:i/>
                <w:noProof/>
                <w:color w:val="016794"/>
                <w:sz w:val="18"/>
              </w:rPr>
              <w:t>Нетекущи</w:t>
            </w:r>
          </w:p>
        </w:tc>
        <w:tc>
          <w:tcPr>
            <w:tcW w:w="826"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37 050</w:t>
            </w:r>
          </w:p>
        </w:tc>
        <w:tc>
          <w:tcPr>
            <w:tcW w:w="1100"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39 500</w:t>
            </w:r>
          </w:p>
        </w:tc>
        <w:tc>
          <w:tcPr>
            <w:tcW w:w="1068"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 xml:space="preserve"> 200</w:t>
            </w:r>
          </w:p>
        </w:tc>
        <w:tc>
          <w:tcPr>
            <w:tcW w:w="1068"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5 783</w:t>
            </w:r>
          </w:p>
        </w:tc>
        <w:tc>
          <w:tcPr>
            <w:tcW w:w="1405"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 xml:space="preserve"> 250</w:t>
            </w:r>
          </w:p>
        </w:tc>
        <w:tc>
          <w:tcPr>
            <w:tcW w:w="1072"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82 782</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9885BIPLGFBF"/>
              <w:rPr>
                <w:rFonts w:ascii="Verdana" w:eastAsia="Verdana" w:hAnsi="Verdana" w:cs="Verdana"/>
                <w:i/>
                <w:noProof/>
                <w:color w:val="016794"/>
                <w:sz w:val="18"/>
              </w:rPr>
            </w:pPr>
            <w:r>
              <w:rPr>
                <w:rFonts w:ascii="Verdana" w:hAnsi="Verdana"/>
                <w:i/>
                <w:noProof/>
                <w:color w:val="016794"/>
                <w:sz w:val="18"/>
              </w:rPr>
              <w:t>Текущи</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10 346</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 xml:space="preserve"> 3</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 xml:space="preserve"> 1</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 xml:space="preserve"> 30</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 xml:space="preserve"> 29</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9885BIPLGFBF"/>
              <w:jc w:val="right"/>
              <w:rPr>
                <w:rFonts w:ascii="Verdana" w:eastAsia="Verdana" w:hAnsi="Verdana" w:cs="Verdana"/>
                <w:i/>
                <w:noProof/>
                <w:color w:val="016794"/>
                <w:sz w:val="18"/>
              </w:rPr>
            </w:pPr>
            <w:r>
              <w:rPr>
                <w:rFonts w:ascii="Verdana" w:hAnsi="Verdana"/>
                <w:i/>
                <w:noProof/>
                <w:color w:val="016794"/>
                <w:sz w:val="18"/>
              </w:rPr>
              <w:t>10 410</w:t>
            </w:r>
          </w:p>
        </w:tc>
      </w:tr>
    </w:tbl>
    <w:p>
      <w:pPr>
        <w:pStyle w:val="Textstand-alone"/>
      </w:pPr>
      <w:r>
        <w:t>Получените заеми включват предимно дългове, удостоверени със сертификати и възлизащи на 92</w:t>
      </w:r>
      <w:r>
        <w:rPr>
          <w:lang w:val="en-GB"/>
        </w:rPr>
        <w:t> </w:t>
      </w:r>
      <w:r>
        <w:t>415 милиона евро (2019 г.: 52 433 милиона евро). Промените в балансовата стойност съответстват на промяната в начислените лихви.</w:t>
      </w:r>
    </w:p>
    <w:p>
      <w:pPr>
        <w:pStyle w:val="Textstand-alone"/>
        <w:spacing w:after="360"/>
      </w:pPr>
      <w:r>
        <w:t>Погасяването на горепосочените получени заеми в крайна сметка се гарантира от бюджета на ЕС (вж. бележка </w:t>
      </w:r>
      <w:r>
        <w:rPr>
          <w:b/>
        </w:rPr>
        <w:t>4.1.2</w:t>
      </w:r>
      <w:r>
        <w:t>), т.е. от всяка държава членка.</w:t>
      </w:r>
    </w:p>
    <w:p>
      <w:pPr>
        <w:pStyle w:val="HEADER5"/>
        <w:spacing w:after="360"/>
        <w:rPr>
          <w:noProof/>
        </w:rPr>
      </w:pPr>
      <w:r>
        <w:rPr>
          <w:noProof/>
        </w:rPr>
        <w:br w:type="page"/>
        <w:t>Ефективни лихвени проценти за получените заеми (изразени като лихвен диапазон)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4"/>
        <w:gridCol w:w="2067"/>
        <w:gridCol w:w="2067"/>
      </w:tblGrid>
      <w:tr>
        <w:trPr>
          <w:trHeight w:val="255"/>
        </w:trPr>
        <w:tc>
          <w:tcPr>
            <w:tcW w:w="5624" w:type="dxa"/>
            <w:tcBorders>
              <w:top w:val="nil"/>
              <w:left w:val="nil"/>
              <w:bottom w:val="nil"/>
              <w:right w:val="nil"/>
              <w:tl2br w:val="nil"/>
              <w:tr2bl w:val="nil"/>
            </w:tcBorders>
            <w:shd w:val="solid" w:color="016794" w:fill="FFFFFF"/>
            <w:tcMar>
              <w:left w:w="60" w:type="dxa"/>
              <w:right w:w="60" w:type="dxa"/>
            </w:tcMar>
            <w:vAlign w:val="center"/>
          </w:tcPr>
          <w:p>
            <w:pPr>
              <w:pStyle w:val="DMETW19885BIPBORR3"/>
              <w:jc w:val="right"/>
              <w:rPr>
                <w:rFonts w:ascii="Verdana" w:eastAsia="Verdana" w:hAnsi="Verdana" w:cs="Verdana"/>
                <w:noProof/>
                <w:color w:val="FFFFFF"/>
              </w:rPr>
            </w:pPr>
            <w:bookmarkStart w:id="145" w:name="DOC_TBL00053_1_1"/>
            <w:bookmarkEnd w:id="145"/>
          </w:p>
        </w:tc>
        <w:tc>
          <w:tcPr>
            <w:tcW w:w="2067" w:type="dxa"/>
            <w:tcBorders>
              <w:top w:val="nil"/>
              <w:left w:val="nil"/>
              <w:bottom w:val="nil"/>
              <w:right w:val="nil"/>
              <w:tl2br w:val="nil"/>
              <w:tr2bl w:val="nil"/>
            </w:tcBorders>
            <w:shd w:val="solid" w:color="016794" w:fill="FFFFFF"/>
            <w:tcMar>
              <w:left w:w="60" w:type="dxa"/>
              <w:right w:w="60" w:type="dxa"/>
            </w:tcMar>
            <w:vAlign w:val="center"/>
          </w:tcPr>
          <w:p>
            <w:pPr>
              <w:pStyle w:val="DMETW19885BIPBORR3"/>
              <w:jc w:val="right"/>
              <w:rPr>
                <w:rFonts w:ascii="Verdana" w:eastAsia="Verdana" w:hAnsi="Verdana" w:cs="Verdana"/>
                <w:noProof/>
                <w:color w:val="FFFFFF"/>
              </w:rPr>
            </w:pPr>
            <w:r>
              <w:rPr>
                <w:rFonts w:ascii="Verdana" w:hAnsi="Verdana"/>
                <w:noProof/>
                <w:color w:val="FFFFFF"/>
              </w:rPr>
              <w:t>31.12.2020 г.</w:t>
            </w:r>
          </w:p>
        </w:tc>
        <w:tc>
          <w:tcPr>
            <w:tcW w:w="2067" w:type="dxa"/>
            <w:tcBorders>
              <w:top w:val="nil"/>
              <w:left w:val="nil"/>
              <w:bottom w:val="nil"/>
              <w:right w:val="nil"/>
              <w:tl2br w:val="nil"/>
              <w:tr2bl w:val="nil"/>
            </w:tcBorders>
            <w:shd w:val="solid" w:color="016794" w:fill="FFFFFF"/>
            <w:tcMar>
              <w:left w:w="60" w:type="dxa"/>
              <w:right w:w="60" w:type="dxa"/>
            </w:tcMar>
            <w:vAlign w:val="center"/>
          </w:tcPr>
          <w:p>
            <w:pPr>
              <w:pStyle w:val="DMETW19885BIPBORR3"/>
              <w:jc w:val="right"/>
              <w:rPr>
                <w:rFonts w:ascii="Verdana" w:eastAsia="Verdana" w:hAnsi="Verdana" w:cs="Verdana"/>
                <w:noProof/>
                <w:color w:val="FFFFFF"/>
              </w:rPr>
            </w:pPr>
            <w:r>
              <w:rPr>
                <w:rFonts w:ascii="Verdana" w:hAnsi="Verdana"/>
                <w:noProof/>
                <w:color w:val="FFFFFF"/>
              </w:rPr>
              <w:t>31.12.2019 г.</w:t>
            </w:r>
          </w:p>
        </w:tc>
      </w:tr>
      <w:tr>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pPr>
              <w:pStyle w:val="DMETW19885BIPBORR3"/>
              <w:rPr>
                <w:rFonts w:ascii="Verdana" w:eastAsia="Verdana" w:hAnsi="Verdana" w:cs="Verdana"/>
                <w:i/>
                <w:noProof/>
                <w:color w:val="000000"/>
                <w:sz w:val="18"/>
              </w:rPr>
            </w:pPr>
            <w:r>
              <w:rPr>
                <w:rFonts w:ascii="Verdana" w:hAnsi="Verdana"/>
                <w:i/>
                <w:noProof/>
                <w:color w:val="000000"/>
                <w:sz w:val="18"/>
              </w:rPr>
              <w:t>Европейски механизъм за финансово стабилизиране (ЕМФС)</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9885BIPBORR3"/>
              <w:jc w:val="right"/>
              <w:rPr>
                <w:rFonts w:ascii="Verdana" w:eastAsia="Verdana" w:hAnsi="Verdana" w:cs="Verdana"/>
                <w:i/>
                <w:noProof/>
                <w:color w:val="000000"/>
                <w:sz w:val="18"/>
              </w:rPr>
            </w:pPr>
            <w:r>
              <w:rPr>
                <w:rFonts w:ascii="Verdana" w:hAnsi="Verdana"/>
                <w:i/>
                <w:noProof/>
                <w:color w:val="000000"/>
                <w:sz w:val="18"/>
              </w:rPr>
              <w:t>0,50 % — 3,75 %</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9885BIPBORR3"/>
              <w:jc w:val="right"/>
              <w:rPr>
                <w:rFonts w:ascii="Verdana" w:eastAsia="Verdana" w:hAnsi="Verdana" w:cs="Verdana"/>
                <w:i/>
                <w:noProof/>
                <w:color w:val="000000"/>
                <w:sz w:val="18"/>
              </w:rPr>
            </w:pPr>
            <w:r>
              <w:rPr>
                <w:rFonts w:ascii="Verdana" w:hAnsi="Verdana"/>
                <w:i/>
                <w:noProof/>
                <w:color w:val="000000"/>
                <w:sz w:val="18"/>
              </w:rPr>
              <w:t>0,50 % — 3,75 %</w:t>
            </w:r>
          </w:p>
        </w:tc>
      </w:tr>
      <w:tr>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pPr>
              <w:pStyle w:val="DMETW19885BIPBORR3"/>
              <w:rPr>
                <w:rFonts w:ascii="Verdana" w:eastAsia="Verdana" w:hAnsi="Verdana" w:cs="Verdana"/>
                <w:i/>
                <w:noProof/>
                <w:color w:val="000000"/>
                <w:sz w:val="18"/>
              </w:rPr>
            </w:pPr>
            <w:r>
              <w:rPr>
                <w:rFonts w:ascii="Verdana" w:hAnsi="Verdana"/>
                <w:i/>
                <w:noProof/>
                <w:color w:val="000000"/>
                <w:sz w:val="18"/>
              </w:rPr>
              <w:t>Подкрепа с цел смекчаване на рисковете от безработица при извънредни обстоятелства (SURE)</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9885BIPBORR3"/>
              <w:jc w:val="right"/>
              <w:rPr>
                <w:rFonts w:ascii="Verdana" w:eastAsia="Verdana" w:hAnsi="Verdana" w:cs="Verdana"/>
                <w:i/>
                <w:noProof/>
                <w:color w:val="000000"/>
                <w:sz w:val="18"/>
              </w:rPr>
            </w:pPr>
            <w:r>
              <w:rPr>
                <w:rFonts w:ascii="Verdana" w:hAnsi="Verdana"/>
                <w:i/>
                <w:noProof/>
                <w:color w:val="000000"/>
                <w:sz w:val="18"/>
              </w:rPr>
              <w:t>0,00 % — 0,30 %</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9885BIPBORR3"/>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pPr>
              <w:pStyle w:val="DMETW19885BIPBORR3"/>
              <w:rPr>
                <w:rFonts w:ascii="Verdana" w:eastAsia="Verdana" w:hAnsi="Verdana" w:cs="Verdana"/>
                <w:i/>
                <w:noProof/>
                <w:color w:val="000000"/>
                <w:sz w:val="18"/>
              </w:rPr>
            </w:pPr>
            <w:r>
              <w:rPr>
                <w:rFonts w:ascii="Verdana" w:hAnsi="Verdana"/>
                <w:i/>
                <w:noProof/>
                <w:color w:val="000000"/>
                <w:sz w:val="18"/>
              </w:rPr>
              <w:t>Платежен баланс (ПБ)</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9885BIPBORR3"/>
              <w:jc w:val="right"/>
              <w:rPr>
                <w:rFonts w:ascii="Verdana" w:eastAsia="Verdana" w:hAnsi="Verdana" w:cs="Verdana"/>
                <w:i/>
                <w:noProof/>
                <w:color w:val="000000"/>
                <w:sz w:val="18"/>
              </w:rPr>
            </w:pPr>
            <w:r>
              <w:rPr>
                <w:rFonts w:ascii="Verdana" w:hAnsi="Verdana"/>
                <w:i/>
                <w:noProof/>
                <w:color w:val="000000"/>
                <w:sz w:val="18"/>
              </w:rPr>
              <w:t>2,88 %</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9885BIPBORR3"/>
              <w:jc w:val="right"/>
              <w:rPr>
                <w:rFonts w:ascii="Verdana" w:eastAsia="Verdana" w:hAnsi="Verdana" w:cs="Verdana"/>
                <w:i/>
                <w:noProof/>
                <w:color w:val="000000"/>
                <w:sz w:val="18"/>
              </w:rPr>
            </w:pPr>
            <w:r>
              <w:rPr>
                <w:rFonts w:ascii="Verdana" w:hAnsi="Verdana"/>
                <w:i/>
                <w:noProof/>
                <w:color w:val="000000"/>
                <w:sz w:val="18"/>
              </w:rPr>
              <w:t>2,88 %</w:t>
            </w:r>
          </w:p>
        </w:tc>
      </w:tr>
      <w:tr>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pPr>
              <w:pStyle w:val="DMETW19885BIPBORR3"/>
              <w:rPr>
                <w:rFonts w:ascii="Verdana" w:eastAsia="Verdana" w:hAnsi="Verdana" w:cs="Verdana"/>
                <w:i/>
                <w:noProof/>
                <w:color w:val="000000"/>
                <w:sz w:val="18"/>
              </w:rPr>
            </w:pPr>
            <w:r>
              <w:rPr>
                <w:rFonts w:ascii="Verdana" w:hAnsi="Verdana"/>
                <w:i/>
                <w:noProof/>
                <w:color w:val="000000"/>
                <w:sz w:val="18"/>
              </w:rPr>
              <w:t>Макрофинансова помощ (МФП)</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9885BIPBORR3"/>
              <w:jc w:val="right"/>
              <w:rPr>
                <w:rFonts w:ascii="Verdana" w:eastAsia="Verdana" w:hAnsi="Verdana" w:cs="Verdana"/>
                <w:i/>
                <w:noProof/>
                <w:color w:val="000000"/>
                <w:sz w:val="18"/>
              </w:rPr>
            </w:pPr>
            <w:r>
              <w:rPr>
                <w:rFonts w:ascii="Verdana" w:hAnsi="Verdana"/>
                <w:i/>
                <w:noProof/>
                <w:color w:val="000000"/>
                <w:sz w:val="18"/>
              </w:rPr>
              <w:t>0,00 % — 3,69 %</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9885BIPBORR3"/>
              <w:jc w:val="right"/>
              <w:rPr>
                <w:rFonts w:ascii="Verdana" w:eastAsia="Verdana" w:hAnsi="Verdana" w:cs="Verdana"/>
                <w:i/>
                <w:noProof/>
                <w:color w:val="000000"/>
                <w:sz w:val="18"/>
              </w:rPr>
            </w:pPr>
            <w:r>
              <w:rPr>
                <w:rFonts w:ascii="Verdana" w:hAnsi="Verdana"/>
                <w:i/>
                <w:noProof/>
                <w:color w:val="000000"/>
                <w:sz w:val="18"/>
              </w:rPr>
              <w:t>0,00 % — 3,82 %</w:t>
            </w:r>
          </w:p>
        </w:tc>
      </w:tr>
      <w:tr>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pPr>
              <w:pStyle w:val="DMETW19885BIPBORR3"/>
              <w:rPr>
                <w:rFonts w:ascii="Verdana" w:eastAsia="Verdana" w:hAnsi="Verdana" w:cs="Verdana"/>
                <w:i/>
                <w:noProof/>
                <w:color w:val="000000"/>
                <w:sz w:val="18"/>
              </w:rPr>
            </w:pPr>
            <w:r>
              <w:rPr>
                <w:rFonts w:ascii="Verdana" w:hAnsi="Verdana"/>
                <w:i/>
                <w:noProof/>
                <w:color w:val="000000"/>
                <w:sz w:val="18"/>
              </w:rPr>
              <w:t>Евратом</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9885BIPBORR3"/>
              <w:jc w:val="right"/>
              <w:rPr>
                <w:rFonts w:ascii="Verdana" w:eastAsia="Verdana" w:hAnsi="Verdana" w:cs="Verdana"/>
                <w:i/>
                <w:noProof/>
                <w:color w:val="000000"/>
                <w:sz w:val="18"/>
              </w:rPr>
            </w:pPr>
            <w:r>
              <w:rPr>
                <w:rFonts w:ascii="Verdana" w:hAnsi="Verdana"/>
                <w:i/>
                <w:noProof/>
                <w:color w:val="000000"/>
                <w:sz w:val="18"/>
              </w:rPr>
              <w:t>0,00 % — 5,68 %</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9885BIPBORR3"/>
              <w:jc w:val="right"/>
              <w:rPr>
                <w:rFonts w:ascii="Verdana" w:eastAsia="Verdana" w:hAnsi="Verdana" w:cs="Verdana"/>
                <w:i/>
                <w:noProof/>
                <w:color w:val="000000"/>
                <w:sz w:val="18"/>
              </w:rPr>
            </w:pPr>
            <w:r>
              <w:rPr>
                <w:rFonts w:ascii="Verdana" w:hAnsi="Verdana"/>
                <w:i/>
                <w:noProof/>
                <w:color w:val="000000"/>
                <w:sz w:val="18"/>
              </w:rPr>
              <w:t>0,00 % — 5,68 %</w:t>
            </w:r>
          </w:p>
        </w:tc>
      </w:tr>
    </w:tbl>
    <w:p>
      <w:pPr>
        <w:pStyle w:val="HEADER5"/>
        <w:rPr>
          <w:noProof/>
        </w:rPr>
      </w:pPr>
    </w:p>
    <w:p>
      <w:pPr>
        <w:pStyle w:val="HEADER4NOTES"/>
        <w:rPr>
          <w:noProof/>
        </w:rPr>
      </w:pPr>
      <w:r>
        <w:rPr>
          <w:noProof/>
        </w:rPr>
        <w:t>Други финансови пасиви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2344"/>
        <w:gridCol w:w="2344"/>
      </w:tblGrid>
      <w:tr>
        <w:trPr>
          <w:trHeight w:val="255"/>
        </w:trPr>
        <w:tc>
          <w:tcPr>
            <w:tcW w:w="5070" w:type="dxa"/>
            <w:tcBorders>
              <w:top w:val="nil"/>
              <w:left w:val="nil"/>
              <w:bottom w:val="nil"/>
              <w:right w:val="nil"/>
              <w:tl2br w:val="nil"/>
              <w:tr2bl w:val="nil"/>
            </w:tcBorders>
            <w:shd w:val="clear" w:color="auto" w:fill="auto"/>
            <w:tcMar>
              <w:left w:w="60" w:type="dxa"/>
              <w:right w:w="60" w:type="dxa"/>
            </w:tcMar>
            <w:vAlign w:val="bottom"/>
          </w:tcPr>
          <w:p>
            <w:pPr>
              <w:pStyle w:val="DMETW19886BIPOFL"/>
              <w:rPr>
                <w:rFonts w:ascii="Arial" w:eastAsia="Arial" w:hAnsi="Arial" w:cs="Arial"/>
                <w:noProof/>
                <w:color w:val="000000"/>
              </w:rPr>
            </w:pPr>
            <w:bookmarkStart w:id="146" w:name="DOC_TBL00054_1_1"/>
            <w:bookmarkEnd w:id="146"/>
          </w:p>
        </w:tc>
        <w:tc>
          <w:tcPr>
            <w:tcW w:w="2344" w:type="dxa"/>
            <w:tcBorders>
              <w:top w:val="nil"/>
              <w:left w:val="nil"/>
              <w:bottom w:val="nil"/>
              <w:right w:val="nil"/>
              <w:tl2br w:val="nil"/>
              <w:tr2bl w:val="nil"/>
            </w:tcBorders>
            <w:shd w:val="clear" w:color="auto" w:fill="auto"/>
            <w:tcMar>
              <w:left w:w="60" w:type="dxa"/>
              <w:right w:w="60" w:type="dxa"/>
            </w:tcMar>
            <w:vAlign w:val="bottom"/>
          </w:tcPr>
          <w:p>
            <w:pPr>
              <w:pStyle w:val="DMETW19886BIPOFL"/>
              <w:rPr>
                <w:rFonts w:ascii="Arial" w:eastAsia="Arial" w:hAnsi="Arial" w:cs="Arial"/>
                <w:noProof/>
                <w:color w:val="000000"/>
              </w:rPr>
            </w:pPr>
          </w:p>
        </w:tc>
        <w:tc>
          <w:tcPr>
            <w:tcW w:w="2344" w:type="dxa"/>
            <w:tcBorders>
              <w:top w:val="nil"/>
              <w:left w:val="nil"/>
              <w:bottom w:val="nil"/>
              <w:right w:val="nil"/>
              <w:tl2br w:val="nil"/>
              <w:tr2bl w:val="nil"/>
            </w:tcBorders>
            <w:shd w:val="clear" w:color="auto" w:fill="auto"/>
            <w:tcMar>
              <w:left w:w="60" w:type="dxa"/>
              <w:right w:w="60" w:type="dxa"/>
            </w:tcMar>
            <w:vAlign w:val="bottom"/>
          </w:tcPr>
          <w:p>
            <w:pPr>
              <w:pStyle w:val="DMETW19886BIPOFL"/>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070" w:type="dxa"/>
            <w:tcBorders>
              <w:top w:val="nil"/>
              <w:left w:val="nil"/>
              <w:bottom w:val="nil"/>
              <w:right w:val="nil"/>
              <w:tl2br w:val="nil"/>
              <w:tr2bl w:val="nil"/>
            </w:tcBorders>
            <w:shd w:val="solid" w:color="016794" w:fill="FFFFFF"/>
            <w:tcMar>
              <w:left w:w="60" w:type="dxa"/>
              <w:right w:w="60" w:type="dxa"/>
            </w:tcMar>
            <w:vAlign w:val="center"/>
          </w:tcPr>
          <w:p>
            <w:pPr>
              <w:pStyle w:val="DMETW19886BIPOFL"/>
              <w:jc w:val="right"/>
              <w:rPr>
                <w:rFonts w:ascii="Verdana" w:eastAsia="Verdana" w:hAnsi="Verdana" w:cs="Verdana"/>
                <w:noProof/>
                <w:color w:val="FFFFFF"/>
              </w:rPr>
            </w:pPr>
          </w:p>
        </w:tc>
        <w:tc>
          <w:tcPr>
            <w:tcW w:w="2344" w:type="dxa"/>
            <w:tcBorders>
              <w:top w:val="nil"/>
              <w:left w:val="nil"/>
              <w:bottom w:val="nil"/>
              <w:right w:val="nil"/>
              <w:tl2br w:val="nil"/>
              <w:tr2bl w:val="nil"/>
            </w:tcBorders>
            <w:shd w:val="solid" w:color="016794" w:fill="FFFFFF"/>
            <w:tcMar>
              <w:left w:w="60" w:type="dxa"/>
              <w:right w:w="60" w:type="dxa"/>
            </w:tcMar>
            <w:vAlign w:val="center"/>
          </w:tcPr>
          <w:p>
            <w:pPr>
              <w:pStyle w:val="DMETW19886BIPOFL"/>
              <w:jc w:val="right"/>
              <w:rPr>
                <w:rFonts w:ascii="Verdana" w:eastAsia="Verdana" w:hAnsi="Verdana" w:cs="Verdana"/>
                <w:noProof/>
                <w:color w:val="FFFFFF"/>
              </w:rPr>
            </w:pPr>
            <w:r>
              <w:rPr>
                <w:rFonts w:ascii="Verdana" w:hAnsi="Verdana"/>
                <w:noProof/>
                <w:color w:val="FFFFFF"/>
              </w:rPr>
              <w:t>31.12.2020 г.</w:t>
            </w:r>
          </w:p>
        </w:tc>
        <w:tc>
          <w:tcPr>
            <w:tcW w:w="2344" w:type="dxa"/>
            <w:tcBorders>
              <w:top w:val="nil"/>
              <w:left w:val="nil"/>
              <w:bottom w:val="nil"/>
              <w:right w:val="nil"/>
              <w:tl2br w:val="nil"/>
              <w:tr2bl w:val="nil"/>
            </w:tcBorders>
            <w:shd w:val="solid" w:color="016794" w:fill="FFFFFF"/>
            <w:tcMar>
              <w:left w:w="60" w:type="dxa"/>
              <w:right w:w="60" w:type="dxa"/>
            </w:tcMar>
            <w:vAlign w:val="center"/>
          </w:tcPr>
          <w:p>
            <w:pPr>
              <w:pStyle w:val="DMETW19886BIPOFL"/>
              <w:jc w:val="right"/>
              <w:rPr>
                <w:rFonts w:ascii="Verdana" w:eastAsia="Verdana" w:hAnsi="Verdana" w:cs="Verdana"/>
                <w:noProof/>
                <w:color w:val="FFFFFF"/>
              </w:rPr>
            </w:pPr>
            <w:r>
              <w:rPr>
                <w:rFonts w:ascii="Verdana" w:hAnsi="Verdana"/>
                <w:noProof/>
                <w:color w:val="FFFFFF"/>
              </w:rPr>
              <w:t>31.12.2019 г.</w:t>
            </w: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9886BIPOFL"/>
              <w:rPr>
                <w:rFonts w:ascii="Verdana" w:eastAsia="Verdana" w:hAnsi="Verdana" w:cs="Verdana"/>
                <w:b/>
                <w:noProof/>
                <w:color w:val="000000"/>
                <w:sz w:val="18"/>
              </w:rPr>
            </w:pPr>
            <w:r>
              <w:rPr>
                <w:rFonts w:ascii="Verdana" w:hAnsi="Verdana"/>
                <w:b/>
                <w:noProof/>
                <w:color w:val="000000"/>
                <w:sz w:val="18"/>
              </w:rPr>
              <w:t>Нетекущи</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b/>
                <w:noProof/>
                <w:color w:val="000000"/>
                <w:sz w:val="18"/>
              </w:rPr>
            </w:pP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rPr>
                <w:rFonts w:ascii="Arial" w:eastAsia="Arial" w:hAnsi="Arial" w:cs="Arial"/>
                <w:noProof/>
                <w:color w:val="000000"/>
                <w:lang w:bidi="en-GB"/>
              </w:rPr>
            </w:pP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9886BIPOFL"/>
              <w:rPr>
                <w:rFonts w:ascii="Verdana" w:eastAsia="Verdana" w:hAnsi="Verdana" w:cs="Verdana"/>
                <w:i/>
                <w:noProof/>
                <w:color w:val="000000"/>
                <w:sz w:val="18"/>
              </w:rPr>
            </w:pPr>
            <w:r>
              <w:rPr>
                <w:rFonts w:ascii="Verdana" w:hAnsi="Verdana"/>
                <w:i/>
                <w:noProof/>
                <w:color w:val="000000"/>
                <w:sz w:val="18"/>
              </w:rPr>
              <w:t>Задължения по финансов лизинг</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1 130</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1 244</w:t>
            </w: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9886BIPOFL"/>
              <w:rPr>
                <w:rFonts w:ascii="Verdana" w:eastAsia="Verdana" w:hAnsi="Verdana" w:cs="Verdana"/>
                <w:i/>
                <w:noProof/>
                <w:color w:val="000000"/>
                <w:sz w:val="18"/>
              </w:rPr>
            </w:pPr>
            <w:r>
              <w:rPr>
                <w:rFonts w:ascii="Verdana" w:hAnsi="Verdana"/>
                <w:i/>
                <w:noProof/>
                <w:color w:val="000000"/>
                <w:sz w:val="18"/>
              </w:rPr>
              <w:t>Сгради, които се изплащат на вноски</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 xml:space="preserve"> 346</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 xml:space="preserve"> 385</w:t>
            </w:r>
          </w:p>
        </w:tc>
      </w:tr>
      <w:tr>
        <w:trPr>
          <w:trHeight w:val="255"/>
        </w:trPr>
        <w:tc>
          <w:tcPr>
            <w:tcW w:w="507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6BIPOFL"/>
              <w:rPr>
                <w:rFonts w:ascii="Verdana" w:eastAsia="Verdana" w:hAnsi="Verdana" w:cs="Verdana"/>
                <w:i/>
                <w:noProof/>
                <w:color w:val="000000"/>
                <w:sz w:val="18"/>
              </w:rPr>
            </w:pPr>
            <w:r>
              <w:rPr>
                <w:rFonts w:ascii="Verdana" w:hAnsi="Verdana"/>
                <w:i/>
                <w:noProof/>
                <w:color w:val="000000"/>
                <w:sz w:val="18"/>
              </w:rPr>
              <w:t>Други</w:t>
            </w:r>
          </w:p>
        </w:tc>
        <w:tc>
          <w:tcPr>
            <w:tcW w:w="234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 xml:space="preserve"> 136</w:t>
            </w:r>
          </w:p>
        </w:tc>
        <w:tc>
          <w:tcPr>
            <w:tcW w:w="234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 xml:space="preserve"> 144</w:t>
            </w:r>
          </w:p>
        </w:tc>
      </w:tr>
      <w:tr>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6BIPOFL"/>
              <w:jc w:val="center"/>
              <w:rPr>
                <w:rFonts w:ascii="Verdana" w:eastAsia="Verdana" w:hAnsi="Verdana" w:cs="Verdana"/>
                <w:noProof/>
                <w:color w:val="000000"/>
                <w:sz w:val="18"/>
              </w:rPr>
            </w:pP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b/>
                <w:noProof/>
                <w:color w:val="000000"/>
                <w:sz w:val="18"/>
              </w:rPr>
            </w:pPr>
            <w:r>
              <w:rPr>
                <w:rFonts w:ascii="Verdana" w:hAnsi="Verdana"/>
                <w:b/>
                <w:noProof/>
                <w:color w:val="000000"/>
                <w:sz w:val="18"/>
              </w:rPr>
              <w:t>1 612</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b/>
                <w:noProof/>
                <w:color w:val="000000"/>
                <w:sz w:val="18"/>
              </w:rPr>
            </w:pPr>
            <w:r>
              <w:rPr>
                <w:rFonts w:ascii="Verdana" w:hAnsi="Verdana"/>
                <w:b/>
                <w:noProof/>
                <w:color w:val="000000"/>
                <w:sz w:val="18"/>
              </w:rPr>
              <w:t>1 772</w:t>
            </w:r>
          </w:p>
        </w:tc>
      </w:tr>
      <w:tr>
        <w:trPr>
          <w:trHeight w:val="255"/>
        </w:trPr>
        <w:tc>
          <w:tcPr>
            <w:tcW w:w="507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6BIPOFL"/>
              <w:rPr>
                <w:rFonts w:ascii="Verdana" w:eastAsia="Verdana" w:hAnsi="Verdana" w:cs="Verdana"/>
                <w:b/>
                <w:noProof/>
                <w:color w:val="000000"/>
                <w:sz w:val="18"/>
              </w:rPr>
            </w:pPr>
            <w:r>
              <w:rPr>
                <w:rFonts w:ascii="Verdana" w:hAnsi="Verdana"/>
                <w:b/>
                <w:noProof/>
                <w:color w:val="000000"/>
                <w:sz w:val="18"/>
              </w:rPr>
              <w:t>Текущи</w:t>
            </w:r>
          </w:p>
        </w:tc>
        <w:tc>
          <w:tcPr>
            <w:tcW w:w="234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b/>
                <w:noProof/>
                <w:color w:val="000000"/>
                <w:sz w:val="18"/>
              </w:rPr>
            </w:pPr>
          </w:p>
        </w:tc>
        <w:tc>
          <w:tcPr>
            <w:tcW w:w="234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6BIPOFL"/>
              <w:rPr>
                <w:rFonts w:ascii="Arial" w:eastAsia="Arial" w:hAnsi="Arial" w:cs="Arial"/>
                <w:noProof/>
                <w:color w:val="000000"/>
                <w:lang w:bidi="en-GB"/>
              </w:rPr>
            </w:pP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9886BIPOFL"/>
              <w:rPr>
                <w:rFonts w:ascii="Verdana" w:eastAsia="Verdana" w:hAnsi="Verdana" w:cs="Verdana"/>
                <w:i/>
                <w:noProof/>
                <w:color w:val="000000"/>
                <w:sz w:val="18"/>
              </w:rPr>
            </w:pPr>
            <w:r>
              <w:rPr>
                <w:rFonts w:ascii="Verdana" w:hAnsi="Verdana"/>
                <w:i/>
                <w:noProof/>
                <w:color w:val="000000"/>
                <w:sz w:val="18"/>
              </w:rPr>
              <w:t>Задължения по финансов лизинг</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 xml:space="preserve"> 101</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 xml:space="preserve"> 97</w:t>
            </w: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9886BIPOFL"/>
              <w:rPr>
                <w:rFonts w:ascii="Verdana" w:eastAsia="Verdana" w:hAnsi="Verdana" w:cs="Verdana"/>
                <w:i/>
                <w:noProof/>
                <w:color w:val="000000"/>
                <w:sz w:val="18"/>
              </w:rPr>
            </w:pPr>
            <w:r>
              <w:rPr>
                <w:rFonts w:ascii="Verdana" w:hAnsi="Verdana"/>
                <w:i/>
                <w:noProof/>
                <w:color w:val="000000"/>
                <w:sz w:val="18"/>
              </w:rPr>
              <w:t>Сгради, които се изплащат на вноски</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 xml:space="preserve"> 38</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 xml:space="preserve"> 36</w:t>
            </w: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9886BIPOFL"/>
              <w:rPr>
                <w:rFonts w:ascii="Verdana" w:eastAsia="Verdana" w:hAnsi="Verdana" w:cs="Verdana"/>
                <w:i/>
                <w:noProof/>
                <w:color w:val="000000"/>
                <w:sz w:val="18"/>
              </w:rPr>
            </w:pPr>
            <w:r>
              <w:rPr>
                <w:rFonts w:ascii="Verdana" w:hAnsi="Verdana"/>
                <w:i/>
                <w:noProof/>
                <w:color w:val="000000"/>
                <w:sz w:val="18"/>
              </w:rPr>
              <w:t>Глоби, които подлежат на възстановяване</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 xml:space="preserve"> 8</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07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6BIPOFL"/>
              <w:rPr>
                <w:rFonts w:ascii="Verdana" w:eastAsia="Verdana" w:hAnsi="Verdana" w:cs="Verdana"/>
                <w:i/>
                <w:noProof/>
                <w:color w:val="000000"/>
                <w:sz w:val="18"/>
              </w:rPr>
            </w:pPr>
            <w:r>
              <w:rPr>
                <w:rFonts w:ascii="Verdana" w:hAnsi="Verdana"/>
                <w:i/>
                <w:noProof/>
                <w:color w:val="000000"/>
                <w:sz w:val="18"/>
              </w:rPr>
              <w:t>Други</w:t>
            </w:r>
          </w:p>
        </w:tc>
        <w:tc>
          <w:tcPr>
            <w:tcW w:w="234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 xml:space="preserve"> 2</w:t>
            </w:r>
          </w:p>
        </w:tc>
        <w:tc>
          <w:tcPr>
            <w:tcW w:w="234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i/>
                <w:noProof/>
                <w:color w:val="000000"/>
                <w:sz w:val="18"/>
              </w:rPr>
            </w:pPr>
            <w:r>
              <w:rPr>
                <w:rFonts w:ascii="Verdana" w:hAnsi="Verdana"/>
                <w:i/>
                <w:noProof/>
                <w:color w:val="000000"/>
                <w:sz w:val="18"/>
              </w:rPr>
              <w:t xml:space="preserve"> 17</w:t>
            </w:r>
          </w:p>
        </w:tc>
      </w:tr>
      <w:tr>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6BIPOFL"/>
              <w:jc w:val="center"/>
              <w:rPr>
                <w:rFonts w:ascii="Verdana" w:eastAsia="Verdana" w:hAnsi="Verdana" w:cs="Verdana"/>
                <w:noProof/>
                <w:color w:val="000000"/>
                <w:sz w:val="18"/>
              </w:rPr>
            </w:pP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b/>
                <w:noProof/>
                <w:color w:val="000000"/>
                <w:sz w:val="18"/>
              </w:rPr>
            </w:pPr>
            <w:r>
              <w:rPr>
                <w:rFonts w:ascii="Verdana" w:hAnsi="Verdana"/>
                <w:b/>
                <w:noProof/>
                <w:color w:val="000000"/>
                <w:sz w:val="18"/>
              </w:rPr>
              <w:t xml:space="preserve"> 149</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b/>
                <w:noProof/>
                <w:color w:val="000000"/>
                <w:sz w:val="18"/>
              </w:rPr>
            </w:pPr>
            <w:r>
              <w:rPr>
                <w:rFonts w:ascii="Verdana" w:hAnsi="Verdana"/>
                <w:b/>
                <w:noProof/>
                <w:color w:val="000000"/>
                <w:sz w:val="18"/>
              </w:rPr>
              <w:t xml:space="preserve"> 149</w:t>
            </w:r>
          </w:p>
        </w:tc>
      </w:tr>
      <w:tr>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6BIPOFL"/>
              <w:rPr>
                <w:rFonts w:ascii="Verdana" w:eastAsia="Verdana" w:hAnsi="Verdana" w:cs="Verdana"/>
                <w:b/>
                <w:noProof/>
                <w:color w:val="000000"/>
                <w:sz w:val="18"/>
              </w:rPr>
            </w:pPr>
            <w:r>
              <w:rPr>
                <w:rFonts w:ascii="Verdana" w:hAnsi="Verdana"/>
                <w:b/>
                <w:noProof/>
                <w:color w:val="000000"/>
                <w:sz w:val="18"/>
              </w:rPr>
              <w:t>Общо</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b/>
                <w:noProof/>
                <w:color w:val="000000"/>
                <w:sz w:val="18"/>
              </w:rPr>
            </w:pPr>
            <w:r>
              <w:rPr>
                <w:rFonts w:ascii="Verdana" w:hAnsi="Verdana"/>
                <w:b/>
                <w:noProof/>
                <w:color w:val="000000"/>
                <w:sz w:val="18"/>
              </w:rPr>
              <w:t>1 761</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6BIPOFL"/>
              <w:jc w:val="right"/>
              <w:rPr>
                <w:rFonts w:ascii="Verdana" w:eastAsia="Verdana" w:hAnsi="Verdana" w:cs="Verdana"/>
                <w:b/>
                <w:noProof/>
                <w:color w:val="000000"/>
                <w:sz w:val="18"/>
              </w:rPr>
            </w:pPr>
            <w:r>
              <w:rPr>
                <w:rFonts w:ascii="Verdana" w:hAnsi="Verdana"/>
                <w:b/>
                <w:noProof/>
                <w:color w:val="000000"/>
                <w:sz w:val="18"/>
              </w:rPr>
              <w:t>1 921</w:t>
            </w:r>
          </w:p>
        </w:tc>
      </w:tr>
    </w:tbl>
    <w:p>
      <w:pPr>
        <w:pStyle w:val="Heading9pNormalRight025"/>
        <w:rPr>
          <w:noProof/>
          <w:lang w:bidi="en-GB"/>
        </w:rPr>
      </w:pPr>
    </w:p>
    <w:p>
      <w:pPr>
        <w:pStyle w:val="HEADER5"/>
        <w:spacing w:before="360"/>
        <w:rPr>
          <w:noProof/>
        </w:rPr>
      </w:pPr>
      <w:r>
        <w:rPr>
          <w:noProof/>
        </w:rPr>
        <w:t>Задължения по финансов лизинг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4"/>
        <w:gridCol w:w="1321"/>
        <w:gridCol w:w="1321"/>
        <w:gridCol w:w="1321"/>
        <w:gridCol w:w="1321"/>
      </w:tblGrid>
      <w:tr>
        <w:trPr>
          <w:trHeight w:val="255"/>
        </w:trPr>
        <w:tc>
          <w:tcPr>
            <w:tcW w:w="4474" w:type="dxa"/>
            <w:tcBorders>
              <w:top w:val="nil"/>
              <w:left w:val="nil"/>
              <w:bottom w:val="nil"/>
              <w:right w:val="nil"/>
              <w:tl2br w:val="nil"/>
              <w:tr2bl w:val="nil"/>
            </w:tcBorders>
            <w:shd w:val="clear" w:color="auto" w:fill="auto"/>
            <w:tcMar>
              <w:left w:w="60" w:type="dxa"/>
              <w:right w:w="60" w:type="dxa"/>
            </w:tcMar>
            <w:vAlign w:val="bottom"/>
          </w:tcPr>
          <w:p>
            <w:pPr>
              <w:pStyle w:val="DMETW19887BIPFL"/>
              <w:rPr>
                <w:rFonts w:ascii="Arial" w:eastAsia="Arial" w:hAnsi="Arial" w:cs="Arial"/>
                <w:noProof/>
                <w:color w:val="000000"/>
              </w:rPr>
            </w:pPr>
            <w:bookmarkStart w:id="147" w:name="DOC_TBL00055_1_1"/>
            <w:bookmarkEnd w:id="147"/>
          </w:p>
        </w:tc>
        <w:tc>
          <w:tcPr>
            <w:tcW w:w="1321" w:type="dxa"/>
            <w:tcBorders>
              <w:top w:val="nil"/>
              <w:left w:val="nil"/>
              <w:bottom w:val="nil"/>
              <w:right w:val="nil"/>
              <w:tl2br w:val="nil"/>
              <w:tr2bl w:val="nil"/>
            </w:tcBorders>
            <w:shd w:val="clear" w:color="auto" w:fill="auto"/>
            <w:tcMar>
              <w:left w:w="60" w:type="dxa"/>
              <w:right w:w="60" w:type="dxa"/>
            </w:tcMar>
            <w:vAlign w:val="bottom"/>
          </w:tcPr>
          <w:p>
            <w:pPr>
              <w:pStyle w:val="DMETW19887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pPr>
              <w:pStyle w:val="DMETW19887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pPr>
              <w:pStyle w:val="DMETW19887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pPr>
              <w:pStyle w:val="DMETW19887BIPFL"/>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474" w:type="dxa"/>
            <w:tcBorders>
              <w:top w:val="nil"/>
              <w:left w:val="nil"/>
              <w:bottom w:val="nil"/>
              <w:right w:val="nil"/>
              <w:tl2br w:val="nil"/>
              <w:tr2bl w:val="nil"/>
            </w:tcBorders>
            <w:shd w:val="solid" w:color="016794" w:fill="FFFFFF"/>
            <w:tcMar>
              <w:left w:w="60" w:type="dxa"/>
              <w:right w:w="60" w:type="dxa"/>
            </w:tcMar>
            <w:vAlign w:val="center"/>
          </w:tcPr>
          <w:p>
            <w:pPr>
              <w:pStyle w:val="DMETW19887BIPFL"/>
              <w:rPr>
                <w:rFonts w:ascii="Verdana" w:eastAsia="Verdana" w:hAnsi="Verdana" w:cs="Verdana"/>
                <w:noProof/>
                <w:color w:val="FFFFFF"/>
              </w:rPr>
            </w:pPr>
          </w:p>
        </w:tc>
        <w:tc>
          <w:tcPr>
            <w:tcW w:w="1321"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87BIPFL"/>
              <w:jc w:val="center"/>
              <w:rPr>
                <w:rFonts w:ascii="Verdana" w:eastAsia="Verdana" w:hAnsi="Verdana" w:cs="Verdana"/>
                <w:noProof/>
                <w:color w:val="FFFFFF"/>
                <w:sz w:val="18"/>
              </w:rPr>
            </w:pPr>
            <w:r>
              <w:rPr>
                <w:rFonts w:ascii="Verdana" w:hAnsi="Verdana"/>
                <w:noProof/>
                <w:color w:val="FFFFFF"/>
                <w:sz w:val="18"/>
              </w:rPr>
              <w:t>Бъдещи суми за плащане</w:t>
            </w:r>
          </w:p>
        </w:tc>
      </w:tr>
      <w:tr>
        <w:trPr>
          <w:trHeight w:val="255"/>
        </w:trPr>
        <w:tc>
          <w:tcPr>
            <w:tcW w:w="4474" w:type="dxa"/>
            <w:tcBorders>
              <w:top w:val="nil"/>
              <w:left w:val="nil"/>
              <w:bottom w:val="nil"/>
              <w:right w:val="nil"/>
              <w:tl2br w:val="nil"/>
              <w:tr2bl w:val="nil"/>
            </w:tcBorders>
            <w:shd w:val="solid" w:color="016794" w:fill="FFFFFF"/>
            <w:tcMar>
              <w:left w:w="60" w:type="dxa"/>
              <w:right w:w="60" w:type="dxa"/>
            </w:tcMar>
            <w:vAlign w:val="center"/>
          </w:tcPr>
          <w:p>
            <w:pPr>
              <w:pStyle w:val="DMETW19887BIPFL"/>
              <w:rPr>
                <w:rFonts w:ascii="Verdana" w:eastAsia="Verdana" w:hAnsi="Verdana" w:cs="Verdana"/>
                <w:noProof/>
                <w:color w:val="FFFFFF"/>
              </w:rPr>
            </w:pPr>
          </w:p>
        </w:tc>
        <w:tc>
          <w:tcPr>
            <w:tcW w:w="1321" w:type="dxa"/>
            <w:tcBorders>
              <w:top w:val="nil"/>
              <w:left w:val="nil"/>
              <w:bottom w:val="nil"/>
              <w:right w:val="nil"/>
              <w:tl2br w:val="nil"/>
              <w:tr2bl w:val="nil"/>
            </w:tcBorders>
            <w:shd w:val="solid" w:color="3486A9" w:fill="FFFFFF"/>
            <w:tcMar>
              <w:left w:w="60" w:type="dxa"/>
              <w:right w:w="60" w:type="dxa"/>
            </w:tcMar>
            <w:vAlign w:val="center"/>
          </w:tcPr>
          <w:p>
            <w:pPr>
              <w:pStyle w:val="DMETW19887BIPFL"/>
              <w:jc w:val="right"/>
              <w:rPr>
                <w:rFonts w:ascii="Verdana" w:eastAsia="Verdana" w:hAnsi="Verdana" w:cs="Verdana"/>
                <w:noProof/>
                <w:color w:val="FFFFFF"/>
                <w:sz w:val="18"/>
              </w:rPr>
            </w:pPr>
            <w:r>
              <w:rPr>
                <w:rFonts w:ascii="Verdana" w:hAnsi="Verdana"/>
                <w:noProof/>
                <w:color w:val="FFFFFF"/>
                <w:sz w:val="18"/>
              </w:rPr>
              <w:t>&lt; 1 година</w:t>
            </w:r>
          </w:p>
        </w:tc>
        <w:tc>
          <w:tcPr>
            <w:tcW w:w="1321" w:type="dxa"/>
            <w:tcBorders>
              <w:top w:val="nil"/>
              <w:left w:val="nil"/>
              <w:bottom w:val="nil"/>
              <w:right w:val="nil"/>
              <w:tl2br w:val="nil"/>
              <w:tr2bl w:val="nil"/>
            </w:tcBorders>
            <w:shd w:val="solid" w:color="3486A9" w:fill="FFFFFF"/>
            <w:tcMar>
              <w:left w:w="60" w:type="dxa"/>
              <w:right w:w="60" w:type="dxa"/>
            </w:tcMar>
            <w:vAlign w:val="center"/>
          </w:tcPr>
          <w:p>
            <w:pPr>
              <w:pStyle w:val="DMETW19887BIPFL"/>
              <w:jc w:val="right"/>
              <w:rPr>
                <w:rFonts w:ascii="Verdana" w:eastAsia="Verdana" w:hAnsi="Verdana" w:cs="Verdana"/>
                <w:noProof/>
                <w:color w:val="FFFFFF"/>
                <w:sz w:val="18"/>
              </w:rPr>
            </w:pPr>
            <w:r>
              <w:rPr>
                <w:rFonts w:ascii="Verdana" w:hAnsi="Verdana"/>
                <w:noProof/>
                <w:color w:val="FFFFFF"/>
                <w:sz w:val="18"/>
              </w:rPr>
              <w:t>1—5 години</w:t>
            </w:r>
          </w:p>
        </w:tc>
        <w:tc>
          <w:tcPr>
            <w:tcW w:w="1321" w:type="dxa"/>
            <w:tcBorders>
              <w:top w:val="nil"/>
              <w:left w:val="nil"/>
              <w:bottom w:val="nil"/>
              <w:right w:val="nil"/>
              <w:tl2br w:val="nil"/>
              <w:tr2bl w:val="nil"/>
            </w:tcBorders>
            <w:shd w:val="solid" w:color="3486A9" w:fill="FFFFFF"/>
            <w:tcMar>
              <w:left w:w="60" w:type="dxa"/>
              <w:right w:w="60" w:type="dxa"/>
            </w:tcMar>
            <w:vAlign w:val="center"/>
          </w:tcPr>
          <w:p>
            <w:pPr>
              <w:pStyle w:val="DMETW19887BIPFL"/>
              <w:jc w:val="right"/>
              <w:rPr>
                <w:rFonts w:ascii="Verdana" w:eastAsia="Verdana" w:hAnsi="Verdana" w:cs="Verdana"/>
                <w:noProof/>
                <w:color w:val="FFFFFF"/>
                <w:sz w:val="18"/>
              </w:rPr>
            </w:pPr>
            <w:r>
              <w:rPr>
                <w:rFonts w:ascii="Verdana" w:hAnsi="Verdana"/>
                <w:noProof/>
                <w:color w:val="FFFFFF"/>
                <w:sz w:val="18"/>
              </w:rPr>
              <w:t>&gt; 5 години</w:t>
            </w:r>
          </w:p>
        </w:tc>
        <w:tc>
          <w:tcPr>
            <w:tcW w:w="1321" w:type="dxa"/>
            <w:tcBorders>
              <w:top w:val="nil"/>
              <w:left w:val="nil"/>
              <w:bottom w:val="nil"/>
              <w:right w:val="nil"/>
              <w:tl2br w:val="nil"/>
              <w:tr2bl w:val="nil"/>
            </w:tcBorders>
            <w:shd w:val="solid" w:color="3486A9" w:fill="FFFFFF"/>
            <w:tcMar>
              <w:left w:w="60" w:type="dxa"/>
              <w:right w:w="60" w:type="dxa"/>
            </w:tcMar>
            <w:vAlign w:val="center"/>
          </w:tcPr>
          <w:p>
            <w:pPr>
              <w:pStyle w:val="DMETW19887BIPFL"/>
              <w:jc w:val="right"/>
              <w:rPr>
                <w:rFonts w:ascii="Verdana" w:eastAsia="Verdana" w:hAnsi="Verdana" w:cs="Verdana"/>
                <w:noProof/>
                <w:color w:val="FFFFFF"/>
                <w:sz w:val="18"/>
              </w:rPr>
            </w:pPr>
            <w:r>
              <w:rPr>
                <w:rFonts w:ascii="Verdana" w:hAnsi="Verdana"/>
                <w:noProof/>
                <w:color w:val="FFFFFF"/>
                <w:sz w:val="18"/>
              </w:rPr>
              <w:t>Общо пасив</w:t>
            </w:r>
          </w:p>
        </w:tc>
      </w:tr>
      <w:tr>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pPr>
              <w:pStyle w:val="DMETW19887BIPFL"/>
              <w:rPr>
                <w:rFonts w:ascii="Verdana" w:eastAsia="Verdana" w:hAnsi="Verdana" w:cs="Verdana"/>
                <w:i/>
                <w:noProof/>
                <w:color w:val="000000"/>
                <w:sz w:val="18"/>
              </w:rPr>
            </w:pPr>
            <w:r>
              <w:rPr>
                <w:rFonts w:ascii="Verdana" w:hAnsi="Verdana"/>
                <w:i/>
                <w:noProof/>
                <w:color w:val="000000"/>
                <w:sz w:val="18"/>
              </w:rPr>
              <w:t>Земя и сгради</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96</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457</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665</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1 218</w:t>
            </w:r>
          </w:p>
        </w:tc>
      </w:tr>
      <w:tr>
        <w:trPr>
          <w:trHeight w:val="255"/>
        </w:trPr>
        <w:tc>
          <w:tcPr>
            <w:tcW w:w="447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7BIPFL"/>
              <w:rPr>
                <w:rFonts w:ascii="Verdana" w:eastAsia="Verdana" w:hAnsi="Verdana" w:cs="Verdana"/>
                <w:i/>
                <w:noProof/>
                <w:color w:val="000000"/>
                <w:sz w:val="18"/>
              </w:rPr>
            </w:pPr>
            <w:r>
              <w:rPr>
                <w:rFonts w:ascii="Verdana" w:hAnsi="Verdana"/>
                <w:i/>
                <w:noProof/>
                <w:color w:val="000000"/>
                <w:sz w:val="18"/>
              </w:rPr>
              <w:t>Други дълготрайни активи</w:t>
            </w:r>
          </w:p>
        </w:tc>
        <w:tc>
          <w:tcPr>
            <w:tcW w:w="132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5</w:t>
            </w:r>
          </w:p>
        </w:tc>
        <w:tc>
          <w:tcPr>
            <w:tcW w:w="132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8</w:t>
            </w:r>
          </w:p>
        </w:tc>
        <w:tc>
          <w:tcPr>
            <w:tcW w:w="132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w:t>
            </w:r>
          </w:p>
        </w:tc>
        <w:tc>
          <w:tcPr>
            <w:tcW w:w="132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13</w:t>
            </w:r>
          </w:p>
        </w:tc>
      </w:tr>
      <w:tr>
        <w:trPr>
          <w:trHeight w:val="255"/>
        </w:trPr>
        <w:tc>
          <w:tcPr>
            <w:tcW w:w="44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rPr>
                <w:rFonts w:ascii="Verdana" w:eastAsia="Verdana" w:hAnsi="Verdana" w:cs="Verdana"/>
                <w:b/>
                <w:noProof/>
                <w:color w:val="000000"/>
                <w:sz w:val="18"/>
              </w:rPr>
            </w:pPr>
            <w:r>
              <w:rPr>
                <w:rFonts w:ascii="Verdana" w:hAnsi="Verdana"/>
                <w:b/>
                <w:noProof/>
                <w:color w:val="000000"/>
                <w:sz w:val="18"/>
              </w:rPr>
              <w:t>Общо към 31.12.2020 г.</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b/>
                <w:noProof/>
                <w:color w:val="000000"/>
                <w:sz w:val="18"/>
              </w:rPr>
            </w:pPr>
            <w:r>
              <w:rPr>
                <w:rFonts w:ascii="Verdana" w:hAnsi="Verdana"/>
                <w:b/>
                <w:noProof/>
                <w:color w:val="000000"/>
                <w:sz w:val="18"/>
              </w:rPr>
              <w:t xml:space="preserve"> 101</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b/>
                <w:noProof/>
                <w:color w:val="000000"/>
                <w:sz w:val="18"/>
              </w:rPr>
            </w:pPr>
            <w:r>
              <w:rPr>
                <w:rFonts w:ascii="Verdana" w:hAnsi="Verdana"/>
                <w:b/>
                <w:noProof/>
                <w:color w:val="000000"/>
                <w:sz w:val="18"/>
              </w:rPr>
              <w:t xml:space="preserve"> 465</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b/>
                <w:noProof/>
                <w:color w:val="000000"/>
                <w:sz w:val="18"/>
              </w:rPr>
            </w:pPr>
            <w:r>
              <w:rPr>
                <w:rFonts w:ascii="Verdana" w:hAnsi="Verdana"/>
                <w:b/>
                <w:noProof/>
                <w:color w:val="000000"/>
                <w:sz w:val="18"/>
              </w:rPr>
              <w:t xml:space="preserve"> 665</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b/>
                <w:noProof/>
                <w:color w:val="000000"/>
                <w:sz w:val="18"/>
              </w:rPr>
            </w:pPr>
            <w:r>
              <w:rPr>
                <w:rFonts w:ascii="Verdana" w:hAnsi="Verdana"/>
                <w:b/>
                <w:noProof/>
                <w:color w:val="000000"/>
                <w:sz w:val="18"/>
              </w:rPr>
              <w:t>1 231</w:t>
            </w:r>
          </w:p>
        </w:tc>
      </w:tr>
      <w:tr>
        <w:trPr>
          <w:trHeight w:val="255"/>
        </w:trPr>
        <w:tc>
          <w:tcPr>
            <w:tcW w:w="44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rPr>
                <w:rFonts w:ascii="Verdana" w:eastAsia="Verdana" w:hAnsi="Verdana" w:cs="Verdana"/>
                <w:i/>
                <w:noProof/>
                <w:color w:val="000000"/>
                <w:sz w:val="18"/>
              </w:rPr>
            </w:pPr>
            <w:r>
              <w:rPr>
                <w:rFonts w:ascii="Verdana" w:hAnsi="Verdana"/>
                <w:i/>
                <w:noProof/>
                <w:color w:val="000000"/>
                <w:sz w:val="18"/>
              </w:rPr>
              <w:t>Лихвен елемент</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50</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170</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124</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345</w:t>
            </w:r>
          </w:p>
        </w:tc>
      </w:tr>
      <w:tr>
        <w:trPr>
          <w:trHeight w:val="255"/>
        </w:trPr>
        <w:tc>
          <w:tcPr>
            <w:tcW w:w="44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rPr>
                <w:rFonts w:ascii="Verdana" w:eastAsia="Verdana" w:hAnsi="Verdana" w:cs="Verdana"/>
                <w:b/>
                <w:noProof/>
                <w:color w:val="000000"/>
                <w:sz w:val="18"/>
              </w:rPr>
            </w:pPr>
            <w:r>
              <w:rPr>
                <w:rFonts w:ascii="Verdana" w:hAnsi="Verdana"/>
                <w:b/>
                <w:noProof/>
                <w:color w:val="000000"/>
                <w:sz w:val="18"/>
              </w:rPr>
              <w:t>Общо бъдещи минимални лизингови плащания към 31.12.2020 г.</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b/>
                <w:noProof/>
                <w:color w:val="000000"/>
                <w:sz w:val="18"/>
              </w:rPr>
            </w:pPr>
            <w:r>
              <w:rPr>
                <w:rFonts w:ascii="Verdana" w:hAnsi="Verdana"/>
                <w:b/>
                <w:noProof/>
                <w:color w:val="000000"/>
                <w:sz w:val="18"/>
              </w:rPr>
              <w:t xml:space="preserve"> 151</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b/>
                <w:noProof/>
                <w:color w:val="000000"/>
                <w:sz w:val="18"/>
              </w:rPr>
            </w:pPr>
            <w:r>
              <w:rPr>
                <w:rFonts w:ascii="Verdana" w:hAnsi="Verdana"/>
                <w:b/>
                <w:noProof/>
                <w:color w:val="000000"/>
                <w:sz w:val="18"/>
              </w:rPr>
              <w:t xml:space="preserve"> 636</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b/>
                <w:noProof/>
                <w:color w:val="000000"/>
                <w:sz w:val="18"/>
              </w:rPr>
            </w:pPr>
            <w:r>
              <w:rPr>
                <w:rFonts w:ascii="Verdana" w:hAnsi="Verdana"/>
                <w:b/>
                <w:noProof/>
                <w:color w:val="000000"/>
                <w:sz w:val="18"/>
              </w:rPr>
              <w:t xml:space="preserve"> 790</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b/>
                <w:noProof/>
                <w:color w:val="000000"/>
                <w:sz w:val="18"/>
              </w:rPr>
            </w:pPr>
            <w:r>
              <w:rPr>
                <w:rFonts w:ascii="Verdana" w:hAnsi="Verdana"/>
                <w:b/>
                <w:noProof/>
                <w:color w:val="000000"/>
                <w:sz w:val="18"/>
              </w:rPr>
              <w:t>1 576</w:t>
            </w:r>
          </w:p>
        </w:tc>
      </w:tr>
      <w:tr>
        <w:trPr>
          <w:trHeight w:val="255"/>
        </w:trPr>
        <w:tc>
          <w:tcPr>
            <w:tcW w:w="4474"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7BIPFL"/>
              <w:rPr>
                <w:rFonts w:ascii="Verdana" w:eastAsia="Verdana" w:hAnsi="Verdana" w:cs="Verdana"/>
                <w:i/>
                <w:noProof/>
                <w:color w:val="000000"/>
                <w:sz w:val="18"/>
              </w:rPr>
            </w:pPr>
            <w:r>
              <w:rPr>
                <w:rFonts w:ascii="Verdana" w:hAnsi="Verdana"/>
                <w:i/>
                <w:noProof/>
                <w:color w:val="000000"/>
                <w:sz w:val="18"/>
              </w:rPr>
              <w:t>Общо бъдещи минимални лизингови плащания към 31.12.2019 г.</w:t>
            </w:r>
          </w:p>
        </w:tc>
        <w:tc>
          <w:tcPr>
            <w:tcW w:w="1321"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150</w:t>
            </w:r>
          </w:p>
        </w:tc>
        <w:tc>
          <w:tcPr>
            <w:tcW w:w="1321"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644</w:t>
            </w:r>
          </w:p>
        </w:tc>
        <w:tc>
          <w:tcPr>
            <w:tcW w:w="1321"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 xml:space="preserve"> 946</w:t>
            </w:r>
          </w:p>
        </w:tc>
        <w:tc>
          <w:tcPr>
            <w:tcW w:w="1321"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87BIPFL"/>
              <w:jc w:val="right"/>
              <w:rPr>
                <w:rFonts w:ascii="Verdana" w:eastAsia="Verdana" w:hAnsi="Verdana" w:cs="Verdana"/>
                <w:i/>
                <w:noProof/>
                <w:color w:val="000000"/>
                <w:sz w:val="18"/>
              </w:rPr>
            </w:pPr>
            <w:r>
              <w:rPr>
                <w:rFonts w:ascii="Verdana" w:hAnsi="Verdana"/>
                <w:i/>
                <w:noProof/>
                <w:color w:val="000000"/>
                <w:sz w:val="18"/>
              </w:rPr>
              <w:t>1 741</w:t>
            </w:r>
          </w:p>
        </w:tc>
      </w:tr>
    </w:tbl>
    <w:p>
      <w:pPr>
        <w:pStyle w:val="HEADER5"/>
        <w:rPr>
          <w:noProof/>
        </w:rPr>
      </w:pPr>
    </w:p>
    <w:p>
      <w:pPr>
        <w:pStyle w:val="DGTextstand-alone"/>
      </w:pPr>
      <w:r>
        <w:t>Сумите за лизинг и сгради, посочени по-горе, ще трябва да бъдат финансирани от бъдещи бюджети.</w:t>
      </w:r>
    </w:p>
    <w:p>
      <w:pPr>
        <w:pStyle w:val="HEADER3NOTES"/>
        <w:rPr>
          <w:noProof/>
        </w:rPr>
      </w:pPr>
      <w:r>
        <w:rPr>
          <w:noProof/>
        </w:rPr>
        <w:br w:type="page"/>
        <w:t>Финансови пасиви по справедлива стойност чрез излишъка или дефицита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71"/>
        <w:gridCol w:w="1449"/>
        <w:gridCol w:w="1406"/>
        <w:gridCol w:w="1166"/>
        <w:gridCol w:w="1166"/>
      </w:tblGrid>
      <w:tr>
        <w:trPr>
          <w:trHeight w:val="255"/>
        </w:trPr>
        <w:tc>
          <w:tcPr>
            <w:tcW w:w="4571" w:type="dxa"/>
            <w:tcBorders>
              <w:top w:val="nil"/>
              <w:left w:val="nil"/>
              <w:bottom w:val="nil"/>
              <w:right w:val="nil"/>
              <w:tl2br w:val="nil"/>
              <w:tr2bl w:val="nil"/>
            </w:tcBorders>
            <w:shd w:val="clear" w:color="auto" w:fill="auto"/>
            <w:tcMar>
              <w:left w:w="60" w:type="dxa"/>
              <w:right w:w="60" w:type="dxa"/>
            </w:tcMar>
            <w:vAlign w:val="bottom"/>
          </w:tcPr>
          <w:p>
            <w:pPr>
              <w:pStyle w:val="DMETW19544BIPNOTIONALFL"/>
              <w:rPr>
                <w:rFonts w:ascii="Arial" w:eastAsia="Arial" w:hAnsi="Arial" w:cs="Arial"/>
                <w:noProof/>
                <w:color w:val="000000"/>
              </w:rPr>
            </w:pPr>
            <w:bookmarkStart w:id="148" w:name="DOC_TBL00056_1_1"/>
            <w:bookmarkEnd w:id="148"/>
          </w:p>
        </w:tc>
        <w:tc>
          <w:tcPr>
            <w:tcW w:w="1449" w:type="dxa"/>
            <w:tcBorders>
              <w:top w:val="nil"/>
              <w:left w:val="nil"/>
              <w:bottom w:val="nil"/>
              <w:right w:val="nil"/>
              <w:tl2br w:val="nil"/>
              <w:tr2bl w:val="nil"/>
            </w:tcBorders>
            <w:shd w:val="clear" w:color="auto" w:fill="auto"/>
            <w:tcMar>
              <w:left w:w="60" w:type="dxa"/>
              <w:right w:w="60" w:type="dxa"/>
            </w:tcMar>
            <w:vAlign w:val="bottom"/>
          </w:tcPr>
          <w:p>
            <w:pPr>
              <w:pStyle w:val="DMETW19544BIPNOTIONALFL"/>
              <w:rPr>
                <w:rFonts w:ascii="Arial" w:eastAsia="Arial" w:hAnsi="Arial" w:cs="Arial"/>
                <w:noProof/>
                <w:color w:val="000000"/>
              </w:rPr>
            </w:pPr>
          </w:p>
        </w:tc>
        <w:tc>
          <w:tcPr>
            <w:tcW w:w="1406" w:type="dxa"/>
            <w:tcBorders>
              <w:top w:val="nil"/>
              <w:left w:val="nil"/>
              <w:bottom w:val="nil"/>
              <w:right w:val="nil"/>
              <w:tl2br w:val="nil"/>
              <w:tr2bl w:val="nil"/>
            </w:tcBorders>
            <w:shd w:val="clear" w:color="auto" w:fill="auto"/>
            <w:tcMar>
              <w:left w:w="60" w:type="dxa"/>
              <w:right w:w="60" w:type="dxa"/>
            </w:tcMar>
            <w:vAlign w:val="bottom"/>
          </w:tcPr>
          <w:p>
            <w:pPr>
              <w:pStyle w:val="DMETW19544BIPNOTIONALFL"/>
              <w:rPr>
                <w:rFonts w:ascii="Arial" w:eastAsia="Arial" w:hAnsi="Arial" w:cs="Arial"/>
                <w:noProof/>
                <w:color w:val="000000"/>
              </w:rPr>
            </w:pPr>
          </w:p>
        </w:tc>
        <w:tc>
          <w:tcPr>
            <w:tcW w:w="1166" w:type="dxa"/>
            <w:tcBorders>
              <w:top w:val="nil"/>
              <w:left w:val="nil"/>
              <w:bottom w:val="nil"/>
              <w:right w:val="nil"/>
              <w:tl2br w:val="nil"/>
              <w:tr2bl w:val="nil"/>
            </w:tcBorders>
            <w:shd w:val="clear" w:color="auto" w:fill="auto"/>
            <w:tcMar>
              <w:left w:w="60" w:type="dxa"/>
              <w:right w:w="60" w:type="dxa"/>
            </w:tcMar>
            <w:vAlign w:val="bottom"/>
          </w:tcPr>
          <w:p>
            <w:pPr>
              <w:pStyle w:val="DMETW19544BIPNOTIONALFL"/>
              <w:rPr>
                <w:rFonts w:ascii="Arial" w:eastAsia="Arial" w:hAnsi="Arial" w:cs="Arial"/>
                <w:noProof/>
                <w:color w:val="000000"/>
              </w:rPr>
            </w:pPr>
          </w:p>
        </w:tc>
        <w:tc>
          <w:tcPr>
            <w:tcW w:w="1166" w:type="dxa"/>
            <w:tcBorders>
              <w:top w:val="nil"/>
              <w:left w:val="nil"/>
              <w:bottom w:val="nil"/>
              <w:right w:val="nil"/>
              <w:tl2br w:val="nil"/>
              <w:tr2bl w:val="nil"/>
            </w:tcBorders>
            <w:shd w:val="clear" w:color="auto" w:fill="auto"/>
            <w:tcMar>
              <w:left w:w="60" w:type="dxa"/>
              <w:right w:w="60" w:type="dxa"/>
            </w:tcMar>
            <w:vAlign w:val="bottom"/>
          </w:tcPr>
          <w:p>
            <w:pPr>
              <w:pStyle w:val="DMETW19544BIPNOTIONALFL"/>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571"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544BIPNOTIONALFL"/>
              <w:jc w:val="center"/>
              <w:rPr>
                <w:rFonts w:ascii="Verdana" w:eastAsia="Verdana" w:hAnsi="Verdana" w:cs="Verdana"/>
                <w:noProof/>
                <w:color w:val="FFFFFF"/>
              </w:rPr>
            </w:pPr>
            <w:r>
              <w:rPr>
                <w:rFonts w:ascii="Verdana" w:hAnsi="Verdana"/>
                <w:noProof/>
                <w:color w:val="FFFFFF"/>
              </w:rPr>
              <w:t>Вид дериватив</w:t>
            </w:r>
          </w:p>
        </w:tc>
        <w:tc>
          <w:tcPr>
            <w:tcW w:w="1449"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544BIPNOTIONALFL"/>
              <w:jc w:val="center"/>
              <w:rPr>
                <w:rFonts w:ascii="Verdana" w:eastAsia="Verdana" w:hAnsi="Verdana" w:cs="Verdana"/>
                <w:noProof/>
                <w:color w:val="FFFFFF"/>
              </w:rPr>
            </w:pPr>
            <w:r>
              <w:rPr>
                <w:rFonts w:ascii="Verdana" w:hAnsi="Verdana"/>
                <w:noProof/>
                <w:color w:val="FFFFFF"/>
              </w:rPr>
              <w:t>31.12.2020 г.</w:t>
            </w:r>
          </w:p>
        </w:tc>
        <w:tc>
          <w:tcPr>
            <w:tcW w:w="1166"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544BIPNOTIONALFL"/>
              <w:jc w:val="center"/>
              <w:rPr>
                <w:rFonts w:ascii="Verdana" w:eastAsia="Verdana" w:hAnsi="Verdana" w:cs="Verdana"/>
                <w:noProof/>
                <w:color w:val="FFFFFF"/>
              </w:rPr>
            </w:pPr>
            <w:r>
              <w:rPr>
                <w:rFonts w:ascii="Verdana" w:hAnsi="Verdana"/>
                <w:noProof/>
                <w:color w:val="FFFFFF"/>
              </w:rPr>
              <w:t>31.12.2019 г.</w:t>
            </w:r>
          </w:p>
        </w:tc>
      </w:tr>
      <w:tr>
        <w:trPr>
          <w:trHeight w:val="255"/>
        </w:trPr>
        <w:tc>
          <w:tcPr>
            <w:tcW w:w="4845" w:type="dxa"/>
            <w:vMerge/>
            <w:tcBorders>
              <w:top w:val="nil"/>
              <w:left w:val="nil"/>
              <w:bottom w:val="nil"/>
              <w:right w:val="nil"/>
              <w:tl2br w:val="nil"/>
              <w:tr2bl w:val="nil"/>
            </w:tcBorders>
            <w:shd w:val="solid" w:color="016794" w:fill="FFFFFF"/>
            <w:tcMar>
              <w:left w:w="60" w:type="dxa"/>
              <w:right w:w="60" w:type="dxa"/>
            </w:tcMar>
            <w:vAlign w:val="center"/>
          </w:tcPr>
          <w:p>
            <w:pPr>
              <w:pStyle w:val="DMETW19544BIPNOTIONALFL"/>
              <w:jc w:val="center"/>
              <w:rPr>
                <w:rFonts w:ascii="Verdana" w:eastAsia="Verdana" w:hAnsi="Verdana" w:cs="Verdana"/>
                <w:noProof/>
                <w:color w:val="FFFFFF"/>
              </w:rPr>
            </w:pPr>
          </w:p>
        </w:tc>
        <w:tc>
          <w:tcPr>
            <w:tcW w:w="1449" w:type="dxa"/>
            <w:tcBorders>
              <w:top w:val="nil"/>
              <w:left w:val="nil"/>
              <w:bottom w:val="nil"/>
              <w:right w:val="nil"/>
              <w:tl2br w:val="nil"/>
              <w:tr2bl w:val="nil"/>
            </w:tcBorders>
            <w:shd w:val="solid" w:color="016794" w:fill="FFFFFF"/>
            <w:tcMar>
              <w:left w:w="60" w:type="dxa"/>
              <w:right w:w="60" w:type="dxa"/>
            </w:tcMar>
            <w:vAlign w:val="center"/>
          </w:tcPr>
          <w:p>
            <w:pPr>
              <w:pStyle w:val="DMETW19544BIPNOTIONALFL"/>
              <w:jc w:val="center"/>
              <w:rPr>
                <w:rFonts w:ascii="Verdana" w:eastAsia="Verdana" w:hAnsi="Verdana" w:cs="Verdana"/>
                <w:noProof/>
                <w:color w:val="FFFFFF"/>
              </w:rPr>
            </w:pPr>
            <w:r>
              <w:rPr>
                <w:rFonts w:ascii="Verdana" w:hAnsi="Verdana"/>
                <w:noProof/>
                <w:color w:val="FFFFFF"/>
              </w:rPr>
              <w:t xml:space="preserve">Теоретична сума </w:t>
            </w:r>
          </w:p>
        </w:tc>
        <w:tc>
          <w:tcPr>
            <w:tcW w:w="1406" w:type="dxa"/>
            <w:tcBorders>
              <w:top w:val="nil"/>
              <w:left w:val="nil"/>
              <w:bottom w:val="nil"/>
              <w:right w:val="nil"/>
              <w:tl2br w:val="nil"/>
              <w:tr2bl w:val="nil"/>
            </w:tcBorders>
            <w:shd w:val="solid" w:color="016794" w:fill="FFFFFF"/>
            <w:tcMar>
              <w:left w:w="60" w:type="dxa"/>
              <w:right w:w="60" w:type="dxa"/>
            </w:tcMar>
            <w:vAlign w:val="center"/>
          </w:tcPr>
          <w:p>
            <w:pPr>
              <w:pStyle w:val="DMETW19544BIPNOTIONALFL"/>
              <w:jc w:val="center"/>
              <w:rPr>
                <w:rFonts w:ascii="Verdana" w:eastAsia="Verdana" w:hAnsi="Verdana" w:cs="Verdana"/>
                <w:noProof/>
                <w:color w:val="FFFFFF"/>
              </w:rPr>
            </w:pPr>
            <w:r>
              <w:rPr>
                <w:rFonts w:ascii="Verdana" w:hAnsi="Verdana"/>
                <w:noProof/>
                <w:color w:val="FFFFFF"/>
              </w:rPr>
              <w:t>Справедлива стойност</w:t>
            </w:r>
          </w:p>
        </w:tc>
        <w:tc>
          <w:tcPr>
            <w:tcW w:w="1166" w:type="dxa"/>
            <w:tcBorders>
              <w:top w:val="nil"/>
              <w:left w:val="nil"/>
              <w:bottom w:val="nil"/>
              <w:right w:val="nil"/>
              <w:tl2br w:val="nil"/>
              <w:tr2bl w:val="nil"/>
            </w:tcBorders>
            <w:shd w:val="solid" w:color="016794" w:fill="FFFFFF"/>
            <w:tcMar>
              <w:left w:w="60" w:type="dxa"/>
              <w:right w:w="60" w:type="dxa"/>
            </w:tcMar>
            <w:vAlign w:val="center"/>
          </w:tcPr>
          <w:p>
            <w:pPr>
              <w:pStyle w:val="DMETW19544BIPNOTIONALFL"/>
              <w:jc w:val="center"/>
              <w:rPr>
                <w:rFonts w:ascii="Verdana" w:eastAsia="Verdana" w:hAnsi="Verdana" w:cs="Verdana"/>
                <w:noProof/>
                <w:color w:val="FFFFFF"/>
              </w:rPr>
            </w:pPr>
            <w:r>
              <w:rPr>
                <w:rFonts w:ascii="Verdana" w:hAnsi="Verdana"/>
                <w:noProof/>
                <w:color w:val="FFFFFF"/>
              </w:rPr>
              <w:t xml:space="preserve">Теоретична сума </w:t>
            </w:r>
          </w:p>
        </w:tc>
        <w:tc>
          <w:tcPr>
            <w:tcW w:w="1166" w:type="dxa"/>
            <w:tcBorders>
              <w:top w:val="nil"/>
              <w:left w:val="nil"/>
              <w:bottom w:val="nil"/>
              <w:right w:val="nil"/>
              <w:tl2br w:val="nil"/>
              <w:tr2bl w:val="nil"/>
            </w:tcBorders>
            <w:shd w:val="solid" w:color="016794" w:fill="FFFFFF"/>
            <w:tcMar>
              <w:left w:w="60" w:type="dxa"/>
              <w:right w:w="60" w:type="dxa"/>
            </w:tcMar>
            <w:vAlign w:val="center"/>
          </w:tcPr>
          <w:p>
            <w:pPr>
              <w:pStyle w:val="DMETW19544BIPNOTIONALFL"/>
              <w:jc w:val="center"/>
              <w:rPr>
                <w:rFonts w:ascii="Verdana" w:eastAsia="Verdana" w:hAnsi="Verdana" w:cs="Verdana"/>
                <w:noProof/>
                <w:color w:val="FFFFFF"/>
              </w:rPr>
            </w:pPr>
            <w:r>
              <w:rPr>
                <w:rFonts w:ascii="Verdana" w:hAnsi="Verdana"/>
                <w:noProof/>
                <w:color w:val="FFFFFF"/>
              </w:rPr>
              <w:t>Справедлива стойност</w:t>
            </w:r>
          </w:p>
        </w:tc>
      </w:tr>
      <w:tr>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pPr>
              <w:pStyle w:val="DMETW19544BIPNOTIONALFL"/>
              <w:rPr>
                <w:rFonts w:ascii="Verdana" w:eastAsia="Verdana" w:hAnsi="Verdana" w:cs="Verdana"/>
                <w:i/>
                <w:noProof/>
                <w:color w:val="000000"/>
                <w:sz w:val="18"/>
              </w:rPr>
            </w:pPr>
            <w:r>
              <w:rPr>
                <w:rFonts w:ascii="Verdana" w:hAnsi="Verdana"/>
                <w:i/>
                <w:noProof/>
                <w:color w:val="000000"/>
                <w:sz w:val="18"/>
              </w:rPr>
              <w:t>Гаранция по капиталовия портфейл</w:t>
            </w:r>
          </w:p>
        </w:tc>
        <w:tc>
          <w:tcPr>
            <w:tcW w:w="1449" w:type="dxa"/>
            <w:tcBorders>
              <w:top w:val="nil"/>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00000"/>
                <w:sz w:val="18"/>
              </w:rPr>
            </w:pPr>
            <w:r>
              <w:rPr>
                <w:rFonts w:ascii="Verdana" w:hAnsi="Verdana"/>
                <w:i/>
                <w:noProof/>
                <w:color w:val="000000"/>
                <w:sz w:val="18"/>
              </w:rPr>
              <w:t xml:space="preserve"> 215</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00000"/>
                <w:sz w:val="18"/>
              </w:rPr>
            </w:pPr>
            <w:r>
              <w:rPr>
                <w:rFonts w:ascii="Verdana" w:hAnsi="Verdana"/>
                <w:i/>
                <w:noProof/>
                <w:color w:val="000000"/>
                <w:sz w:val="18"/>
              </w:rPr>
              <w:t xml:space="preserve"> 1</w:t>
            </w:r>
          </w:p>
        </w:tc>
        <w:tc>
          <w:tcPr>
            <w:tcW w:w="1166" w:type="dxa"/>
            <w:tcBorders>
              <w:top w:val="nil"/>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00000"/>
                <w:sz w:val="18"/>
              </w:rPr>
            </w:pPr>
            <w:r>
              <w:rPr>
                <w:rFonts w:ascii="Verdana" w:hAnsi="Verdana"/>
                <w:i/>
                <w:noProof/>
                <w:color w:val="000000"/>
                <w:sz w:val="18"/>
              </w:rPr>
              <w:t xml:space="preserve"> 752</w:t>
            </w:r>
          </w:p>
        </w:tc>
        <w:tc>
          <w:tcPr>
            <w:tcW w:w="1166" w:type="dxa"/>
            <w:tcBorders>
              <w:top w:val="nil"/>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00000"/>
                <w:sz w:val="18"/>
              </w:rPr>
            </w:pPr>
            <w:r>
              <w:rPr>
                <w:rFonts w:ascii="Verdana" w:hAnsi="Verdana"/>
                <w:i/>
                <w:noProof/>
                <w:color w:val="000000"/>
                <w:sz w:val="18"/>
              </w:rPr>
              <w:t xml:space="preserve"> 10</w:t>
            </w:r>
          </w:p>
        </w:tc>
      </w:tr>
      <w:tr>
        <w:trPr>
          <w:trHeight w:val="255"/>
        </w:trPr>
        <w:tc>
          <w:tcPr>
            <w:tcW w:w="457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44BIPNOTIONALFL"/>
              <w:rPr>
                <w:rFonts w:ascii="Verdana" w:eastAsia="Verdana" w:hAnsi="Verdana" w:cs="Verdana"/>
                <w:i/>
                <w:noProof/>
                <w:color w:val="000000"/>
                <w:sz w:val="18"/>
              </w:rPr>
            </w:pPr>
            <w:r>
              <w:rPr>
                <w:rFonts w:ascii="Verdana" w:hAnsi="Verdana"/>
                <w:i/>
                <w:noProof/>
                <w:color w:val="000000"/>
                <w:sz w:val="18"/>
              </w:rPr>
              <w:t>Валутна опция (пут спред)</w:t>
            </w:r>
          </w:p>
        </w:tc>
        <w:tc>
          <w:tcPr>
            <w:tcW w:w="144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00000"/>
                <w:sz w:val="18"/>
              </w:rPr>
            </w:pPr>
            <w:r>
              <w:rPr>
                <w:rFonts w:ascii="Verdana" w:hAnsi="Verdana"/>
                <w:i/>
                <w:noProof/>
                <w:color w:val="000000"/>
                <w:sz w:val="18"/>
              </w:rPr>
              <w:t xml:space="preserve"> 14</w:t>
            </w:r>
          </w:p>
        </w:tc>
        <w:tc>
          <w:tcPr>
            <w:tcW w:w="140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00000"/>
                <w:sz w:val="18"/>
              </w:rPr>
            </w:pPr>
            <w:r>
              <w:rPr>
                <w:rFonts w:ascii="Verdana" w:hAnsi="Verdana"/>
                <w:i/>
                <w:noProof/>
                <w:color w:val="000000"/>
                <w:sz w:val="18"/>
              </w:rPr>
              <w:t xml:space="preserve"> 4</w:t>
            </w:r>
          </w:p>
        </w:tc>
        <w:tc>
          <w:tcPr>
            <w:tcW w:w="116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00000"/>
                <w:sz w:val="18"/>
              </w:rPr>
            </w:pPr>
            <w:r>
              <w:rPr>
                <w:rFonts w:ascii="Verdana" w:hAnsi="Verdana"/>
                <w:i/>
                <w:noProof/>
                <w:color w:val="000000"/>
                <w:sz w:val="18"/>
              </w:rPr>
              <w:t xml:space="preserve"> 13</w:t>
            </w:r>
          </w:p>
        </w:tc>
        <w:tc>
          <w:tcPr>
            <w:tcW w:w="116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457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44BIPNOTIONALFL"/>
              <w:rPr>
                <w:rFonts w:ascii="Verdana" w:eastAsia="Verdana" w:hAnsi="Verdana" w:cs="Verdana"/>
                <w:b/>
                <w:noProof/>
                <w:color w:val="000000"/>
                <w:sz w:val="18"/>
              </w:rPr>
            </w:pPr>
            <w:r>
              <w:rPr>
                <w:rFonts w:ascii="Verdana" w:hAnsi="Verdana"/>
                <w:b/>
                <w:noProof/>
                <w:color w:val="000000"/>
                <w:sz w:val="18"/>
              </w:rPr>
              <w:t>Общо</w:t>
            </w:r>
          </w:p>
        </w:tc>
        <w:tc>
          <w:tcPr>
            <w:tcW w:w="144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b/>
                <w:noProof/>
                <w:color w:val="000000"/>
                <w:sz w:val="18"/>
              </w:rPr>
            </w:pPr>
            <w:r>
              <w:rPr>
                <w:rFonts w:ascii="Verdana" w:hAnsi="Verdana"/>
                <w:b/>
                <w:noProof/>
                <w:color w:val="000000"/>
                <w:sz w:val="18"/>
              </w:rPr>
              <w:t xml:space="preserve"> 229</w:t>
            </w:r>
          </w:p>
        </w:tc>
        <w:tc>
          <w:tcPr>
            <w:tcW w:w="14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b/>
                <w:noProof/>
                <w:color w:val="000000"/>
                <w:sz w:val="18"/>
              </w:rPr>
            </w:pPr>
            <w:r>
              <w:rPr>
                <w:rFonts w:ascii="Verdana" w:hAnsi="Verdana"/>
                <w:b/>
                <w:noProof/>
                <w:color w:val="000000"/>
                <w:sz w:val="18"/>
              </w:rPr>
              <w:t xml:space="preserve"> 4</w:t>
            </w:r>
          </w:p>
        </w:tc>
        <w:tc>
          <w:tcPr>
            <w:tcW w:w="11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b/>
                <w:noProof/>
                <w:color w:val="000000"/>
                <w:sz w:val="18"/>
              </w:rPr>
            </w:pPr>
            <w:r>
              <w:rPr>
                <w:rFonts w:ascii="Verdana" w:hAnsi="Verdana"/>
                <w:b/>
                <w:noProof/>
                <w:color w:val="000000"/>
                <w:sz w:val="18"/>
              </w:rPr>
              <w:t xml:space="preserve"> 765</w:t>
            </w:r>
          </w:p>
        </w:tc>
        <w:tc>
          <w:tcPr>
            <w:tcW w:w="116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b/>
                <w:noProof/>
                <w:color w:val="000000"/>
                <w:sz w:val="18"/>
              </w:rPr>
            </w:pPr>
            <w:r>
              <w:rPr>
                <w:rFonts w:ascii="Verdana" w:hAnsi="Verdana"/>
                <w:b/>
                <w:noProof/>
                <w:color w:val="000000"/>
                <w:sz w:val="18"/>
              </w:rPr>
              <w:t xml:space="preserve"> 12</w:t>
            </w:r>
          </w:p>
        </w:tc>
      </w:tr>
      <w:tr>
        <w:trPr>
          <w:trHeight w:val="255"/>
        </w:trPr>
        <w:tc>
          <w:tcPr>
            <w:tcW w:w="4571"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44BIPNOTIONALFL"/>
              <w:rPr>
                <w:rFonts w:ascii="Verdana" w:eastAsia="Verdana" w:hAnsi="Verdana" w:cs="Verdana"/>
                <w:i/>
                <w:noProof/>
                <w:color w:val="016794"/>
                <w:sz w:val="18"/>
              </w:rPr>
            </w:pPr>
            <w:r>
              <w:rPr>
                <w:rFonts w:ascii="Verdana" w:hAnsi="Verdana"/>
                <w:i/>
                <w:noProof/>
                <w:color w:val="016794"/>
                <w:sz w:val="18"/>
              </w:rPr>
              <w:t>Нетекущи</w:t>
            </w:r>
          </w:p>
        </w:tc>
        <w:tc>
          <w:tcPr>
            <w:tcW w:w="144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16794"/>
                <w:sz w:val="18"/>
              </w:rPr>
            </w:pPr>
            <w:r>
              <w:rPr>
                <w:rFonts w:ascii="Verdana" w:hAnsi="Verdana"/>
                <w:i/>
                <w:noProof/>
                <w:color w:val="016794"/>
                <w:sz w:val="18"/>
              </w:rPr>
              <w:t xml:space="preserve"> 229</w:t>
            </w:r>
          </w:p>
        </w:tc>
        <w:tc>
          <w:tcPr>
            <w:tcW w:w="140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16794"/>
                <w:sz w:val="18"/>
              </w:rPr>
            </w:pPr>
            <w:r>
              <w:rPr>
                <w:rFonts w:ascii="Verdana" w:hAnsi="Verdana"/>
                <w:i/>
                <w:noProof/>
                <w:color w:val="016794"/>
                <w:sz w:val="18"/>
              </w:rPr>
              <w:t xml:space="preserve"> 4</w:t>
            </w:r>
          </w:p>
        </w:tc>
        <w:tc>
          <w:tcPr>
            <w:tcW w:w="116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16794"/>
                <w:sz w:val="18"/>
              </w:rPr>
            </w:pPr>
            <w:r>
              <w:rPr>
                <w:rFonts w:ascii="Verdana" w:hAnsi="Verdana"/>
                <w:i/>
                <w:noProof/>
                <w:color w:val="016794"/>
                <w:sz w:val="18"/>
              </w:rPr>
              <w:t xml:space="preserve"> 148</w:t>
            </w:r>
          </w:p>
        </w:tc>
        <w:tc>
          <w:tcPr>
            <w:tcW w:w="116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16794"/>
                <w:sz w:val="18"/>
              </w:rPr>
            </w:pPr>
            <w:r>
              <w:rPr>
                <w:rFonts w:ascii="Verdana" w:hAnsi="Verdana"/>
                <w:i/>
                <w:noProof/>
                <w:color w:val="016794"/>
                <w:sz w:val="18"/>
              </w:rPr>
              <w:t xml:space="preserve"> 9</w:t>
            </w:r>
          </w:p>
        </w:tc>
      </w:tr>
      <w:tr>
        <w:trPr>
          <w:trHeight w:val="255"/>
        </w:trPr>
        <w:tc>
          <w:tcPr>
            <w:tcW w:w="4571" w:type="dxa"/>
            <w:tcBorders>
              <w:top w:val="nil"/>
              <w:left w:val="nil"/>
              <w:bottom w:val="nil"/>
              <w:right w:val="nil"/>
              <w:tl2br w:val="nil"/>
              <w:tr2bl w:val="nil"/>
            </w:tcBorders>
            <w:shd w:val="clear" w:color="auto" w:fill="auto"/>
            <w:tcMar>
              <w:left w:w="60" w:type="dxa"/>
              <w:right w:w="60" w:type="dxa"/>
            </w:tcMar>
            <w:vAlign w:val="center"/>
          </w:tcPr>
          <w:p>
            <w:pPr>
              <w:pStyle w:val="DMETW19544BIPNOTIONALFL"/>
              <w:rPr>
                <w:rFonts w:ascii="Verdana" w:eastAsia="Verdana" w:hAnsi="Verdana" w:cs="Verdana"/>
                <w:i/>
                <w:noProof/>
                <w:color w:val="016794"/>
                <w:sz w:val="18"/>
              </w:rPr>
            </w:pPr>
            <w:r>
              <w:rPr>
                <w:rFonts w:ascii="Verdana" w:hAnsi="Verdana"/>
                <w:i/>
                <w:noProof/>
                <w:color w:val="016794"/>
                <w:sz w:val="18"/>
              </w:rPr>
              <w:t>Текущи</w:t>
            </w:r>
          </w:p>
        </w:tc>
        <w:tc>
          <w:tcPr>
            <w:tcW w:w="1449" w:type="dxa"/>
            <w:tcBorders>
              <w:top w:val="nil"/>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16794"/>
                <w:sz w:val="18"/>
              </w:rPr>
            </w:pPr>
            <w:r>
              <w:rPr>
                <w:rFonts w:ascii="Verdana" w:hAnsi="Verdana"/>
                <w:i/>
                <w:noProof/>
                <w:color w:val="016794"/>
                <w:sz w:val="18"/>
              </w:rPr>
              <w:t xml:space="preserve"> 0</w:t>
            </w:r>
          </w:p>
        </w:tc>
        <w:tc>
          <w:tcPr>
            <w:tcW w:w="1406" w:type="dxa"/>
            <w:tcBorders>
              <w:top w:val="nil"/>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16794"/>
                <w:sz w:val="18"/>
              </w:rPr>
            </w:pPr>
            <w:r>
              <w:rPr>
                <w:rFonts w:ascii="Verdana" w:hAnsi="Verdana"/>
                <w:i/>
                <w:noProof/>
                <w:color w:val="016794"/>
                <w:sz w:val="18"/>
              </w:rPr>
              <w:t xml:space="preserve"> 0</w:t>
            </w:r>
          </w:p>
        </w:tc>
        <w:tc>
          <w:tcPr>
            <w:tcW w:w="1166" w:type="dxa"/>
            <w:tcBorders>
              <w:top w:val="nil"/>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16794"/>
                <w:sz w:val="18"/>
              </w:rPr>
            </w:pPr>
            <w:r>
              <w:rPr>
                <w:rFonts w:ascii="Verdana" w:hAnsi="Verdana"/>
                <w:i/>
                <w:noProof/>
                <w:color w:val="016794"/>
                <w:sz w:val="18"/>
              </w:rPr>
              <w:t xml:space="preserve"> 617</w:t>
            </w:r>
          </w:p>
        </w:tc>
        <w:tc>
          <w:tcPr>
            <w:tcW w:w="1166" w:type="dxa"/>
            <w:tcBorders>
              <w:top w:val="nil"/>
              <w:left w:val="nil"/>
              <w:bottom w:val="nil"/>
              <w:right w:val="nil"/>
              <w:tl2br w:val="nil"/>
              <w:tr2bl w:val="nil"/>
            </w:tcBorders>
            <w:shd w:val="clear" w:color="auto" w:fill="auto"/>
            <w:tcMar>
              <w:left w:w="60" w:type="dxa"/>
              <w:right w:w="60" w:type="dxa"/>
            </w:tcMar>
            <w:vAlign w:val="center"/>
          </w:tcPr>
          <w:p>
            <w:pPr>
              <w:pStyle w:val="DMETW19544BIPNOTIONALFL"/>
              <w:jc w:val="right"/>
              <w:rPr>
                <w:rFonts w:ascii="Verdana" w:eastAsia="Verdana" w:hAnsi="Verdana" w:cs="Verdana"/>
                <w:i/>
                <w:noProof/>
                <w:color w:val="016794"/>
                <w:sz w:val="18"/>
              </w:rPr>
            </w:pPr>
            <w:r>
              <w:rPr>
                <w:rFonts w:ascii="Verdana" w:hAnsi="Verdana"/>
                <w:i/>
                <w:noProof/>
                <w:color w:val="016794"/>
                <w:sz w:val="18"/>
              </w:rPr>
              <w:t xml:space="preserve"> 4</w:t>
            </w:r>
          </w:p>
        </w:tc>
      </w:tr>
    </w:tbl>
    <w:p>
      <w:pPr>
        <w:pStyle w:val="HEADER5"/>
        <w:rPr>
          <w:noProof/>
          <w:lang w:bidi="en-GB"/>
        </w:rPr>
      </w:pPr>
    </w:p>
    <w:p>
      <w:pPr>
        <w:pStyle w:val="HEADER5"/>
        <w:rPr>
          <w:noProof/>
        </w:rPr>
      </w:pPr>
      <w:r>
        <w:rPr>
          <w:noProof/>
        </w:rPr>
        <w:t>Гаранции по капиталови портфейли</w:t>
      </w:r>
    </w:p>
    <w:p>
      <w:pPr>
        <w:pStyle w:val="DGTextstand-alone"/>
      </w:pPr>
      <w:r>
        <w:t>Гаранциите, предоставени по капиталови портфейли, се класифицират като финансови пасиви по справедлива стойност чрез излишъка или дефицита, тъй като не отговарят на определението за задължение по финансова гаранция (вж. бележка </w:t>
      </w:r>
      <w:r>
        <w:rPr>
          <w:b/>
        </w:rPr>
        <w:t>1.5.12</w:t>
      </w:r>
      <w:r>
        <w:t>). Финансовата отговорност на ЕС се измерва със стойността на съответните инвестиции.</w:t>
      </w:r>
    </w:p>
    <w:p>
      <w:pPr>
        <w:pStyle w:val="HEADER5"/>
        <w:rPr>
          <w:noProof/>
        </w:rPr>
      </w:pPr>
      <w:r>
        <w:rPr>
          <w:noProof/>
        </w:rPr>
        <w:t>Валутна опция</w:t>
      </w:r>
    </w:p>
    <w:p>
      <w:pPr>
        <w:pStyle w:val="DGTextstand-alone"/>
      </w:pPr>
      <w:r>
        <w:t>Към 31 декември 2020 г. ЕС държи деривативен финансов инструмент (валутна опция — опция от вида пут спред), в който покрива обезценката на чуждестранната валута (UHA), свързана със заеми, отпуснати от финансови институции на МСП в Украйна, за да се подобрят достъпът до финансиране и привлекателността на условията по заемите в Украйна. Съгласно условията на договора ЕС предоставя на партньорите си възможност да поискат — за всеки допустим заем — финансов принос от ЕС в размер на максимум 30 % в случай на обезценка на съотношението UHA/EUR.</w:t>
      </w:r>
    </w:p>
    <w:p>
      <w:pPr>
        <w:pStyle w:val="HEADER5"/>
        <w:spacing w:before="360"/>
        <w:rPr>
          <w:b/>
          <w:noProof/>
        </w:rPr>
      </w:pPr>
      <w:r>
        <w:rPr>
          <w:noProof/>
        </w:rPr>
        <w:t>Йерархия на справедливата стойност на финансовите пасиви, оценени по справедлива стойност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899"/>
        <w:gridCol w:w="1844"/>
      </w:tblGrid>
      <w:tr>
        <w:trPr>
          <w:trHeight w:val="255"/>
        </w:trPr>
        <w:tc>
          <w:tcPr>
            <w:tcW w:w="6015" w:type="dxa"/>
            <w:tcBorders>
              <w:top w:val="nil"/>
              <w:left w:val="nil"/>
              <w:bottom w:val="nil"/>
              <w:right w:val="nil"/>
              <w:tl2br w:val="nil"/>
              <w:tr2bl w:val="nil"/>
            </w:tcBorders>
            <w:shd w:val="clear" w:color="auto" w:fill="auto"/>
            <w:tcMar>
              <w:left w:w="60" w:type="dxa"/>
              <w:right w:w="60" w:type="dxa"/>
            </w:tcMar>
            <w:vAlign w:val="bottom"/>
          </w:tcPr>
          <w:p>
            <w:pPr>
              <w:pStyle w:val="DMETW19544BIPFVH"/>
              <w:rPr>
                <w:rFonts w:ascii="Arial" w:eastAsia="Arial" w:hAnsi="Arial" w:cs="Arial"/>
                <w:noProof/>
                <w:color w:val="000000"/>
              </w:rPr>
            </w:pPr>
            <w:bookmarkStart w:id="149" w:name="DOC_TBL00057_1_1"/>
            <w:bookmarkEnd w:id="149"/>
          </w:p>
        </w:tc>
        <w:tc>
          <w:tcPr>
            <w:tcW w:w="1899" w:type="dxa"/>
            <w:tcBorders>
              <w:top w:val="nil"/>
              <w:left w:val="nil"/>
              <w:bottom w:val="nil"/>
              <w:right w:val="nil"/>
              <w:tl2br w:val="nil"/>
              <w:tr2bl w:val="nil"/>
            </w:tcBorders>
            <w:shd w:val="clear" w:color="auto" w:fill="auto"/>
            <w:tcMar>
              <w:left w:w="60" w:type="dxa"/>
              <w:right w:w="60" w:type="dxa"/>
            </w:tcMar>
            <w:vAlign w:val="bottom"/>
          </w:tcPr>
          <w:p>
            <w:pPr>
              <w:pStyle w:val="DMETW19544BIPFVH"/>
              <w:rPr>
                <w:rFonts w:ascii="Arial" w:eastAsia="Arial" w:hAnsi="Arial" w:cs="Arial"/>
                <w:noProof/>
                <w:color w:val="000000"/>
              </w:rPr>
            </w:pPr>
          </w:p>
        </w:tc>
        <w:tc>
          <w:tcPr>
            <w:tcW w:w="1844" w:type="dxa"/>
            <w:tcBorders>
              <w:top w:val="nil"/>
              <w:left w:val="nil"/>
              <w:bottom w:val="nil"/>
              <w:right w:val="nil"/>
              <w:tl2br w:val="nil"/>
              <w:tr2bl w:val="nil"/>
            </w:tcBorders>
            <w:shd w:val="clear" w:color="auto" w:fill="auto"/>
            <w:tcMar>
              <w:left w:w="60" w:type="dxa"/>
              <w:right w:w="60" w:type="dxa"/>
            </w:tcMar>
            <w:vAlign w:val="bottom"/>
          </w:tcPr>
          <w:p>
            <w:pPr>
              <w:pStyle w:val="DMETW19544BIPFVH"/>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015" w:type="dxa"/>
            <w:tcBorders>
              <w:top w:val="nil"/>
              <w:left w:val="nil"/>
              <w:bottom w:val="nil"/>
              <w:right w:val="nil"/>
              <w:tl2br w:val="nil"/>
              <w:tr2bl w:val="nil"/>
            </w:tcBorders>
            <w:shd w:val="solid" w:color="016794" w:fill="FFFFFF"/>
            <w:tcMar>
              <w:left w:w="60" w:type="dxa"/>
              <w:right w:w="60" w:type="dxa"/>
            </w:tcMar>
            <w:vAlign w:val="center"/>
          </w:tcPr>
          <w:p>
            <w:pPr>
              <w:pStyle w:val="DMETW19544BIPFVH"/>
              <w:jc w:val="center"/>
              <w:rPr>
                <w:rFonts w:ascii="Verdana" w:eastAsia="Verdana" w:hAnsi="Verdana" w:cs="Verdana"/>
                <w:noProof/>
                <w:color w:val="FFFFFF"/>
              </w:rPr>
            </w:pPr>
          </w:p>
        </w:tc>
        <w:tc>
          <w:tcPr>
            <w:tcW w:w="1899" w:type="dxa"/>
            <w:tcBorders>
              <w:top w:val="nil"/>
              <w:left w:val="nil"/>
              <w:bottom w:val="nil"/>
              <w:right w:val="nil"/>
              <w:tl2br w:val="nil"/>
              <w:tr2bl w:val="nil"/>
            </w:tcBorders>
            <w:shd w:val="solid" w:color="016794" w:fill="FFFFFF"/>
            <w:tcMar>
              <w:left w:w="60" w:type="dxa"/>
              <w:right w:w="60" w:type="dxa"/>
            </w:tcMar>
            <w:vAlign w:val="center"/>
          </w:tcPr>
          <w:p>
            <w:pPr>
              <w:pStyle w:val="DMETW19544BIPFVH"/>
              <w:jc w:val="right"/>
              <w:rPr>
                <w:rFonts w:ascii="Verdana" w:eastAsia="Verdana" w:hAnsi="Verdana" w:cs="Verdana"/>
                <w:noProof/>
                <w:color w:val="FFFFFF"/>
              </w:rPr>
            </w:pPr>
            <w:r>
              <w:rPr>
                <w:rFonts w:ascii="Verdana" w:hAnsi="Verdana"/>
                <w:noProof/>
                <w:color w:val="FFFFFF"/>
              </w:rPr>
              <w:t>31.12.2020 г.</w:t>
            </w:r>
          </w:p>
        </w:tc>
        <w:tc>
          <w:tcPr>
            <w:tcW w:w="1844" w:type="dxa"/>
            <w:tcBorders>
              <w:top w:val="nil"/>
              <w:left w:val="nil"/>
              <w:bottom w:val="nil"/>
              <w:right w:val="nil"/>
              <w:tl2br w:val="nil"/>
              <w:tr2bl w:val="nil"/>
            </w:tcBorders>
            <w:shd w:val="solid" w:color="016794" w:fill="FFFFFF"/>
            <w:tcMar>
              <w:left w:w="60" w:type="dxa"/>
              <w:right w:w="60" w:type="dxa"/>
            </w:tcMar>
            <w:vAlign w:val="center"/>
          </w:tcPr>
          <w:p>
            <w:pPr>
              <w:pStyle w:val="DMETW19544BIPFVH"/>
              <w:jc w:val="right"/>
              <w:rPr>
                <w:rFonts w:ascii="Verdana" w:eastAsia="Verdana" w:hAnsi="Verdana" w:cs="Verdana"/>
                <w:noProof/>
                <w:color w:val="FFFFFF"/>
              </w:rPr>
            </w:pPr>
            <w:r>
              <w:rPr>
                <w:rFonts w:ascii="Verdana" w:hAnsi="Verdana"/>
                <w:noProof/>
                <w:color w:val="FFFFFF"/>
              </w:rPr>
              <w:t>31.12.2019 г.</w:t>
            </w:r>
          </w:p>
        </w:tc>
      </w:tr>
      <w:tr>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pPr>
              <w:pStyle w:val="DMETW19544BIPFVH"/>
              <w:rPr>
                <w:rFonts w:ascii="Verdana" w:eastAsia="Verdana" w:hAnsi="Verdana" w:cs="Verdana"/>
                <w:i/>
                <w:noProof/>
                <w:color w:val="000000"/>
                <w:sz w:val="18"/>
              </w:rPr>
            </w:pPr>
            <w:r>
              <w:rPr>
                <w:rFonts w:ascii="Verdana" w:hAnsi="Verdana"/>
                <w:i/>
                <w:noProof/>
                <w:color w:val="000000"/>
                <w:sz w:val="18"/>
              </w:rPr>
              <w:t>Ниво 1: котирани цени на активни пазари</w:t>
            </w:r>
          </w:p>
        </w:tc>
        <w:tc>
          <w:tcPr>
            <w:tcW w:w="1899" w:type="dxa"/>
            <w:tcBorders>
              <w:top w:val="nil"/>
              <w:left w:val="nil"/>
              <w:bottom w:val="nil"/>
              <w:right w:val="nil"/>
              <w:tl2br w:val="nil"/>
              <w:tr2bl w:val="nil"/>
            </w:tcBorders>
            <w:shd w:val="clear" w:color="auto" w:fill="auto"/>
            <w:tcMar>
              <w:left w:w="60" w:type="dxa"/>
              <w:right w:w="60" w:type="dxa"/>
            </w:tcMar>
            <w:vAlign w:val="center"/>
          </w:tcPr>
          <w:p>
            <w:pPr>
              <w:pStyle w:val="DMETW19544BIPFVH"/>
              <w:jc w:val="right"/>
              <w:rPr>
                <w:rFonts w:ascii="Verdana" w:eastAsia="Verdana" w:hAnsi="Verdana" w:cs="Verdana"/>
                <w:i/>
                <w:noProof/>
                <w:color w:val="000000"/>
                <w:sz w:val="18"/>
              </w:rPr>
            </w:pPr>
            <w:r>
              <w:rPr>
                <w:rFonts w:ascii="Verdana" w:hAnsi="Verdana"/>
                <w:i/>
                <w:noProof/>
                <w:color w:val="000000"/>
                <w:sz w:val="18"/>
              </w:rPr>
              <w:t>–</w:t>
            </w:r>
          </w:p>
        </w:tc>
        <w:tc>
          <w:tcPr>
            <w:tcW w:w="1844" w:type="dxa"/>
            <w:tcBorders>
              <w:top w:val="nil"/>
              <w:left w:val="nil"/>
              <w:bottom w:val="nil"/>
              <w:right w:val="nil"/>
              <w:tl2br w:val="nil"/>
              <w:tr2bl w:val="nil"/>
            </w:tcBorders>
            <w:shd w:val="clear" w:color="auto" w:fill="auto"/>
            <w:tcMar>
              <w:left w:w="60" w:type="dxa"/>
              <w:right w:w="60" w:type="dxa"/>
            </w:tcMar>
            <w:vAlign w:val="center"/>
          </w:tcPr>
          <w:p>
            <w:pPr>
              <w:pStyle w:val="DMETW19544BIPFVH"/>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pPr>
              <w:pStyle w:val="DMETW19544BIPFVH"/>
              <w:rPr>
                <w:rFonts w:ascii="Verdana" w:eastAsia="Verdana" w:hAnsi="Verdana" w:cs="Verdana"/>
                <w:i/>
                <w:noProof/>
                <w:color w:val="000000"/>
                <w:sz w:val="18"/>
              </w:rPr>
            </w:pPr>
            <w:r>
              <w:rPr>
                <w:rFonts w:ascii="Verdana" w:hAnsi="Verdana"/>
                <w:i/>
                <w:noProof/>
                <w:color w:val="000000"/>
                <w:sz w:val="18"/>
              </w:rPr>
              <w:t>Ниво 2: наблюдаеми елементи, различни от котираните цени</w:t>
            </w:r>
          </w:p>
        </w:tc>
        <w:tc>
          <w:tcPr>
            <w:tcW w:w="1899" w:type="dxa"/>
            <w:tcBorders>
              <w:top w:val="nil"/>
              <w:left w:val="nil"/>
              <w:bottom w:val="nil"/>
              <w:right w:val="nil"/>
              <w:tl2br w:val="nil"/>
              <w:tr2bl w:val="nil"/>
            </w:tcBorders>
            <w:shd w:val="clear" w:color="auto" w:fill="auto"/>
            <w:tcMar>
              <w:left w:w="60" w:type="dxa"/>
              <w:right w:w="60" w:type="dxa"/>
            </w:tcMar>
            <w:vAlign w:val="center"/>
          </w:tcPr>
          <w:p>
            <w:pPr>
              <w:pStyle w:val="DMETW19544BIPFVH"/>
              <w:jc w:val="right"/>
              <w:rPr>
                <w:rFonts w:ascii="Verdana" w:eastAsia="Verdana" w:hAnsi="Verdana" w:cs="Verdana"/>
                <w:i/>
                <w:noProof/>
                <w:color w:val="000000"/>
                <w:sz w:val="18"/>
              </w:rPr>
            </w:pPr>
            <w:r>
              <w:rPr>
                <w:rFonts w:ascii="Verdana" w:hAnsi="Verdana"/>
                <w:i/>
                <w:noProof/>
                <w:color w:val="000000"/>
                <w:sz w:val="18"/>
              </w:rPr>
              <w:t xml:space="preserve"> 4</w:t>
            </w:r>
          </w:p>
        </w:tc>
        <w:tc>
          <w:tcPr>
            <w:tcW w:w="1844" w:type="dxa"/>
            <w:tcBorders>
              <w:top w:val="nil"/>
              <w:left w:val="nil"/>
              <w:bottom w:val="nil"/>
              <w:right w:val="nil"/>
              <w:tl2br w:val="nil"/>
              <w:tr2bl w:val="nil"/>
            </w:tcBorders>
            <w:shd w:val="clear" w:color="auto" w:fill="auto"/>
            <w:tcMar>
              <w:left w:w="60" w:type="dxa"/>
              <w:right w:w="60" w:type="dxa"/>
            </w:tcMar>
            <w:vAlign w:val="center"/>
          </w:tcPr>
          <w:p>
            <w:pPr>
              <w:pStyle w:val="DMETW19544BIPFVH"/>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601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44BIPFVH"/>
              <w:rPr>
                <w:rFonts w:ascii="Verdana" w:eastAsia="Verdana" w:hAnsi="Verdana" w:cs="Verdana"/>
                <w:i/>
                <w:noProof/>
                <w:color w:val="000000"/>
                <w:sz w:val="18"/>
              </w:rPr>
            </w:pPr>
            <w:r>
              <w:rPr>
                <w:rFonts w:ascii="Verdana" w:hAnsi="Verdana"/>
                <w:i/>
                <w:noProof/>
                <w:color w:val="000000"/>
                <w:sz w:val="18"/>
              </w:rPr>
              <w:t>Ниво 3: техники за оценяване, при които елементите не се основават на наблюдаеми пазарни данни</w:t>
            </w:r>
          </w:p>
        </w:tc>
        <w:tc>
          <w:tcPr>
            <w:tcW w:w="189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44BIPFVH"/>
              <w:jc w:val="right"/>
              <w:rPr>
                <w:rFonts w:ascii="Verdana" w:eastAsia="Verdana" w:hAnsi="Verdana" w:cs="Verdana"/>
                <w:i/>
                <w:noProof/>
                <w:color w:val="000000"/>
                <w:sz w:val="18"/>
              </w:rPr>
            </w:pPr>
            <w:r>
              <w:rPr>
                <w:rFonts w:ascii="Verdana" w:hAnsi="Verdana"/>
                <w:i/>
                <w:noProof/>
                <w:color w:val="000000"/>
                <w:sz w:val="18"/>
              </w:rPr>
              <w:t xml:space="preserve"> 1</w:t>
            </w:r>
          </w:p>
        </w:tc>
        <w:tc>
          <w:tcPr>
            <w:tcW w:w="184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44BIPFVH"/>
              <w:jc w:val="right"/>
              <w:rPr>
                <w:rFonts w:ascii="Verdana" w:eastAsia="Verdana" w:hAnsi="Verdana" w:cs="Verdana"/>
                <w:i/>
                <w:noProof/>
                <w:color w:val="000000"/>
                <w:sz w:val="18"/>
              </w:rPr>
            </w:pPr>
            <w:r>
              <w:rPr>
                <w:rFonts w:ascii="Verdana" w:hAnsi="Verdana"/>
                <w:i/>
                <w:noProof/>
                <w:color w:val="000000"/>
                <w:sz w:val="18"/>
              </w:rPr>
              <w:t xml:space="preserve"> 10</w:t>
            </w:r>
          </w:p>
        </w:tc>
      </w:tr>
      <w:tr>
        <w:trPr>
          <w:trHeight w:val="255"/>
        </w:trPr>
        <w:tc>
          <w:tcPr>
            <w:tcW w:w="60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44BIPFVH"/>
              <w:rPr>
                <w:rFonts w:ascii="Verdana" w:eastAsia="Verdana" w:hAnsi="Verdana" w:cs="Verdana"/>
                <w:b/>
                <w:noProof/>
                <w:color w:val="000000"/>
                <w:sz w:val="18"/>
              </w:rPr>
            </w:pPr>
            <w:r>
              <w:rPr>
                <w:rFonts w:ascii="Verdana" w:hAnsi="Verdana"/>
                <w:b/>
                <w:noProof/>
                <w:color w:val="000000"/>
                <w:sz w:val="18"/>
              </w:rPr>
              <w:t>Общо</w:t>
            </w:r>
          </w:p>
        </w:tc>
        <w:tc>
          <w:tcPr>
            <w:tcW w:w="18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44BIPFVH"/>
              <w:jc w:val="right"/>
              <w:rPr>
                <w:rFonts w:ascii="Verdana" w:eastAsia="Verdana" w:hAnsi="Verdana" w:cs="Verdana"/>
                <w:b/>
                <w:noProof/>
                <w:color w:val="000000"/>
                <w:sz w:val="18"/>
              </w:rPr>
            </w:pPr>
            <w:r>
              <w:rPr>
                <w:rFonts w:ascii="Verdana" w:hAnsi="Verdana"/>
                <w:b/>
                <w:noProof/>
                <w:color w:val="000000"/>
                <w:sz w:val="18"/>
              </w:rPr>
              <w:t xml:space="preserve"> 4</w:t>
            </w:r>
          </w:p>
        </w:tc>
        <w:tc>
          <w:tcPr>
            <w:tcW w:w="18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44BIPFVH"/>
              <w:jc w:val="right"/>
              <w:rPr>
                <w:rFonts w:ascii="Verdana" w:eastAsia="Verdana" w:hAnsi="Verdana" w:cs="Verdana"/>
                <w:b/>
                <w:noProof/>
                <w:color w:val="000000"/>
                <w:sz w:val="18"/>
              </w:rPr>
            </w:pPr>
            <w:r>
              <w:rPr>
                <w:rFonts w:ascii="Verdana" w:hAnsi="Verdana"/>
                <w:b/>
                <w:noProof/>
                <w:color w:val="000000"/>
                <w:sz w:val="18"/>
              </w:rPr>
              <w:t xml:space="preserve"> 12</w:t>
            </w:r>
          </w:p>
        </w:tc>
      </w:tr>
    </w:tbl>
    <w:p>
      <w:pPr>
        <w:pStyle w:val="HEADER3NOTES"/>
        <w:rPr>
          <w:noProof/>
        </w:rPr>
      </w:pPr>
      <w:r>
        <w:rPr>
          <w:noProof/>
        </w:rPr>
        <w:t>Задължения по финансови гаранции</w:t>
      </w:r>
    </w:p>
    <w:p>
      <w:pPr>
        <w:pStyle w:val="DGTextstand-alone"/>
      </w:pPr>
      <w:r>
        <w:t>Гаранцията по ЕФСИ за дълговия портфейл, изплатен от ЕИБ в рамките на иновационния и инфраструктурен прозорец (ИИП) на ЕФСИ, и гаранцията по мандата за външно кредитиране (МВК) за заемите от ЕИБ, отпуснати по линия на инициативата на ЕИБ за икономическа устойчивост (ИИУ), се класифицират като задължение по финансова гаранция. Към 31 декември 2020 г. задължението по финансова гаранция по ЕФСИ възлиза на нула евро (2019 г.: нула евро), тъй като приходите, които трябва да бъдат получени по тази гаранция, надвишават очакваните загуби, докато задължението по финансова гаранция по МВК по ИИУ възлиза на 90 милиона евро (2019 г.: 20</w:t>
      </w:r>
      <w:r>
        <w:rPr>
          <w:lang w:val="en-GB"/>
        </w:rPr>
        <w:t> </w:t>
      </w:r>
      <w:r>
        <w:t xml:space="preserve">милиона евро) — вж. бележка </w:t>
      </w:r>
      <w:r>
        <w:rPr>
          <w:b/>
        </w:rPr>
        <w:t>4.1.1</w:t>
      </w:r>
      <w:r>
        <w:t>.</w:t>
      </w:r>
    </w:p>
    <w:bookmarkEnd w:id="141"/>
    <w:p>
      <w:pPr>
        <w:rPr>
          <w:noProof/>
        </w:rPr>
      </w:pPr>
    </w:p>
    <w:p>
      <w:pPr>
        <w:rPr>
          <w:noProof/>
        </w:rPr>
        <w:sectPr>
          <w:headerReference w:type="even" r:id="rId200"/>
          <w:headerReference w:type="default" r:id="rId201"/>
          <w:footerReference w:type="even" r:id="rId202"/>
          <w:footerReference w:type="default" r:id="rId203"/>
          <w:headerReference w:type="first" r:id="rId204"/>
          <w:footerReference w:type="first" r:id="rId205"/>
          <w:pgSz w:w="11906" w:h="16838"/>
          <w:pgMar w:top="1134" w:right="1134" w:bottom="1134" w:left="1134" w:header="709" w:footer="709" w:gutter="0"/>
          <w:cols w:space="708"/>
          <w:docGrid w:linePitch="360"/>
        </w:sectPr>
      </w:pPr>
    </w:p>
    <w:p>
      <w:pPr>
        <w:pStyle w:val="HEADER2NOTES"/>
        <w:spacing w:before="0"/>
        <w:rPr>
          <w:noProof/>
        </w:rPr>
      </w:pPr>
      <w:bookmarkStart w:id="150" w:name="_DMBM_19803"/>
      <w:r>
        <w:rPr>
          <w:noProof/>
        </w:rPr>
        <w:br w:type="page"/>
        <w:t>ЗАДЪЛЖЕНИЯ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1179"/>
        <w:gridCol w:w="1179"/>
        <w:gridCol w:w="1278"/>
        <w:gridCol w:w="1179"/>
        <w:gridCol w:w="1179"/>
        <w:gridCol w:w="1278"/>
      </w:tblGrid>
      <w:tr>
        <w:trPr>
          <w:trHeight w:val="255"/>
        </w:trPr>
        <w:tc>
          <w:tcPr>
            <w:tcW w:w="2486" w:type="dxa"/>
            <w:tcBorders>
              <w:top w:val="nil"/>
              <w:left w:val="nil"/>
              <w:bottom w:val="nil"/>
              <w:right w:val="nil"/>
              <w:tl2br w:val="nil"/>
              <w:tr2bl w:val="nil"/>
            </w:tcBorders>
            <w:shd w:val="clear" w:color="auto" w:fill="auto"/>
            <w:tcMar>
              <w:left w:w="60" w:type="dxa"/>
              <w:right w:w="60" w:type="dxa"/>
            </w:tcMar>
            <w:vAlign w:val="bottom"/>
          </w:tcPr>
          <w:p>
            <w:pPr>
              <w:pStyle w:val="DMETW19863BIPPAYAB"/>
              <w:rPr>
                <w:rFonts w:ascii="Arial" w:eastAsia="Arial" w:hAnsi="Arial" w:cs="Arial"/>
                <w:noProof/>
                <w:color w:val="000000"/>
              </w:rPr>
            </w:pPr>
            <w:bookmarkStart w:id="151" w:name="DOC_TBL00058_1_1"/>
            <w:bookmarkEnd w:id="151"/>
          </w:p>
        </w:tc>
        <w:tc>
          <w:tcPr>
            <w:tcW w:w="1179" w:type="dxa"/>
            <w:tcBorders>
              <w:top w:val="nil"/>
              <w:left w:val="nil"/>
              <w:bottom w:val="nil"/>
              <w:right w:val="nil"/>
              <w:tl2br w:val="nil"/>
              <w:tr2bl w:val="nil"/>
            </w:tcBorders>
            <w:shd w:val="clear" w:color="auto" w:fill="auto"/>
            <w:tcMar>
              <w:left w:w="60" w:type="dxa"/>
              <w:right w:w="60" w:type="dxa"/>
            </w:tcMar>
            <w:vAlign w:val="bottom"/>
          </w:tcPr>
          <w:p>
            <w:pPr>
              <w:pStyle w:val="DMETW19863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pPr>
              <w:pStyle w:val="DMETW19863BIPPAYAB"/>
              <w:rPr>
                <w:rFonts w:ascii="Arial" w:eastAsia="Arial" w:hAnsi="Arial" w:cs="Arial"/>
                <w:noProof/>
                <w:color w:val="000000"/>
              </w:rPr>
            </w:pPr>
          </w:p>
        </w:tc>
        <w:tc>
          <w:tcPr>
            <w:tcW w:w="1278" w:type="dxa"/>
            <w:tcBorders>
              <w:top w:val="nil"/>
              <w:left w:val="nil"/>
              <w:bottom w:val="nil"/>
              <w:right w:val="nil"/>
              <w:tl2br w:val="nil"/>
              <w:tr2bl w:val="nil"/>
            </w:tcBorders>
            <w:shd w:val="clear" w:color="auto" w:fill="auto"/>
            <w:tcMar>
              <w:left w:w="60" w:type="dxa"/>
              <w:right w:w="60" w:type="dxa"/>
            </w:tcMar>
            <w:vAlign w:val="bottom"/>
          </w:tcPr>
          <w:p>
            <w:pPr>
              <w:pStyle w:val="DMETW19863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pPr>
              <w:pStyle w:val="DMETW19863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pPr>
              <w:pStyle w:val="DMETW19863BIPPAYAB"/>
              <w:rPr>
                <w:rFonts w:ascii="Arial" w:eastAsia="Arial" w:hAnsi="Arial" w:cs="Arial"/>
                <w:noProof/>
                <w:color w:val="000000"/>
              </w:rPr>
            </w:pPr>
          </w:p>
        </w:tc>
        <w:tc>
          <w:tcPr>
            <w:tcW w:w="1278" w:type="dxa"/>
            <w:tcBorders>
              <w:top w:val="nil"/>
              <w:left w:val="nil"/>
              <w:bottom w:val="nil"/>
              <w:right w:val="nil"/>
              <w:tl2br w:val="nil"/>
              <w:tr2bl w:val="nil"/>
            </w:tcBorders>
            <w:shd w:val="clear" w:color="auto" w:fill="auto"/>
            <w:tcMar>
              <w:left w:w="60" w:type="dxa"/>
              <w:right w:w="60" w:type="dxa"/>
            </w:tcMar>
            <w:vAlign w:val="bottom"/>
          </w:tcPr>
          <w:p>
            <w:pPr>
              <w:pStyle w:val="DMETW19863BIPPAYAB"/>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486" w:type="dxa"/>
            <w:tcBorders>
              <w:top w:val="nil"/>
              <w:left w:val="nil"/>
              <w:bottom w:val="nil"/>
              <w:right w:val="nil"/>
              <w:tl2br w:val="nil"/>
              <w:tr2bl w:val="nil"/>
            </w:tcBorders>
            <w:shd w:val="solid" w:color="016794" w:fill="FFFFFF"/>
            <w:tcMar>
              <w:left w:w="60" w:type="dxa"/>
              <w:right w:w="60" w:type="dxa"/>
            </w:tcMar>
            <w:vAlign w:val="center"/>
          </w:tcPr>
          <w:p>
            <w:pPr>
              <w:pStyle w:val="DMETW19863BIPPAYAB"/>
              <w:jc w:val="right"/>
              <w:rPr>
                <w:rFonts w:ascii="Verdana" w:eastAsia="Verdana" w:hAnsi="Verdana" w:cs="Verdana"/>
                <w:noProof/>
                <w:color w:val="FFFFFF"/>
                <w:sz w:val="16"/>
              </w:rPr>
            </w:pPr>
          </w:p>
        </w:tc>
        <w:tc>
          <w:tcPr>
            <w:tcW w:w="1179" w:type="dxa"/>
            <w:tcBorders>
              <w:top w:val="nil"/>
              <w:left w:val="nil"/>
              <w:bottom w:val="nil"/>
              <w:right w:val="nil"/>
              <w:tl2br w:val="nil"/>
              <w:tr2bl w:val="nil"/>
            </w:tcBorders>
            <w:shd w:val="solid" w:color="016794" w:fill="FFFFFF"/>
            <w:tcMar>
              <w:left w:w="60" w:type="dxa"/>
              <w:right w:w="60" w:type="dxa"/>
            </w:tcMar>
            <w:vAlign w:val="center"/>
          </w:tcPr>
          <w:p>
            <w:pPr>
              <w:pStyle w:val="DMETW19863BIPPAYAB"/>
              <w:jc w:val="right"/>
              <w:rPr>
                <w:rFonts w:ascii="Verdana" w:eastAsia="Verdana" w:hAnsi="Verdana" w:cs="Verdana"/>
                <w:noProof/>
                <w:color w:val="FFFFFF"/>
                <w:sz w:val="16"/>
              </w:rPr>
            </w:pPr>
            <w:r>
              <w:rPr>
                <w:rFonts w:ascii="Verdana" w:hAnsi="Verdana"/>
                <w:noProof/>
                <w:color w:val="FFFFFF"/>
                <w:sz w:val="16"/>
              </w:rPr>
              <w:t>Брутна сума</w:t>
            </w:r>
          </w:p>
        </w:tc>
        <w:tc>
          <w:tcPr>
            <w:tcW w:w="1179" w:type="dxa"/>
            <w:tcBorders>
              <w:top w:val="nil"/>
              <w:left w:val="nil"/>
              <w:bottom w:val="nil"/>
              <w:right w:val="nil"/>
              <w:tl2br w:val="nil"/>
              <w:tr2bl w:val="nil"/>
            </w:tcBorders>
            <w:shd w:val="solid" w:color="016794" w:fill="FFFFFF"/>
            <w:tcMar>
              <w:left w:w="60" w:type="dxa"/>
              <w:right w:w="60" w:type="dxa"/>
            </w:tcMar>
            <w:vAlign w:val="center"/>
          </w:tcPr>
          <w:p>
            <w:pPr>
              <w:pStyle w:val="DMETW19863BIPPAYAB"/>
              <w:jc w:val="right"/>
              <w:rPr>
                <w:rFonts w:ascii="Verdana" w:eastAsia="Verdana" w:hAnsi="Verdana" w:cs="Verdana"/>
                <w:noProof/>
                <w:color w:val="FFFFFF"/>
                <w:sz w:val="16"/>
              </w:rPr>
            </w:pPr>
            <w:r>
              <w:rPr>
                <w:rFonts w:ascii="Verdana" w:hAnsi="Verdana"/>
                <w:noProof/>
                <w:color w:val="FFFFFF"/>
                <w:sz w:val="16"/>
              </w:rPr>
              <w:t>Корекции</w:t>
            </w:r>
          </w:p>
        </w:tc>
        <w:tc>
          <w:tcPr>
            <w:tcW w:w="1278" w:type="dxa"/>
            <w:tcBorders>
              <w:top w:val="nil"/>
              <w:left w:val="nil"/>
              <w:bottom w:val="nil"/>
              <w:right w:val="nil"/>
              <w:tl2br w:val="nil"/>
              <w:tr2bl w:val="nil"/>
            </w:tcBorders>
            <w:shd w:val="solid" w:color="016794" w:fill="FFFFFF"/>
            <w:tcMar>
              <w:left w:w="60" w:type="dxa"/>
              <w:right w:w="60" w:type="dxa"/>
            </w:tcMar>
            <w:vAlign w:val="center"/>
          </w:tcPr>
          <w:p>
            <w:pPr>
              <w:pStyle w:val="DMETW19863BIPPAYAB"/>
              <w:jc w:val="right"/>
              <w:rPr>
                <w:rFonts w:ascii="Verdana" w:eastAsia="Verdana" w:hAnsi="Verdana" w:cs="Verdana"/>
                <w:noProof/>
                <w:color w:val="FFFFFF"/>
                <w:sz w:val="16"/>
              </w:rPr>
            </w:pPr>
            <w:r>
              <w:rPr>
                <w:rFonts w:ascii="Verdana" w:hAnsi="Verdana"/>
                <w:noProof/>
                <w:color w:val="FFFFFF"/>
                <w:sz w:val="16"/>
              </w:rPr>
              <w:t>Нетна сума към 31.12.2020 г.</w:t>
            </w:r>
          </w:p>
        </w:tc>
        <w:tc>
          <w:tcPr>
            <w:tcW w:w="1179" w:type="dxa"/>
            <w:tcBorders>
              <w:top w:val="nil"/>
              <w:left w:val="nil"/>
              <w:bottom w:val="nil"/>
              <w:right w:val="nil"/>
              <w:tl2br w:val="nil"/>
              <w:tr2bl w:val="nil"/>
            </w:tcBorders>
            <w:shd w:val="solid" w:color="016794" w:fill="FFFFFF"/>
            <w:tcMar>
              <w:left w:w="60" w:type="dxa"/>
              <w:right w:w="60" w:type="dxa"/>
            </w:tcMar>
            <w:vAlign w:val="center"/>
          </w:tcPr>
          <w:p>
            <w:pPr>
              <w:pStyle w:val="DMETW19863BIPPAYAB"/>
              <w:jc w:val="right"/>
              <w:rPr>
                <w:rFonts w:ascii="Verdana" w:eastAsia="Verdana" w:hAnsi="Verdana" w:cs="Verdana"/>
                <w:noProof/>
                <w:color w:val="FFFFFF"/>
                <w:sz w:val="16"/>
              </w:rPr>
            </w:pPr>
            <w:r>
              <w:rPr>
                <w:rFonts w:ascii="Verdana" w:hAnsi="Verdana"/>
                <w:noProof/>
                <w:color w:val="FFFFFF"/>
                <w:sz w:val="16"/>
              </w:rPr>
              <w:t>Брутна сума</w:t>
            </w:r>
          </w:p>
        </w:tc>
        <w:tc>
          <w:tcPr>
            <w:tcW w:w="1179" w:type="dxa"/>
            <w:tcBorders>
              <w:top w:val="nil"/>
              <w:left w:val="nil"/>
              <w:bottom w:val="nil"/>
              <w:right w:val="nil"/>
              <w:tl2br w:val="nil"/>
              <w:tr2bl w:val="nil"/>
            </w:tcBorders>
            <w:shd w:val="solid" w:color="016794" w:fill="FFFFFF"/>
            <w:tcMar>
              <w:left w:w="60" w:type="dxa"/>
              <w:right w:w="60" w:type="dxa"/>
            </w:tcMar>
            <w:vAlign w:val="center"/>
          </w:tcPr>
          <w:p>
            <w:pPr>
              <w:pStyle w:val="DMETW19863BIPPAYAB"/>
              <w:jc w:val="right"/>
              <w:rPr>
                <w:rFonts w:ascii="Verdana" w:eastAsia="Verdana" w:hAnsi="Verdana" w:cs="Verdana"/>
                <w:noProof/>
                <w:color w:val="FFFFFF"/>
                <w:sz w:val="16"/>
              </w:rPr>
            </w:pPr>
            <w:r>
              <w:rPr>
                <w:rFonts w:ascii="Verdana" w:hAnsi="Verdana"/>
                <w:noProof/>
                <w:color w:val="FFFFFF"/>
                <w:sz w:val="16"/>
              </w:rPr>
              <w:t>Корекции</w:t>
            </w:r>
          </w:p>
        </w:tc>
        <w:tc>
          <w:tcPr>
            <w:tcW w:w="1278" w:type="dxa"/>
            <w:tcBorders>
              <w:top w:val="nil"/>
              <w:left w:val="nil"/>
              <w:bottom w:val="nil"/>
              <w:right w:val="nil"/>
              <w:tl2br w:val="nil"/>
              <w:tr2bl w:val="nil"/>
            </w:tcBorders>
            <w:shd w:val="solid" w:color="016794" w:fill="FFFFFF"/>
            <w:tcMar>
              <w:left w:w="60" w:type="dxa"/>
              <w:right w:w="60" w:type="dxa"/>
            </w:tcMar>
            <w:vAlign w:val="center"/>
          </w:tcPr>
          <w:p>
            <w:pPr>
              <w:pStyle w:val="DMETW19863BIPPAYAB"/>
              <w:jc w:val="right"/>
              <w:rPr>
                <w:rFonts w:ascii="Verdana" w:eastAsia="Verdana" w:hAnsi="Verdana" w:cs="Verdana"/>
                <w:noProof/>
                <w:color w:val="FFFFFF"/>
                <w:sz w:val="16"/>
              </w:rPr>
            </w:pPr>
            <w:r>
              <w:rPr>
                <w:rFonts w:ascii="Verdana" w:hAnsi="Verdana"/>
                <w:noProof/>
                <w:color w:val="FFFFFF"/>
                <w:sz w:val="16"/>
              </w:rPr>
              <w:t>Нетна сума към 31.12.2019 г.</w:t>
            </w: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9863BIPPAYAB"/>
              <w:rPr>
                <w:rFonts w:ascii="Verdana" w:eastAsia="Verdana" w:hAnsi="Verdana" w:cs="Verdana"/>
                <w:b/>
                <w:noProof/>
                <w:color w:val="000000"/>
                <w:sz w:val="16"/>
              </w:rPr>
            </w:pPr>
            <w:r>
              <w:rPr>
                <w:rFonts w:ascii="Verdana" w:hAnsi="Verdana"/>
                <w:b/>
                <w:noProof/>
                <w:color w:val="000000"/>
                <w:sz w:val="16"/>
              </w:rPr>
              <w:t>Декларации за разходи и фактури, получени от:</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p>
        </w:tc>
        <w:tc>
          <w:tcPr>
            <w:tcW w:w="1179"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lang w:bidi="en-GB"/>
              </w:rPr>
            </w:pP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9863BIPPAYAB"/>
              <w:rPr>
                <w:rFonts w:ascii="Verdana" w:eastAsia="Verdana" w:hAnsi="Verdana" w:cs="Verdana"/>
                <w:i/>
                <w:noProof/>
                <w:color w:val="016794"/>
                <w:sz w:val="16"/>
              </w:rPr>
            </w:pPr>
            <w:r>
              <w:rPr>
                <w:rFonts w:ascii="Verdana" w:hAnsi="Verdana"/>
                <w:i/>
                <w:noProof/>
                <w:color w:val="016794"/>
                <w:sz w:val="16"/>
              </w:rPr>
              <w:t>Държави членки</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p>
        </w:tc>
        <w:tc>
          <w:tcPr>
            <w:tcW w:w="1179"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lang w:bidi="en-GB"/>
              </w:rPr>
            </w:pP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9863BIPPAYAB"/>
              <w:rPr>
                <w:rFonts w:ascii="Verdana" w:eastAsia="Verdana" w:hAnsi="Verdana" w:cs="Verdana"/>
                <w:i/>
                <w:noProof/>
                <w:color w:val="000000"/>
                <w:sz w:val="16"/>
              </w:rPr>
            </w:pPr>
            <w:r>
              <w:rPr>
                <w:rFonts w:ascii="Verdana" w:hAnsi="Verdana"/>
                <w:i/>
                <w:noProof/>
                <w:color w:val="000000"/>
                <w:sz w:val="16"/>
              </w:rPr>
              <w:t>ЕЗФРСР и други инструменти за развитие на селските райони</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17</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FFFFFF"/>
                <w:sz w:val="16"/>
              </w:rPr>
            </w:pPr>
            <w:r>
              <w:rPr>
                <w:rFonts w:ascii="Verdana" w:hAnsi="Verdana"/>
                <w:i/>
                <w:noProof/>
                <w:color w:val="FFFFFF"/>
                <w:sz w:val="16"/>
              </w:rPr>
              <w:t xml:space="preserve"> (0)</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17</w:t>
            </w:r>
          </w:p>
        </w:tc>
        <w:tc>
          <w:tcPr>
            <w:tcW w:w="1179"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21</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FFFFFF"/>
                <w:sz w:val="16"/>
              </w:rPr>
            </w:pPr>
            <w:r>
              <w:rPr>
                <w:rFonts w:ascii="Verdana" w:hAnsi="Verdana"/>
                <w:i/>
                <w:noProof/>
                <w:color w:val="FFFFFF"/>
                <w:sz w:val="16"/>
              </w:rPr>
              <w:t xml:space="preserve"> (0)</w:t>
            </w: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21</w:t>
            </w: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9863BIPPAYAB"/>
              <w:rPr>
                <w:rFonts w:ascii="Verdana" w:eastAsia="Verdana" w:hAnsi="Verdana" w:cs="Verdana"/>
                <w:i/>
                <w:noProof/>
                <w:color w:val="000000"/>
                <w:sz w:val="16"/>
              </w:rPr>
            </w:pPr>
            <w:r>
              <w:rPr>
                <w:rFonts w:ascii="Verdana" w:hAnsi="Verdana"/>
                <w:i/>
                <w:noProof/>
                <w:color w:val="000000"/>
                <w:sz w:val="16"/>
              </w:rPr>
              <w:t>ЕФРР и КФ</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12 651</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(2 698)</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9 954</w:t>
            </w:r>
          </w:p>
        </w:tc>
        <w:tc>
          <w:tcPr>
            <w:tcW w:w="1179"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8 068</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(2 437)</w:t>
            </w: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5 631</w:t>
            </w: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9863BIPPAYAB"/>
              <w:rPr>
                <w:rFonts w:ascii="Verdana" w:eastAsia="Verdana" w:hAnsi="Verdana" w:cs="Verdana"/>
                <w:i/>
                <w:noProof/>
                <w:color w:val="000000"/>
                <w:sz w:val="16"/>
              </w:rPr>
            </w:pPr>
            <w:r>
              <w:rPr>
                <w:rFonts w:ascii="Verdana" w:hAnsi="Verdana"/>
                <w:i/>
                <w:noProof/>
                <w:color w:val="000000"/>
                <w:sz w:val="16"/>
              </w:rPr>
              <w:t>EСФ</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3 479</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(370)</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3 109</w:t>
            </w:r>
          </w:p>
        </w:tc>
        <w:tc>
          <w:tcPr>
            <w:tcW w:w="1179"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2 882</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(558)</w:t>
            </w: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2 325</w:t>
            </w: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9863BIPPAYAB"/>
              <w:rPr>
                <w:rFonts w:ascii="Verdana" w:eastAsia="Verdana" w:hAnsi="Verdana" w:cs="Verdana"/>
                <w:i/>
                <w:noProof/>
                <w:color w:val="000000"/>
                <w:sz w:val="16"/>
              </w:rPr>
            </w:pPr>
            <w:r>
              <w:rPr>
                <w:rFonts w:ascii="Verdana" w:hAnsi="Verdana"/>
                <w:i/>
                <w:noProof/>
                <w:color w:val="000000"/>
                <w:sz w:val="16"/>
              </w:rPr>
              <w:t>Други</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792</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(90)</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701</w:t>
            </w:r>
          </w:p>
        </w:tc>
        <w:tc>
          <w:tcPr>
            <w:tcW w:w="1179"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852</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(45)</w:t>
            </w: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00000"/>
                <w:sz w:val="16"/>
              </w:rPr>
            </w:pPr>
            <w:r>
              <w:rPr>
                <w:rFonts w:ascii="Verdana" w:hAnsi="Verdana"/>
                <w:i/>
                <w:noProof/>
                <w:color w:val="000000"/>
                <w:sz w:val="16"/>
              </w:rPr>
              <w:t xml:space="preserve"> 807</w:t>
            </w:r>
          </w:p>
        </w:tc>
      </w:tr>
      <w:tr>
        <w:trPr>
          <w:trHeight w:val="255"/>
        </w:trPr>
        <w:tc>
          <w:tcPr>
            <w:tcW w:w="248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3BIPPAYAB"/>
              <w:rPr>
                <w:rFonts w:ascii="Verdana" w:eastAsia="Verdana" w:hAnsi="Verdana" w:cs="Verdana"/>
                <w:i/>
                <w:noProof/>
                <w:color w:val="016794"/>
                <w:sz w:val="16"/>
              </w:rPr>
            </w:pPr>
            <w:r>
              <w:rPr>
                <w:rFonts w:ascii="Verdana" w:hAnsi="Verdana"/>
                <w:i/>
                <w:noProof/>
                <w:color w:val="016794"/>
                <w:sz w:val="16"/>
              </w:rPr>
              <w:t>Частни и публични субекти</w:t>
            </w:r>
          </w:p>
        </w:tc>
        <w:tc>
          <w:tcPr>
            <w:tcW w:w="117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16794"/>
                <w:sz w:val="16"/>
              </w:rPr>
            </w:pPr>
            <w:r>
              <w:rPr>
                <w:rFonts w:ascii="Verdana" w:hAnsi="Verdana"/>
                <w:i/>
                <w:noProof/>
                <w:color w:val="016794"/>
                <w:sz w:val="16"/>
              </w:rPr>
              <w:t>1 485</w:t>
            </w:r>
          </w:p>
        </w:tc>
        <w:tc>
          <w:tcPr>
            <w:tcW w:w="117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16794"/>
                <w:sz w:val="16"/>
              </w:rPr>
            </w:pPr>
            <w:r>
              <w:rPr>
                <w:rFonts w:ascii="Verdana" w:hAnsi="Verdana"/>
                <w:i/>
                <w:noProof/>
                <w:color w:val="016794"/>
                <w:sz w:val="16"/>
              </w:rPr>
              <w:t xml:space="preserve"> (182)</w:t>
            </w:r>
          </w:p>
        </w:tc>
        <w:tc>
          <w:tcPr>
            <w:tcW w:w="1278" w:type="dxa"/>
            <w:tcBorders>
              <w:top w:val="nil"/>
              <w:left w:val="nil"/>
              <w:bottom w:val="single" w:sz="4" w:space="0" w:color="016794"/>
              <w:right w:val="single" w:sz="4" w:space="0" w:color="016794"/>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16794"/>
                <w:sz w:val="16"/>
              </w:rPr>
            </w:pPr>
            <w:r>
              <w:rPr>
                <w:rFonts w:ascii="Verdana" w:hAnsi="Verdana"/>
                <w:i/>
                <w:noProof/>
                <w:color w:val="016794"/>
                <w:sz w:val="16"/>
              </w:rPr>
              <w:t>1 302</w:t>
            </w:r>
          </w:p>
        </w:tc>
        <w:tc>
          <w:tcPr>
            <w:tcW w:w="1179" w:type="dxa"/>
            <w:tcBorders>
              <w:top w:val="nil"/>
              <w:left w:val="single" w:sz="4" w:space="0" w:color="016794"/>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16794"/>
                <w:sz w:val="16"/>
              </w:rPr>
            </w:pPr>
            <w:r>
              <w:rPr>
                <w:rFonts w:ascii="Verdana" w:hAnsi="Verdana"/>
                <w:i/>
                <w:noProof/>
                <w:color w:val="016794"/>
                <w:sz w:val="16"/>
              </w:rPr>
              <w:t>1 562</w:t>
            </w:r>
          </w:p>
        </w:tc>
        <w:tc>
          <w:tcPr>
            <w:tcW w:w="117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16794"/>
                <w:sz w:val="16"/>
              </w:rPr>
            </w:pPr>
            <w:r>
              <w:rPr>
                <w:rFonts w:ascii="Verdana" w:hAnsi="Verdana"/>
                <w:i/>
                <w:noProof/>
                <w:color w:val="016794"/>
                <w:sz w:val="16"/>
              </w:rPr>
              <w:t xml:space="preserve"> (180)</w:t>
            </w:r>
          </w:p>
        </w:tc>
        <w:tc>
          <w:tcPr>
            <w:tcW w:w="127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i/>
                <w:noProof/>
                <w:color w:val="016794"/>
                <w:sz w:val="16"/>
              </w:rPr>
            </w:pPr>
            <w:r>
              <w:rPr>
                <w:rFonts w:ascii="Verdana" w:hAnsi="Verdana"/>
                <w:i/>
                <w:noProof/>
                <w:color w:val="016794"/>
                <w:sz w:val="16"/>
              </w:rPr>
              <w:t>1 381</w:t>
            </w:r>
          </w:p>
        </w:tc>
      </w:tr>
      <w:tr>
        <w:trPr>
          <w:trHeight w:val="255"/>
        </w:trPr>
        <w:tc>
          <w:tcPr>
            <w:tcW w:w="24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rPr>
                <w:rFonts w:ascii="Verdana" w:eastAsia="Verdana" w:hAnsi="Verdana" w:cs="Verdana"/>
                <w:b/>
                <w:noProof/>
                <w:color w:val="000000"/>
                <w:sz w:val="16"/>
              </w:rPr>
            </w:pPr>
            <w:r>
              <w:rPr>
                <w:rFonts w:ascii="Verdana" w:hAnsi="Verdana"/>
                <w:b/>
                <w:noProof/>
                <w:color w:val="000000"/>
                <w:sz w:val="16"/>
              </w:rPr>
              <w:t>Общо получени декларации за разходи и фактури</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18 424</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(3 341)</w:t>
            </w:r>
          </w:p>
        </w:tc>
        <w:tc>
          <w:tcPr>
            <w:tcW w:w="127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15 083</w:t>
            </w:r>
          </w:p>
        </w:tc>
        <w:tc>
          <w:tcPr>
            <w:tcW w:w="1179" w:type="dxa"/>
            <w:tcBorders>
              <w:top w:val="single" w:sz="4" w:space="0" w:color="016794"/>
              <w:left w:val="single" w:sz="4" w:space="0" w:color="016794"/>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13 384</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(3 220)</w:t>
            </w:r>
          </w:p>
        </w:tc>
        <w:tc>
          <w:tcPr>
            <w:tcW w:w="12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10 165</w:t>
            </w:r>
          </w:p>
        </w:tc>
      </w:tr>
      <w:tr>
        <w:trPr>
          <w:trHeight w:val="255"/>
        </w:trPr>
        <w:tc>
          <w:tcPr>
            <w:tcW w:w="24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rPr>
                <w:rFonts w:ascii="Verdana" w:eastAsia="Verdana" w:hAnsi="Verdana" w:cs="Verdana"/>
                <w:b/>
                <w:noProof/>
                <w:color w:val="000000"/>
                <w:sz w:val="16"/>
              </w:rPr>
            </w:pPr>
            <w:r>
              <w:rPr>
                <w:rFonts w:ascii="Verdana" w:hAnsi="Verdana"/>
                <w:b/>
                <w:noProof/>
                <w:color w:val="000000"/>
                <w:sz w:val="16"/>
              </w:rPr>
              <w:t>ЕФГЗ</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16 160</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16 160</w:t>
            </w:r>
          </w:p>
        </w:tc>
        <w:tc>
          <w:tcPr>
            <w:tcW w:w="1179" w:type="dxa"/>
            <w:tcBorders>
              <w:top w:val="single" w:sz="4" w:space="0" w:color="016794"/>
              <w:left w:val="single" w:sz="4" w:space="0" w:color="016794"/>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16 255</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16 255</w:t>
            </w:r>
          </w:p>
        </w:tc>
      </w:tr>
      <w:tr>
        <w:trPr>
          <w:trHeight w:val="255"/>
        </w:trPr>
        <w:tc>
          <w:tcPr>
            <w:tcW w:w="24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rPr>
                <w:rFonts w:ascii="Verdana" w:eastAsia="Verdana" w:hAnsi="Verdana" w:cs="Verdana"/>
                <w:b/>
                <w:noProof/>
                <w:color w:val="000000"/>
                <w:sz w:val="16"/>
              </w:rPr>
            </w:pPr>
            <w:r>
              <w:rPr>
                <w:rFonts w:ascii="Verdana" w:hAnsi="Verdana"/>
                <w:b/>
                <w:noProof/>
                <w:color w:val="000000"/>
                <w:sz w:val="16"/>
              </w:rPr>
              <w:t>Разни задължения</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 xml:space="preserve"> 784</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 xml:space="preserve"> 784</w:t>
            </w:r>
          </w:p>
        </w:tc>
        <w:tc>
          <w:tcPr>
            <w:tcW w:w="1179" w:type="dxa"/>
            <w:tcBorders>
              <w:top w:val="single" w:sz="4" w:space="0" w:color="016794"/>
              <w:left w:val="single" w:sz="4" w:space="0" w:color="016794"/>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 xml:space="preserve"> 539</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 xml:space="preserve"> 539</w:t>
            </w:r>
          </w:p>
        </w:tc>
      </w:tr>
      <w:tr>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3BIPPAYAB"/>
              <w:rPr>
                <w:rFonts w:ascii="Verdana" w:eastAsia="Verdana" w:hAnsi="Verdana" w:cs="Verdana"/>
                <w:b/>
                <w:noProof/>
                <w:color w:val="000000"/>
                <w:sz w:val="16"/>
              </w:rPr>
            </w:pPr>
            <w:r>
              <w:rPr>
                <w:rFonts w:ascii="Verdana" w:hAnsi="Verdana"/>
                <w:b/>
                <w:noProof/>
                <w:color w:val="000000"/>
                <w:sz w:val="16"/>
              </w:rPr>
              <w:t>Други</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 xml:space="preserve"> 381</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 xml:space="preserve"> 381</w:t>
            </w:r>
          </w:p>
        </w:tc>
        <w:tc>
          <w:tcPr>
            <w:tcW w:w="1179" w:type="dxa"/>
            <w:tcBorders>
              <w:top w:val="single" w:sz="4" w:space="0" w:color="016794"/>
              <w:left w:val="single" w:sz="4" w:space="0" w:color="016794"/>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 xml:space="preserve"> 283</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 xml:space="preserve"> 283</w:t>
            </w:r>
          </w:p>
        </w:tc>
      </w:tr>
      <w:tr>
        <w:trPr>
          <w:trHeight w:val="255"/>
        </w:trPr>
        <w:tc>
          <w:tcPr>
            <w:tcW w:w="2486" w:type="dxa"/>
            <w:tcBorders>
              <w:top w:val="nil"/>
              <w:left w:val="nil"/>
              <w:bottom w:val="nil"/>
              <w:right w:val="nil"/>
              <w:tl2br w:val="nil"/>
              <w:tr2bl w:val="nil"/>
            </w:tcBorders>
            <w:shd w:val="solid" w:color="CCE1EA" w:fill="FFFFFF"/>
            <w:tcMar>
              <w:left w:w="60" w:type="dxa"/>
              <w:right w:w="60" w:type="dxa"/>
            </w:tcMar>
            <w:vAlign w:val="center"/>
          </w:tcPr>
          <w:p>
            <w:pPr>
              <w:pStyle w:val="DMETW19863BIPPAYAB"/>
              <w:rPr>
                <w:rFonts w:ascii="Verdana" w:eastAsia="Verdana" w:hAnsi="Verdana" w:cs="Verdana"/>
                <w:b/>
                <w:noProof/>
                <w:color w:val="000000"/>
                <w:sz w:val="16"/>
              </w:rPr>
            </w:pPr>
            <w:r>
              <w:rPr>
                <w:rFonts w:ascii="Verdana" w:hAnsi="Verdana"/>
                <w:b/>
                <w:noProof/>
                <w:color w:val="000000"/>
                <w:sz w:val="16"/>
              </w:rPr>
              <w:t>Общо</w:t>
            </w:r>
          </w:p>
        </w:tc>
        <w:tc>
          <w:tcPr>
            <w:tcW w:w="1179" w:type="dxa"/>
            <w:tcBorders>
              <w:top w:val="nil"/>
              <w:left w:val="nil"/>
              <w:bottom w:val="nil"/>
              <w:right w:val="nil"/>
              <w:tl2br w:val="nil"/>
              <w:tr2bl w:val="nil"/>
            </w:tcBorders>
            <w:shd w:val="solid" w:color="CCE1EA" w:fill="FFFFFF"/>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35 748</w:t>
            </w:r>
          </w:p>
        </w:tc>
        <w:tc>
          <w:tcPr>
            <w:tcW w:w="1179" w:type="dxa"/>
            <w:tcBorders>
              <w:top w:val="nil"/>
              <w:left w:val="nil"/>
              <w:bottom w:val="nil"/>
              <w:right w:val="nil"/>
              <w:tl2br w:val="nil"/>
              <w:tr2bl w:val="nil"/>
            </w:tcBorders>
            <w:shd w:val="solid" w:color="CCE1EA" w:fill="FFFFFF"/>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(3 341)</w:t>
            </w:r>
          </w:p>
        </w:tc>
        <w:tc>
          <w:tcPr>
            <w:tcW w:w="1278" w:type="dxa"/>
            <w:tcBorders>
              <w:top w:val="nil"/>
              <w:left w:val="nil"/>
              <w:bottom w:val="nil"/>
              <w:right w:val="single" w:sz="4" w:space="0" w:color="016794"/>
              <w:tl2br w:val="nil"/>
              <w:tr2bl w:val="nil"/>
            </w:tcBorders>
            <w:shd w:val="solid" w:color="CCE1EA" w:fill="FFFFFF"/>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32 408</w:t>
            </w:r>
          </w:p>
        </w:tc>
        <w:tc>
          <w:tcPr>
            <w:tcW w:w="1179" w:type="dxa"/>
            <w:tcBorders>
              <w:top w:val="nil"/>
              <w:left w:val="single" w:sz="4" w:space="0" w:color="016794"/>
              <w:bottom w:val="nil"/>
              <w:right w:val="nil"/>
              <w:tl2br w:val="nil"/>
              <w:tr2bl w:val="nil"/>
            </w:tcBorders>
            <w:shd w:val="solid" w:color="CCE1EA" w:fill="FFFFFF"/>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30 462</w:t>
            </w:r>
          </w:p>
        </w:tc>
        <w:tc>
          <w:tcPr>
            <w:tcW w:w="1179" w:type="dxa"/>
            <w:tcBorders>
              <w:top w:val="nil"/>
              <w:left w:val="nil"/>
              <w:bottom w:val="nil"/>
              <w:right w:val="nil"/>
              <w:tl2br w:val="nil"/>
              <w:tr2bl w:val="nil"/>
            </w:tcBorders>
            <w:shd w:val="solid" w:color="CCE1EA" w:fill="FFFFFF"/>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(3 220)</w:t>
            </w:r>
          </w:p>
        </w:tc>
        <w:tc>
          <w:tcPr>
            <w:tcW w:w="1278" w:type="dxa"/>
            <w:tcBorders>
              <w:top w:val="nil"/>
              <w:left w:val="nil"/>
              <w:bottom w:val="nil"/>
              <w:right w:val="nil"/>
              <w:tl2br w:val="nil"/>
              <w:tr2bl w:val="nil"/>
            </w:tcBorders>
            <w:shd w:val="solid" w:color="CCE1EA" w:fill="FFFFFF"/>
            <w:tcMar>
              <w:left w:w="60" w:type="dxa"/>
              <w:right w:w="60" w:type="dxa"/>
            </w:tcMar>
            <w:vAlign w:val="center"/>
          </w:tcPr>
          <w:p>
            <w:pPr>
              <w:pStyle w:val="DMETW19863BIPPAYAB"/>
              <w:jc w:val="right"/>
              <w:rPr>
                <w:rFonts w:ascii="Verdana" w:eastAsia="Verdana" w:hAnsi="Verdana" w:cs="Verdana"/>
                <w:b/>
                <w:noProof/>
                <w:color w:val="000000"/>
                <w:sz w:val="16"/>
              </w:rPr>
            </w:pPr>
            <w:r>
              <w:rPr>
                <w:rFonts w:ascii="Verdana" w:hAnsi="Verdana"/>
                <w:b/>
                <w:noProof/>
                <w:color w:val="000000"/>
                <w:sz w:val="16"/>
              </w:rPr>
              <w:t>27 241</w:t>
            </w:r>
          </w:p>
        </w:tc>
      </w:tr>
    </w:tbl>
    <w:p>
      <w:pPr>
        <w:pStyle w:val="DGTextstand-alone"/>
      </w:pPr>
      <w:r>
        <w:t>Задълженията включват фактурите и декларациите за разходи, които са получени, но все още не са платени, към края на годината. Те се признават първоначално в момента на получаване на фактурите/декларациите за разходи за исканите суми. Впоследствие задълженията се коригират, за да отразяват само приетите суми след прегледа на разходите, както и сумите, които се считат за допустими. Сумите, за които се счита, че са недопустими, се включват в колоната „Корекции“. Най-големите суми се отнасят до дейностите по структурните фондове.</w:t>
      </w:r>
    </w:p>
    <w:p>
      <w:pPr>
        <w:pStyle w:val="DGTextstand-alone"/>
      </w:pPr>
      <w:r>
        <w:t>През периода на програмиране 2014—2020 г. в Регламент № 1303/2013 за общоприложимите разпоредби (РОР), който се прилага за структурните фондове (ЕФРР и ЕСФ), за Кохезионния фонд и за Европейския фонд за морско дело и рибарство (ЕФМДР), се предвижда бюджетът на ЕС да се защитава посредством систематично задържане на 10 % от направените междинни плащания. До февруари след края на счетоводната година по РОР (1 юли—30 юни) приключва цикълът на контрол, който се осъществява както чрез проверки на управлението, извършени от управляващите органи, така и чрез одити от страна на одитните органи. Комисията разглежда документите за получаване на увереност и отчетите, предоставени от съответните органи в държавите членки. Плащането или събирането на окончателното салдо се извършва едва след като това разглеждане приключи и отчетите бъдат приети. Задържаната в съответствие с тази разпоредба сума възлизаше към края на 2020 г. на общо 7,8 милиарда евро. Част от тази сума (1,1 милиарда евро) е оценена като недопустима въз основа на информацията, предоставена от държавите членки в техните отчети, и също е включена в колоната „Корекции“. Последният компонент на корекциите на задълженията представлява сумите, съответстващи на други авансово отпуснати на държавите членки средства (вж. бележка </w:t>
      </w:r>
      <w:r>
        <w:rPr>
          <w:b/>
        </w:rPr>
        <w:t>2.5.2</w:t>
      </w:r>
      <w:r>
        <w:t>), които все още не са платени към края на годината (1,3 милиарда евро).</w:t>
      </w:r>
    </w:p>
    <w:p>
      <w:pPr>
        <w:pStyle w:val="DGTextstand-alone"/>
      </w:pPr>
      <w:r>
        <w:t xml:space="preserve">Увеличението на дължимите суми във връзка с политиката на сближаване (ЕФРР, КФ, ЕСФ) се дължи главно на декларациите за разходи, получени към края на 2020 г. (5,9 милиарда евро), които все още не са изплатени поради липса на кредити. Като цяло по-високото равнище на декларациите за разходи отразява напредъка в изпълнението в тази област. </w:t>
      </w:r>
    </w:p>
    <w:p>
      <w:pPr>
        <w:pStyle w:val="HEADER5"/>
        <w:spacing w:before="240"/>
        <w:rPr>
          <w:noProof/>
        </w:rPr>
      </w:pPr>
      <w:r>
        <w:rPr>
          <w:noProof/>
        </w:rPr>
        <w:t>Искания за предварително финансиране</w:t>
      </w:r>
    </w:p>
    <w:p>
      <w:pPr>
        <w:pStyle w:val="DGTextstand-alone"/>
        <w:spacing w:after="0"/>
      </w:pPr>
      <w:r>
        <w:t>В допълнение към горепосочените суми, към края на 2020 г. бяха получени искания за предварително финансиране на стойност 1,4 милиарда евро, които не бяха платени към края на годината. Според счетоводните правила на ЕС тези суми не се отчитат като задължения.</w:t>
      </w:r>
    </w:p>
    <w:p>
      <w:pPr>
        <w:pStyle w:val="HEADER2NOTES"/>
        <w:spacing w:before="0"/>
        <w:rPr>
          <w:noProof/>
        </w:rPr>
      </w:pPr>
      <w:r>
        <w:rPr>
          <w:noProof/>
        </w:rPr>
        <w:br w:type="page"/>
      </w:r>
      <w:bookmarkStart w:id="152" w:name="_DMBM_19843"/>
      <w:bookmarkEnd w:id="150"/>
      <w:r>
        <w:rPr>
          <w:noProof/>
        </w:rPr>
        <w:t>НАЧИСЛЕНИ РАЗХОДИ И ПРИХОДИ ЗА БЪДЕЩИ ПЕРИОДИ</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14"/>
        <w:gridCol w:w="2072"/>
        <w:gridCol w:w="2072"/>
      </w:tblGrid>
      <w:tr>
        <w:trPr>
          <w:trHeight w:val="255"/>
        </w:trPr>
        <w:tc>
          <w:tcPr>
            <w:tcW w:w="5614" w:type="dxa"/>
            <w:tcBorders>
              <w:top w:val="nil"/>
              <w:left w:val="nil"/>
              <w:bottom w:val="nil"/>
              <w:right w:val="nil"/>
              <w:tl2br w:val="nil"/>
              <w:tr2bl w:val="nil"/>
            </w:tcBorders>
            <w:shd w:val="clear" w:color="auto" w:fill="auto"/>
            <w:tcMar>
              <w:left w:w="60" w:type="dxa"/>
              <w:right w:w="60" w:type="dxa"/>
            </w:tcMar>
            <w:vAlign w:val="bottom"/>
          </w:tcPr>
          <w:p>
            <w:pPr>
              <w:pStyle w:val="DMETW19888BIPACCDEF"/>
              <w:rPr>
                <w:rFonts w:ascii="Arial" w:eastAsia="Arial" w:hAnsi="Arial" w:cs="Arial"/>
                <w:noProof/>
                <w:color w:val="000000"/>
              </w:rPr>
            </w:pPr>
            <w:bookmarkStart w:id="153" w:name="DOC_TBL00059_1_1"/>
            <w:bookmarkEnd w:id="153"/>
          </w:p>
        </w:tc>
        <w:tc>
          <w:tcPr>
            <w:tcW w:w="2072" w:type="dxa"/>
            <w:tcBorders>
              <w:top w:val="nil"/>
              <w:left w:val="nil"/>
              <w:bottom w:val="nil"/>
              <w:right w:val="nil"/>
              <w:tl2br w:val="nil"/>
              <w:tr2bl w:val="nil"/>
            </w:tcBorders>
            <w:shd w:val="clear" w:color="auto" w:fill="auto"/>
            <w:tcMar>
              <w:left w:w="60" w:type="dxa"/>
              <w:right w:w="60" w:type="dxa"/>
            </w:tcMar>
            <w:vAlign w:val="bottom"/>
          </w:tcPr>
          <w:p>
            <w:pPr>
              <w:pStyle w:val="DMETW19888BIPACCDEF"/>
              <w:rPr>
                <w:rFonts w:ascii="Arial" w:eastAsia="Arial" w:hAnsi="Arial" w:cs="Arial"/>
                <w:noProof/>
                <w:color w:val="000000"/>
              </w:rPr>
            </w:pPr>
          </w:p>
        </w:tc>
        <w:tc>
          <w:tcPr>
            <w:tcW w:w="2072" w:type="dxa"/>
            <w:tcBorders>
              <w:top w:val="nil"/>
              <w:left w:val="nil"/>
              <w:bottom w:val="nil"/>
              <w:right w:val="nil"/>
              <w:tl2br w:val="nil"/>
              <w:tr2bl w:val="nil"/>
            </w:tcBorders>
            <w:shd w:val="clear" w:color="auto" w:fill="auto"/>
            <w:tcMar>
              <w:left w:w="60" w:type="dxa"/>
              <w:right w:w="60" w:type="dxa"/>
            </w:tcMar>
            <w:vAlign w:val="bottom"/>
          </w:tcPr>
          <w:p>
            <w:pPr>
              <w:pStyle w:val="DMETW19888BIPACCDEF"/>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614" w:type="dxa"/>
            <w:tcBorders>
              <w:top w:val="nil"/>
              <w:left w:val="nil"/>
              <w:bottom w:val="nil"/>
              <w:right w:val="nil"/>
              <w:tl2br w:val="nil"/>
              <w:tr2bl w:val="nil"/>
            </w:tcBorders>
            <w:shd w:val="solid" w:color="016794" w:fill="FFFFFF"/>
            <w:tcMar>
              <w:left w:w="60" w:type="dxa"/>
              <w:right w:w="60" w:type="dxa"/>
            </w:tcMar>
            <w:vAlign w:val="center"/>
          </w:tcPr>
          <w:p>
            <w:pPr>
              <w:pStyle w:val="DMETW19888BIPACCDEF"/>
              <w:jc w:val="right"/>
              <w:rPr>
                <w:rFonts w:ascii="Verdana" w:eastAsia="Verdana" w:hAnsi="Verdana" w:cs="Verdana"/>
                <w:noProof/>
                <w:color w:val="FFFFFF"/>
                <w:sz w:val="18"/>
              </w:rPr>
            </w:pPr>
          </w:p>
        </w:tc>
        <w:tc>
          <w:tcPr>
            <w:tcW w:w="2072" w:type="dxa"/>
            <w:tcBorders>
              <w:top w:val="nil"/>
              <w:left w:val="nil"/>
              <w:bottom w:val="nil"/>
              <w:right w:val="nil"/>
              <w:tl2br w:val="nil"/>
              <w:tr2bl w:val="nil"/>
            </w:tcBorders>
            <w:shd w:val="solid" w:color="016794" w:fill="FFFFFF"/>
            <w:tcMar>
              <w:left w:w="60" w:type="dxa"/>
              <w:right w:w="60" w:type="dxa"/>
            </w:tcMar>
            <w:vAlign w:val="center"/>
          </w:tcPr>
          <w:p>
            <w:pPr>
              <w:pStyle w:val="DMETW19888BIPACCDEF"/>
              <w:jc w:val="right"/>
              <w:rPr>
                <w:rFonts w:ascii="Verdana" w:eastAsia="Verdana" w:hAnsi="Verdana" w:cs="Verdana"/>
                <w:noProof/>
                <w:color w:val="FFFFFF"/>
              </w:rPr>
            </w:pPr>
            <w:r>
              <w:rPr>
                <w:rFonts w:ascii="Verdana" w:hAnsi="Verdana"/>
                <w:noProof/>
                <w:color w:val="FFFFFF"/>
              </w:rPr>
              <w:t>31.12.2020 г.</w:t>
            </w:r>
          </w:p>
        </w:tc>
        <w:tc>
          <w:tcPr>
            <w:tcW w:w="2072" w:type="dxa"/>
            <w:tcBorders>
              <w:top w:val="nil"/>
              <w:left w:val="nil"/>
              <w:bottom w:val="nil"/>
              <w:right w:val="nil"/>
              <w:tl2br w:val="nil"/>
              <w:tr2bl w:val="nil"/>
            </w:tcBorders>
            <w:shd w:val="solid" w:color="016794" w:fill="FFFFFF"/>
            <w:tcMar>
              <w:left w:w="60" w:type="dxa"/>
              <w:right w:w="60" w:type="dxa"/>
            </w:tcMar>
            <w:vAlign w:val="center"/>
          </w:tcPr>
          <w:p>
            <w:pPr>
              <w:pStyle w:val="DMETW19888BIPACCDEF"/>
              <w:jc w:val="right"/>
              <w:rPr>
                <w:rFonts w:ascii="Verdana" w:eastAsia="Verdana" w:hAnsi="Verdana" w:cs="Verdana"/>
                <w:noProof/>
                <w:color w:val="FFFFFF"/>
              </w:rPr>
            </w:pPr>
            <w:r>
              <w:rPr>
                <w:rFonts w:ascii="Verdana" w:hAnsi="Verdana"/>
                <w:noProof/>
                <w:color w:val="FFFFFF"/>
              </w:rPr>
              <w:t>31.12.2019 г.</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center"/>
          </w:tcPr>
          <w:p>
            <w:pPr>
              <w:pStyle w:val="DMETW19888BIPACCDEF"/>
              <w:rPr>
                <w:rFonts w:ascii="Verdana" w:eastAsia="Verdana" w:hAnsi="Verdana" w:cs="Verdana"/>
                <w:i/>
                <w:noProof/>
                <w:color w:val="000000"/>
                <w:sz w:val="18"/>
              </w:rPr>
            </w:pPr>
            <w:r>
              <w:rPr>
                <w:rFonts w:ascii="Verdana" w:hAnsi="Verdana"/>
                <w:i/>
                <w:noProof/>
                <w:color w:val="000000"/>
                <w:sz w:val="18"/>
              </w:rPr>
              <w:t>Начислени разходи</w:t>
            </w:r>
          </w:p>
        </w:tc>
        <w:tc>
          <w:tcPr>
            <w:tcW w:w="2072" w:type="dxa"/>
            <w:tcBorders>
              <w:top w:val="nil"/>
              <w:left w:val="nil"/>
              <w:bottom w:val="nil"/>
              <w:right w:val="nil"/>
              <w:tl2br w:val="nil"/>
              <w:tr2bl w:val="nil"/>
            </w:tcBorders>
            <w:shd w:val="clear" w:color="auto" w:fill="auto"/>
            <w:tcMar>
              <w:left w:w="60" w:type="dxa"/>
              <w:right w:w="60" w:type="dxa"/>
            </w:tcMar>
            <w:vAlign w:val="bottom"/>
          </w:tcPr>
          <w:p>
            <w:pPr>
              <w:pStyle w:val="DMETW19888BIPACCDEF"/>
              <w:jc w:val="right"/>
              <w:rPr>
                <w:rFonts w:ascii="Verdana" w:eastAsia="Verdana" w:hAnsi="Verdana" w:cs="Verdana"/>
                <w:i/>
                <w:noProof/>
                <w:color w:val="000000"/>
                <w:sz w:val="18"/>
              </w:rPr>
            </w:pPr>
            <w:r>
              <w:rPr>
                <w:rFonts w:ascii="Verdana" w:hAnsi="Verdana"/>
                <w:i/>
                <w:noProof/>
                <w:color w:val="000000"/>
                <w:sz w:val="18"/>
              </w:rPr>
              <w:t>64 383</w:t>
            </w:r>
          </w:p>
        </w:tc>
        <w:tc>
          <w:tcPr>
            <w:tcW w:w="2072" w:type="dxa"/>
            <w:tcBorders>
              <w:top w:val="nil"/>
              <w:left w:val="nil"/>
              <w:bottom w:val="nil"/>
              <w:right w:val="nil"/>
              <w:tl2br w:val="nil"/>
              <w:tr2bl w:val="nil"/>
            </w:tcBorders>
            <w:shd w:val="clear" w:color="auto" w:fill="auto"/>
            <w:tcMar>
              <w:left w:w="60" w:type="dxa"/>
              <w:right w:w="60" w:type="dxa"/>
            </w:tcMar>
            <w:vAlign w:val="bottom"/>
          </w:tcPr>
          <w:p>
            <w:pPr>
              <w:pStyle w:val="DMETW19888BIPACCDEF"/>
              <w:jc w:val="right"/>
              <w:rPr>
                <w:rFonts w:ascii="Verdana" w:eastAsia="Verdana" w:hAnsi="Verdana" w:cs="Verdana"/>
                <w:i/>
                <w:noProof/>
                <w:color w:val="000000"/>
                <w:sz w:val="18"/>
              </w:rPr>
            </w:pPr>
            <w:r>
              <w:rPr>
                <w:rFonts w:ascii="Verdana" w:hAnsi="Verdana"/>
                <w:i/>
                <w:noProof/>
                <w:color w:val="000000"/>
                <w:sz w:val="18"/>
              </w:rPr>
              <w:t>66 860</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center"/>
          </w:tcPr>
          <w:p>
            <w:pPr>
              <w:pStyle w:val="DMETW19888BIPACCDEF"/>
              <w:rPr>
                <w:rFonts w:ascii="Verdana" w:eastAsia="Verdana" w:hAnsi="Verdana" w:cs="Verdana"/>
                <w:i/>
                <w:noProof/>
                <w:color w:val="000000"/>
                <w:sz w:val="18"/>
              </w:rPr>
            </w:pPr>
            <w:r>
              <w:rPr>
                <w:rFonts w:ascii="Verdana" w:hAnsi="Verdana"/>
                <w:i/>
                <w:noProof/>
                <w:color w:val="000000"/>
                <w:sz w:val="18"/>
              </w:rPr>
              <w:t>Приходи за бъдещи периоди</w:t>
            </w:r>
          </w:p>
        </w:tc>
        <w:tc>
          <w:tcPr>
            <w:tcW w:w="2072" w:type="dxa"/>
            <w:tcBorders>
              <w:top w:val="nil"/>
              <w:left w:val="nil"/>
              <w:bottom w:val="nil"/>
              <w:right w:val="nil"/>
              <w:tl2br w:val="nil"/>
              <w:tr2bl w:val="nil"/>
            </w:tcBorders>
            <w:shd w:val="clear" w:color="auto" w:fill="auto"/>
            <w:tcMar>
              <w:left w:w="60" w:type="dxa"/>
              <w:right w:w="60" w:type="dxa"/>
            </w:tcMar>
            <w:vAlign w:val="bottom"/>
          </w:tcPr>
          <w:p>
            <w:pPr>
              <w:pStyle w:val="DMETW19888BIPACCDEF"/>
              <w:jc w:val="right"/>
              <w:rPr>
                <w:rFonts w:ascii="Verdana" w:eastAsia="Verdana" w:hAnsi="Verdana" w:cs="Verdana"/>
                <w:i/>
                <w:noProof/>
                <w:color w:val="000000"/>
                <w:sz w:val="18"/>
              </w:rPr>
            </w:pPr>
            <w:r>
              <w:rPr>
                <w:rFonts w:ascii="Verdana" w:hAnsi="Verdana"/>
                <w:i/>
                <w:noProof/>
                <w:color w:val="000000"/>
                <w:sz w:val="18"/>
              </w:rPr>
              <w:t xml:space="preserve"> 128</w:t>
            </w:r>
          </w:p>
        </w:tc>
        <w:tc>
          <w:tcPr>
            <w:tcW w:w="2072" w:type="dxa"/>
            <w:tcBorders>
              <w:top w:val="nil"/>
              <w:left w:val="nil"/>
              <w:bottom w:val="nil"/>
              <w:right w:val="nil"/>
              <w:tl2br w:val="nil"/>
              <w:tr2bl w:val="nil"/>
            </w:tcBorders>
            <w:shd w:val="clear" w:color="auto" w:fill="auto"/>
            <w:tcMar>
              <w:left w:w="60" w:type="dxa"/>
              <w:right w:w="60" w:type="dxa"/>
            </w:tcMar>
            <w:vAlign w:val="bottom"/>
          </w:tcPr>
          <w:p>
            <w:pPr>
              <w:pStyle w:val="DMETW19888BIPACCDEF"/>
              <w:jc w:val="right"/>
              <w:rPr>
                <w:rFonts w:ascii="Verdana" w:eastAsia="Verdana" w:hAnsi="Verdana" w:cs="Verdana"/>
                <w:i/>
                <w:noProof/>
                <w:color w:val="000000"/>
                <w:sz w:val="18"/>
              </w:rPr>
            </w:pPr>
            <w:r>
              <w:rPr>
                <w:rFonts w:ascii="Verdana" w:hAnsi="Verdana"/>
                <w:i/>
                <w:noProof/>
                <w:color w:val="000000"/>
                <w:sz w:val="18"/>
              </w:rPr>
              <w:t xml:space="preserve"> 254</w:t>
            </w:r>
          </w:p>
        </w:tc>
      </w:tr>
      <w:tr>
        <w:trPr>
          <w:trHeight w:val="255"/>
        </w:trPr>
        <w:tc>
          <w:tcPr>
            <w:tcW w:w="5614" w:type="dxa"/>
            <w:tcBorders>
              <w:top w:val="nil"/>
              <w:left w:val="nil"/>
              <w:bottom w:val="nil"/>
              <w:right w:val="nil"/>
              <w:tl2br w:val="nil"/>
              <w:tr2bl w:val="nil"/>
            </w:tcBorders>
            <w:shd w:val="clear" w:color="auto" w:fill="auto"/>
            <w:tcMar>
              <w:left w:w="60" w:type="dxa"/>
              <w:right w:w="60" w:type="dxa"/>
            </w:tcMar>
            <w:vAlign w:val="center"/>
          </w:tcPr>
          <w:p>
            <w:pPr>
              <w:pStyle w:val="DMETW19888BIPACCDEF"/>
              <w:rPr>
                <w:rFonts w:ascii="Verdana" w:eastAsia="Verdana" w:hAnsi="Verdana" w:cs="Verdana"/>
                <w:i/>
                <w:noProof/>
                <w:color w:val="000000"/>
                <w:sz w:val="18"/>
              </w:rPr>
            </w:pPr>
            <w:r>
              <w:rPr>
                <w:rFonts w:ascii="Verdana" w:hAnsi="Verdana"/>
                <w:i/>
                <w:noProof/>
                <w:color w:val="000000"/>
                <w:sz w:val="18"/>
              </w:rPr>
              <w:t>Други</w:t>
            </w:r>
          </w:p>
        </w:tc>
        <w:tc>
          <w:tcPr>
            <w:tcW w:w="2072" w:type="dxa"/>
            <w:tcBorders>
              <w:top w:val="nil"/>
              <w:left w:val="nil"/>
              <w:bottom w:val="nil"/>
              <w:right w:val="nil"/>
              <w:tl2br w:val="nil"/>
              <w:tr2bl w:val="nil"/>
            </w:tcBorders>
            <w:shd w:val="clear" w:color="auto" w:fill="auto"/>
            <w:tcMar>
              <w:left w:w="60" w:type="dxa"/>
              <w:right w:w="60" w:type="dxa"/>
            </w:tcMar>
            <w:vAlign w:val="bottom"/>
          </w:tcPr>
          <w:p>
            <w:pPr>
              <w:pStyle w:val="DMETW19888BIPACCDEF"/>
              <w:jc w:val="right"/>
              <w:rPr>
                <w:rFonts w:ascii="Verdana" w:eastAsia="Verdana" w:hAnsi="Verdana" w:cs="Verdana"/>
                <w:i/>
                <w:noProof/>
                <w:color w:val="000000"/>
                <w:sz w:val="18"/>
              </w:rPr>
            </w:pPr>
            <w:r>
              <w:rPr>
                <w:rFonts w:ascii="Verdana" w:hAnsi="Verdana"/>
                <w:i/>
                <w:noProof/>
                <w:color w:val="000000"/>
                <w:sz w:val="18"/>
              </w:rPr>
              <w:t xml:space="preserve"> 74</w:t>
            </w:r>
          </w:p>
        </w:tc>
        <w:tc>
          <w:tcPr>
            <w:tcW w:w="2072" w:type="dxa"/>
            <w:tcBorders>
              <w:top w:val="nil"/>
              <w:left w:val="nil"/>
              <w:bottom w:val="nil"/>
              <w:right w:val="nil"/>
              <w:tl2br w:val="nil"/>
              <w:tr2bl w:val="nil"/>
            </w:tcBorders>
            <w:shd w:val="clear" w:color="auto" w:fill="auto"/>
            <w:tcMar>
              <w:left w:w="60" w:type="dxa"/>
              <w:right w:w="60" w:type="dxa"/>
            </w:tcMar>
            <w:vAlign w:val="bottom"/>
          </w:tcPr>
          <w:p>
            <w:pPr>
              <w:pStyle w:val="DMETW19888BIPACCDEF"/>
              <w:jc w:val="right"/>
              <w:rPr>
                <w:rFonts w:ascii="Verdana" w:eastAsia="Verdana" w:hAnsi="Verdana" w:cs="Verdana"/>
                <w:i/>
                <w:noProof/>
                <w:color w:val="000000"/>
                <w:sz w:val="18"/>
              </w:rPr>
            </w:pPr>
            <w:r>
              <w:rPr>
                <w:rFonts w:ascii="Verdana" w:hAnsi="Verdana"/>
                <w:i/>
                <w:noProof/>
                <w:color w:val="000000"/>
                <w:sz w:val="18"/>
              </w:rPr>
              <w:t xml:space="preserve"> 116</w:t>
            </w:r>
          </w:p>
        </w:tc>
      </w:tr>
      <w:tr>
        <w:trPr>
          <w:trHeight w:val="255"/>
        </w:trPr>
        <w:tc>
          <w:tcPr>
            <w:tcW w:w="5614" w:type="dxa"/>
            <w:tcBorders>
              <w:top w:val="nil"/>
              <w:left w:val="nil"/>
              <w:bottom w:val="nil"/>
              <w:right w:val="nil"/>
              <w:tl2br w:val="nil"/>
              <w:tr2bl w:val="nil"/>
            </w:tcBorders>
            <w:shd w:val="solid" w:color="CCE1EA" w:fill="FFFFFF"/>
            <w:tcMar>
              <w:left w:w="60" w:type="dxa"/>
              <w:right w:w="60" w:type="dxa"/>
            </w:tcMar>
            <w:vAlign w:val="center"/>
          </w:tcPr>
          <w:p>
            <w:pPr>
              <w:pStyle w:val="DMETW19888BIPACCDEF"/>
              <w:rPr>
                <w:rFonts w:ascii="Verdana" w:eastAsia="Verdana" w:hAnsi="Verdana" w:cs="Verdana"/>
                <w:b/>
                <w:noProof/>
                <w:color w:val="000000"/>
                <w:sz w:val="18"/>
              </w:rPr>
            </w:pPr>
            <w:r>
              <w:rPr>
                <w:rFonts w:ascii="Verdana" w:hAnsi="Verdana"/>
                <w:b/>
                <w:noProof/>
                <w:color w:val="000000"/>
                <w:sz w:val="18"/>
              </w:rPr>
              <w:t>Общо</w:t>
            </w:r>
          </w:p>
        </w:tc>
        <w:tc>
          <w:tcPr>
            <w:tcW w:w="2072" w:type="dxa"/>
            <w:tcBorders>
              <w:top w:val="nil"/>
              <w:left w:val="nil"/>
              <w:bottom w:val="nil"/>
              <w:right w:val="nil"/>
              <w:tl2br w:val="nil"/>
              <w:tr2bl w:val="nil"/>
            </w:tcBorders>
            <w:shd w:val="solid" w:color="CCE1EA" w:fill="FFFFFF"/>
            <w:tcMar>
              <w:left w:w="60" w:type="dxa"/>
              <w:right w:w="60" w:type="dxa"/>
            </w:tcMar>
            <w:vAlign w:val="bottom"/>
          </w:tcPr>
          <w:p>
            <w:pPr>
              <w:pStyle w:val="DMETW19888BIPACCDEF"/>
              <w:jc w:val="right"/>
              <w:rPr>
                <w:rFonts w:ascii="Verdana" w:eastAsia="Verdana" w:hAnsi="Verdana" w:cs="Verdana"/>
                <w:b/>
                <w:noProof/>
                <w:color w:val="000000"/>
                <w:sz w:val="18"/>
              </w:rPr>
            </w:pPr>
            <w:r>
              <w:rPr>
                <w:rFonts w:ascii="Verdana" w:hAnsi="Verdana"/>
                <w:b/>
                <w:noProof/>
                <w:color w:val="000000"/>
                <w:sz w:val="18"/>
              </w:rPr>
              <w:t>64 584</w:t>
            </w:r>
          </w:p>
        </w:tc>
        <w:tc>
          <w:tcPr>
            <w:tcW w:w="2072" w:type="dxa"/>
            <w:tcBorders>
              <w:top w:val="nil"/>
              <w:left w:val="nil"/>
              <w:bottom w:val="nil"/>
              <w:right w:val="nil"/>
              <w:tl2br w:val="nil"/>
              <w:tr2bl w:val="nil"/>
            </w:tcBorders>
            <w:shd w:val="solid" w:color="CCE1EA" w:fill="FFFFFF"/>
            <w:tcMar>
              <w:left w:w="60" w:type="dxa"/>
              <w:right w:w="60" w:type="dxa"/>
            </w:tcMar>
            <w:vAlign w:val="bottom"/>
          </w:tcPr>
          <w:p>
            <w:pPr>
              <w:pStyle w:val="DMETW19888BIPACCDEF"/>
              <w:jc w:val="right"/>
              <w:rPr>
                <w:rFonts w:ascii="Verdana" w:eastAsia="Verdana" w:hAnsi="Verdana" w:cs="Verdana"/>
                <w:b/>
                <w:noProof/>
                <w:color w:val="000000"/>
                <w:sz w:val="18"/>
              </w:rPr>
            </w:pPr>
            <w:r>
              <w:rPr>
                <w:rFonts w:ascii="Verdana" w:hAnsi="Verdana"/>
                <w:b/>
                <w:noProof/>
                <w:color w:val="000000"/>
                <w:sz w:val="18"/>
              </w:rPr>
              <w:t>67 230</w:t>
            </w:r>
          </w:p>
        </w:tc>
      </w:tr>
    </w:tbl>
    <w:p>
      <w:pPr>
        <w:pStyle w:val="DGTextstand-alone"/>
      </w:pPr>
    </w:p>
    <w:p>
      <w:pPr>
        <w:pStyle w:val="DGTextstand-alone"/>
      </w:pPr>
      <w:r>
        <w:t>Разпределението на начислените разходи е,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6"/>
        <w:gridCol w:w="1741"/>
        <w:gridCol w:w="1741"/>
      </w:tblGrid>
      <w:tr>
        <w:trPr>
          <w:trHeight w:val="255"/>
        </w:trPr>
        <w:tc>
          <w:tcPr>
            <w:tcW w:w="6276" w:type="dxa"/>
            <w:tcBorders>
              <w:top w:val="nil"/>
              <w:left w:val="nil"/>
              <w:bottom w:val="nil"/>
              <w:right w:val="nil"/>
              <w:tl2br w:val="nil"/>
              <w:tr2bl w:val="nil"/>
            </w:tcBorders>
            <w:shd w:val="clear" w:color="auto" w:fill="auto"/>
            <w:tcMar>
              <w:left w:w="60" w:type="dxa"/>
              <w:right w:w="60" w:type="dxa"/>
            </w:tcMar>
            <w:vAlign w:val="bottom"/>
          </w:tcPr>
          <w:p>
            <w:pPr>
              <w:pStyle w:val="DMETW19888BIPACDISPLIT"/>
              <w:rPr>
                <w:rFonts w:ascii="Arial" w:eastAsia="Arial" w:hAnsi="Arial" w:cs="Arial"/>
                <w:noProof/>
                <w:color w:val="000000"/>
              </w:rPr>
            </w:pPr>
            <w:bookmarkStart w:id="154" w:name="DOC_TBL00060_1_1"/>
            <w:bookmarkEnd w:id="154"/>
          </w:p>
        </w:tc>
        <w:tc>
          <w:tcPr>
            <w:tcW w:w="1741" w:type="dxa"/>
            <w:tcBorders>
              <w:top w:val="nil"/>
              <w:left w:val="nil"/>
              <w:bottom w:val="nil"/>
              <w:right w:val="nil"/>
              <w:tl2br w:val="nil"/>
              <w:tr2bl w:val="nil"/>
            </w:tcBorders>
            <w:shd w:val="clear" w:color="auto" w:fill="auto"/>
            <w:tcMar>
              <w:left w:w="60" w:type="dxa"/>
              <w:right w:w="60" w:type="dxa"/>
            </w:tcMar>
            <w:vAlign w:val="bottom"/>
          </w:tcPr>
          <w:p>
            <w:pPr>
              <w:pStyle w:val="DMETW19888BIPACDISPLIT"/>
              <w:rPr>
                <w:rFonts w:ascii="Arial" w:eastAsia="Arial" w:hAnsi="Arial" w:cs="Arial"/>
                <w:noProof/>
                <w:color w:val="000000"/>
              </w:rPr>
            </w:pPr>
          </w:p>
        </w:tc>
        <w:tc>
          <w:tcPr>
            <w:tcW w:w="1741" w:type="dxa"/>
            <w:tcBorders>
              <w:top w:val="nil"/>
              <w:left w:val="nil"/>
              <w:bottom w:val="nil"/>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276" w:type="dxa"/>
            <w:tcBorders>
              <w:top w:val="nil"/>
              <w:left w:val="nil"/>
              <w:bottom w:val="nil"/>
              <w:right w:val="nil"/>
              <w:tl2br w:val="nil"/>
              <w:tr2bl w:val="nil"/>
            </w:tcBorders>
            <w:shd w:val="solid" w:color="016794" w:fill="FFFFFF"/>
            <w:tcMar>
              <w:left w:w="60" w:type="dxa"/>
              <w:right w:w="60" w:type="dxa"/>
            </w:tcMar>
            <w:vAlign w:val="center"/>
          </w:tcPr>
          <w:p>
            <w:pPr>
              <w:pStyle w:val="DMETW19888BIPACDISPLIT"/>
              <w:jc w:val="right"/>
              <w:rPr>
                <w:rFonts w:ascii="Verdana" w:eastAsia="Verdana" w:hAnsi="Verdana" w:cs="Verdana"/>
                <w:noProof/>
                <w:color w:val="FFFFFF"/>
                <w:sz w:val="18"/>
              </w:rPr>
            </w:pPr>
          </w:p>
        </w:tc>
        <w:tc>
          <w:tcPr>
            <w:tcW w:w="1741" w:type="dxa"/>
            <w:tcBorders>
              <w:top w:val="nil"/>
              <w:left w:val="nil"/>
              <w:bottom w:val="nil"/>
              <w:right w:val="nil"/>
              <w:tl2br w:val="nil"/>
              <w:tr2bl w:val="nil"/>
            </w:tcBorders>
            <w:shd w:val="solid" w:color="016794" w:fill="FFFFFF"/>
            <w:tcMar>
              <w:left w:w="60" w:type="dxa"/>
              <w:right w:w="60" w:type="dxa"/>
            </w:tcMar>
            <w:vAlign w:val="center"/>
          </w:tcPr>
          <w:p>
            <w:pPr>
              <w:pStyle w:val="DMETW19888BIPACDISPLIT"/>
              <w:jc w:val="right"/>
              <w:rPr>
                <w:rFonts w:ascii="Verdana" w:eastAsia="Verdana" w:hAnsi="Verdana" w:cs="Verdana"/>
                <w:noProof/>
                <w:color w:val="FFFFFF"/>
              </w:rPr>
            </w:pPr>
            <w:r>
              <w:rPr>
                <w:rFonts w:ascii="Verdana" w:hAnsi="Verdana"/>
                <w:noProof/>
                <w:color w:val="FFFFFF"/>
              </w:rPr>
              <w:t>31.12.2020 г.</w:t>
            </w:r>
          </w:p>
        </w:tc>
        <w:tc>
          <w:tcPr>
            <w:tcW w:w="1741" w:type="dxa"/>
            <w:tcBorders>
              <w:top w:val="nil"/>
              <w:left w:val="nil"/>
              <w:bottom w:val="nil"/>
              <w:right w:val="nil"/>
              <w:tl2br w:val="nil"/>
              <w:tr2bl w:val="nil"/>
            </w:tcBorders>
            <w:shd w:val="solid" w:color="016794" w:fill="FFFFFF"/>
            <w:tcMar>
              <w:left w:w="60" w:type="dxa"/>
              <w:right w:w="60" w:type="dxa"/>
            </w:tcMar>
            <w:vAlign w:val="center"/>
          </w:tcPr>
          <w:p>
            <w:pPr>
              <w:pStyle w:val="DMETW19888BIPACDISPLIT"/>
              <w:jc w:val="right"/>
              <w:rPr>
                <w:rFonts w:ascii="Verdana" w:eastAsia="Verdana" w:hAnsi="Verdana" w:cs="Verdana"/>
                <w:noProof/>
                <w:color w:val="FFFFFF"/>
              </w:rPr>
            </w:pPr>
            <w:r>
              <w:rPr>
                <w:rFonts w:ascii="Verdana" w:hAnsi="Verdana"/>
                <w:noProof/>
                <w:color w:val="FFFFFF"/>
              </w:rPr>
              <w:t>31.12.2019 г.</w:t>
            </w:r>
          </w:p>
        </w:tc>
      </w:tr>
      <w:tr>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pPr>
              <w:pStyle w:val="DMETW19888BIPACDISPLIT"/>
              <w:rPr>
                <w:rFonts w:ascii="Verdana" w:eastAsia="Verdana" w:hAnsi="Verdana" w:cs="Verdana"/>
                <w:i/>
                <w:noProof/>
                <w:color w:val="000000"/>
                <w:sz w:val="18"/>
              </w:rPr>
            </w:pPr>
            <w:r>
              <w:rPr>
                <w:rFonts w:ascii="Verdana" w:hAnsi="Verdana"/>
                <w:i/>
                <w:noProof/>
                <w:color w:val="000000"/>
                <w:sz w:val="18"/>
              </w:rPr>
              <w:t>ЕФГЗ</w:t>
            </w:r>
          </w:p>
        </w:tc>
        <w:tc>
          <w:tcPr>
            <w:tcW w:w="1741" w:type="dxa"/>
            <w:tcBorders>
              <w:top w:val="nil"/>
              <w:left w:val="nil"/>
              <w:bottom w:val="nil"/>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i/>
                <w:noProof/>
                <w:color w:val="000000"/>
                <w:sz w:val="18"/>
              </w:rPr>
            </w:pPr>
            <w:r>
              <w:rPr>
                <w:rFonts w:ascii="Verdana" w:hAnsi="Verdana"/>
                <w:i/>
                <w:noProof/>
                <w:color w:val="000000"/>
                <w:sz w:val="18"/>
              </w:rPr>
              <w:t>24 599</w:t>
            </w:r>
          </w:p>
        </w:tc>
        <w:tc>
          <w:tcPr>
            <w:tcW w:w="1741" w:type="dxa"/>
            <w:tcBorders>
              <w:top w:val="nil"/>
              <w:left w:val="nil"/>
              <w:bottom w:val="nil"/>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i/>
                <w:noProof/>
                <w:color w:val="000000"/>
                <w:sz w:val="18"/>
              </w:rPr>
            </w:pPr>
            <w:r>
              <w:rPr>
                <w:rFonts w:ascii="Verdana" w:hAnsi="Verdana"/>
                <w:i/>
                <w:noProof/>
                <w:color w:val="000000"/>
                <w:sz w:val="18"/>
              </w:rPr>
              <w:t>28 193</w:t>
            </w:r>
          </w:p>
        </w:tc>
      </w:tr>
      <w:tr>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pPr>
              <w:pStyle w:val="DMETW19888BIPACDISPLIT"/>
              <w:rPr>
                <w:rFonts w:ascii="Verdana" w:eastAsia="Verdana" w:hAnsi="Verdana" w:cs="Verdana"/>
                <w:i/>
                <w:noProof/>
                <w:color w:val="000000"/>
                <w:sz w:val="18"/>
              </w:rPr>
            </w:pPr>
            <w:r>
              <w:rPr>
                <w:rFonts w:ascii="Verdana" w:hAnsi="Verdana"/>
                <w:i/>
                <w:noProof/>
                <w:color w:val="000000"/>
                <w:sz w:val="18"/>
              </w:rPr>
              <w:t>ЕЗФРСР и други инструменти за развитие на селските райони</w:t>
            </w:r>
          </w:p>
        </w:tc>
        <w:tc>
          <w:tcPr>
            <w:tcW w:w="1741" w:type="dxa"/>
            <w:tcBorders>
              <w:top w:val="nil"/>
              <w:left w:val="nil"/>
              <w:bottom w:val="nil"/>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i/>
                <w:noProof/>
                <w:color w:val="000000"/>
                <w:sz w:val="18"/>
              </w:rPr>
            </w:pPr>
            <w:r>
              <w:rPr>
                <w:rFonts w:ascii="Verdana" w:hAnsi="Verdana"/>
                <w:i/>
                <w:noProof/>
                <w:color w:val="000000"/>
                <w:sz w:val="18"/>
              </w:rPr>
              <w:t>18 622</w:t>
            </w:r>
          </w:p>
        </w:tc>
        <w:tc>
          <w:tcPr>
            <w:tcW w:w="1741" w:type="dxa"/>
            <w:tcBorders>
              <w:top w:val="nil"/>
              <w:left w:val="nil"/>
              <w:bottom w:val="nil"/>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i/>
                <w:noProof/>
                <w:color w:val="000000"/>
                <w:sz w:val="18"/>
              </w:rPr>
            </w:pPr>
            <w:r>
              <w:rPr>
                <w:rFonts w:ascii="Verdana" w:hAnsi="Verdana"/>
                <w:i/>
                <w:noProof/>
                <w:color w:val="000000"/>
                <w:sz w:val="18"/>
              </w:rPr>
              <w:t>18 583</w:t>
            </w:r>
          </w:p>
        </w:tc>
      </w:tr>
      <w:tr>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pPr>
              <w:pStyle w:val="DMETW19888BIPACDISPLIT"/>
              <w:rPr>
                <w:rFonts w:ascii="Verdana" w:eastAsia="Verdana" w:hAnsi="Verdana" w:cs="Verdana"/>
                <w:i/>
                <w:noProof/>
                <w:color w:val="000000"/>
                <w:sz w:val="18"/>
              </w:rPr>
            </w:pPr>
            <w:r>
              <w:rPr>
                <w:rFonts w:ascii="Verdana" w:hAnsi="Verdana"/>
                <w:i/>
                <w:noProof/>
                <w:color w:val="000000"/>
                <w:sz w:val="18"/>
              </w:rPr>
              <w:t>ЕФРР и КФ</w:t>
            </w:r>
          </w:p>
        </w:tc>
        <w:tc>
          <w:tcPr>
            <w:tcW w:w="1741" w:type="dxa"/>
            <w:tcBorders>
              <w:top w:val="nil"/>
              <w:left w:val="nil"/>
              <w:bottom w:val="nil"/>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i/>
                <w:noProof/>
                <w:color w:val="000000"/>
                <w:sz w:val="18"/>
              </w:rPr>
            </w:pPr>
            <w:r>
              <w:rPr>
                <w:rFonts w:ascii="Verdana" w:hAnsi="Verdana"/>
                <w:i/>
                <w:noProof/>
                <w:color w:val="000000"/>
                <w:sz w:val="18"/>
              </w:rPr>
              <w:t>8 766</w:t>
            </w:r>
          </w:p>
        </w:tc>
        <w:tc>
          <w:tcPr>
            <w:tcW w:w="1741" w:type="dxa"/>
            <w:tcBorders>
              <w:top w:val="nil"/>
              <w:left w:val="nil"/>
              <w:bottom w:val="nil"/>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i/>
                <w:noProof/>
                <w:color w:val="000000"/>
                <w:sz w:val="18"/>
              </w:rPr>
            </w:pPr>
            <w:r>
              <w:rPr>
                <w:rFonts w:ascii="Verdana" w:hAnsi="Verdana"/>
                <w:i/>
                <w:noProof/>
                <w:color w:val="000000"/>
                <w:sz w:val="18"/>
              </w:rPr>
              <w:t>9 525</w:t>
            </w:r>
          </w:p>
        </w:tc>
      </w:tr>
      <w:tr>
        <w:trPr>
          <w:trHeight w:val="255"/>
        </w:trPr>
        <w:tc>
          <w:tcPr>
            <w:tcW w:w="6276" w:type="dxa"/>
            <w:tcBorders>
              <w:top w:val="nil"/>
              <w:left w:val="nil"/>
              <w:bottom w:val="nil"/>
              <w:right w:val="nil"/>
              <w:tl2br w:val="nil"/>
              <w:tr2bl w:val="nil"/>
            </w:tcBorders>
            <w:shd w:val="clear" w:color="auto" w:fill="auto"/>
            <w:tcMar>
              <w:left w:w="60" w:type="dxa"/>
              <w:right w:w="60" w:type="dxa"/>
            </w:tcMar>
            <w:vAlign w:val="center"/>
          </w:tcPr>
          <w:p>
            <w:pPr>
              <w:pStyle w:val="DMETW19888BIPACDISPLIT"/>
              <w:rPr>
                <w:rFonts w:ascii="Verdana" w:eastAsia="Verdana" w:hAnsi="Verdana" w:cs="Verdana"/>
                <w:i/>
                <w:noProof/>
                <w:color w:val="000000"/>
                <w:sz w:val="18"/>
              </w:rPr>
            </w:pPr>
            <w:r>
              <w:rPr>
                <w:rFonts w:ascii="Verdana" w:hAnsi="Verdana"/>
                <w:i/>
                <w:noProof/>
                <w:color w:val="000000"/>
                <w:sz w:val="18"/>
              </w:rPr>
              <w:t>EСФ</w:t>
            </w:r>
          </w:p>
        </w:tc>
        <w:tc>
          <w:tcPr>
            <w:tcW w:w="1741" w:type="dxa"/>
            <w:tcBorders>
              <w:top w:val="nil"/>
              <w:left w:val="nil"/>
              <w:bottom w:val="nil"/>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i/>
                <w:noProof/>
                <w:color w:val="000000"/>
                <w:sz w:val="18"/>
              </w:rPr>
            </w:pPr>
            <w:r>
              <w:rPr>
                <w:rFonts w:ascii="Verdana" w:hAnsi="Verdana"/>
                <w:i/>
                <w:noProof/>
                <w:color w:val="000000"/>
                <w:sz w:val="18"/>
              </w:rPr>
              <w:t>3 009</w:t>
            </w:r>
          </w:p>
        </w:tc>
        <w:tc>
          <w:tcPr>
            <w:tcW w:w="1741" w:type="dxa"/>
            <w:tcBorders>
              <w:top w:val="nil"/>
              <w:left w:val="nil"/>
              <w:bottom w:val="nil"/>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i/>
                <w:noProof/>
                <w:color w:val="000000"/>
                <w:sz w:val="18"/>
              </w:rPr>
            </w:pPr>
            <w:r>
              <w:rPr>
                <w:rFonts w:ascii="Verdana" w:hAnsi="Verdana"/>
                <w:i/>
                <w:noProof/>
                <w:color w:val="000000"/>
                <w:sz w:val="18"/>
              </w:rPr>
              <w:t>3 016</w:t>
            </w:r>
          </w:p>
        </w:tc>
      </w:tr>
      <w:tr>
        <w:trPr>
          <w:trHeight w:val="255"/>
        </w:trPr>
        <w:tc>
          <w:tcPr>
            <w:tcW w:w="62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88BIPACDISPLIT"/>
              <w:rPr>
                <w:rFonts w:ascii="Verdana" w:eastAsia="Verdana" w:hAnsi="Verdana" w:cs="Verdana"/>
                <w:i/>
                <w:noProof/>
                <w:color w:val="000000"/>
                <w:sz w:val="18"/>
              </w:rPr>
            </w:pPr>
            <w:r>
              <w:rPr>
                <w:rFonts w:ascii="Verdana" w:hAnsi="Verdana"/>
                <w:i/>
                <w:noProof/>
                <w:color w:val="000000"/>
                <w:sz w:val="18"/>
              </w:rPr>
              <w:t>Други</w:t>
            </w:r>
          </w:p>
        </w:tc>
        <w:tc>
          <w:tcPr>
            <w:tcW w:w="1741"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i/>
                <w:noProof/>
                <w:color w:val="000000"/>
                <w:sz w:val="18"/>
              </w:rPr>
            </w:pPr>
            <w:r>
              <w:rPr>
                <w:rFonts w:ascii="Verdana" w:hAnsi="Verdana"/>
                <w:i/>
                <w:noProof/>
                <w:color w:val="000000"/>
                <w:sz w:val="18"/>
              </w:rPr>
              <w:t>9 386</w:t>
            </w:r>
          </w:p>
        </w:tc>
        <w:tc>
          <w:tcPr>
            <w:tcW w:w="1741"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i/>
                <w:noProof/>
                <w:color w:val="000000"/>
                <w:sz w:val="18"/>
              </w:rPr>
            </w:pPr>
            <w:r>
              <w:rPr>
                <w:rFonts w:ascii="Verdana" w:hAnsi="Verdana"/>
                <w:i/>
                <w:noProof/>
                <w:color w:val="000000"/>
                <w:sz w:val="18"/>
              </w:rPr>
              <w:t>7 542</w:t>
            </w:r>
          </w:p>
        </w:tc>
      </w:tr>
      <w:tr>
        <w:trPr>
          <w:trHeight w:val="255"/>
        </w:trPr>
        <w:tc>
          <w:tcPr>
            <w:tcW w:w="62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88BIPACDISPLIT"/>
              <w:rPr>
                <w:rFonts w:ascii="Verdana" w:eastAsia="Verdana" w:hAnsi="Verdana" w:cs="Verdana"/>
                <w:b/>
                <w:noProof/>
                <w:color w:val="000000"/>
                <w:sz w:val="18"/>
              </w:rPr>
            </w:pPr>
            <w:r>
              <w:rPr>
                <w:rFonts w:ascii="Verdana" w:hAnsi="Verdana"/>
                <w:b/>
                <w:noProof/>
                <w:color w:val="000000"/>
                <w:sz w:val="18"/>
              </w:rPr>
              <w:t>Общо</w:t>
            </w:r>
          </w:p>
        </w:tc>
        <w:tc>
          <w:tcPr>
            <w:tcW w:w="17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b/>
                <w:noProof/>
                <w:color w:val="000000"/>
                <w:sz w:val="18"/>
              </w:rPr>
            </w:pPr>
            <w:r>
              <w:rPr>
                <w:rFonts w:ascii="Verdana" w:hAnsi="Verdana"/>
                <w:b/>
                <w:noProof/>
                <w:color w:val="000000"/>
                <w:sz w:val="18"/>
              </w:rPr>
              <w:t>64 383</w:t>
            </w:r>
          </w:p>
        </w:tc>
        <w:tc>
          <w:tcPr>
            <w:tcW w:w="17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9888BIPACDISPLIT"/>
              <w:jc w:val="right"/>
              <w:rPr>
                <w:rFonts w:ascii="Verdana" w:eastAsia="Verdana" w:hAnsi="Verdana" w:cs="Verdana"/>
                <w:b/>
                <w:noProof/>
                <w:color w:val="000000"/>
                <w:sz w:val="18"/>
              </w:rPr>
            </w:pPr>
            <w:r>
              <w:rPr>
                <w:rFonts w:ascii="Verdana" w:hAnsi="Verdana"/>
                <w:b/>
                <w:noProof/>
                <w:color w:val="000000"/>
                <w:sz w:val="18"/>
              </w:rPr>
              <w:t>66 860</w:t>
            </w:r>
          </w:p>
        </w:tc>
      </w:tr>
    </w:tbl>
    <w:p>
      <w:pPr>
        <w:pStyle w:val="DGTextstand-alone"/>
        <w:spacing w:after="0"/>
      </w:pPr>
      <w:r>
        <w:t xml:space="preserve">Начислените разходи са признатите разходи, за които Съюзът все още не е получил декларации за разходи. Що се отнася до политиката на сближаване, намалението за начислените разходи по ЕФРР и КФ е свързано главно с приключването на периода 2007—2013 г. (тъй като се получават окончателните декларации за разходи), докато за периода 2014—2020 г. равнището остава стабилно. Промените на сумите по ЕФГЗ са описани по-подробно в бележка </w:t>
      </w:r>
      <w:r>
        <w:rPr>
          <w:b/>
        </w:rPr>
        <w:t>3.10</w:t>
      </w:r>
      <w:r>
        <w:t xml:space="preserve">. </w:t>
      </w:r>
    </w:p>
    <w:p>
      <w:pPr>
        <w:pStyle w:val="DGTextstand-alone"/>
        <w:spacing w:after="0"/>
        <w:sectPr>
          <w:headerReference w:type="even" r:id="rId206"/>
          <w:headerReference w:type="default" r:id="rId207"/>
          <w:footerReference w:type="even" r:id="rId208"/>
          <w:footerReference w:type="default" r:id="rId209"/>
          <w:headerReference w:type="first" r:id="rId210"/>
          <w:footerReference w:type="first" r:id="rId211"/>
          <w:type w:val="continuous"/>
          <w:pgSz w:w="11906" w:h="16838"/>
          <w:pgMar w:top="1134" w:right="1134" w:bottom="1134" w:left="1134" w:header="709" w:footer="709" w:gutter="0"/>
          <w:cols w:space="708"/>
          <w:docGrid w:linePitch="360"/>
        </w:sectPr>
      </w:pPr>
      <w:r>
        <w:t xml:space="preserve"> </w:t>
      </w:r>
      <w:bookmarkEnd w:id="152"/>
    </w:p>
    <w:p>
      <w:pPr>
        <w:pStyle w:val="HEADERTABLE"/>
        <w:rPr>
          <w:noProof/>
        </w:rPr>
      </w:pPr>
      <w:bookmarkStart w:id="155" w:name="_DMBM_19810"/>
      <w:r>
        <w:rPr>
          <w:noProof/>
        </w:rPr>
        <w:t>НЕТНИ АКТИВИ</w:t>
      </w:r>
    </w:p>
    <w:p>
      <w:pPr>
        <w:pStyle w:val="HEADER2NOTES"/>
        <w:rPr>
          <w:noProof/>
        </w:rPr>
      </w:pPr>
      <w:r>
        <w:rPr>
          <w:noProof/>
        </w:rPr>
        <w:t>РЕЗЕРВИ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8"/>
        <w:gridCol w:w="1826"/>
        <w:gridCol w:w="1827"/>
        <w:gridCol w:w="1827"/>
      </w:tblGrid>
      <w:tr>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bottom"/>
          </w:tcPr>
          <w:p>
            <w:pPr>
              <w:pStyle w:val="DMETW19889BIPRES"/>
              <w:jc w:val="right"/>
              <w:rPr>
                <w:rFonts w:ascii="Verdana" w:eastAsia="Times New Roman" w:hAnsi="Verdana" w:cs="Verdana"/>
                <w:i/>
                <w:noProof/>
                <w:color w:val="000000"/>
                <w:sz w:val="16"/>
              </w:rPr>
            </w:pPr>
            <w:bookmarkStart w:id="156" w:name="DOC_TBL00061_1_1"/>
            <w:bookmarkEnd w:id="156"/>
          </w:p>
        </w:tc>
        <w:tc>
          <w:tcPr>
            <w:tcW w:w="1826" w:type="dxa"/>
            <w:tcBorders>
              <w:top w:val="nil"/>
              <w:left w:val="nil"/>
              <w:bottom w:val="nil"/>
              <w:right w:val="nil"/>
            </w:tcBorders>
            <w:shd w:val="solid" w:color="FFFFFF" w:fill="FFFFFF"/>
            <w:tcMar>
              <w:top w:w="0" w:type="dxa"/>
              <w:left w:w="60" w:type="dxa"/>
              <w:bottom w:w="0" w:type="dxa"/>
              <w:right w:w="60" w:type="dxa"/>
            </w:tcMar>
            <w:vAlign w:val="bottom"/>
          </w:tcPr>
          <w:p>
            <w:pPr>
              <w:pStyle w:val="DMETW19889BIPRES"/>
              <w:jc w:val="right"/>
              <w:rPr>
                <w:rFonts w:ascii="Verdana" w:eastAsia="Times New Roman" w:hAnsi="Verdana" w:cs="Verdana"/>
                <w:i/>
                <w:noProof/>
                <w:color w:val="000000"/>
                <w:sz w:val="16"/>
              </w:rPr>
            </w:pPr>
          </w:p>
        </w:tc>
        <w:tc>
          <w:tcPr>
            <w:tcW w:w="1827" w:type="dxa"/>
            <w:tcBorders>
              <w:top w:val="nil"/>
              <w:left w:val="nil"/>
              <w:bottom w:val="nil"/>
              <w:right w:val="nil"/>
            </w:tcBorders>
            <w:shd w:val="solid" w:color="FFFFFF" w:fill="FFFFFF"/>
            <w:tcMar>
              <w:top w:w="0" w:type="dxa"/>
              <w:left w:w="60" w:type="dxa"/>
              <w:bottom w:w="0" w:type="dxa"/>
              <w:right w:w="60" w:type="dxa"/>
            </w:tcMar>
            <w:vAlign w:val="bottom"/>
          </w:tcPr>
          <w:p>
            <w:pPr>
              <w:pStyle w:val="DMETW19889BIPRES"/>
              <w:jc w:val="right"/>
              <w:rPr>
                <w:rFonts w:ascii="Verdana" w:eastAsia="Times New Roman" w:hAnsi="Verdana" w:cs="Verdana"/>
                <w:i/>
                <w:noProof/>
                <w:color w:val="000000"/>
                <w:sz w:val="16"/>
              </w:rPr>
            </w:pPr>
          </w:p>
        </w:tc>
        <w:tc>
          <w:tcPr>
            <w:tcW w:w="1827" w:type="dxa"/>
            <w:tcBorders>
              <w:top w:val="nil"/>
              <w:left w:val="nil"/>
              <w:bottom w:val="nil"/>
              <w:right w:val="nil"/>
            </w:tcBorders>
            <w:shd w:val="solid" w:color="FFFFFF" w:fill="FFFFFF"/>
            <w:tcMar>
              <w:top w:w="0" w:type="dxa"/>
              <w:left w:w="60" w:type="dxa"/>
              <w:bottom w:w="0" w:type="dxa"/>
              <w:right w:w="60" w:type="dxa"/>
            </w:tcMar>
            <w:vAlign w:val="bottom"/>
          </w:tcPr>
          <w:p>
            <w:pPr>
              <w:pStyle w:val="DMETW19889BIPRES"/>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4278" w:type="dxa"/>
            <w:tcBorders>
              <w:top w:val="nil"/>
              <w:left w:val="nil"/>
              <w:bottom w:val="nil"/>
              <w:right w:val="nil"/>
            </w:tcBorders>
            <w:shd w:val="solid" w:color="016794" w:fill="FFFFFF"/>
            <w:tcMar>
              <w:top w:w="0" w:type="dxa"/>
              <w:left w:w="60" w:type="dxa"/>
              <w:bottom w:w="0" w:type="dxa"/>
              <w:right w:w="60" w:type="dxa"/>
            </w:tcMar>
            <w:vAlign w:val="center"/>
          </w:tcPr>
          <w:p>
            <w:pPr>
              <w:pStyle w:val="DMETW19889BIPRES"/>
              <w:rPr>
                <w:rFonts w:ascii="Verdana" w:eastAsia="Times New Roman" w:hAnsi="Verdana" w:cs="Verdana"/>
                <w:noProof/>
                <w:color w:val="FFFFFF"/>
              </w:rPr>
            </w:pPr>
          </w:p>
        </w:tc>
        <w:tc>
          <w:tcPr>
            <w:tcW w:w="1826" w:type="dxa"/>
            <w:tcBorders>
              <w:top w:val="nil"/>
              <w:left w:val="nil"/>
              <w:bottom w:val="nil"/>
              <w:right w:val="nil"/>
            </w:tcBorders>
            <w:shd w:val="solid" w:color="016794" w:fill="FFFFFF"/>
            <w:tcMar>
              <w:top w:w="0" w:type="dxa"/>
              <w:left w:w="60" w:type="dxa"/>
              <w:bottom w:w="0" w:type="dxa"/>
              <w:right w:w="60" w:type="dxa"/>
            </w:tcMar>
            <w:vAlign w:val="center"/>
          </w:tcPr>
          <w:p>
            <w:pPr>
              <w:pStyle w:val="DMETW19889BIPRES"/>
              <w:jc w:val="center"/>
              <w:rPr>
                <w:rFonts w:ascii="Verdana" w:eastAsia="Times New Roman" w:hAnsi="Verdana" w:cs="Verdana"/>
                <w:noProof/>
                <w:color w:val="FFFFFF"/>
              </w:rPr>
            </w:pPr>
            <w:r>
              <w:rPr>
                <w:rFonts w:ascii="Verdana" w:hAnsi="Verdana"/>
                <w:noProof/>
                <w:color w:val="FFFFFF"/>
              </w:rPr>
              <w:t>Бележка</w:t>
            </w:r>
          </w:p>
        </w:tc>
        <w:tc>
          <w:tcPr>
            <w:tcW w:w="1827" w:type="dxa"/>
            <w:tcBorders>
              <w:top w:val="nil"/>
              <w:left w:val="nil"/>
              <w:bottom w:val="nil"/>
              <w:right w:val="nil"/>
            </w:tcBorders>
            <w:shd w:val="solid" w:color="016794" w:fill="FFFFFF"/>
            <w:tcMar>
              <w:top w:w="0" w:type="dxa"/>
              <w:left w:w="60" w:type="dxa"/>
              <w:bottom w:w="0" w:type="dxa"/>
              <w:right w:w="60" w:type="dxa"/>
            </w:tcMar>
            <w:vAlign w:val="center"/>
          </w:tcPr>
          <w:p>
            <w:pPr>
              <w:pStyle w:val="DMETW19889BIPRES"/>
              <w:jc w:val="right"/>
              <w:rPr>
                <w:rFonts w:ascii="Verdana" w:eastAsia="Times New Roman" w:hAnsi="Verdana" w:cs="Verdana"/>
                <w:noProof/>
                <w:color w:val="FFFFFF"/>
              </w:rPr>
            </w:pPr>
            <w:r>
              <w:rPr>
                <w:rFonts w:ascii="Verdana" w:hAnsi="Verdana"/>
                <w:noProof/>
                <w:color w:val="FFFFFF"/>
              </w:rPr>
              <w:t>31.12.2020 г.</w:t>
            </w:r>
          </w:p>
        </w:tc>
        <w:tc>
          <w:tcPr>
            <w:tcW w:w="1827" w:type="dxa"/>
            <w:tcBorders>
              <w:top w:val="nil"/>
              <w:left w:val="nil"/>
              <w:bottom w:val="nil"/>
              <w:right w:val="nil"/>
            </w:tcBorders>
            <w:shd w:val="solid" w:color="016794" w:fill="FFFFFF"/>
            <w:tcMar>
              <w:top w:w="0" w:type="dxa"/>
              <w:left w:w="60" w:type="dxa"/>
              <w:bottom w:w="0" w:type="dxa"/>
              <w:right w:w="60" w:type="dxa"/>
            </w:tcMar>
            <w:vAlign w:val="center"/>
          </w:tcPr>
          <w:p>
            <w:pPr>
              <w:pStyle w:val="DMETW19889BIPRES"/>
              <w:jc w:val="right"/>
              <w:rPr>
                <w:rFonts w:ascii="Verdana" w:eastAsia="Times New Roman" w:hAnsi="Verdana" w:cs="Verdana"/>
                <w:noProof/>
                <w:color w:val="FFFFFF"/>
              </w:rPr>
            </w:pPr>
            <w:r>
              <w:rPr>
                <w:rFonts w:ascii="Verdana" w:hAnsi="Verdana"/>
                <w:noProof/>
                <w:color w:val="FFFFFF"/>
              </w:rPr>
              <w:t>31.12.2019 г.</w:t>
            </w:r>
          </w:p>
        </w:tc>
      </w:tr>
      <w:tr>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rPr>
                <w:rFonts w:ascii="Verdana" w:eastAsia="Times New Roman" w:hAnsi="Verdana" w:cs="Verdana"/>
                <w:i/>
                <w:noProof/>
                <w:color w:val="000000"/>
                <w:sz w:val="18"/>
              </w:rPr>
            </w:pPr>
            <w:r>
              <w:rPr>
                <w:rFonts w:ascii="Verdana" w:hAnsi="Verdana"/>
                <w:i/>
                <w:noProof/>
                <w:color w:val="000000"/>
                <w:sz w:val="18"/>
              </w:rPr>
              <w:t>Резерв по справедлива стойност</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jc w:val="center"/>
              <w:rPr>
                <w:rFonts w:ascii="Verdana" w:eastAsia="Times New Roman" w:hAnsi="Verdana" w:cs="Verdana"/>
                <w:i/>
                <w:noProof/>
                <w:color w:val="000000"/>
                <w:sz w:val="18"/>
              </w:rPr>
            </w:pPr>
            <w:r>
              <w:rPr>
                <w:rFonts w:ascii="Verdana" w:hAnsi="Verdana"/>
                <w:i/>
                <w:noProof/>
                <w:color w:val="000000"/>
                <w:sz w:val="18"/>
              </w:rPr>
              <w:t>2.14.1</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jc w:val="right"/>
              <w:rPr>
                <w:rFonts w:ascii="Verdana" w:eastAsia="Times New Roman" w:hAnsi="Verdana" w:cs="Verdana"/>
                <w:i/>
                <w:noProof/>
                <w:color w:val="000000"/>
                <w:sz w:val="18"/>
              </w:rPr>
            </w:pPr>
            <w:r>
              <w:rPr>
                <w:rFonts w:ascii="Verdana" w:hAnsi="Verdana"/>
                <w:i/>
                <w:noProof/>
                <w:color w:val="000000"/>
                <w:sz w:val="18"/>
              </w:rPr>
              <w:t xml:space="preserve"> 496</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jc w:val="right"/>
              <w:rPr>
                <w:rFonts w:ascii="Verdana" w:eastAsia="Times New Roman" w:hAnsi="Verdana" w:cs="Verdana"/>
                <w:i/>
                <w:noProof/>
                <w:color w:val="000000"/>
                <w:sz w:val="18"/>
              </w:rPr>
            </w:pPr>
            <w:r>
              <w:rPr>
                <w:rFonts w:ascii="Verdana" w:hAnsi="Verdana"/>
                <w:i/>
                <w:noProof/>
                <w:color w:val="000000"/>
                <w:sz w:val="18"/>
              </w:rPr>
              <w:t xml:space="preserve"> 391</w:t>
            </w:r>
          </w:p>
        </w:tc>
      </w:tr>
      <w:tr>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rPr>
                <w:rFonts w:ascii="Verdana" w:eastAsia="Times New Roman" w:hAnsi="Verdana" w:cs="Verdana"/>
                <w:i/>
                <w:noProof/>
                <w:color w:val="000000"/>
                <w:sz w:val="18"/>
              </w:rPr>
            </w:pPr>
            <w:r>
              <w:rPr>
                <w:rFonts w:ascii="Verdana" w:hAnsi="Verdana"/>
                <w:i/>
                <w:noProof/>
                <w:color w:val="000000"/>
                <w:sz w:val="18"/>
              </w:rPr>
              <w:t>Резерв на Гаранционния фонд</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jc w:val="center"/>
              <w:rPr>
                <w:rFonts w:ascii="Verdana" w:eastAsia="Times New Roman" w:hAnsi="Verdana" w:cs="Verdana"/>
                <w:i/>
                <w:noProof/>
                <w:color w:val="000000"/>
                <w:sz w:val="18"/>
              </w:rPr>
            </w:pPr>
            <w:r>
              <w:rPr>
                <w:rFonts w:ascii="Verdana" w:hAnsi="Verdana"/>
                <w:i/>
                <w:noProof/>
                <w:color w:val="000000"/>
                <w:sz w:val="18"/>
              </w:rPr>
              <w:t>2.14.2</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jc w:val="right"/>
              <w:rPr>
                <w:rFonts w:ascii="Verdana" w:eastAsia="Times New Roman" w:hAnsi="Verdana" w:cs="Verdana"/>
                <w:i/>
                <w:noProof/>
                <w:color w:val="000000"/>
                <w:sz w:val="18"/>
              </w:rPr>
            </w:pPr>
            <w:r>
              <w:rPr>
                <w:rFonts w:ascii="Verdana" w:hAnsi="Verdana"/>
                <w:i/>
                <w:noProof/>
                <w:color w:val="000000"/>
                <w:sz w:val="18"/>
              </w:rPr>
              <w:t>3 043</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jc w:val="right"/>
              <w:rPr>
                <w:rFonts w:ascii="Verdana" w:eastAsia="Times New Roman" w:hAnsi="Verdana" w:cs="Verdana"/>
                <w:i/>
                <w:noProof/>
                <w:color w:val="000000"/>
                <w:sz w:val="18"/>
              </w:rPr>
            </w:pPr>
            <w:r>
              <w:rPr>
                <w:rFonts w:ascii="Verdana" w:hAnsi="Verdana"/>
                <w:i/>
                <w:noProof/>
                <w:color w:val="000000"/>
                <w:sz w:val="18"/>
              </w:rPr>
              <w:t>2 870</w:t>
            </w:r>
          </w:p>
        </w:tc>
      </w:tr>
      <w:tr>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rPr>
                <w:rFonts w:ascii="Verdana" w:eastAsia="Times New Roman" w:hAnsi="Verdana" w:cs="Verdana"/>
                <w:i/>
                <w:noProof/>
                <w:color w:val="000000"/>
                <w:sz w:val="18"/>
              </w:rPr>
            </w:pPr>
            <w:r>
              <w:rPr>
                <w:rFonts w:ascii="Verdana" w:hAnsi="Verdana"/>
                <w:i/>
                <w:noProof/>
                <w:color w:val="000000"/>
                <w:sz w:val="18"/>
              </w:rPr>
              <w:t>Други резерви</w:t>
            </w:r>
          </w:p>
        </w:tc>
        <w:tc>
          <w:tcPr>
            <w:tcW w:w="1826"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jc w:val="center"/>
              <w:rPr>
                <w:rFonts w:ascii="Verdana" w:eastAsia="Times New Roman" w:hAnsi="Verdana" w:cs="Verdana"/>
                <w:i/>
                <w:noProof/>
                <w:color w:val="000000"/>
                <w:sz w:val="18"/>
              </w:rPr>
            </w:pPr>
            <w:r>
              <w:rPr>
                <w:rFonts w:ascii="Verdana" w:hAnsi="Verdana"/>
                <w:i/>
                <w:noProof/>
                <w:color w:val="000000"/>
                <w:sz w:val="18"/>
              </w:rPr>
              <w:t>2.14.3</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jc w:val="right"/>
              <w:rPr>
                <w:rFonts w:ascii="Verdana" w:eastAsia="Times New Roman" w:hAnsi="Verdana" w:cs="Verdana"/>
                <w:i/>
                <w:noProof/>
                <w:color w:val="000000"/>
                <w:sz w:val="18"/>
              </w:rPr>
            </w:pPr>
            <w:r>
              <w:rPr>
                <w:rFonts w:ascii="Verdana" w:hAnsi="Verdana"/>
                <w:i/>
                <w:noProof/>
                <w:color w:val="000000"/>
                <w:sz w:val="18"/>
              </w:rPr>
              <w:t>1 523</w:t>
            </w:r>
          </w:p>
        </w:tc>
        <w:tc>
          <w:tcPr>
            <w:tcW w:w="1827"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RES"/>
              <w:jc w:val="right"/>
              <w:rPr>
                <w:rFonts w:ascii="Verdana" w:eastAsia="Times New Roman" w:hAnsi="Verdana" w:cs="Verdana"/>
                <w:i/>
                <w:noProof/>
                <w:color w:val="000000"/>
                <w:sz w:val="18"/>
              </w:rPr>
            </w:pPr>
            <w:r>
              <w:rPr>
                <w:rFonts w:ascii="Verdana" w:hAnsi="Verdana"/>
                <w:i/>
                <w:noProof/>
                <w:color w:val="000000"/>
                <w:sz w:val="18"/>
              </w:rPr>
              <w:t>1 776</w:t>
            </w:r>
          </w:p>
        </w:tc>
      </w:tr>
      <w:tr>
        <w:trPr>
          <w:trHeight w:val="255"/>
        </w:trPr>
        <w:tc>
          <w:tcPr>
            <w:tcW w:w="4278" w:type="dxa"/>
            <w:tcBorders>
              <w:top w:val="nil"/>
              <w:left w:val="nil"/>
              <w:bottom w:val="nil"/>
              <w:right w:val="nil"/>
            </w:tcBorders>
            <w:shd w:val="solid" w:color="CCE1EA" w:fill="FFFFFF"/>
            <w:tcMar>
              <w:top w:w="0" w:type="dxa"/>
              <w:left w:w="60" w:type="dxa"/>
              <w:bottom w:w="0" w:type="dxa"/>
              <w:right w:w="60" w:type="dxa"/>
            </w:tcMar>
            <w:vAlign w:val="center"/>
          </w:tcPr>
          <w:p>
            <w:pPr>
              <w:pStyle w:val="DMETW19889BIPRES"/>
              <w:rPr>
                <w:rFonts w:ascii="Verdana" w:eastAsia="Times New Roman" w:hAnsi="Verdana" w:cs="Verdana"/>
                <w:b/>
                <w:noProof/>
                <w:color w:val="000000"/>
                <w:sz w:val="18"/>
              </w:rPr>
            </w:pPr>
            <w:r>
              <w:rPr>
                <w:rFonts w:ascii="Verdana" w:hAnsi="Verdana"/>
                <w:b/>
                <w:noProof/>
                <w:color w:val="000000"/>
                <w:sz w:val="18"/>
              </w:rPr>
              <w:t>Общо</w:t>
            </w:r>
          </w:p>
        </w:tc>
        <w:tc>
          <w:tcPr>
            <w:tcW w:w="1826" w:type="dxa"/>
            <w:tcBorders>
              <w:top w:val="nil"/>
              <w:left w:val="nil"/>
              <w:bottom w:val="nil"/>
              <w:right w:val="nil"/>
            </w:tcBorders>
            <w:shd w:val="solid" w:color="CCE1EA" w:fill="FFFFFF"/>
            <w:tcMar>
              <w:top w:w="0" w:type="dxa"/>
              <w:left w:w="60" w:type="dxa"/>
              <w:bottom w:w="0" w:type="dxa"/>
              <w:right w:w="60" w:type="dxa"/>
            </w:tcMar>
            <w:vAlign w:val="center"/>
          </w:tcPr>
          <w:p>
            <w:pPr>
              <w:pStyle w:val="DMETW19889BIPRES"/>
              <w:jc w:val="center"/>
              <w:rPr>
                <w:rFonts w:ascii="Verdana" w:eastAsia="Times New Roman" w:hAnsi="Verdana" w:cs="Verdana"/>
                <w:noProof/>
                <w:color w:val="000000"/>
                <w:sz w:val="18"/>
              </w:rPr>
            </w:pPr>
          </w:p>
        </w:tc>
        <w:tc>
          <w:tcPr>
            <w:tcW w:w="1827" w:type="dxa"/>
            <w:tcBorders>
              <w:top w:val="nil"/>
              <w:left w:val="nil"/>
              <w:bottom w:val="nil"/>
              <w:right w:val="nil"/>
            </w:tcBorders>
            <w:shd w:val="solid" w:color="CCE1EA" w:fill="FFFFFF"/>
            <w:tcMar>
              <w:top w:w="0" w:type="dxa"/>
              <w:left w:w="60" w:type="dxa"/>
              <w:bottom w:w="0" w:type="dxa"/>
              <w:right w:w="60" w:type="dxa"/>
            </w:tcMar>
            <w:vAlign w:val="center"/>
          </w:tcPr>
          <w:p>
            <w:pPr>
              <w:pStyle w:val="DMETW19889BIPRES"/>
              <w:jc w:val="right"/>
              <w:rPr>
                <w:rFonts w:ascii="Verdana" w:eastAsia="Times New Roman" w:hAnsi="Verdana" w:cs="Verdana"/>
                <w:b/>
                <w:noProof/>
                <w:color w:val="000000"/>
                <w:sz w:val="18"/>
              </w:rPr>
            </w:pPr>
            <w:r>
              <w:rPr>
                <w:rFonts w:ascii="Verdana" w:hAnsi="Verdana"/>
                <w:b/>
                <w:noProof/>
                <w:color w:val="000000"/>
                <w:sz w:val="18"/>
              </w:rPr>
              <w:t>5 062</w:t>
            </w:r>
          </w:p>
        </w:tc>
        <w:tc>
          <w:tcPr>
            <w:tcW w:w="1827" w:type="dxa"/>
            <w:tcBorders>
              <w:top w:val="nil"/>
              <w:left w:val="nil"/>
              <w:bottom w:val="nil"/>
              <w:right w:val="nil"/>
            </w:tcBorders>
            <w:shd w:val="solid" w:color="CCE1EA" w:fill="FFFFFF"/>
            <w:tcMar>
              <w:top w:w="0" w:type="dxa"/>
              <w:left w:w="60" w:type="dxa"/>
              <w:bottom w:w="0" w:type="dxa"/>
              <w:right w:w="60" w:type="dxa"/>
            </w:tcMar>
            <w:vAlign w:val="center"/>
          </w:tcPr>
          <w:p>
            <w:pPr>
              <w:pStyle w:val="DMETW19889BIPRES"/>
              <w:jc w:val="right"/>
              <w:rPr>
                <w:rFonts w:ascii="Verdana" w:eastAsia="Times New Roman" w:hAnsi="Verdana" w:cs="Verdana"/>
                <w:b/>
                <w:noProof/>
                <w:color w:val="000000"/>
                <w:sz w:val="18"/>
              </w:rPr>
            </w:pPr>
            <w:r>
              <w:rPr>
                <w:rFonts w:ascii="Verdana" w:hAnsi="Verdana"/>
                <w:b/>
                <w:noProof/>
                <w:color w:val="000000"/>
                <w:sz w:val="18"/>
              </w:rPr>
              <w:t>5 037</w:t>
            </w:r>
          </w:p>
        </w:tc>
      </w:tr>
    </w:tbl>
    <w:p>
      <w:pPr>
        <w:pStyle w:val="HEADER3NOTES"/>
        <w:rPr>
          <w:noProof/>
        </w:rPr>
      </w:pPr>
      <w:r>
        <w:rPr>
          <w:noProof/>
        </w:rPr>
        <w:t>Резерв по справедлива стойност</w:t>
      </w:r>
    </w:p>
    <w:p>
      <w:pPr>
        <w:pStyle w:val="DGTextstand-alone"/>
      </w:pPr>
      <w:r>
        <w:t>В съответствие с правилата за счетоводна отчетност на ЕС корекцията на справедливата стойност на финансовите активи, обявени за продажба, се отчита чрез резерва по справедлива стойност.</w:t>
      </w:r>
    </w:p>
    <w:p>
      <w:pPr>
        <w:pStyle w:val="HEADER5"/>
        <w:rPr>
          <w:noProof/>
        </w:rPr>
      </w:pPr>
      <w:r>
        <w:rPr>
          <w:noProof/>
        </w:rPr>
        <w:t>Движения на резерва по справедлива стойност през периода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0"/>
        <w:gridCol w:w="2324"/>
        <w:gridCol w:w="2324"/>
      </w:tblGrid>
      <w:tr>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bottom"/>
          </w:tcPr>
          <w:p>
            <w:pPr>
              <w:pStyle w:val="DMETW19889BIPFVMAFS"/>
              <w:jc w:val="right"/>
              <w:rPr>
                <w:rFonts w:ascii="Verdana" w:eastAsia="Times New Roman" w:hAnsi="Verdana" w:cs="Verdana"/>
                <w:i/>
                <w:noProof/>
                <w:color w:val="000000"/>
                <w:sz w:val="16"/>
              </w:rPr>
            </w:pPr>
            <w:bookmarkStart w:id="157" w:name="DOC_TBL00062_1_1"/>
            <w:bookmarkEnd w:id="157"/>
          </w:p>
        </w:tc>
        <w:tc>
          <w:tcPr>
            <w:tcW w:w="2324" w:type="dxa"/>
            <w:tcBorders>
              <w:top w:val="nil"/>
              <w:left w:val="nil"/>
              <w:bottom w:val="nil"/>
              <w:right w:val="nil"/>
            </w:tcBorders>
            <w:shd w:val="solid" w:color="FFFFFF" w:fill="FFFFFF"/>
            <w:tcMar>
              <w:top w:w="0" w:type="dxa"/>
              <w:left w:w="60" w:type="dxa"/>
              <w:bottom w:w="0" w:type="dxa"/>
              <w:right w:w="60" w:type="dxa"/>
            </w:tcMar>
            <w:vAlign w:val="bottom"/>
          </w:tcPr>
          <w:p>
            <w:pPr>
              <w:pStyle w:val="DMETW19889BIPFVMAFS"/>
              <w:jc w:val="right"/>
              <w:rPr>
                <w:rFonts w:ascii="Verdana" w:eastAsia="Times New Roman" w:hAnsi="Verdana" w:cs="Verdana"/>
                <w:i/>
                <w:noProof/>
                <w:color w:val="000000"/>
                <w:sz w:val="16"/>
              </w:rPr>
            </w:pPr>
          </w:p>
        </w:tc>
        <w:tc>
          <w:tcPr>
            <w:tcW w:w="2324" w:type="dxa"/>
            <w:tcBorders>
              <w:top w:val="nil"/>
              <w:left w:val="nil"/>
              <w:bottom w:val="nil"/>
              <w:right w:val="nil"/>
            </w:tcBorders>
            <w:shd w:val="solid" w:color="FFFFFF" w:fill="FFFFFF"/>
            <w:tcMar>
              <w:top w:w="0" w:type="dxa"/>
              <w:left w:w="60" w:type="dxa"/>
              <w:bottom w:w="0" w:type="dxa"/>
              <w:right w:w="60" w:type="dxa"/>
            </w:tcMar>
            <w:vAlign w:val="bottom"/>
          </w:tcPr>
          <w:p>
            <w:pPr>
              <w:pStyle w:val="DMETW19889BIPFVMAFS"/>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5110" w:type="dxa"/>
            <w:tcBorders>
              <w:top w:val="nil"/>
              <w:left w:val="nil"/>
              <w:bottom w:val="nil"/>
              <w:right w:val="nil"/>
            </w:tcBorders>
            <w:shd w:val="solid" w:color="016794" w:fill="FFFFFF"/>
            <w:tcMar>
              <w:top w:w="0" w:type="dxa"/>
              <w:left w:w="60" w:type="dxa"/>
              <w:bottom w:w="0" w:type="dxa"/>
              <w:right w:w="60" w:type="dxa"/>
            </w:tcMar>
            <w:vAlign w:val="center"/>
          </w:tcPr>
          <w:p>
            <w:pPr>
              <w:pStyle w:val="DMETW19889BIPFVMAFS"/>
              <w:jc w:val="right"/>
              <w:rPr>
                <w:rFonts w:ascii="Verdana" w:eastAsia="Times New Roman" w:hAnsi="Verdana" w:cs="Verdana"/>
                <w:noProof/>
                <w:color w:val="FFFFFF"/>
              </w:rPr>
            </w:pPr>
          </w:p>
        </w:tc>
        <w:tc>
          <w:tcPr>
            <w:tcW w:w="2324" w:type="dxa"/>
            <w:tcBorders>
              <w:top w:val="nil"/>
              <w:left w:val="nil"/>
              <w:bottom w:val="nil"/>
              <w:right w:val="nil"/>
            </w:tcBorders>
            <w:shd w:val="solid" w:color="016794" w:fill="FFFFFF"/>
            <w:tcMar>
              <w:top w:w="0" w:type="dxa"/>
              <w:left w:w="60" w:type="dxa"/>
              <w:bottom w:w="0" w:type="dxa"/>
              <w:right w:w="60" w:type="dxa"/>
            </w:tcMar>
            <w:vAlign w:val="center"/>
          </w:tcPr>
          <w:p>
            <w:pPr>
              <w:pStyle w:val="DMETW19889BIPFVMAFS"/>
              <w:jc w:val="right"/>
              <w:rPr>
                <w:rFonts w:ascii="Verdana" w:eastAsia="Times New Roman" w:hAnsi="Verdana" w:cs="Verdana"/>
                <w:noProof/>
                <w:color w:val="FFFFFF"/>
              </w:rPr>
            </w:pPr>
            <w:r>
              <w:rPr>
                <w:rFonts w:ascii="Verdana" w:hAnsi="Verdana"/>
                <w:noProof/>
                <w:color w:val="FFFFFF"/>
              </w:rPr>
              <w:t>31.12.2020 г.</w:t>
            </w:r>
          </w:p>
        </w:tc>
        <w:tc>
          <w:tcPr>
            <w:tcW w:w="2324" w:type="dxa"/>
            <w:tcBorders>
              <w:top w:val="nil"/>
              <w:left w:val="nil"/>
              <w:bottom w:val="nil"/>
              <w:right w:val="nil"/>
            </w:tcBorders>
            <w:shd w:val="solid" w:color="016794" w:fill="FFFFFF"/>
            <w:tcMar>
              <w:top w:w="0" w:type="dxa"/>
              <w:left w:w="60" w:type="dxa"/>
              <w:bottom w:w="0" w:type="dxa"/>
              <w:right w:w="60" w:type="dxa"/>
            </w:tcMar>
            <w:vAlign w:val="center"/>
          </w:tcPr>
          <w:p>
            <w:pPr>
              <w:pStyle w:val="DMETW19889BIPFVMAFS"/>
              <w:jc w:val="right"/>
              <w:rPr>
                <w:rFonts w:ascii="Verdana" w:eastAsia="Times New Roman" w:hAnsi="Verdana" w:cs="Verdana"/>
                <w:noProof/>
                <w:color w:val="FFFFFF"/>
              </w:rPr>
            </w:pPr>
            <w:r>
              <w:rPr>
                <w:rFonts w:ascii="Verdana" w:hAnsi="Verdana"/>
                <w:noProof/>
                <w:color w:val="FFFFFF"/>
              </w:rPr>
              <w:t>31.12.2019 г.</w:t>
            </w:r>
          </w:p>
        </w:tc>
      </w:tr>
      <w:tr>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FVMAFS"/>
              <w:rPr>
                <w:rFonts w:ascii="Verdana" w:eastAsia="Times New Roman" w:hAnsi="Verdana" w:cs="Verdana"/>
                <w:i/>
                <w:noProof/>
                <w:color w:val="000000"/>
                <w:sz w:val="18"/>
              </w:rPr>
            </w:pPr>
            <w:r>
              <w:rPr>
                <w:rFonts w:ascii="Verdana" w:hAnsi="Verdana"/>
                <w:i/>
                <w:noProof/>
                <w:color w:val="000000"/>
                <w:sz w:val="18"/>
              </w:rPr>
              <w:t>Включени в резерва по справедлива стойност</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FVMAFS"/>
              <w:jc w:val="right"/>
              <w:rPr>
                <w:rFonts w:ascii="Verdana" w:eastAsia="Times New Roman" w:hAnsi="Verdana" w:cs="Verdana"/>
                <w:i/>
                <w:noProof/>
                <w:color w:val="000000"/>
                <w:sz w:val="18"/>
              </w:rPr>
            </w:pPr>
            <w:r>
              <w:rPr>
                <w:rFonts w:ascii="Verdana" w:hAnsi="Verdana"/>
                <w:i/>
                <w:noProof/>
                <w:color w:val="000000"/>
                <w:sz w:val="18"/>
              </w:rPr>
              <w:t xml:space="preserve"> 89</w:t>
            </w:r>
          </w:p>
        </w:tc>
        <w:tc>
          <w:tcPr>
            <w:tcW w:w="2324"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FVMAFS"/>
              <w:jc w:val="right"/>
              <w:rPr>
                <w:rFonts w:ascii="Verdana" w:eastAsia="Times New Roman" w:hAnsi="Verdana" w:cs="Verdana"/>
                <w:i/>
                <w:noProof/>
                <w:color w:val="000000"/>
                <w:sz w:val="18"/>
              </w:rPr>
            </w:pPr>
            <w:r>
              <w:rPr>
                <w:rFonts w:ascii="Verdana" w:hAnsi="Verdana"/>
                <w:i/>
                <w:noProof/>
                <w:color w:val="000000"/>
                <w:sz w:val="18"/>
              </w:rPr>
              <w:t xml:space="preserve"> 200</w:t>
            </w:r>
          </w:p>
        </w:tc>
      </w:tr>
      <w:tr>
        <w:trPr>
          <w:trHeight w:val="255"/>
        </w:trPr>
        <w:tc>
          <w:tcPr>
            <w:tcW w:w="5110"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9889BIPFVMAFS"/>
              <w:rPr>
                <w:rFonts w:ascii="Verdana" w:eastAsia="Times New Roman" w:hAnsi="Verdana" w:cs="Verdana"/>
                <w:i/>
                <w:noProof/>
                <w:color w:val="000000"/>
                <w:sz w:val="18"/>
              </w:rPr>
            </w:pPr>
            <w:r>
              <w:rPr>
                <w:rFonts w:ascii="Verdana" w:hAnsi="Verdana"/>
                <w:i/>
                <w:noProof/>
                <w:color w:val="000000"/>
                <w:sz w:val="18"/>
              </w:rPr>
              <w:t>Включени в отчета за финансовия резултат</w:t>
            </w:r>
          </w:p>
        </w:tc>
        <w:tc>
          <w:tcPr>
            <w:tcW w:w="2324"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9889BIPFVMAFS"/>
              <w:jc w:val="right"/>
              <w:rPr>
                <w:rFonts w:ascii="Verdana" w:eastAsia="Times New Roman" w:hAnsi="Verdana" w:cs="Verdana"/>
                <w:i/>
                <w:noProof/>
                <w:color w:val="000000"/>
                <w:sz w:val="18"/>
              </w:rPr>
            </w:pPr>
            <w:r>
              <w:rPr>
                <w:rFonts w:ascii="Verdana" w:hAnsi="Verdana"/>
                <w:i/>
                <w:noProof/>
                <w:color w:val="000000"/>
                <w:sz w:val="18"/>
              </w:rPr>
              <w:t xml:space="preserve"> 16</w:t>
            </w:r>
          </w:p>
        </w:tc>
        <w:tc>
          <w:tcPr>
            <w:tcW w:w="2324"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9889BIPFVMAFS"/>
              <w:jc w:val="right"/>
              <w:rPr>
                <w:rFonts w:ascii="Verdana" w:eastAsia="Times New Roman" w:hAnsi="Verdana" w:cs="Verdana"/>
                <w:i/>
                <w:noProof/>
                <w:color w:val="000000"/>
                <w:sz w:val="18"/>
              </w:rPr>
            </w:pPr>
            <w:r>
              <w:rPr>
                <w:rFonts w:ascii="Verdana" w:hAnsi="Verdana"/>
                <w:i/>
                <w:noProof/>
                <w:color w:val="000000"/>
                <w:sz w:val="18"/>
              </w:rPr>
              <w:t xml:space="preserve"> (40)</w:t>
            </w:r>
          </w:p>
        </w:tc>
      </w:tr>
      <w:tr>
        <w:trPr>
          <w:trHeight w:val="255"/>
        </w:trPr>
        <w:tc>
          <w:tcPr>
            <w:tcW w:w="5110"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889BIPFVMAFS"/>
              <w:rPr>
                <w:rFonts w:ascii="Verdana" w:eastAsia="Times New Roman" w:hAnsi="Verdana" w:cs="Verdana"/>
                <w:b/>
                <w:noProof/>
                <w:color w:val="000000"/>
                <w:sz w:val="18"/>
              </w:rPr>
            </w:pPr>
            <w:r>
              <w:rPr>
                <w:rFonts w:ascii="Verdana" w:hAnsi="Verdana"/>
                <w:b/>
                <w:noProof/>
                <w:color w:val="000000"/>
                <w:sz w:val="18"/>
              </w:rPr>
              <w:t>Общо</w:t>
            </w:r>
          </w:p>
        </w:tc>
        <w:tc>
          <w:tcPr>
            <w:tcW w:w="2324"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889BIPFVMAFS"/>
              <w:jc w:val="right"/>
              <w:rPr>
                <w:rFonts w:ascii="Verdana" w:eastAsia="Times New Roman" w:hAnsi="Verdana" w:cs="Verdana"/>
                <w:b/>
                <w:noProof/>
                <w:color w:val="000000"/>
                <w:sz w:val="18"/>
              </w:rPr>
            </w:pPr>
            <w:r>
              <w:rPr>
                <w:rFonts w:ascii="Verdana" w:hAnsi="Verdana"/>
                <w:b/>
                <w:noProof/>
                <w:color w:val="000000"/>
                <w:sz w:val="18"/>
              </w:rPr>
              <w:t xml:space="preserve"> 105</w:t>
            </w:r>
          </w:p>
        </w:tc>
        <w:tc>
          <w:tcPr>
            <w:tcW w:w="2324"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889BIPFVMAFS"/>
              <w:jc w:val="right"/>
              <w:rPr>
                <w:rFonts w:ascii="Verdana" w:eastAsia="Times New Roman" w:hAnsi="Verdana" w:cs="Verdana"/>
                <w:b/>
                <w:noProof/>
                <w:color w:val="000000"/>
                <w:sz w:val="18"/>
              </w:rPr>
            </w:pPr>
            <w:r>
              <w:rPr>
                <w:rFonts w:ascii="Verdana" w:hAnsi="Verdana"/>
                <w:b/>
                <w:noProof/>
                <w:color w:val="000000"/>
                <w:sz w:val="18"/>
              </w:rPr>
              <w:t xml:space="preserve"> 160</w:t>
            </w:r>
          </w:p>
        </w:tc>
      </w:tr>
    </w:tbl>
    <w:p>
      <w:pPr>
        <w:pStyle w:val="HEADER5"/>
        <w:rPr>
          <w:noProof/>
        </w:rPr>
      </w:pPr>
    </w:p>
    <w:p>
      <w:pPr>
        <w:pStyle w:val="HEADER3NOTES"/>
        <w:rPr>
          <w:noProof/>
        </w:rPr>
      </w:pPr>
      <w:r>
        <w:rPr>
          <w:noProof/>
        </w:rPr>
        <w:t>Резерв на Гаранционния фонд</w:t>
      </w:r>
    </w:p>
    <w:p>
      <w:pPr>
        <w:pStyle w:val="DGTextstand-alone"/>
      </w:pPr>
      <w:r>
        <w:t>Този резерв отразява целевата сума, възлизаща на 9 % от непогасените средства, гарантирани от бюджета на ЕС по линия на мандата на ЕИБ за външно кредитиране, която трябва да се държи като активи в Гаранционния фонд за външни дейности — вж. бележка </w:t>
      </w:r>
      <w:r>
        <w:rPr>
          <w:b/>
        </w:rPr>
        <w:t>2.4.1</w:t>
      </w:r>
      <w:r>
        <w:t>.</w:t>
      </w:r>
    </w:p>
    <w:p>
      <w:pPr>
        <w:pStyle w:val="HEADER3NOTES"/>
        <w:rPr>
          <w:noProof/>
        </w:rPr>
      </w:pPr>
      <w:r>
        <w:rPr>
          <w:noProof/>
        </w:rPr>
        <w:t>Други резерви</w:t>
      </w:r>
    </w:p>
    <w:p>
      <w:pPr>
        <w:pStyle w:val="DGTextstand-alone"/>
        <w:spacing w:after="0"/>
      </w:pPr>
      <w:r>
        <w:t>Сумата е свързана предимно с резервите на ЕОВС в ликвидация (1 275 милиона евро) за активите на Изследователския фонд за въглища и стомана, които резебяха създадени в контекста на приключването на дейността на ЕОВС в ликвидация.</w:t>
      </w:r>
    </w:p>
    <w:p>
      <w:pPr>
        <w:pStyle w:val="HEADER2NOTES"/>
        <w:rPr>
          <w:noProof/>
        </w:rPr>
      </w:pPr>
      <w:r>
        <w:rPr>
          <w:noProof/>
        </w:rPr>
        <w:t>СУМИ, КОИТО ТРЯБВА ДА БЪДАТ ПОИСКАНИ ОТ ДЪРЖАВИТЕ ЧЛЕНКИ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6"/>
        <w:gridCol w:w="3342"/>
      </w:tblGrid>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bottom"/>
          </w:tcPr>
          <w:p>
            <w:pPr>
              <w:pStyle w:val="DMETW19889BIPMEMST1"/>
              <w:jc w:val="right"/>
              <w:rPr>
                <w:rFonts w:ascii="Verdana" w:eastAsia="Times New Roman" w:hAnsi="Verdana" w:cs="Verdana"/>
                <w:i/>
                <w:noProof/>
                <w:color w:val="000000"/>
                <w:sz w:val="16"/>
              </w:rPr>
            </w:pPr>
            <w:bookmarkStart w:id="158" w:name="DOC_TBL00063_1_1"/>
            <w:bookmarkEnd w:id="158"/>
          </w:p>
        </w:tc>
        <w:tc>
          <w:tcPr>
            <w:tcW w:w="3342" w:type="dxa"/>
            <w:tcBorders>
              <w:top w:val="nil"/>
              <w:left w:val="nil"/>
              <w:bottom w:val="nil"/>
              <w:right w:val="nil"/>
            </w:tcBorders>
            <w:shd w:val="solid" w:color="FFFFFF" w:fill="FFFFFF"/>
            <w:tcMar>
              <w:top w:w="0" w:type="dxa"/>
              <w:left w:w="60" w:type="dxa"/>
              <w:bottom w:w="0" w:type="dxa"/>
              <w:right w:w="60" w:type="dxa"/>
            </w:tcMar>
            <w:vAlign w:val="bottom"/>
          </w:tcPr>
          <w:p>
            <w:pPr>
              <w:pStyle w:val="DMETW19889BIPMEMST1"/>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6416" w:type="dxa"/>
            <w:tcBorders>
              <w:top w:val="nil"/>
              <w:left w:val="nil"/>
              <w:bottom w:val="nil"/>
              <w:right w:val="nil"/>
            </w:tcBorders>
            <w:shd w:val="solid" w:color="016794" w:fill="FFFFFF"/>
            <w:tcMar>
              <w:top w:w="0" w:type="dxa"/>
              <w:left w:w="60" w:type="dxa"/>
              <w:bottom w:w="0" w:type="dxa"/>
              <w:right w:w="60" w:type="dxa"/>
            </w:tcMar>
            <w:vAlign w:val="center"/>
          </w:tcPr>
          <w:p>
            <w:pPr>
              <w:pStyle w:val="DMETW19889BIPMEMST1"/>
              <w:jc w:val="right"/>
              <w:rPr>
                <w:rFonts w:ascii="Verdana" w:eastAsia="Times New Roman" w:hAnsi="Verdana" w:cs="Verdana"/>
                <w:noProof/>
                <w:color w:val="FFFFFF"/>
              </w:rPr>
            </w:pPr>
          </w:p>
        </w:tc>
        <w:tc>
          <w:tcPr>
            <w:tcW w:w="3342" w:type="dxa"/>
            <w:tcBorders>
              <w:top w:val="nil"/>
              <w:left w:val="nil"/>
              <w:bottom w:val="nil"/>
              <w:right w:val="nil"/>
            </w:tcBorders>
            <w:shd w:val="solid" w:color="016794" w:fill="FFFFFF"/>
            <w:tcMar>
              <w:top w:w="0" w:type="dxa"/>
              <w:left w:w="60" w:type="dxa"/>
              <w:bottom w:w="0" w:type="dxa"/>
              <w:right w:w="60" w:type="dxa"/>
            </w:tcMar>
            <w:vAlign w:val="center"/>
          </w:tcPr>
          <w:p>
            <w:pPr>
              <w:pStyle w:val="DMETW19889BIPMEMST1"/>
              <w:jc w:val="right"/>
              <w:rPr>
                <w:rFonts w:ascii="Verdana" w:eastAsia="Times New Roman" w:hAnsi="Verdana" w:cs="Verdana"/>
                <w:noProof/>
                <w:color w:val="FFFFFF"/>
              </w:rPr>
            </w:pPr>
          </w:p>
        </w:tc>
      </w:tr>
      <w:tr>
        <w:trPr>
          <w:trHeight w:val="255"/>
        </w:trPr>
        <w:tc>
          <w:tcPr>
            <w:tcW w:w="6416" w:type="dxa"/>
            <w:tcBorders>
              <w:top w:val="nil"/>
              <w:left w:val="nil"/>
              <w:bottom w:val="nil"/>
              <w:right w:val="nil"/>
            </w:tcBorders>
            <w:shd w:val="solid" w:color="CCE1EA" w:fill="FFFFFF"/>
            <w:tcMar>
              <w:top w:w="0" w:type="dxa"/>
              <w:left w:w="60" w:type="dxa"/>
              <w:bottom w:w="0" w:type="dxa"/>
              <w:right w:w="60" w:type="dxa"/>
            </w:tcMar>
            <w:vAlign w:val="center"/>
          </w:tcPr>
          <w:p>
            <w:pPr>
              <w:pStyle w:val="DMETW19889BIPMEMST1"/>
              <w:rPr>
                <w:rFonts w:ascii="Verdana" w:eastAsia="Times New Roman" w:hAnsi="Verdana" w:cs="Verdana"/>
                <w:b/>
                <w:noProof/>
                <w:color w:val="000000"/>
                <w:sz w:val="18"/>
              </w:rPr>
            </w:pPr>
            <w:r>
              <w:rPr>
                <w:rFonts w:ascii="Verdana" w:hAnsi="Verdana"/>
                <w:b/>
                <w:noProof/>
                <w:color w:val="000000"/>
                <w:sz w:val="18"/>
              </w:rPr>
              <w:t>Суми, които трябва да бъдат поискани от държавите членки, към 31.12.2019 г.</w:t>
            </w:r>
          </w:p>
        </w:tc>
        <w:tc>
          <w:tcPr>
            <w:tcW w:w="3342" w:type="dxa"/>
            <w:tcBorders>
              <w:top w:val="nil"/>
              <w:left w:val="nil"/>
              <w:bottom w:val="nil"/>
              <w:right w:val="nil"/>
            </w:tcBorders>
            <w:shd w:val="solid" w:color="CCE1EA" w:fill="FFFFFF"/>
            <w:tcMar>
              <w:top w:w="0" w:type="dxa"/>
              <w:left w:w="60" w:type="dxa"/>
              <w:bottom w:w="0" w:type="dxa"/>
              <w:right w:w="60" w:type="dxa"/>
            </w:tcMar>
            <w:vAlign w:val="center"/>
          </w:tcPr>
          <w:p>
            <w:pPr>
              <w:pStyle w:val="DMETW19889BIPMEMST1"/>
              <w:jc w:val="right"/>
              <w:rPr>
                <w:rFonts w:ascii="Verdana" w:eastAsia="Times New Roman" w:hAnsi="Verdana" w:cs="Verdana"/>
                <w:b/>
                <w:noProof/>
                <w:color w:val="000000"/>
                <w:sz w:val="18"/>
              </w:rPr>
            </w:pPr>
            <w:r>
              <w:rPr>
                <w:rFonts w:ascii="Verdana" w:hAnsi="Verdana"/>
                <w:b/>
                <w:noProof/>
                <w:color w:val="000000"/>
                <w:sz w:val="18"/>
              </w:rPr>
              <w:t>77 560</w:t>
            </w:r>
          </w:p>
        </w:tc>
      </w:tr>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MEMST1"/>
              <w:rPr>
                <w:rFonts w:ascii="Verdana" w:eastAsia="Times New Roman" w:hAnsi="Verdana" w:cs="Verdana"/>
                <w:i/>
                <w:noProof/>
                <w:color w:val="000000"/>
                <w:sz w:val="18"/>
              </w:rPr>
            </w:pPr>
            <w:r>
              <w:rPr>
                <w:rFonts w:ascii="Verdana" w:hAnsi="Verdana"/>
                <w:i/>
                <w:noProof/>
                <w:color w:val="000000"/>
                <w:sz w:val="18"/>
              </w:rPr>
              <w:t>Връщане на бюджетния излишък на държавите членки</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MEMST1"/>
              <w:jc w:val="right"/>
              <w:rPr>
                <w:rFonts w:ascii="Verdana" w:eastAsia="Times New Roman" w:hAnsi="Verdana" w:cs="Verdana"/>
                <w:i/>
                <w:noProof/>
                <w:color w:val="000000"/>
                <w:sz w:val="18"/>
              </w:rPr>
            </w:pPr>
            <w:r>
              <w:rPr>
                <w:rFonts w:ascii="Verdana" w:hAnsi="Verdana"/>
                <w:i/>
                <w:noProof/>
                <w:color w:val="000000"/>
                <w:sz w:val="18"/>
              </w:rPr>
              <w:t>3 218</w:t>
            </w:r>
          </w:p>
        </w:tc>
      </w:tr>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MEMST1"/>
              <w:rPr>
                <w:rFonts w:ascii="Verdana" w:eastAsia="Times New Roman" w:hAnsi="Verdana" w:cs="Verdana"/>
                <w:i/>
                <w:noProof/>
                <w:color w:val="000000"/>
                <w:sz w:val="18"/>
              </w:rPr>
            </w:pPr>
            <w:r>
              <w:rPr>
                <w:rFonts w:ascii="Verdana" w:hAnsi="Verdana"/>
                <w:i/>
                <w:noProof/>
                <w:color w:val="000000"/>
                <w:sz w:val="18"/>
              </w:rPr>
              <w:t>Движение на резерва на Гаранционния фонд</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MEMST1"/>
              <w:jc w:val="right"/>
              <w:rPr>
                <w:rFonts w:ascii="Verdana" w:eastAsia="Times New Roman" w:hAnsi="Verdana" w:cs="Verdana"/>
                <w:i/>
                <w:noProof/>
                <w:color w:val="000000"/>
                <w:sz w:val="18"/>
              </w:rPr>
            </w:pPr>
            <w:r>
              <w:rPr>
                <w:rFonts w:ascii="Verdana" w:hAnsi="Verdana"/>
                <w:i/>
                <w:noProof/>
                <w:color w:val="000000"/>
                <w:sz w:val="18"/>
              </w:rPr>
              <w:t xml:space="preserve"> 173</w:t>
            </w:r>
          </w:p>
        </w:tc>
      </w:tr>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MEMST1"/>
              <w:rPr>
                <w:rFonts w:ascii="Verdana" w:eastAsia="Times New Roman" w:hAnsi="Verdana" w:cs="Verdana"/>
                <w:i/>
                <w:noProof/>
                <w:color w:val="000000"/>
                <w:sz w:val="18"/>
              </w:rPr>
            </w:pPr>
            <w:r>
              <w:rPr>
                <w:rFonts w:ascii="Verdana" w:hAnsi="Verdana"/>
                <w:i/>
                <w:noProof/>
                <w:color w:val="000000"/>
                <w:sz w:val="18"/>
              </w:rPr>
              <w:t>Преоценки на задълженията, свързани с доходите на наети лица</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MEMST1"/>
              <w:jc w:val="right"/>
              <w:rPr>
                <w:rFonts w:ascii="Verdana" w:eastAsia="Times New Roman" w:hAnsi="Verdana" w:cs="Verdana"/>
                <w:i/>
                <w:noProof/>
                <w:color w:val="000000"/>
                <w:sz w:val="18"/>
              </w:rPr>
            </w:pPr>
            <w:r>
              <w:rPr>
                <w:rFonts w:ascii="Verdana" w:hAnsi="Verdana"/>
                <w:i/>
                <w:noProof/>
                <w:color w:val="000000"/>
                <w:sz w:val="18"/>
              </w:rPr>
              <w:t>15 155</w:t>
            </w:r>
          </w:p>
        </w:tc>
      </w:tr>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MEMST1"/>
              <w:rPr>
                <w:rFonts w:ascii="Verdana" w:eastAsia="Times New Roman" w:hAnsi="Verdana" w:cs="Verdana"/>
                <w:i/>
                <w:noProof/>
                <w:color w:val="000000"/>
                <w:sz w:val="18"/>
              </w:rPr>
            </w:pPr>
            <w:r>
              <w:rPr>
                <w:rFonts w:ascii="Verdana" w:hAnsi="Verdana"/>
                <w:i/>
                <w:noProof/>
                <w:color w:val="000000"/>
                <w:sz w:val="18"/>
              </w:rPr>
              <w:t>Движения на други резерви</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MEMST1"/>
              <w:jc w:val="right"/>
              <w:rPr>
                <w:rFonts w:ascii="Verdana" w:eastAsia="Times New Roman" w:hAnsi="Verdana" w:cs="Verdana"/>
                <w:i/>
                <w:noProof/>
                <w:color w:val="000000"/>
                <w:sz w:val="18"/>
              </w:rPr>
            </w:pPr>
            <w:r>
              <w:rPr>
                <w:rFonts w:ascii="Verdana" w:hAnsi="Verdana"/>
                <w:i/>
                <w:noProof/>
                <w:color w:val="000000"/>
                <w:sz w:val="18"/>
              </w:rPr>
              <w:t xml:space="preserve"> (210)</w:t>
            </w:r>
          </w:p>
        </w:tc>
      </w:tr>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MEMST1"/>
              <w:rPr>
                <w:rFonts w:ascii="Verdana" w:eastAsia="Times New Roman" w:hAnsi="Verdana" w:cs="Verdana"/>
                <w:i/>
                <w:noProof/>
                <w:color w:val="000000"/>
                <w:sz w:val="18"/>
              </w:rPr>
            </w:pPr>
            <w:r>
              <w:rPr>
                <w:rFonts w:ascii="Verdana" w:hAnsi="Verdana"/>
                <w:i/>
                <w:noProof/>
                <w:color w:val="000000"/>
                <w:sz w:val="18"/>
              </w:rPr>
              <w:t>Финансов резултат за годината</w:t>
            </w:r>
          </w:p>
        </w:tc>
        <w:tc>
          <w:tcPr>
            <w:tcW w:w="3342" w:type="dxa"/>
            <w:tcBorders>
              <w:top w:val="nil"/>
              <w:left w:val="nil"/>
              <w:bottom w:val="nil"/>
              <w:right w:val="nil"/>
            </w:tcBorders>
            <w:shd w:val="solid" w:color="FFFFFF" w:fill="FFFFFF"/>
            <w:tcMar>
              <w:top w:w="0" w:type="dxa"/>
              <w:left w:w="60" w:type="dxa"/>
              <w:bottom w:w="0" w:type="dxa"/>
              <w:right w:w="60" w:type="dxa"/>
            </w:tcMar>
            <w:vAlign w:val="center"/>
          </w:tcPr>
          <w:p>
            <w:pPr>
              <w:pStyle w:val="DMETW19889BIPMEMST1"/>
              <w:jc w:val="right"/>
              <w:rPr>
                <w:rFonts w:ascii="Verdana" w:eastAsia="Times New Roman" w:hAnsi="Verdana" w:cs="Verdana"/>
                <w:i/>
                <w:noProof/>
                <w:color w:val="000000"/>
                <w:sz w:val="18"/>
              </w:rPr>
            </w:pPr>
            <w:r>
              <w:rPr>
                <w:rFonts w:ascii="Verdana" w:hAnsi="Verdana"/>
                <w:i/>
                <w:noProof/>
                <w:color w:val="000000"/>
                <w:sz w:val="18"/>
              </w:rPr>
              <w:t>(57 416)</w:t>
            </w:r>
          </w:p>
        </w:tc>
      </w:tr>
      <w:tr>
        <w:trPr>
          <w:trHeight w:val="255"/>
        </w:trPr>
        <w:tc>
          <w:tcPr>
            <w:tcW w:w="6416" w:type="dxa"/>
            <w:tcBorders>
              <w:top w:val="nil"/>
              <w:left w:val="nil"/>
              <w:bottom w:val="nil"/>
              <w:right w:val="nil"/>
            </w:tcBorders>
            <w:shd w:val="solid" w:color="CCE1EA" w:fill="FFFFFF"/>
            <w:tcMar>
              <w:top w:w="0" w:type="dxa"/>
              <w:left w:w="60" w:type="dxa"/>
              <w:bottom w:w="0" w:type="dxa"/>
              <w:right w:w="60" w:type="dxa"/>
            </w:tcMar>
            <w:vAlign w:val="center"/>
          </w:tcPr>
          <w:p>
            <w:pPr>
              <w:pStyle w:val="DMETW19889BIPMEMST1"/>
              <w:rPr>
                <w:rFonts w:ascii="Verdana" w:eastAsia="Times New Roman" w:hAnsi="Verdana" w:cs="Verdana"/>
                <w:b/>
                <w:noProof/>
                <w:color w:val="000000"/>
                <w:sz w:val="18"/>
              </w:rPr>
            </w:pPr>
            <w:r>
              <w:rPr>
                <w:rFonts w:ascii="Verdana" w:hAnsi="Verdana"/>
                <w:b/>
                <w:noProof/>
                <w:color w:val="000000"/>
                <w:sz w:val="18"/>
              </w:rPr>
              <w:t>Общ размер на сумите, които трябва да бъдат поискани от държавите членки, към 31.12.2020 г.</w:t>
            </w:r>
          </w:p>
        </w:tc>
        <w:tc>
          <w:tcPr>
            <w:tcW w:w="3342" w:type="dxa"/>
            <w:tcBorders>
              <w:top w:val="nil"/>
              <w:left w:val="nil"/>
              <w:bottom w:val="nil"/>
              <w:right w:val="nil"/>
            </w:tcBorders>
            <w:shd w:val="solid" w:color="CCE1EA" w:fill="FFFFFF"/>
            <w:tcMar>
              <w:top w:w="0" w:type="dxa"/>
              <w:left w:w="60" w:type="dxa"/>
              <w:bottom w:w="0" w:type="dxa"/>
              <w:right w:w="60" w:type="dxa"/>
            </w:tcMar>
            <w:vAlign w:val="center"/>
          </w:tcPr>
          <w:p>
            <w:pPr>
              <w:pStyle w:val="DMETW19889BIPMEMST1"/>
              <w:jc w:val="right"/>
              <w:rPr>
                <w:rFonts w:ascii="Verdana" w:eastAsia="Times New Roman" w:hAnsi="Verdana" w:cs="Verdana"/>
                <w:b/>
                <w:noProof/>
                <w:color w:val="000000"/>
                <w:sz w:val="18"/>
              </w:rPr>
            </w:pPr>
            <w:r>
              <w:rPr>
                <w:rFonts w:ascii="Verdana" w:hAnsi="Verdana"/>
                <w:b/>
                <w:noProof/>
                <w:color w:val="000000"/>
                <w:sz w:val="18"/>
              </w:rPr>
              <w:t>38 480</w:t>
            </w:r>
          </w:p>
        </w:tc>
      </w:tr>
    </w:tbl>
    <w:p>
      <w:pPr>
        <w:pStyle w:val="DGTextstand-alone"/>
        <w:spacing w:before="0" w:after="0"/>
      </w:pPr>
    </w:p>
    <w:p>
      <w:pPr>
        <w:pStyle w:val="DGTextstand-alone"/>
      </w:pPr>
      <w:r>
        <w:t>Тази сума представлява тази част от разходите, направени от ЕС до 31 декември, която трябва да бъде финансирана от бъдещи бюджети. Много разходи се признават по правилата за счетоводна отчетност на базата на текущо начисляване през годината N, въпреки че може в действителност да бъдат платени през годината N+1 (или по-късно) и поради това да бъдат финансирани от бюджета за годината N+1 (или по-късно). Включването на тези пасиви в отчетите, съчетано с факта, че съответните суми се финансират от бъдещи бюджети, води до това, че в края на годината пасивите значително надвишават активите. Най-значителните суми, които трябва да бъдат изтъкнати, се отнасят до дейностите по ЕФГЗ и задълженията, свързани с доходите на наети лица.</w:t>
      </w:r>
    </w:p>
    <w:p>
      <w:pPr>
        <w:pStyle w:val="DGTextstand-alone"/>
      </w:pPr>
      <w:r>
        <w:t>Следва също да се отбележи, че горното няма отражение върху бюджетния резултат — бюджетните приходи винаги трябва да са равни на бюджетните разходи или да ги превишават и всеки приходен излишък се връща на държавите членки.</w:t>
      </w:r>
    </w:p>
    <w:p>
      <w:pPr>
        <w:pStyle w:val="DGTextstand-alone"/>
        <w:spacing w:before="0" w:after="0"/>
      </w:pPr>
      <w:r>
        <w:t>Преоценките на задълженията, свързани с доходите на наети лица, са свързани с актюерските печалби и загуби, произтичащи от актюерската оценка на тези задължения.</w:t>
      </w:r>
    </w:p>
    <w:p>
      <w:pPr>
        <w:pStyle w:val="DGTextstand-alone"/>
        <w:spacing w:before="0" w:after="0"/>
      </w:pPr>
    </w:p>
    <w:p>
      <w:pPr>
        <w:pStyle w:val="DGTextstand-alone"/>
        <w:spacing w:before="0" w:after="0"/>
      </w:pPr>
      <w:r>
        <w:t>Значителното намаление на сумите, които трябва да бъдат поискани от държавите членки се дължи предимно на приходите, свързани с нетните суми, дължими от Обединеното кралство съгласно СО, подписано след излизането му от Съюза през 2020 г. — вж. бележка </w:t>
      </w:r>
      <w:r>
        <w:rPr>
          <w:b/>
        </w:rPr>
        <w:t>2.6.1.2</w:t>
      </w:r>
      <w:r>
        <w:t>.</w:t>
      </w:r>
    </w:p>
    <w:p>
      <w:pPr>
        <w:pStyle w:val="DGTextstand-alone"/>
        <w:spacing w:before="0" w:after="0"/>
        <w:sectPr>
          <w:headerReference w:type="even" r:id="rId212"/>
          <w:headerReference w:type="default" r:id="rId213"/>
          <w:footerReference w:type="even" r:id="rId214"/>
          <w:footerReference w:type="default" r:id="rId215"/>
          <w:headerReference w:type="first" r:id="rId216"/>
          <w:footerReference w:type="first" r:id="rId217"/>
          <w:pgSz w:w="11906" w:h="16838"/>
          <w:pgMar w:top="1134" w:right="1134" w:bottom="1134" w:left="1134" w:header="709" w:footer="709" w:gutter="0"/>
          <w:cols w:space="708"/>
          <w:docGrid w:linePitch="360"/>
        </w:sectPr>
      </w:pPr>
      <w:r>
        <w:t xml:space="preserve"> </w:t>
      </w:r>
      <w:bookmarkEnd w:id="155"/>
    </w:p>
    <w:p>
      <w:pPr>
        <w:pStyle w:val="HEADER1NOTES"/>
        <w:jc w:val="left"/>
        <w:rPr>
          <w:noProof/>
        </w:rPr>
        <w:sectPr>
          <w:headerReference w:type="even" r:id="rId218"/>
          <w:headerReference w:type="default" r:id="rId219"/>
          <w:footerReference w:type="even" r:id="rId220"/>
          <w:footerReference w:type="default" r:id="rId221"/>
          <w:headerReference w:type="first" r:id="rId222"/>
          <w:footerReference w:type="first" r:id="rId223"/>
          <w:pgSz w:w="11906" w:h="16838"/>
          <w:pgMar w:top="1134" w:right="1134" w:bottom="1134" w:left="1134" w:header="709" w:footer="709" w:gutter="0"/>
          <w:cols w:space="708"/>
          <w:docGrid w:linePitch="360"/>
        </w:sectPr>
      </w:pPr>
      <w:bookmarkStart w:id="159" w:name="_Toc75518110"/>
      <w:bookmarkStart w:id="160" w:name="_DMBM_19825"/>
      <w:r>
        <w:rPr>
          <w:noProof/>
        </w:rPr>
        <w:t>БЕЛЕЖКИ КЪМ ОТЧЕТА ЗА ФИНАНСОВИЯ РЕЗУЛТАТ</w:t>
      </w:r>
      <w:bookmarkEnd w:id="159"/>
      <w:r>
        <w:rPr>
          <w:noProof/>
        </w:rPr>
        <w:t xml:space="preserve"> </w:t>
      </w:r>
      <w:bookmarkEnd w:id="160"/>
    </w:p>
    <w:p>
      <w:pPr>
        <w:pStyle w:val="HEADERTABLE"/>
        <w:rPr>
          <w:noProof/>
        </w:rPr>
      </w:pPr>
      <w:bookmarkStart w:id="161" w:name="_DMBM_19842"/>
      <w:r>
        <w:rPr>
          <w:noProof/>
        </w:rPr>
        <w:t>ПРИХОДИ</w:t>
      </w:r>
    </w:p>
    <w:p>
      <w:pPr>
        <w:pStyle w:val="HEADERTABLE"/>
        <w:spacing w:after="0"/>
        <w:rPr>
          <w:noProof/>
        </w:rPr>
      </w:pPr>
      <w:r>
        <w:rPr>
          <w:noProof/>
        </w:rPr>
        <w:t>ПРИХОДИ ОТ ОПЕРАЦИИ БЕЗ РАЗМЯНА:             СОБСТВЕНИ РЕСУРСИ</w:t>
      </w:r>
    </w:p>
    <w:p>
      <w:pPr>
        <w:pStyle w:val="HEADER2NOTES"/>
        <w:rPr>
          <w:noProof/>
        </w:rPr>
      </w:pPr>
      <w:r>
        <w:rPr>
          <w:noProof/>
        </w:rPr>
        <w:t>РЕСУРСИ ОТ БНД</w:t>
      </w:r>
    </w:p>
    <w:p>
      <w:pPr>
        <w:pStyle w:val="DGTextstand-alone"/>
        <w:spacing w:after="0"/>
      </w:pPr>
      <w:r>
        <w:t>Приходите от собствени ресурси са основният елемент на оперативните приходи на ЕС. Приходите от БНД (брутен национален доход) възлизат на 125 393 милиона евро за 2020 г. (2019 г.: 108</w:t>
      </w:r>
      <w:r>
        <w:rPr>
          <w:lang w:val="en-GB"/>
        </w:rPr>
        <w:t> </w:t>
      </w:r>
      <w:r>
        <w:t>820 милиона евро) и са най-съществената от трите категории собствени ресурси. Спрямо БНД на всяка държава членка се прилага единен процент. Приходите от БНД балансират приходите и разходите, т.е. финансират частта от бюджета, която не е покрита от други източници на приходи. Увеличението на приходите от БНД отразява нарасналите нужди от бюджетни кредити за плащания за 2020 г., чрез които да се укрепят ключовите политики на ЕС. През 2020 г. тези ключови политики включваха стратегията за ваксини срещу COVID-19 (чрез Инструмента за спешна подкрепа — ИСП) и Инвестиционната инициатива в отговор на коронавируса — плюс (CRII+).</w:t>
      </w:r>
    </w:p>
    <w:p>
      <w:pPr>
        <w:pStyle w:val="HEADER2NOTES"/>
        <w:rPr>
          <w:noProof/>
        </w:rPr>
      </w:pPr>
      <w:r>
        <w:rPr>
          <w:noProof/>
        </w:rPr>
        <w:t>ТРАДИЦИОННИ СОБСТВЕНИ РЕСУРСИ</w:t>
      </w:r>
    </w:p>
    <w:p>
      <w:pPr>
        <w:pStyle w:val="DGTextstand-alone"/>
        <w:spacing w:after="0"/>
      </w:pPr>
      <w:r>
        <w:t>Традиционните собствени ресурси са свързани главно с мита, като държавите членки задържат 20</w:t>
      </w:r>
      <w:r>
        <w:rPr>
          <w:lang w:val="en-GB"/>
        </w:rPr>
        <w:t> </w:t>
      </w:r>
      <w:r>
        <w:t>% от сумите като разходи по събирането, поради което посочените по-горе стойности не включват това приспадане. Намаляването на митата се дължи предимно на по-ниските събирания поради икономическата криза.</w:t>
      </w:r>
    </w:p>
    <w:p>
      <w:pPr>
        <w:pStyle w:val="HEADER2NOTES"/>
        <w:rPr>
          <w:noProof/>
        </w:rPr>
      </w:pPr>
      <w:r>
        <w:rPr>
          <w:noProof/>
        </w:rPr>
        <w:t>РЕСУРСИ ОТ ДДС</w:t>
      </w:r>
    </w:p>
    <w:p>
      <w:pPr>
        <w:pStyle w:val="DGTextstand-alone"/>
        <w:spacing w:after="0"/>
      </w:pPr>
      <w:r>
        <w:t>Ресурсът от ДДС бе първият, който бе хармонизиран до голяма степен на равнището на ЕС. Вноската ДДС се изчислява чрез прилагане на унифицирана изискуема ставка от 0,3 % към националната база за ДДС, която не може да надвишава 50 % от брутния национален доход (БНД) на всяка държава членка. За периода 2014—2020 г. в Решение 2014/335/ЕС, Евратом на Съвета се предвижда намалена изискуема ставка (0,15 %) за Германия, Нидерландия и Швеция.</w:t>
      </w:r>
    </w:p>
    <w:p>
      <w:pPr>
        <w:pStyle w:val="HEADERTABLE"/>
        <w:spacing w:before="360" w:after="360"/>
        <w:rPr>
          <w:noProof/>
        </w:rPr>
      </w:pPr>
      <w:r>
        <w:rPr>
          <w:noProof/>
        </w:rPr>
        <w:t>ПРИХОДИ ОТ ОПЕРАЦИИ БЕЗ РАЗМЯНА: ТРАНСФЕРИ</w:t>
      </w:r>
    </w:p>
    <w:p>
      <w:pPr>
        <w:pStyle w:val="HEADER2NOTES"/>
        <w:rPr>
          <w:noProof/>
        </w:rPr>
      </w:pPr>
      <w:r>
        <w:rPr>
          <w:noProof/>
        </w:rPr>
        <w:t>ГЛОБИ</w:t>
      </w:r>
    </w:p>
    <w:p>
      <w:pPr>
        <w:pStyle w:val="DGTextstand-alone"/>
        <w:spacing w:after="0"/>
      </w:pPr>
      <w:r>
        <w:t xml:space="preserve">Приходи в размер на 452 милиона евро (2019 г.: 4 291 милиона евро) са свързани с глобите, наложени от Комисията на предприятия за нарушения на правилата за конкуренция на ЕС, и глобите, наложени от Комисията на държавите членки за нарушения на правото на ЕС. Комисията признава приходите от глоби, когато приеме решението за налагане на глоба и официално уведоми адресата за него. Сумите са свързани предимно с глоби в областта на конкуренцията (370 милиона евро). Най-съществените случаи се отнасят до нарушения на антитръстовите правила на ЕС — глоба на обща стойност 260 милиона евро, наложена на предприятията Orbia, Clariant и Celanese за участие в картел за покупки на пазара на етилен, както и глоба в размер на 60 милиона евро, наложена на фармацевтичните предприятия Teva и Cephalon за договаряне да се забави навлизането на пазара на по-евтина генерична версия на лекарството на Cephalon за нарушения на съня. </w:t>
      </w:r>
    </w:p>
    <w:p>
      <w:pPr>
        <w:pStyle w:val="HEADER2NOTES"/>
        <w:spacing w:before="0"/>
        <w:rPr>
          <w:noProof/>
        </w:rPr>
      </w:pPr>
      <w:r>
        <w:rPr>
          <w:noProof/>
        </w:rPr>
        <w:br w:type="page"/>
        <w:t>СЪБИРАНЕ НА РАЗХОДИ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6"/>
        <w:gridCol w:w="1778"/>
        <w:gridCol w:w="2074"/>
      </w:tblGrid>
      <w:tr>
        <w:trPr>
          <w:trHeight w:val="255"/>
        </w:trPr>
        <w:tc>
          <w:tcPr>
            <w:tcW w:w="5906" w:type="dxa"/>
            <w:tcBorders>
              <w:top w:val="nil"/>
              <w:left w:val="nil"/>
              <w:bottom w:val="nil"/>
              <w:right w:val="nil"/>
            </w:tcBorders>
            <w:tcMar>
              <w:top w:w="0" w:type="dxa"/>
              <w:left w:w="60" w:type="dxa"/>
              <w:bottom w:w="0" w:type="dxa"/>
              <w:right w:w="60" w:type="dxa"/>
            </w:tcMar>
            <w:vAlign w:val="bottom"/>
          </w:tcPr>
          <w:p>
            <w:pPr>
              <w:pStyle w:val="DMETW19891BIPRECOVEXP"/>
              <w:rPr>
                <w:rFonts w:ascii="Arial" w:eastAsia="Times New Roman" w:hAnsi="Arial" w:cs="Arial"/>
                <w:noProof/>
                <w:color w:val="000000"/>
              </w:rPr>
            </w:pPr>
            <w:bookmarkStart w:id="162" w:name="DOC_TBL00064_1_1"/>
            <w:bookmarkEnd w:id="162"/>
          </w:p>
        </w:tc>
        <w:tc>
          <w:tcPr>
            <w:tcW w:w="1778" w:type="dxa"/>
            <w:tcBorders>
              <w:top w:val="nil"/>
              <w:left w:val="nil"/>
              <w:bottom w:val="nil"/>
              <w:right w:val="nil"/>
            </w:tcBorders>
            <w:tcMar>
              <w:top w:w="0" w:type="dxa"/>
              <w:left w:w="60" w:type="dxa"/>
              <w:bottom w:w="0" w:type="dxa"/>
              <w:right w:w="60" w:type="dxa"/>
            </w:tcMar>
            <w:vAlign w:val="bottom"/>
          </w:tcPr>
          <w:p>
            <w:pPr>
              <w:pStyle w:val="DMETW19891BIPRECOVEXP"/>
              <w:rPr>
                <w:rFonts w:ascii="Arial" w:eastAsia="Times New Roman" w:hAnsi="Arial" w:cs="Arial"/>
                <w:noProof/>
                <w:color w:val="000000"/>
              </w:rPr>
            </w:pPr>
          </w:p>
        </w:tc>
        <w:tc>
          <w:tcPr>
            <w:tcW w:w="2074" w:type="dxa"/>
            <w:tcBorders>
              <w:top w:val="nil"/>
              <w:left w:val="nil"/>
              <w:bottom w:val="nil"/>
              <w:right w:val="nil"/>
            </w:tcBorders>
            <w:tcMar>
              <w:top w:w="0" w:type="dxa"/>
              <w:left w:w="60" w:type="dxa"/>
              <w:bottom w:w="0" w:type="dxa"/>
              <w:right w:w="60" w:type="dxa"/>
            </w:tcMar>
            <w:vAlign w:val="bottom"/>
          </w:tcPr>
          <w:p>
            <w:pPr>
              <w:pStyle w:val="DMETW19891BIPRECOVEXP"/>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5906" w:type="dxa"/>
            <w:tcBorders>
              <w:top w:val="nil"/>
              <w:left w:val="nil"/>
              <w:bottom w:val="nil"/>
              <w:right w:val="nil"/>
            </w:tcBorders>
            <w:shd w:val="solid" w:color="016794" w:fill="FFFFFF"/>
            <w:tcMar>
              <w:top w:w="0" w:type="dxa"/>
              <w:left w:w="60" w:type="dxa"/>
              <w:bottom w:w="0" w:type="dxa"/>
              <w:right w:w="60" w:type="dxa"/>
            </w:tcMar>
            <w:vAlign w:val="center"/>
          </w:tcPr>
          <w:p>
            <w:pPr>
              <w:pStyle w:val="DMETW19891BIPRECOVEXP"/>
              <w:jc w:val="right"/>
              <w:rPr>
                <w:rFonts w:ascii="Verdana" w:eastAsia="Times New Roman" w:hAnsi="Verdana" w:cs="Verdana"/>
                <w:noProof/>
                <w:color w:val="FFFFFF"/>
              </w:rPr>
            </w:pPr>
          </w:p>
        </w:tc>
        <w:tc>
          <w:tcPr>
            <w:tcW w:w="1778" w:type="dxa"/>
            <w:tcBorders>
              <w:top w:val="nil"/>
              <w:left w:val="nil"/>
              <w:bottom w:val="nil"/>
              <w:right w:val="nil"/>
            </w:tcBorders>
            <w:shd w:val="solid" w:color="016794" w:fill="FFFFFF"/>
            <w:tcMar>
              <w:top w:w="0" w:type="dxa"/>
              <w:left w:w="60" w:type="dxa"/>
              <w:bottom w:w="0" w:type="dxa"/>
              <w:right w:w="60" w:type="dxa"/>
            </w:tcMar>
            <w:vAlign w:val="center"/>
          </w:tcPr>
          <w:p>
            <w:pPr>
              <w:pStyle w:val="DMETW19891BIPRECOVEXP"/>
              <w:jc w:val="right"/>
              <w:rPr>
                <w:rFonts w:ascii="Verdana" w:eastAsia="Times New Roman" w:hAnsi="Verdana" w:cs="Verdana"/>
                <w:noProof/>
                <w:color w:val="FFFFFF"/>
              </w:rPr>
            </w:pPr>
            <w:r>
              <w:rPr>
                <w:rFonts w:ascii="Verdana" w:hAnsi="Verdana"/>
                <w:noProof/>
                <w:color w:val="FFFFFF"/>
              </w:rPr>
              <w:t>2020 г.</w:t>
            </w:r>
          </w:p>
        </w:tc>
        <w:tc>
          <w:tcPr>
            <w:tcW w:w="2074" w:type="dxa"/>
            <w:tcBorders>
              <w:top w:val="nil"/>
              <w:left w:val="nil"/>
              <w:bottom w:val="nil"/>
              <w:right w:val="nil"/>
            </w:tcBorders>
            <w:shd w:val="solid" w:color="016794" w:fill="FFFFFF"/>
            <w:tcMar>
              <w:top w:w="0" w:type="dxa"/>
              <w:left w:w="60" w:type="dxa"/>
              <w:bottom w:w="0" w:type="dxa"/>
              <w:right w:w="60" w:type="dxa"/>
            </w:tcMar>
            <w:vAlign w:val="center"/>
          </w:tcPr>
          <w:p>
            <w:pPr>
              <w:pStyle w:val="DMETW19891BIPRECOVEXP"/>
              <w:jc w:val="right"/>
              <w:rPr>
                <w:rFonts w:ascii="Verdana" w:eastAsia="Times New Roman" w:hAnsi="Verdana" w:cs="Verdana"/>
                <w:noProof/>
                <w:color w:val="FFFFFF"/>
              </w:rPr>
            </w:pPr>
            <w:r>
              <w:rPr>
                <w:rFonts w:ascii="Verdana" w:hAnsi="Verdana"/>
                <w:noProof/>
                <w:color w:val="FFFFFF"/>
              </w:rPr>
              <w:t>2019 г.</w:t>
            </w:r>
          </w:p>
        </w:tc>
      </w:tr>
      <w:tr>
        <w:trPr>
          <w:trHeight w:val="255"/>
        </w:trPr>
        <w:tc>
          <w:tcPr>
            <w:tcW w:w="5906" w:type="dxa"/>
            <w:tcBorders>
              <w:top w:val="nil"/>
              <w:left w:val="nil"/>
              <w:bottom w:val="nil"/>
              <w:right w:val="nil"/>
            </w:tcBorders>
            <w:tcMar>
              <w:top w:w="0" w:type="dxa"/>
              <w:left w:w="60" w:type="dxa"/>
              <w:bottom w:w="0" w:type="dxa"/>
              <w:right w:w="60" w:type="dxa"/>
            </w:tcMar>
            <w:vAlign w:val="center"/>
          </w:tcPr>
          <w:p>
            <w:pPr>
              <w:pStyle w:val="DMETW19891BIPRECOVEXP"/>
              <w:rPr>
                <w:rFonts w:ascii="Verdana" w:eastAsia="Times New Roman" w:hAnsi="Verdana" w:cs="Verdana"/>
                <w:i/>
                <w:noProof/>
                <w:color w:val="000000"/>
                <w:sz w:val="18"/>
              </w:rPr>
            </w:pPr>
            <w:r>
              <w:rPr>
                <w:rFonts w:ascii="Verdana" w:hAnsi="Verdana"/>
                <w:i/>
                <w:noProof/>
                <w:color w:val="000000"/>
                <w:sz w:val="18"/>
              </w:rPr>
              <w:t>Споделено управление</w:t>
            </w:r>
          </w:p>
        </w:tc>
        <w:tc>
          <w:tcPr>
            <w:tcW w:w="1778" w:type="dxa"/>
            <w:tcBorders>
              <w:top w:val="nil"/>
              <w:left w:val="nil"/>
              <w:bottom w:val="nil"/>
              <w:right w:val="nil"/>
            </w:tcBorders>
            <w:tcMar>
              <w:top w:w="0" w:type="dxa"/>
              <w:left w:w="60" w:type="dxa"/>
              <w:bottom w:w="0" w:type="dxa"/>
              <w:right w:w="60" w:type="dxa"/>
            </w:tcMar>
            <w:vAlign w:val="center"/>
          </w:tcPr>
          <w:p>
            <w:pPr>
              <w:pStyle w:val="DMETW19891BIPRECOVEXP"/>
              <w:jc w:val="right"/>
              <w:rPr>
                <w:rFonts w:ascii="Verdana" w:eastAsia="Times New Roman" w:hAnsi="Verdana" w:cs="Verdana"/>
                <w:i/>
                <w:noProof/>
                <w:color w:val="000000"/>
                <w:sz w:val="18"/>
              </w:rPr>
            </w:pPr>
            <w:r>
              <w:rPr>
                <w:rFonts w:ascii="Verdana" w:hAnsi="Verdana"/>
                <w:i/>
                <w:noProof/>
                <w:color w:val="000000"/>
                <w:sz w:val="18"/>
              </w:rPr>
              <w:t>1 281</w:t>
            </w:r>
          </w:p>
        </w:tc>
        <w:tc>
          <w:tcPr>
            <w:tcW w:w="2074" w:type="dxa"/>
            <w:tcBorders>
              <w:top w:val="nil"/>
              <w:left w:val="nil"/>
              <w:bottom w:val="nil"/>
              <w:right w:val="nil"/>
            </w:tcBorders>
            <w:tcMar>
              <w:top w:w="0" w:type="dxa"/>
              <w:left w:w="60" w:type="dxa"/>
              <w:bottom w:w="0" w:type="dxa"/>
              <w:right w:w="60" w:type="dxa"/>
            </w:tcMar>
            <w:vAlign w:val="center"/>
          </w:tcPr>
          <w:p>
            <w:pPr>
              <w:pStyle w:val="DMETW19891BIPRECOVEXP"/>
              <w:jc w:val="right"/>
              <w:rPr>
                <w:rFonts w:ascii="Verdana" w:eastAsia="Times New Roman" w:hAnsi="Verdana" w:cs="Verdana"/>
                <w:i/>
                <w:noProof/>
                <w:color w:val="000000"/>
                <w:sz w:val="18"/>
              </w:rPr>
            </w:pPr>
            <w:r>
              <w:rPr>
                <w:rFonts w:ascii="Verdana" w:hAnsi="Verdana"/>
                <w:i/>
                <w:noProof/>
                <w:color w:val="000000"/>
                <w:sz w:val="18"/>
              </w:rPr>
              <w:t>2 547</w:t>
            </w:r>
          </w:p>
        </w:tc>
      </w:tr>
      <w:tr>
        <w:trPr>
          <w:trHeight w:val="255"/>
        </w:trPr>
        <w:tc>
          <w:tcPr>
            <w:tcW w:w="5906" w:type="dxa"/>
            <w:tcBorders>
              <w:top w:val="nil"/>
              <w:left w:val="nil"/>
              <w:bottom w:val="nil"/>
              <w:right w:val="nil"/>
            </w:tcBorders>
            <w:tcMar>
              <w:top w:w="0" w:type="dxa"/>
              <w:left w:w="60" w:type="dxa"/>
              <w:bottom w:w="0" w:type="dxa"/>
              <w:right w:w="60" w:type="dxa"/>
            </w:tcMar>
            <w:vAlign w:val="center"/>
          </w:tcPr>
          <w:p>
            <w:pPr>
              <w:pStyle w:val="DMETW19891BIPRECOVEXP"/>
              <w:rPr>
                <w:rFonts w:ascii="Verdana" w:eastAsia="Times New Roman" w:hAnsi="Verdana" w:cs="Verdana"/>
                <w:i/>
                <w:noProof/>
                <w:color w:val="000000"/>
                <w:sz w:val="18"/>
              </w:rPr>
            </w:pPr>
            <w:r>
              <w:rPr>
                <w:rFonts w:ascii="Verdana" w:hAnsi="Verdana"/>
                <w:i/>
                <w:noProof/>
                <w:color w:val="000000"/>
                <w:sz w:val="18"/>
              </w:rPr>
              <w:t>Пряко управление</w:t>
            </w:r>
          </w:p>
        </w:tc>
        <w:tc>
          <w:tcPr>
            <w:tcW w:w="1778" w:type="dxa"/>
            <w:tcBorders>
              <w:top w:val="nil"/>
              <w:left w:val="nil"/>
              <w:bottom w:val="nil"/>
              <w:right w:val="nil"/>
            </w:tcBorders>
            <w:tcMar>
              <w:top w:w="0" w:type="dxa"/>
              <w:left w:w="60" w:type="dxa"/>
              <w:bottom w:w="0" w:type="dxa"/>
              <w:right w:w="60" w:type="dxa"/>
            </w:tcMar>
            <w:vAlign w:val="center"/>
          </w:tcPr>
          <w:p>
            <w:pPr>
              <w:pStyle w:val="DMETW19891BIPRECOVEXP"/>
              <w:jc w:val="right"/>
              <w:rPr>
                <w:rFonts w:ascii="Verdana" w:eastAsia="Times New Roman" w:hAnsi="Verdana" w:cs="Verdana"/>
                <w:i/>
                <w:noProof/>
                <w:color w:val="000000"/>
                <w:sz w:val="18"/>
              </w:rPr>
            </w:pPr>
            <w:r>
              <w:rPr>
                <w:rFonts w:ascii="Verdana" w:hAnsi="Verdana"/>
                <w:i/>
                <w:noProof/>
                <w:color w:val="000000"/>
                <w:sz w:val="18"/>
              </w:rPr>
              <w:t xml:space="preserve"> 53</w:t>
            </w:r>
          </w:p>
        </w:tc>
        <w:tc>
          <w:tcPr>
            <w:tcW w:w="2074" w:type="dxa"/>
            <w:tcBorders>
              <w:top w:val="nil"/>
              <w:left w:val="nil"/>
              <w:bottom w:val="nil"/>
              <w:right w:val="nil"/>
            </w:tcBorders>
            <w:tcMar>
              <w:top w:w="0" w:type="dxa"/>
              <w:left w:w="60" w:type="dxa"/>
              <w:bottom w:w="0" w:type="dxa"/>
              <w:right w:w="60" w:type="dxa"/>
            </w:tcMar>
            <w:vAlign w:val="center"/>
          </w:tcPr>
          <w:p>
            <w:pPr>
              <w:pStyle w:val="DMETW19891BIPRECOVEXP"/>
              <w:jc w:val="right"/>
              <w:rPr>
                <w:rFonts w:ascii="Verdana" w:eastAsia="Times New Roman" w:hAnsi="Verdana" w:cs="Verdana"/>
                <w:i/>
                <w:noProof/>
                <w:color w:val="000000"/>
                <w:sz w:val="18"/>
              </w:rPr>
            </w:pPr>
            <w:r>
              <w:rPr>
                <w:rFonts w:ascii="Verdana" w:hAnsi="Verdana"/>
                <w:i/>
                <w:noProof/>
                <w:color w:val="000000"/>
                <w:sz w:val="18"/>
              </w:rPr>
              <w:t xml:space="preserve"> 65</w:t>
            </w:r>
          </w:p>
        </w:tc>
      </w:tr>
      <w:tr>
        <w:trPr>
          <w:trHeight w:val="255"/>
        </w:trPr>
        <w:tc>
          <w:tcPr>
            <w:tcW w:w="5906" w:type="dxa"/>
            <w:tcBorders>
              <w:top w:val="nil"/>
              <w:left w:val="nil"/>
              <w:bottom w:val="nil"/>
              <w:right w:val="nil"/>
            </w:tcBorders>
            <w:tcMar>
              <w:top w:w="0" w:type="dxa"/>
              <w:left w:w="60" w:type="dxa"/>
              <w:bottom w:w="0" w:type="dxa"/>
              <w:right w:w="60" w:type="dxa"/>
            </w:tcMar>
            <w:vAlign w:val="center"/>
          </w:tcPr>
          <w:p>
            <w:pPr>
              <w:pStyle w:val="DMETW19891BIPRECOVEXP"/>
              <w:rPr>
                <w:rFonts w:ascii="Verdana" w:eastAsia="Times New Roman" w:hAnsi="Verdana" w:cs="Verdana"/>
                <w:i/>
                <w:noProof/>
                <w:color w:val="000000"/>
                <w:sz w:val="18"/>
              </w:rPr>
            </w:pPr>
            <w:r>
              <w:rPr>
                <w:rFonts w:ascii="Verdana" w:hAnsi="Verdana"/>
                <w:i/>
                <w:noProof/>
                <w:color w:val="000000"/>
                <w:sz w:val="18"/>
              </w:rPr>
              <w:t>Непряко управление</w:t>
            </w:r>
          </w:p>
        </w:tc>
        <w:tc>
          <w:tcPr>
            <w:tcW w:w="1778" w:type="dxa"/>
            <w:tcBorders>
              <w:top w:val="nil"/>
              <w:left w:val="nil"/>
              <w:bottom w:val="nil"/>
              <w:right w:val="nil"/>
            </w:tcBorders>
            <w:tcMar>
              <w:top w:w="0" w:type="dxa"/>
              <w:left w:w="60" w:type="dxa"/>
              <w:bottom w:w="0" w:type="dxa"/>
              <w:right w:w="60" w:type="dxa"/>
            </w:tcMar>
            <w:vAlign w:val="center"/>
          </w:tcPr>
          <w:p>
            <w:pPr>
              <w:pStyle w:val="DMETW19891BIPRECOVEXP"/>
              <w:jc w:val="right"/>
              <w:rPr>
                <w:rFonts w:ascii="Verdana" w:eastAsia="Times New Roman" w:hAnsi="Verdana" w:cs="Verdana"/>
                <w:i/>
                <w:noProof/>
                <w:color w:val="000000"/>
                <w:sz w:val="18"/>
              </w:rPr>
            </w:pPr>
            <w:r>
              <w:rPr>
                <w:rFonts w:ascii="Verdana" w:hAnsi="Verdana"/>
                <w:i/>
                <w:noProof/>
                <w:color w:val="000000"/>
                <w:sz w:val="18"/>
              </w:rPr>
              <w:t xml:space="preserve"> 21</w:t>
            </w:r>
          </w:p>
        </w:tc>
        <w:tc>
          <w:tcPr>
            <w:tcW w:w="2074" w:type="dxa"/>
            <w:tcBorders>
              <w:top w:val="nil"/>
              <w:left w:val="nil"/>
              <w:bottom w:val="nil"/>
              <w:right w:val="nil"/>
            </w:tcBorders>
            <w:tcMar>
              <w:top w:w="0" w:type="dxa"/>
              <w:left w:w="60" w:type="dxa"/>
              <w:bottom w:w="0" w:type="dxa"/>
              <w:right w:w="60" w:type="dxa"/>
            </w:tcMar>
            <w:vAlign w:val="center"/>
          </w:tcPr>
          <w:p>
            <w:pPr>
              <w:pStyle w:val="DMETW19891BIPRECOVEXP"/>
              <w:jc w:val="right"/>
              <w:rPr>
                <w:rFonts w:ascii="Verdana" w:eastAsia="Times New Roman" w:hAnsi="Verdana" w:cs="Verdana"/>
                <w:i/>
                <w:noProof/>
                <w:color w:val="000000"/>
                <w:sz w:val="18"/>
              </w:rPr>
            </w:pPr>
            <w:r>
              <w:rPr>
                <w:rFonts w:ascii="Verdana" w:hAnsi="Verdana"/>
                <w:i/>
                <w:noProof/>
                <w:color w:val="000000"/>
                <w:sz w:val="18"/>
              </w:rPr>
              <w:t xml:space="preserve"> 16</w:t>
            </w:r>
          </w:p>
        </w:tc>
      </w:tr>
      <w:tr>
        <w:trPr>
          <w:trHeight w:val="255"/>
        </w:trPr>
        <w:tc>
          <w:tcPr>
            <w:tcW w:w="5906" w:type="dxa"/>
            <w:tcBorders>
              <w:top w:val="nil"/>
              <w:left w:val="nil"/>
              <w:bottom w:val="nil"/>
              <w:right w:val="nil"/>
            </w:tcBorders>
            <w:shd w:val="solid" w:color="CCE1EA" w:fill="FFFFFF"/>
            <w:tcMar>
              <w:top w:w="0" w:type="dxa"/>
              <w:left w:w="60" w:type="dxa"/>
              <w:bottom w:w="0" w:type="dxa"/>
              <w:right w:w="60" w:type="dxa"/>
            </w:tcMar>
            <w:vAlign w:val="center"/>
          </w:tcPr>
          <w:p>
            <w:pPr>
              <w:pStyle w:val="DMETW19891BIPRECOVEXP"/>
              <w:rPr>
                <w:rFonts w:ascii="Verdana" w:eastAsia="Times New Roman" w:hAnsi="Verdana" w:cs="Verdana"/>
                <w:b/>
                <w:noProof/>
                <w:color w:val="000000"/>
                <w:sz w:val="18"/>
              </w:rPr>
            </w:pPr>
            <w:r>
              <w:rPr>
                <w:rFonts w:ascii="Verdana" w:hAnsi="Verdana"/>
                <w:b/>
                <w:noProof/>
                <w:color w:val="000000"/>
                <w:sz w:val="18"/>
              </w:rPr>
              <w:t>Общо</w:t>
            </w:r>
          </w:p>
        </w:tc>
        <w:tc>
          <w:tcPr>
            <w:tcW w:w="1778" w:type="dxa"/>
            <w:tcBorders>
              <w:top w:val="nil"/>
              <w:left w:val="nil"/>
              <w:bottom w:val="nil"/>
              <w:right w:val="nil"/>
            </w:tcBorders>
            <w:shd w:val="solid" w:color="CCE1EA" w:fill="FFFFFF"/>
            <w:tcMar>
              <w:top w:w="0" w:type="dxa"/>
              <w:left w:w="60" w:type="dxa"/>
              <w:bottom w:w="0" w:type="dxa"/>
              <w:right w:w="60" w:type="dxa"/>
            </w:tcMar>
            <w:vAlign w:val="center"/>
          </w:tcPr>
          <w:p>
            <w:pPr>
              <w:pStyle w:val="DMETW19891BIPRECOVEXP"/>
              <w:jc w:val="right"/>
              <w:rPr>
                <w:rFonts w:ascii="Verdana" w:eastAsia="Times New Roman" w:hAnsi="Verdana" w:cs="Verdana"/>
                <w:b/>
                <w:noProof/>
                <w:color w:val="000000"/>
                <w:sz w:val="18"/>
              </w:rPr>
            </w:pPr>
            <w:r>
              <w:rPr>
                <w:rFonts w:ascii="Verdana" w:hAnsi="Verdana"/>
                <w:b/>
                <w:noProof/>
                <w:color w:val="000000"/>
                <w:sz w:val="18"/>
              </w:rPr>
              <w:t>1 355</w:t>
            </w:r>
          </w:p>
        </w:tc>
        <w:tc>
          <w:tcPr>
            <w:tcW w:w="2074" w:type="dxa"/>
            <w:tcBorders>
              <w:top w:val="nil"/>
              <w:left w:val="nil"/>
              <w:bottom w:val="nil"/>
              <w:right w:val="nil"/>
            </w:tcBorders>
            <w:shd w:val="solid" w:color="CCE1EA" w:fill="FFFFFF"/>
            <w:tcMar>
              <w:top w:w="0" w:type="dxa"/>
              <w:left w:w="60" w:type="dxa"/>
              <w:bottom w:w="0" w:type="dxa"/>
              <w:right w:w="60" w:type="dxa"/>
            </w:tcMar>
            <w:vAlign w:val="center"/>
          </w:tcPr>
          <w:p>
            <w:pPr>
              <w:pStyle w:val="DMETW19891BIPRECOVEXP"/>
              <w:jc w:val="right"/>
              <w:rPr>
                <w:rFonts w:ascii="Verdana" w:eastAsia="Times New Roman" w:hAnsi="Verdana" w:cs="Verdana"/>
                <w:b/>
                <w:noProof/>
                <w:color w:val="000000"/>
                <w:sz w:val="18"/>
              </w:rPr>
            </w:pPr>
            <w:r>
              <w:rPr>
                <w:rFonts w:ascii="Verdana" w:hAnsi="Verdana"/>
                <w:b/>
                <w:noProof/>
                <w:color w:val="000000"/>
                <w:sz w:val="18"/>
              </w:rPr>
              <w:t>2 627</w:t>
            </w:r>
          </w:p>
        </w:tc>
      </w:tr>
    </w:tbl>
    <w:p>
      <w:pPr>
        <w:pStyle w:val="DGTextstand-alone"/>
      </w:pPr>
      <w:r>
        <w:t>Тази позиция представлява предимно нарежданията за събиране на вземания, изготвени от Комисията, средствата по които са получени или са прихванати със (т.е. приспаднати от) следващи плащания, записани в счетоводната система на Комисията. Тези нареждания за събиране на вземания са изготвени, за да бъдат събрани разходи, изплатени по-рано от бюджета на ЕС. Събирането на вземания се основава на проверки, одити или анализ на допустимостта и следователно с тези операции бюджетът на ЕС се защитава срещу извършването на неправометни разходи.</w:t>
      </w:r>
    </w:p>
    <w:p>
      <w:pPr>
        <w:pStyle w:val="DGTextstand-alone"/>
      </w:pPr>
      <w:r>
        <w:t>Включват се също нарежданията за събиране на вземания, изготвени от държавите членки за бенефициери на разходи по линия на ЕФГЗ, както и промяната на очакваните начислени приходи от края на предходната година до края на настоящата година.</w:t>
      </w:r>
    </w:p>
    <w:p>
      <w:pPr>
        <w:pStyle w:val="Textstand-alone"/>
        <w:spacing w:before="0"/>
      </w:pPr>
      <w:r>
        <w:t>Сумите, включени в таблицата по-горе, представляват приходи, реализирани чрез изготвяне на нареждания за събиране на вземания. Поради това те не могат да покажат и не показват пълната степен на мерките, предприети за защита на бюджета на ЕС, особено за политиката на сближаване, където са въведени специални механизми за гарантиране на коригирането на недопустимите разходи, повечето от които механизми не включват издаването на нареждане за събиране на вземания. Не са включени сумите, събрани чрез прихващане с разходи, сумите, събрани посредством оттегляния, и събраните суми предварително финансиране.</w:t>
      </w:r>
    </w:p>
    <w:p>
      <w:pPr>
        <w:pStyle w:val="DGTextstand-alone"/>
      </w:pPr>
      <w:r>
        <w:t xml:space="preserve">Събраните суми при споделеното управление </w:t>
      </w:r>
      <w:r>
        <w:rPr>
          <w:rStyle w:val="DGTextstand-aloneChar"/>
        </w:rPr>
        <w:t>съставляват по-голямата част от общата сума:</w:t>
      </w:r>
    </w:p>
    <w:p>
      <w:pPr>
        <w:pStyle w:val="HEADER5"/>
        <w:rPr>
          <w:noProof/>
        </w:rPr>
      </w:pPr>
      <w:r>
        <w:rPr>
          <w:noProof/>
        </w:rPr>
        <w:t>Селско стопанство: ЕФГЗ и развитие на селските райони</w:t>
      </w:r>
    </w:p>
    <w:p>
      <w:pPr>
        <w:pStyle w:val="DGTextstand-alone"/>
      </w:pPr>
      <w:r>
        <w:t>В рамките на ЕФГЗ и на ЕЗФРСР сумите, отчетени в тази позиция като приходи за годината, са финансовите корекции за годината и възстановяванията, декларирани от държавите членки и събрани през годината, както и нетното увеличение на дължимите суми, декларирани от държавите членки, които трябва да бъдат събрани към края на годината във връзка с измами и нередности.</w:t>
      </w:r>
    </w:p>
    <w:p>
      <w:pPr>
        <w:pStyle w:val="HEADER5"/>
        <w:rPr>
          <w:noProof/>
        </w:rPr>
      </w:pPr>
      <w:r>
        <w:rPr>
          <w:noProof/>
        </w:rPr>
        <w:t>Политика на сближаване</w:t>
      </w:r>
    </w:p>
    <w:p>
      <w:pPr>
        <w:pStyle w:val="DGTextstand-alone"/>
        <w:spacing w:after="0"/>
        <w:rPr>
          <w:color w:val="000000"/>
        </w:rPr>
      </w:pPr>
      <w:r>
        <w:rPr>
          <w:color w:val="000000"/>
        </w:rPr>
        <w:t xml:space="preserve">Основните суми, свързани с политиката на сближаване, съответстват на начислени приходи в размер на 0,4 милиарда евро (2019 г.: 1,4 милиарда евро),които Комисията очаква да събере от държавите членки. Събирането ще бъде осъществено в резултат на разглеждането и приемането на годишните отчети, представени от държавите членки в началото на 2021 г. Сумите, подлежащи на събиране, представляват основно разликата между сумите, първоначално декларирани като допустими през счетоводната година, и сумите, потвърдени като допустими в годишните отчети на държавите членки. Малка сума означава, че въведените на равнището на държавите членки проверки са позволили откриването на недопустими суми на ранен етап от процеса. </w:t>
      </w:r>
    </w:p>
    <w:p>
      <w:pPr>
        <w:pStyle w:val="HEADER2NOTES"/>
        <w:rPr>
          <w:noProof/>
        </w:rPr>
      </w:pPr>
      <w:r>
        <w:rPr>
          <w:noProof/>
        </w:rPr>
        <w:t>СПОРАЗУМЕНИЕ ЗА ОТТЕГЛЯНЕТО НА ОБЕДИНЕНОТО КРАЛСТВО</w:t>
      </w:r>
    </w:p>
    <w:p>
      <w:pPr>
        <w:pStyle w:val="DGTextstand-alone"/>
      </w:pPr>
      <w:r>
        <w:t>Тези приходи са свързани с нетните суми, дължими от Обединеното кралство съгласно СО, подписано след излизането му от Съюза през 2020 г. — вж. бележка </w:t>
      </w:r>
      <w:r>
        <w:rPr>
          <w:b/>
        </w:rPr>
        <w:t>2.6.1.2</w:t>
      </w:r>
      <w:r>
        <w:t>.</w:t>
      </w:r>
    </w:p>
    <w:p>
      <w:pPr>
        <w:pStyle w:val="HEADER2NOTES"/>
        <w:spacing w:before="0"/>
        <w:rPr>
          <w:noProof/>
        </w:rPr>
      </w:pPr>
      <w:r>
        <w:rPr>
          <w:noProof/>
        </w:rPr>
        <w:br w:type="page"/>
        <w:t>ДРУГИ ПРИХОДИ ОТ ОПЕРАЦИИ БЕЗ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9"/>
        <w:gridCol w:w="1511"/>
        <w:gridCol w:w="2258"/>
      </w:tblGrid>
      <w:tr>
        <w:trPr>
          <w:trHeight w:hRule="exact" w:val="255"/>
        </w:trPr>
        <w:tc>
          <w:tcPr>
            <w:tcW w:w="5989" w:type="dxa"/>
            <w:tcBorders>
              <w:top w:val="nil"/>
              <w:left w:val="nil"/>
              <w:bottom w:val="nil"/>
              <w:right w:val="nil"/>
            </w:tcBorders>
            <w:tcMar>
              <w:top w:w="0" w:type="dxa"/>
              <w:left w:w="60" w:type="dxa"/>
              <w:bottom w:w="0" w:type="dxa"/>
              <w:right w:w="60" w:type="dxa"/>
            </w:tcMar>
            <w:vAlign w:val="bottom"/>
          </w:tcPr>
          <w:p>
            <w:pPr>
              <w:pStyle w:val="DMETW19864BIPONER"/>
              <w:rPr>
                <w:rFonts w:ascii="Arial" w:eastAsia="Times New Roman" w:hAnsi="Arial" w:cs="Arial"/>
                <w:noProof/>
                <w:color w:val="000000"/>
              </w:rPr>
            </w:pPr>
            <w:bookmarkStart w:id="163" w:name="DOC_TBL00065_1_1"/>
            <w:bookmarkEnd w:id="163"/>
          </w:p>
        </w:tc>
        <w:tc>
          <w:tcPr>
            <w:tcW w:w="1511" w:type="dxa"/>
            <w:tcBorders>
              <w:top w:val="nil"/>
              <w:left w:val="nil"/>
              <w:bottom w:val="nil"/>
              <w:right w:val="nil"/>
            </w:tcBorders>
            <w:tcMar>
              <w:top w:w="0" w:type="dxa"/>
              <w:left w:w="60" w:type="dxa"/>
              <w:bottom w:w="0" w:type="dxa"/>
              <w:right w:w="60" w:type="dxa"/>
            </w:tcMar>
            <w:vAlign w:val="bottom"/>
          </w:tcPr>
          <w:p>
            <w:pPr>
              <w:pStyle w:val="DMETW19864BIPONER"/>
              <w:rPr>
                <w:rFonts w:ascii="Arial" w:eastAsia="Times New Roman" w:hAnsi="Arial" w:cs="Arial"/>
                <w:noProof/>
                <w:color w:val="000000"/>
              </w:rPr>
            </w:pPr>
          </w:p>
        </w:tc>
        <w:tc>
          <w:tcPr>
            <w:tcW w:w="2258" w:type="dxa"/>
            <w:tcBorders>
              <w:top w:val="nil"/>
              <w:left w:val="nil"/>
              <w:bottom w:val="nil"/>
              <w:right w:val="nil"/>
            </w:tcBorders>
            <w:tcMar>
              <w:top w:w="0" w:type="dxa"/>
              <w:left w:w="60" w:type="dxa"/>
              <w:bottom w:w="0" w:type="dxa"/>
              <w:right w:w="60" w:type="dxa"/>
            </w:tcMar>
            <w:vAlign w:val="bottom"/>
          </w:tcPr>
          <w:p>
            <w:pPr>
              <w:pStyle w:val="DMETW19864BIPONER"/>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hRule="exact" w:val="255"/>
        </w:trPr>
        <w:tc>
          <w:tcPr>
            <w:tcW w:w="5989" w:type="dxa"/>
            <w:tcBorders>
              <w:top w:val="nil"/>
              <w:left w:val="nil"/>
              <w:bottom w:val="nil"/>
              <w:right w:val="nil"/>
            </w:tcBorders>
            <w:shd w:val="solid" w:color="016794" w:fill="FFFFFF"/>
            <w:tcMar>
              <w:top w:w="0" w:type="dxa"/>
              <w:left w:w="60" w:type="dxa"/>
              <w:bottom w:w="0" w:type="dxa"/>
              <w:right w:w="60" w:type="dxa"/>
            </w:tcMar>
            <w:vAlign w:val="center"/>
          </w:tcPr>
          <w:p>
            <w:pPr>
              <w:pStyle w:val="DMETW19864BIPONER"/>
              <w:jc w:val="right"/>
              <w:rPr>
                <w:rFonts w:ascii="Verdana" w:eastAsia="Times New Roman" w:hAnsi="Verdana" w:cs="Verdana"/>
                <w:noProof/>
                <w:color w:val="FFFFFF"/>
              </w:rPr>
            </w:pPr>
          </w:p>
        </w:tc>
        <w:tc>
          <w:tcPr>
            <w:tcW w:w="1511" w:type="dxa"/>
            <w:tcBorders>
              <w:top w:val="nil"/>
              <w:left w:val="nil"/>
              <w:bottom w:val="nil"/>
              <w:right w:val="nil"/>
            </w:tcBorders>
            <w:shd w:val="solid" w:color="016794" w:fill="FFFFFF"/>
            <w:tcMar>
              <w:top w:w="0" w:type="dxa"/>
              <w:left w:w="60" w:type="dxa"/>
              <w:bottom w:w="0" w:type="dxa"/>
              <w:right w:w="60" w:type="dxa"/>
            </w:tcMar>
            <w:vAlign w:val="center"/>
          </w:tcPr>
          <w:p>
            <w:pPr>
              <w:pStyle w:val="DMETW19864BIPONER"/>
              <w:jc w:val="right"/>
              <w:rPr>
                <w:rFonts w:ascii="Verdana" w:eastAsia="Times New Roman" w:hAnsi="Verdana" w:cs="Verdana"/>
                <w:noProof/>
                <w:color w:val="FFFFFF"/>
              </w:rPr>
            </w:pPr>
            <w:r>
              <w:rPr>
                <w:rFonts w:ascii="Verdana" w:hAnsi="Verdana"/>
                <w:noProof/>
                <w:color w:val="FFFFFF"/>
              </w:rPr>
              <w:t>2020 г.</w:t>
            </w:r>
          </w:p>
        </w:tc>
        <w:tc>
          <w:tcPr>
            <w:tcW w:w="2258" w:type="dxa"/>
            <w:tcBorders>
              <w:top w:val="nil"/>
              <w:left w:val="nil"/>
              <w:bottom w:val="nil"/>
              <w:right w:val="nil"/>
            </w:tcBorders>
            <w:shd w:val="solid" w:color="016794" w:fill="FFFFFF"/>
            <w:tcMar>
              <w:top w:w="0" w:type="dxa"/>
              <w:left w:w="60" w:type="dxa"/>
              <w:bottom w:w="0" w:type="dxa"/>
              <w:right w:w="60" w:type="dxa"/>
            </w:tcMar>
            <w:vAlign w:val="center"/>
          </w:tcPr>
          <w:p>
            <w:pPr>
              <w:pStyle w:val="DMETW19864BIPONER"/>
              <w:jc w:val="right"/>
              <w:rPr>
                <w:rFonts w:ascii="Verdana" w:eastAsia="Times New Roman" w:hAnsi="Verdana" w:cs="Verdana"/>
                <w:noProof/>
                <w:color w:val="FFFFFF"/>
              </w:rPr>
            </w:pPr>
            <w:r>
              <w:rPr>
                <w:rFonts w:ascii="Verdana" w:hAnsi="Verdana"/>
                <w:noProof/>
                <w:color w:val="FFFFFF"/>
              </w:rPr>
              <w:t>2019 г.</w:t>
            </w:r>
          </w:p>
        </w:tc>
      </w:tr>
      <w:tr>
        <w:trPr>
          <w:trHeight w:hRule="exact" w:val="255"/>
        </w:trPr>
        <w:tc>
          <w:tcPr>
            <w:tcW w:w="5989" w:type="dxa"/>
            <w:tcBorders>
              <w:top w:val="nil"/>
              <w:left w:val="nil"/>
              <w:bottom w:val="nil"/>
              <w:right w:val="nil"/>
            </w:tcBorders>
            <w:tcMar>
              <w:top w:w="0" w:type="dxa"/>
              <w:left w:w="60" w:type="dxa"/>
              <w:bottom w:w="0" w:type="dxa"/>
              <w:right w:w="60" w:type="dxa"/>
            </w:tcMar>
            <w:vAlign w:val="center"/>
          </w:tcPr>
          <w:p>
            <w:pPr>
              <w:pStyle w:val="DMETW19864BIPONER"/>
              <w:rPr>
                <w:rFonts w:ascii="Verdana" w:eastAsia="Times New Roman" w:hAnsi="Verdana" w:cs="Verdana"/>
                <w:i/>
                <w:noProof/>
                <w:color w:val="000000"/>
                <w:sz w:val="18"/>
              </w:rPr>
            </w:pPr>
            <w:r>
              <w:rPr>
                <w:rFonts w:ascii="Verdana" w:hAnsi="Verdana"/>
                <w:i/>
                <w:noProof/>
                <w:color w:val="000000"/>
                <w:sz w:val="18"/>
              </w:rPr>
              <w:t>Вноски от държави членки за Фонда за иновации</w:t>
            </w:r>
          </w:p>
        </w:tc>
        <w:tc>
          <w:tcPr>
            <w:tcW w:w="1511"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2 080</w:t>
            </w:r>
          </w:p>
        </w:tc>
        <w:tc>
          <w:tcPr>
            <w:tcW w:w="2258"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w:t>
            </w:r>
          </w:p>
        </w:tc>
      </w:tr>
      <w:tr>
        <w:trPr>
          <w:trHeight w:hRule="exact" w:val="255"/>
        </w:trPr>
        <w:tc>
          <w:tcPr>
            <w:tcW w:w="5989" w:type="dxa"/>
            <w:tcBorders>
              <w:top w:val="nil"/>
              <w:left w:val="nil"/>
              <w:bottom w:val="nil"/>
              <w:right w:val="nil"/>
            </w:tcBorders>
            <w:tcMar>
              <w:top w:w="0" w:type="dxa"/>
              <w:left w:w="60" w:type="dxa"/>
              <w:bottom w:w="0" w:type="dxa"/>
              <w:right w:w="60" w:type="dxa"/>
            </w:tcMar>
            <w:vAlign w:val="center"/>
          </w:tcPr>
          <w:p>
            <w:pPr>
              <w:pStyle w:val="DMETW19864BIPONER"/>
              <w:rPr>
                <w:rFonts w:ascii="Verdana" w:eastAsia="Times New Roman" w:hAnsi="Verdana" w:cs="Verdana"/>
                <w:i/>
                <w:noProof/>
                <w:color w:val="000000"/>
                <w:sz w:val="18"/>
              </w:rPr>
            </w:pPr>
            <w:r>
              <w:rPr>
                <w:rFonts w:ascii="Verdana" w:hAnsi="Verdana"/>
                <w:i/>
                <w:noProof/>
                <w:color w:val="000000"/>
                <w:sz w:val="18"/>
              </w:rPr>
              <w:t>Данъци и вноски на персонала</w:t>
            </w:r>
          </w:p>
        </w:tc>
        <w:tc>
          <w:tcPr>
            <w:tcW w:w="1511"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1 316</w:t>
            </w:r>
          </w:p>
        </w:tc>
        <w:tc>
          <w:tcPr>
            <w:tcW w:w="2258"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1 299</w:t>
            </w:r>
          </w:p>
        </w:tc>
      </w:tr>
      <w:tr>
        <w:trPr>
          <w:trHeight w:hRule="exact" w:val="255"/>
        </w:trPr>
        <w:tc>
          <w:tcPr>
            <w:tcW w:w="5989" w:type="dxa"/>
            <w:tcBorders>
              <w:top w:val="nil"/>
              <w:left w:val="nil"/>
              <w:bottom w:val="nil"/>
              <w:right w:val="nil"/>
            </w:tcBorders>
            <w:tcMar>
              <w:top w:w="0" w:type="dxa"/>
              <w:left w:w="60" w:type="dxa"/>
              <w:bottom w:w="0" w:type="dxa"/>
              <w:right w:w="60" w:type="dxa"/>
            </w:tcMar>
            <w:vAlign w:val="center"/>
          </w:tcPr>
          <w:p>
            <w:pPr>
              <w:pStyle w:val="DMETW19864BIPONER"/>
              <w:rPr>
                <w:rFonts w:ascii="Verdana" w:eastAsia="Times New Roman" w:hAnsi="Verdana" w:cs="Verdana"/>
                <w:i/>
                <w:noProof/>
                <w:color w:val="000000"/>
                <w:sz w:val="18"/>
              </w:rPr>
            </w:pPr>
            <w:r>
              <w:rPr>
                <w:rFonts w:ascii="Verdana" w:hAnsi="Verdana"/>
                <w:i/>
                <w:noProof/>
                <w:color w:val="000000"/>
                <w:sz w:val="18"/>
              </w:rPr>
              <w:t>Вноски от трети държави</w:t>
            </w:r>
          </w:p>
        </w:tc>
        <w:tc>
          <w:tcPr>
            <w:tcW w:w="1511"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1 592</w:t>
            </w:r>
          </w:p>
        </w:tc>
        <w:tc>
          <w:tcPr>
            <w:tcW w:w="2258"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1 509</w:t>
            </w:r>
          </w:p>
        </w:tc>
      </w:tr>
      <w:tr>
        <w:trPr>
          <w:trHeight w:hRule="exact" w:val="255"/>
        </w:trPr>
        <w:tc>
          <w:tcPr>
            <w:tcW w:w="5989" w:type="dxa"/>
            <w:tcBorders>
              <w:top w:val="nil"/>
              <w:left w:val="nil"/>
              <w:bottom w:val="nil"/>
              <w:right w:val="nil"/>
            </w:tcBorders>
            <w:tcMar>
              <w:top w:w="0" w:type="dxa"/>
              <w:left w:w="60" w:type="dxa"/>
              <w:bottom w:w="0" w:type="dxa"/>
              <w:right w:w="60" w:type="dxa"/>
            </w:tcMar>
            <w:vAlign w:val="center"/>
          </w:tcPr>
          <w:p>
            <w:pPr>
              <w:pStyle w:val="DMETW19864BIPONER"/>
              <w:rPr>
                <w:rFonts w:ascii="Verdana" w:eastAsia="Times New Roman" w:hAnsi="Verdana" w:cs="Verdana"/>
                <w:i/>
                <w:noProof/>
                <w:color w:val="000000"/>
                <w:sz w:val="18"/>
              </w:rPr>
            </w:pPr>
            <w:r>
              <w:rPr>
                <w:rFonts w:ascii="Verdana" w:hAnsi="Verdana"/>
                <w:i/>
                <w:noProof/>
                <w:color w:val="000000"/>
                <w:sz w:val="18"/>
              </w:rPr>
              <w:t>Вноски от държави членки ИСП и за външна помощ</w:t>
            </w:r>
          </w:p>
        </w:tc>
        <w:tc>
          <w:tcPr>
            <w:tcW w:w="1511"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1 073</w:t>
            </w:r>
          </w:p>
        </w:tc>
        <w:tc>
          <w:tcPr>
            <w:tcW w:w="2258"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 xml:space="preserve"> 331</w:t>
            </w:r>
          </w:p>
        </w:tc>
      </w:tr>
      <w:tr>
        <w:trPr>
          <w:trHeight w:hRule="exact" w:val="255"/>
        </w:trPr>
        <w:tc>
          <w:tcPr>
            <w:tcW w:w="5989" w:type="dxa"/>
            <w:tcBorders>
              <w:top w:val="nil"/>
              <w:left w:val="nil"/>
              <w:bottom w:val="nil"/>
              <w:right w:val="nil"/>
            </w:tcBorders>
            <w:tcMar>
              <w:top w:w="0" w:type="dxa"/>
              <w:left w:w="60" w:type="dxa"/>
              <w:bottom w:w="0" w:type="dxa"/>
              <w:right w:w="60" w:type="dxa"/>
            </w:tcMar>
            <w:vAlign w:val="center"/>
          </w:tcPr>
          <w:p>
            <w:pPr>
              <w:pStyle w:val="DMETW19864BIPONER"/>
              <w:rPr>
                <w:rFonts w:ascii="Verdana" w:eastAsia="Times New Roman" w:hAnsi="Verdana" w:cs="Verdana"/>
                <w:i/>
                <w:noProof/>
                <w:color w:val="000000"/>
                <w:sz w:val="18"/>
              </w:rPr>
            </w:pPr>
            <w:r>
              <w:rPr>
                <w:rFonts w:ascii="Verdana" w:hAnsi="Verdana"/>
                <w:i/>
                <w:noProof/>
                <w:color w:val="000000"/>
                <w:sz w:val="18"/>
              </w:rPr>
              <w:t>Трансфер на активи</w:t>
            </w:r>
          </w:p>
        </w:tc>
        <w:tc>
          <w:tcPr>
            <w:tcW w:w="1511"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 xml:space="preserve"> 317</w:t>
            </w:r>
          </w:p>
        </w:tc>
        <w:tc>
          <w:tcPr>
            <w:tcW w:w="2258"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 xml:space="preserve"> 60</w:t>
            </w:r>
          </w:p>
        </w:tc>
      </w:tr>
      <w:tr>
        <w:trPr>
          <w:trHeight w:hRule="exact" w:val="255"/>
        </w:trPr>
        <w:tc>
          <w:tcPr>
            <w:tcW w:w="5989" w:type="dxa"/>
            <w:tcBorders>
              <w:top w:val="nil"/>
              <w:left w:val="nil"/>
              <w:bottom w:val="nil"/>
              <w:right w:val="nil"/>
            </w:tcBorders>
            <w:tcMar>
              <w:top w:w="0" w:type="dxa"/>
              <w:left w:w="60" w:type="dxa"/>
              <w:bottom w:w="0" w:type="dxa"/>
              <w:right w:w="60" w:type="dxa"/>
            </w:tcMar>
            <w:vAlign w:val="center"/>
          </w:tcPr>
          <w:p>
            <w:pPr>
              <w:pStyle w:val="DMETW19864BIPONER"/>
              <w:rPr>
                <w:rFonts w:ascii="Verdana" w:eastAsia="Times New Roman" w:hAnsi="Verdana" w:cs="Verdana"/>
                <w:i/>
                <w:noProof/>
                <w:color w:val="000000"/>
                <w:sz w:val="18"/>
              </w:rPr>
            </w:pPr>
            <w:r>
              <w:rPr>
                <w:rFonts w:ascii="Verdana" w:hAnsi="Verdana"/>
                <w:i/>
                <w:noProof/>
                <w:color w:val="000000"/>
                <w:sz w:val="18"/>
              </w:rPr>
              <w:t>Бюджетни корекции</w:t>
            </w:r>
          </w:p>
        </w:tc>
        <w:tc>
          <w:tcPr>
            <w:tcW w:w="1511"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 xml:space="preserve"> 214</w:t>
            </w:r>
          </w:p>
        </w:tc>
        <w:tc>
          <w:tcPr>
            <w:tcW w:w="2258"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(1 719)</w:t>
            </w:r>
          </w:p>
        </w:tc>
      </w:tr>
      <w:tr>
        <w:trPr>
          <w:trHeight w:hRule="exact" w:val="255"/>
        </w:trPr>
        <w:tc>
          <w:tcPr>
            <w:tcW w:w="5989" w:type="dxa"/>
            <w:tcBorders>
              <w:top w:val="nil"/>
              <w:left w:val="nil"/>
              <w:bottom w:val="nil"/>
              <w:right w:val="nil"/>
            </w:tcBorders>
            <w:tcMar>
              <w:top w:w="0" w:type="dxa"/>
              <w:left w:w="60" w:type="dxa"/>
              <w:bottom w:w="0" w:type="dxa"/>
              <w:right w:w="60" w:type="dxa"/>
            </w:tcMar>
            <w:vAlign w:val="center"/>
          </w:tcPr>
          <w:p>
            <w:pPr>
              <w:pStyle w:val="DMETW19864BIPONER"/>
              <w:rPr>
                <w:rFonts w:ascii="Verdana" w:eastAsia="Times New Roman" w:hAnsi="Verdana" w:cs="Verdana"/>
                <w:i/>
                <w:noProof/>
                <w:color w:val="000000"/>
                <w:sz w:val="18"/>
              </w:rPr>
            </w:pPr>
            <w:r>
              <w:rPr>
                <w:rFonts w:ascii="Verdana" w:hAnsi="Verdana"/>
                <w:i/>
                <w:noProof/>
                <w:color w:val="000000"/>
                <w:sz w:val="18"/>
              </w:rPr>
              <w:t>Други</w:t>
            </w:r>
          </w:p>
        </w:tc>
        <w:tc>
          <w:tcPr>
            <w:tcW w:w="1511"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 xml:space="preserve"> 524</w:t>
            </w:r>
          </w:p>
        </w:tc>
        <w:tc>
          <w:tcPr>
            <w:tcW w:w="2258" w:type="dxa"/>
            <w:tcBorders>
              <w:top w:val="nil"/>
              <w:left w:val="nil"/>
              <w:bottom w:val="nil"/>
              <w:right w:val="nil"/>
            </w:tcBorders>
            <w:tcMar>
              <w:top w:w="0" w:type="dxa"/>
              <w:left w:w="60" w:type="dxa"/>
              <w:bottom w:w="0" w:type="dxa"/>
              <w:right w:w="60" w:type="dxa"/>
            </w:tcMar>
            <w:vAlign w:val="center"/>
          </w:tcPr>
          <w:p>
            <w:pPr>
              <w:pStyle w:val="DMETW19864BIPONER"/>
              <w:jc w:val="right"/>
              <w:rPr>
                <w:rFonts w:ascii="Verdana" w:eastAsia="Times New Roman" w:hAnsi="Verdana" w:cs="Verdana"/>
                <w:i/>
                <w:noProof/>
                <w:color w:val="000000"/>
                <w:sz w:val="18"/>
              </w:rPr>
            </w:pPr>
            <w:r>
              <w:rPr>
                <w:rFonts w:ascii="Verdana" w:hAnsi="Verdana"/>
                <w:i/>
                <w:noProof/>
                <w:color w:val="000000"/>
                <w:sz w:val="18"/>
              </w:rPr>
              <w:t>592</w:t>
            </w:r>
          </w:p>
        </w:tc>
      </w:tr>
      <w:tr>
        <w:trPr>
          <w:trHeight w:hRule="exact" w:val="255"/>
        </w:trPr>
        <w:tc>
          <w:tcPr>
            <w:tcW w:w="5989" w:type="dxa"/>
            <w:tcBorders>
              <w:top w:val="nil"/>
              <w:left w:val="nil"/>
              <w:bottom w:val="nil"/>
              <w:right w:val="nil"/>
            </w:tcBorders>
            <w:shd w:val="solid" w:color="CCE1EA" w:fill="FFFFFF"/>
            <w:tcMar>
              <w:top w:w="0" w:type="dxa"/>
              <w:left w:w="60" w:type="dxa"/>
              <w:bottom w:w="0" w:type="dxa"/>
              <w:right w:w="60" w:type="dxa"/>
            </w:tcMar>
            <w:vAlign w:val="center"/>
          </w:tcPr>
          <w:p>
            <w:pPr>
              <w:pStyle w:val="DMETW19864BIPONER"/>
              <w:rPr>
                <w:rFonts w:ascii="Verdana" w:eastAsia="Times New Roman" w:hAnsi="Verdana" w:cs="Verdana"/>
                <w:b/>
                <w:noProof/>
                <w:color w:val="000000"/>
                <w:sz w:val="18"/>
              </w:rPr>
            </w:pPr>
            <w:r>
              <w:rPr>
                <w:rFonts w:ascii="Verdana" w:hAnsi="Verdana"/>
                <w:b/>
                <w:noProof/>
                <w:color w:val="000000"/>
                <w:sz w:val="18"/>
              </w:rPr>
              <w:t>Общо</w:t>
            </w:r>
          </w:p>
        </w:tc>
        <w:tc>
          <w:tcPr>
            <w:tcW w:w="1511" w:type="dxa"/>
            <w:tcBorders>
              <w:top w:val="nil"/>
              <w:left w:val="nil"/>
              <w:bottom w:val="nil"/>
              <w:right w:val="nil"/>
            </w:tcBorders>
            <w:shd w:val="solid" w:color="CCE1EA" w:fill="FFFFFF"/>
            <w:tcMar>
              <w:top w:w="0" w:type="dxa"/>
              <w:left w:w="60" w:type="dxa"/>
              <w:bottom w:w="0" w:type="dxa"/>
              <w:right w:w="60" w:type="dxa"/>
            </w:tcMar>
            <w:vAlign w:val="center"/>
          </w:tcPr>
          <w:p>
            <w:pPr>
              <w:pStyle w:val="DMETW19864BIPONER"/>
              <w:jc w:val="right"/>
              <w:rPr>
                <w:rFonts w:ascii="Verdana" w:eastAsia="Times New Roman" w:hAnsi="Verdana" w:cs="Verdana"/>
                <w:b/>
                <w:noProof/>
                <w:color w:val="000000"/>
                <w:sz w:val="18"/>
              </w:rPr>
            </w:pPr>
            <w:r>
              <w:rPr>
                <w:rFonts w:ascii="Verdana" w:hAnsi="Verdana"/>
                <w:b/>
                <w:noProof/>
                <w:color w:val="000000"/>
                <w:sz w:val="18"/>
              </w:rPr>
              <w:t>7 116</w:t>
            </w:r>
          </w:p>
        </w:tc>
        <w:tc>
          <w:tcPr>
            <w:tcW w:w="2258" w:type="dxa"/>
            <w:tcBorders>
              <w:top w:val="nil"/>
              <w:left w:val="nil"/>
              <w:bottom w:val="nil"/>
              <w:right w:val="nil"/>
            </w:tcBorders>
            <w:shd w:val="solid" w:color="CCE1EA" w:fill="FFFFFF"/>
            <w:tcMar>
              <w:top w:w="0" w:type="dxa"/>
              <w:left w:w="60" w:type="dxa"/>
              <w:bottom w:w="0" w:type="dxa"/>
              <w:right w:w="60" w:type="dxa"/>
            </w:tcMar>
            <w:vAlign w:val="center"/>
          </w:tcPr>
          <w:p>
            <w:pPr>
              <w:pStyle w:val="DMETW19864BIPONER"/>
              <w:jc w:val="right"/>
              <w:rPr>
                <w:rFonts w:ascii="Verdana" w:eastAsia="Times New Roman" w:hAnsi="Verdana" w:cs="Verdana"/>
                <w:b/>
                <w:noProof/>
                <w:color w:val="000000"/>
                <w:sz w:val="18"/>
              </w:rPr>
            </w:pPr>
            <w:r>
              <w:rPr>
                <w:rFonts w:ascii="Verdana" w:hAnsi="Verdana"/>
                <w:b/>
                <w:noProof/>
                <w:color w:val="000000"/>
                <w:sz w:val="18"/>
              </w:rPr>
              <w:t>2 072</w:t>
            </w:r>
          </w:p>
        </w:tc>
      </w:tr>
    </w:tbl>
    <w:p>
      <w:pPr>
        <w:pStyle w:val="DGTextstand-alone"/>
        <w:spacing w:after="0"/>
      </w:pPr>
      <w:r>
        <w:t>Вноските от държавите членки за Фонда за иновации са приходи, свързани с продажбата на квоти за емисии (1 334 милиона евро) и прехвърлянето на неизразходваните средства по NER300 (747</w:t>
      </w:r>
      <w:r>
        <w:rPr>
          <w:lang w:val="en-GB"/>
        </w:rPr>
        <w:t> </w:t>
      </w:r>
      <w:r>
        <w:t>милиона евро), които ще бъдат използвани за подкрепа на иновациите в областта на нисковъглеродните технологии. На ЕИБ е възложено да осребри квотите и да управлява средствата по NER300 от името на държавите членки. В края на годината 1 336 милиона евро от общо 2</w:t>
      </w:r>
      <w:r>
        <w:rPr>
          <w:lang w:val="en-GB"/>
        </w:rPr>
        <w:t> </w:t>
      </w:r>
      <w:r>
        <w:t>080</w:t>
      </w:r>
      <w:r>
        <w:rPr>
          <w:lang w:val="en-GB"/>
        </w:rPr>
        <w:t> </w:t>
      </w:r>
      <w:r>
        <w:t xml:space="preserve">милиона евро бяха прехвърлени от ЕИБ на Комисията и са включени като парични средства (след приспадане на сумата, изразходвана през 2020 г.) — вж. бележка </w:t>
      </w:r>
      <w:r>
        <w:rPr>
          <w:b/>
        </w:rPr>
        <w:t>2.8.1</w:t>
      </w:r>
      <w:r>
        <w:t xml:space="preserve">. Останалите приходи в размер на 744 милиона евро все още не бяха събрани в края на 2020 г. и поради това са признати като средства, подлежащи на събиране, по операции без размяна — вж. бележка </w:t>
      </w:r>
      <w:r>
        <w:rPr>
          <w:b/>
        </w:rPr>
        <w:t>2.6.1.5</w:t>
      </w:r>
      <w:r>
        <w:t>.</w:t>
      </w:r>
    </w:p>
    <w:p>
      <w:pPr>
        <w:pStyle w:val="DGTextstand-alone"/>
        <w:spacing w:after="0"/>
      </w:pPr>
      <w:r>
        <w:t>Приходите от данъци и вноски на персонала се отнасят предимно до удръжките от заплатите на персонала. Значителните по размер суми в категорията са пенсионноосигурителните вноски и данъкът върху дохода.</w:t>
      </w:r>
    </w:p>
    <w:p>
      <w:pPr>
        <w:pStyle w:val="DGTextstand-alone"/>
        <w:spacing w:after="0"/>
      </w:pPr>
      <w:r>
        <w:t>Вноските от трети държави са основно вноски от държавите от ЕАСТ и държавите в период преди присъединяване (1 293 милиона евро), както и вноски от трети държави за „Хоризонт 2020“ (297</w:t>
      </w:r>
      <w:r>
        <w:rPr>
          <w:lang w:val="en-GB"/>
        </w:rPr>
        <w:t> </w:t>
      </w:r>
      <w:r>
        <w:t>милиона евро).</w:t>
      </w:r>
    </w:p>
    <w:p>
      <w:pPr>
        <w:pStyle w:val="DGTextstand-alone"/>
        <w:spacing w:after="0"/>
      </w:pPr>
      <w:r>
        <w:t>Държавите членки предоставиха 750 милиона евро като допълнителни средства за Инструмента за спешна подкрепа (ИСП), както и 265 милиона евро за финансиране на Механизма за бежанците в Турция.</w:t>
      </w:r>
    </w:p>
    <w:p>
      <w:pPr>
        <w:pStyle w:val="DGTextstand-alone"/>
        <w:spacing w:after="0"/>
      </w:pPr>
      <w:r>
        <w:t>Прехвърлянето на приходи от активи е свързано предимно с прехвърлянето на спътника 6A по програмата „Коперник“ от Европейската космическа агенция (ЕКА) на Комисията — вж. бележка </w:t>
      </w:r>
      <w:r>
        <w:rPr>
          <w:b/>
        </w:rPr>
        <w:t>2.2</w:t>
      </w:r>
      <w:r>
        <w:t>. Съгласно счетоводните правила на ЕС това прехвърляне е операция без размяна.</w:t>
      </w:r>
    </w:p>
    <w:p>
      <w:pPr>
        <w:pStyle w:val="DGTextstand-alone"/>
        <w:spacing w:after="0"/>
      </w:pPr>
      <w:r>
        <w:t>Увеличението на бюджетните корекции се дължи главно на увеличението на бюджетния излишък от предходната година, който през 2020 г. беше 3 218 милиона евро в сравнение с 1 803 милиона евро през 2019 г. Бюджетният излишък бе компенсиран от годишната корекция на ДДС и БНД, чийто размер през 2020 г. бе 3 165 милиона евро спрямо 3 443 милиона евро през 2019 г.</w:t>
      </w:r>
    </w:p>
    <w:p>
      <w:pPr>
        <w:pStyle w:val="DGTextstand-alone"/>
        <w:spacing w:after="0"/>
      </w:pPr>
      <w:r>
        <w:t>Другите приходи от операции без размяна включват вноските на държавата — домакин на ITER, и на членовете на ITER за „Термоядрен синтез за енергия“, Европейското съвместно предприятие за ITER и развитието на термоядрената енергия (156 милиона евро).</w:t>
      </w:r>
    </w:p>
    <w:p>
      <w:pPr>
        <w:pStyle w:val="HEADERTABLE"/>
        <w:spacing w:after="360"/>
        <w:rPr>
          <w:noProof/>
        </w:rPr>
      </w:pPr>
      <w:r>
        <w:rPr>
          <w:noProof/>
        </w:rPr>
        <w:br w:type="page"/>
        <w:t>ПРИХОДИ ОТ ОПЕРАЦИИ С РАЗМЯНА</w:t>
      </w:r>
    </w:p>
    <w:p>
      <w:pPr>
        <w:pStyle w:val="HEADER2NOTES"/>
        <w:rPr>
          <w:noProof/>
        </w:rPr>
      </w:pPr>
      <w:r>
        <w:rPr>
          <w:noProof/>
        </w:rPr>
        <w:t>ФИНАНСОВИ ПРИХОДИ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3"/>
        <w:gridCol w:w="1257"/>
        <w:gridCol w:w="1358"/>
      </w:tblGrid>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bottom"/>
          </w:tcPr>
          <w:p>
            <w:pPr>
              <w:pStyle w:val="DMETW19874BIPFINREV"/>
              <w:rPr>
                <w:rFonts w:ascii="Arial" w:eastAsia="Times New Roman" w:hAnsi="Arial" w:cs="Arial"/>
                <w:noProof/>
                <w:color w:val="000000"/>
              </w:rPr>
            </w:pPr>
            <w:bookmarkStart w:id="164" w:name="DOC_TBL00066_1_1"/>
            <w:bookmarkEnd w:id="164"/>
          </w:p>
        </w:tc>
        <w:tc>
          <w:tcPr>
            <w:tcW w:w="1257" w:type="dxa"/>
            <w:tcBorders>
              <w:top w:val="nil"/>
              <w:left w:val="nil"/>
              <w:bottom w:val="nil"/>
              <w:right w:val="nil"/>
            </w:tcBorders>
            <w:shd w:val="solid" w:color="FFFFFF" w:fill="FFFFFF"/>
            <w:tcMar>
              <w:top w:w="0" w:type="dxa"/>
              <w:left w:w="60" w:type="dxa"/>
              <w:bottom w:w="0" w:type="dxa"/>
              <w:right w:w="60" w:type="dxa"/>
            </w:tcMar>
            <w:vAlign w:val="bottom"/>
          </w:tcPr>
          <w:p>
            <w:pPr>
              <w:pStyle w:val="DMETW19874BIPFINREV"/>
              <w:rPr>
                <w:rFonts w:ascii="Arial" w:eastAsia="Times New Roman" w:hAnsi="Arial" w:cs="Arial"/>
                <w:noProof/>
                <w:color w:val="000000"/>
              </w:rPr>
            </w:pPr>
          </w:p>
        </w:tc>
        <w:tc>
          <w:tcPr>
            <w:tcW w:w="1358" w:type="dxa"/>
            <w:tcBorders>
              <w:top w:val="nil"/>
              <w:left w:val="nil"/>
              <w:bottom w:val="nil"/>
              <w:right w:val="nil"/>
            </w:tcBorders>
            <w:shd w:val="solid" w:color="FFFFFF" w:fill="FFFFFF"/>
            <w:tcMar>
              <w:top w:w="0" w:type="dxa"/>
              <w:left w:w="60" w:type="dxa"/>
              <w:bottom w:w="0" w:type="dxa"/>
              <w:right w:w="60" w:type="dxa"/>
            </w:tcMar>
            <w:vAlign w:val="bottom"/>
          </w:tcPr>
          <w:p>
            <w:pPr>
              <w:pStyle w:val="DMETW19874BIPFINREV"/>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7143" w:type="dxa"/>
            <w:tcBorders>
              <w:top w:val="nil"/>
              <w:left w:val="nil"/>
              <w:bottom w:val="nil"/>
              <w:right w:val="nil"/>
            </w:tcBorders>
            <w:shd w:val="solid" w:color="016794" w:fill="FFFFFF"/>
            <w:tcMar>
              <w:top w:w="0" w:type="dxa"/>
              <w:left w:w="60" w:type="dxa"/>
              <w:bottom w:w="0" w:type="dxa"/>
              <w:right w:w="60" w:type="dxa"/>
            </w:tcMar>
            <w:vAlign w:val="center"/>
          </w:tcPr>
          <w:p>
            <w:pPr>
              <w:pStyle w:val="DMETW19874BIPFINREV"/>
              <w:jc w:val="right"/>
              <w:rPr>
                <w:rFonts w:ascii="Verdana" w:eastAsia="Times New Roman" w:hAnsi="Verdana" w:cs="Verdana"/>
                <w:noProof/>
                <w:color w:val="FFFFFF"/>
              </w:rPr>
            </w:pPr>
          </w:p>
        </w:tc>
        <w:tc>
          <w:tcPr>
            <w:tcW w:w="1257" w:type="dxa"/>
            <w:tcBorders>
              <w:top w:val="nil"/>
              <w:left w:val="nil"/>
              <w:bottom w:val="nil"/>
              <w:right w:val="nil"/>
            </w:tcBorders>
            <w:shd w:val="solid" w:color="016794" w:fill="FFFFFF"/>
            <w:tcMar>
              <w:top w:w="0" w:type="dxa"/>
              <w:left w:w="60" w:type="dxa"/>
              <w:bottom w:w="0" w:type="dxa"/>
              <w:right w:w="60" w:type="dxa"/>
            </w:tcMar>
            <w:vAlign w:val="center"/>
          </w:tcPr>
          <w:p>
            <w:pPr>
              <w:pStyle w:val="DMETW19874BIPFINREV"/>
              <w:jc w:val="right"/>
              <w:rPr>
                <w:rFonts w:ascii="Verdana" w:eastAsia="Times New Roman" w:hAnsi="Verdana" w:cs="Verdana"/>
                <w:noProof/>
                <w:color w:val="FFFFFF"/>
              </w:rPr>
            </w:pPr>
            <w:r>
              <w:rPr>
                <w:rFonts w:ascii="Verdana" w:hAnsi="Verdana"/>
                <w:noProof/>
                <w:color w:val="FFFFFF"/>
              </w:rPr>
              <w:t>2020 г.</w:t>
            </w:r>
          </w:p>
        </w:tc>
        <w:tc>
          <w:tcPr>
            <w:tcW w:w="1358" w:type="dxa"/>
            <w:tcBorders>
              <w:top w:val="nil"/>
              <w:left w:val="nil"/>
              <w:bottom w:val="nil"/>
              <w:right w:val="nil"/>
            </w:tcBorders>
            <w:shd w:val="solid" w:color="016794" w:fill="FFFFFF"/>
            <w:tcMar>
              <w:top w:w="0" w:type="dxa"/>
              <w:left w:w="60" w:type="dxa"/>
              <w:bottom w:w="0" w:type="dxa"/>
              <w:right w:w="60" w:type="dxa"/>
            </w:tcMar>
            <w:vAlign w:val="center"/>
          </w:tcPr>
          <w:p>
            <w:pPr>
              <w:pStyle w:val="DMETW19874BIPFINREV"/>
              <w:jc w:val="right"/>
              <w:rPr>
                <w:rFonts w:ascii="Verdana" w:eastAsia="Times New Roman" w:hAnsi="Verdana" w:cs="Verdana"/>
                <w:noProof/>
                <w:color w:val="FFFFFF"/>
              </w:rPr>
            </w:pPr>
            <w:r>
              <w:rPr>
                <w:rFonts w:ascii="Verdana" w:hAnsi="Verdana"/>
                <w:noProof/>
                <w:color w:val="FFFFFF"/>
              </w:rPr>
              <w:t>2019 г.</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rPr>
                <w:rFonts w:ascii="Verdana" w:eastAsia="Times New Roman" w:hAnsi="Verdana" w:cs="Verdana"/>
                <w:i/>
                <w:noProof/>
                <w:color w:val="000000"/>
                <w:sz w:val="18"/>
              </w:rPr>
            </w:pPr>
            <w:r>
              <w:rPr>
                <w:rFonts w:ascii="Verdana" w:hAnsi="Verdana"/>
                <w:i/>
                <w:noProof/>
                <w:color w:val="000000"/>
                <w:sz w:val="18"/>
              </w:rPr>
              <w:t>Лихви върху:</w:t>
            </w:r>
          </w:p>
        </w:tc>
        <w:tc>
          <w:tcPr>
            <w:tcW w:w="1257"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p>
        </w:tc>
        <w:tc>
          <w:tcPr>
            <w:tcW w:w="1358"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rPr>
                <w:rFonts w:ascii="Verdana" w:eastAsia="Times New Roman" w:hAnsi="Verdana" w:cs="Verdana"/>
                <w:i/>
                <w:noProof/>
                <w:color w:val="000000"/>
                <w:sz w:val="18"/>
              </w:rPr>
            </w:pPr>
            <w:r>
              <w:rPr>
                <w:rFonts w:ascii="Verdana" w:hAnsi="Verdana"/>
                <w:i/>
                <w:noProof/>
                <w:color w:val="000000"/>
                <w:sz w:val="18"/>
              </w:rPr>
              <w:t xml:space="preserve">     Просрочени плащания</w:t>
            </w:r>
          </w:p>
        </w:tc>
        <w:tc>
          <w:tcPr>
            <w:tcW w:w="1257"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1 129</w:t>
            </w:r>
          </w:p>
        </w:tc>
        <w:tc>
          <w:tcPr>
            <w:tcW w:w="1358"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133</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rPr>
                <w:rFonts w:ascii="Verdana" w:eastAsia="Times New Roman" w:hAnsi="Verdana" w:cs="Verdana"/>
                <w:i/>
                <w:noProof/>
                <w:color w:val="000000"/>
                <w:sz w:val="18"/>
              </w:rPr>
            </w:pPr>
            <w:r>
              <w:rPr>
                <w:rFonts w:ascii="Verdana" w:hAnsi="Verdana"/>
                <w:i/>
                <w:noProof/>
                <w:color w:val="000000"/>
                <w:sz w:val="18"/>
              </w:rPr>
              <w:t xml:space="preserve">     Заеми</w:t>
            </w:r>
          </w:p>
        </w:tc>
        <w:tc>
          <w:tcPr>
            <w:tcW w:w="1257"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1 167</w:t>
            </w:r>
          </w:p>
        </w:tc>
        <w:tc>
          <w:tcPr>
            <w:tcW w:w="1358"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1 180</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rPr>
                <w:rFonts w:ascii="Verdana" w:eastAsia="Times New Roman" w:hAnsi="Verdana" w:cs="Verdana"/>
                <w:i/>
                <w:noProof/>
                <w:color w:val="000000"/>
                <w:sz w:val="18"/>
              </w:rPr>
            </w:pPr>
            <w:r>
              <w:rPr>
                <w:rFonts w:ascii="Verdana" w:hAnsi="Verdana"/>
                <w:i/>
                <w:noProof/>
                <w:color w:val="000000"/>
                <w:sz w:val="18"/>
              </w:rPr>
              <w:t xml:space="preserve">     Други </w:t>
            </w:r>
          </w:p>
        </w:tc>
        <w:tc>
          <w:tcPr>
            <w:tcW w:w="1257"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63</w:t>
            </w:r>
          </w:p>
        </w:tc>
        <w:tc>
          <w:tcPr>
            <w:tcW w:w="1358"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70</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rPr>
                <w:rFonts w:ascii="Verdana" w:eastAsia="Times New Roman" w:hAnsi="Verdana" w:cs="Verdana"/>
                <w:i/>
                <w:noProof/>
                <w:color w:val="000000"/>
                <w:sz w:val="18"/>
              </w:rPr>
            </w:pPr>
            <w:r>
              <w:rPr>
                <w:rFonts w:ascii="Verdana" w:hAnsi="Verdana"/>
                <w:i/>
                <w:noProof/>
                <w:color w:val="000000"/>
                <w:sz w:val="18"/>
              </w:rPr>
              <w:t xml:space="preserve">Емисионни премии </w:t>
            </w:r>
          </w:p>
        </w:tc>
        <w:tc>
          <w:tcPr>
            <w:tcW w:w="1257"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674</w:t>
            </w:r>
          </w:p>
        </w:tc>
        <w:tc>
          <w:tcPr>
            <w:tcW w:w="1358"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2</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rPr>
                <w:rFonts w:ascii="Verdana" w:eastAsia="Times New Roman" w:hAnsi="Verdana" w:cs="Verdana"/>
                <w:i/>
                <w:noProof/>
                <w:color w:val="000000"/>
                <w:sz w:val="18"/>
              </w:rPr>
            </w:pPr>
            <w:r>
              <w:rPr>
                <w:rFonts w:ascii="Verdana" w:hAnsi="Verdana"/>
                <w:i/>
                <w:noProof/>
                <w:color w:val="000000"/>
                <w:sz w:val="18"/>
              </w:rPr>
              <w:t>Премия върху задължение по финансова гаранция</w:t>
            </w:r>
          </w:p>
        </w:tc>
        <w:tc>
          <w:tcPr>
            <w:tcW w:w="1257"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258</w:t>
            </w:r>
          </w:p>
        </w:tc>
        <w:tc>
          <w:tcPr>
            <w:tcW w:w="1358"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193</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rPr>
                <w:rFonts w:ascii="Verdana" w:eastAsia="Times New Roman" w:hAnsi="Verdana" w:cs="Verdana"/>
                <w:i/>
                <w:noProof/>
                <w:color w:val="000000"/>
                <w:sz w:val="18"/>
              </w:rPr>
            </w:pPr>
            <w:r>
              <w:rPr>
                <w:rFonts w:ascii="Verdana" w:hAnsi="Verdana"/>
                <w:i/>
                <w:noProof/>
                <w:color w:val="000000"/>
                <w:sz w:val="18"/>
              </w:rPr>
              <w:t>Дивиденти</w:t>
            </w:r>
          </w:p>
        </w:tc>
        <w:tc>
          <w:tcPr>
            <w:tcW w:w="1257"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22</w:t>
            </w:r>
          </w:p>
        </w:tc>
        <w:tc>
          <w:tcPr>
            <w:tcW w:w="1358"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29</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rPr>
                <w:rFonts w:ascii="Verdana" w:eastAsia="Times New Roman" w:hAnsi="Verdana" w:cs="Verdana"/>
                <w:i/>
                <w:noProof/>
                <w:color w:val="000000"/>
                <w:sz w:val="18"/>
              </w:rPr>
            </w:pPr>
            <w:r>
              <w:rPr>
                <w:rFonts w:ascii="Verdana" w:hAnsi="Verdana"/>
                <w:i/>
                <w:noProof/>
                <w:color w:val="000000"/>
                <w:sz w:val="18"/>
              </w:rPr>
              <w:t>Финансови приходи от финансови активи или пасиви по справедлива стойност чрез излишъка или дефицита</w:t>
            </w:r>
          </w:p>
        </w:tc>
        <w:tc>
          <w:tcPr>
            <w:tcW w:w="1257"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70</w:t>
            </w:r>
          </w:p>
        </w:tc>
        <w:tc>
          <w:tcPr>
            <w:tcW w:w="1358"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125</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rPr>
                <w:rFonts w:ascii="Verdana" w:eastAsia="Times New Roman" w:hAnsi="Verdana" w:cs="Verdana"/>
                <w:i/>
                <w:noProof/>
                <w:color w:val="000000"/>
                <w:sz w:val="18"/>
              </w:rPr>
            </w:pPr>
            <w:r>
              <w:rPr>
                <w:rFonts w:ascii="Verdana" w:hAnsi="Verdana"/>
                <w:i/>
                <w:noProof/>
                <w:color w:val="000000"/>
                <w:sz w:val="18"/>
              </w:rPr>
              <w:t>Реализирани печалби от финансови активи, обявени за продажба</w:t>
            </w:r>
          </w:p>
        </w:tc>
        <w:tc>
          <w:tcPr>
            <w:tcW w:w="1257"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48</w:t>
            </w:r>
          </w:p>
        </w:tc>
        <w:tc>
          <w:tcPr>
            <w:tcW w:w="1358"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82</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rPr>
                <w:rFonts w:ascii="Verdana" w:eastAsia="Times New Roman" w:hAnsi="Verdana" w:cs="Verdana"/>
                <w:i/>
                <w:noProof/>
                <w:color w:val="000000"/>
                <w:sz w:val="18"/>
              </w:rPr>
            </w:pPr>
            <w:r>
              <w:rPr>
                <w:rFonts w:ascii="Verdana" w:hAnsi="Verdana"/>
                <w:i/>
                <w:noProof/>
                <w:color w:val="000000"/>
                <w:sz w:val="18"/>
              </w:rPr>
              <w:t>Други</w:t>
            </w:r>
          </w:p>
        </w:tc>
        <w:tc>
          <w:tcPr>
            <w:tcW w:w="1257"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3</w:t>
            </w:r>
          </w:p>
        </w:tc>
        <w:tc>
          <w:tcPr>
            <w:tcW w:w="1358" w:type="dxa"/>
            <w:tcBorders>
              <w:top w:val="nil"/>
              <w:left w:val="nil"/>
              <w:bottom w:val="nil"/>
              <w:right w:val="nil"/>
            </w:tcBorders>
            <w:shd w:val="solid" w:color="FFFFFF" w:fill="FFFFFF"/>
            <w:tcMar>
              <w:top w:w="0" w:type="dxa"/>
              <w:left w:w="60" w:type="dxa"/>
              <w:bottom w:w="0" w:type="dxa"/>
              <w:right w:w="60" w:type="dxa"/>
            </w:tcMar>
            <w:vAlign w:val="center"/>
          </w:tcPr>
          <w:p>
            <w:pPr>
              <w:pStyle w:val="DMETW19874BIPFINREV"/>
              <w:jc w:val="right"/>
              <w:rPr>
                <w:rFonts w:ascii="Verdana" w:eastAsia="Times New Roman" w:hAnsi="Verdana" w:cs="Verdana"/>
                <w:i/>
                <w:noProof/>
                <w:color w:val="000000"/>
                <w:sz w:val="18"/>
              </w:rPr>
            </w:pPr>
            <w:r>
              <w:rPr>
                <w:rFonts w:ascii="Verdana" w:hAnsi="Verdana"/>
                <w:i/>
                <w:noProof/>
                <w:color w:val="000000"/>
                <w:sz w:val="18"/>
              </w:rPr>
              <w:t xml:space="preserve"> 2</w:t>
            </w:r>
          </w:p>
        </w:tc>
      </w:tr>
      <w:tr>
        <w:trPr>
          <w:trHeight w:val="255"/>
        </w:trPr>
        <w:tc>
          <w:tcPr>
            <w:tcW w:w="7143" w:type="dxa"/>
            <w:tcBorders>
              <w:top w:val="nil"/>
              <w:left w:val="nil"/>
              <w:bottom w:val="nil"/>
              <w:right w:val="nil"/>
            </w:tcBorders>
            <w:shd w:val="solid" w:color="CCE1EA" w:fill="FFFFFF"/>
            <w:tcMar>
              <w:top w:w="0" w:type="dxa"/>
              <w:left w:w="60" w:type="dxa"/>
              <w:bottom w:w="0" w:type="dxa"/>
              <w:right w:w="60" w:type="dxa"/>
            </w:tcMar>
            <w:vAlign w:val="center"/>
          </w:tcPr>
          <w:p>
            <w:pPr>
              <w:pStyle w:val="DMETW19874BIPFINREV"/>
              <w:rPr>
                <w:rFonts w:ascii="Verdana" w:eastAsia="Times New Roman" w:hAnsi="Verdana" w:cs="Verdana"/>
                <w:b/>
                <w:noProof/>
                <w:color w:val="000000"/>
                <w:sz w:val="18"/>
              </w:rPr>
            </w:pPr>
            <w:r>
              <w:rPr>
                <w:rFonts w:ascii="Verdana" w:hAnsi="Verdana"/>
                <w:b/>
                <w:noProof/>
                <w:color w:val="000000"/>
                <w:sz w:val="18"/>
              </w:rPr>
              <w:t>Общо</w:t>
            </w:r>
          </w:p>
        </w:tc>
        <w:tc>
          <w:tcPr>
            <w:tcW w:w="1257" w:type="dxa"/>
            <w:tcBorders>
              <w:top w:val="nil"/>
              <w:left w:val="nil"/>
              <w:bottom w:val="nil"/>
              <w:right w:val="nil"/>
            </w:tcBorders>
            <w:shd w:val="solid" w:color="CCE1EA" w:fill="FFFFFF"/>
            <w:tcMar>
              <w:top w:w="0" w:type="dxa"/>
              <w:left w:w="60" w:type="dxa"/>
              <w:bottom w:w="0" w:type="dxa"/>
              <w:right w:w="60" w:type="dxa"/>
            </w:tcMar>
            <w:vAlign w:val="center"/>
          </w:tcPr>
          <w:p>
            <w:pPr>
              <w:pStyle w:val="DMETW19874BIPFINREV"/>
              <w:jc w:val="right"/>
              <w:rPr>
                <w:rFonts w:ascii="Verdana" w:eastAsia="Times New Roman" w:hAnsi="Verdana" w:cs="Verdana"/>
                <w:b/>
                <w:noProof/>
                <w:color w:val="000000"/>
                <w:sz w:val="18"/>
              </w:rPr>
            </w:pPr>
            <w:r>
              <w:rPr>
                <w:rFonts w:ascii="Verdana" w:hAnsi="Verdana"/>
                <w:b/>
                <w:noProof/>
                <w:color w:val="000000"/>
                <w:sz w:val="18"/>
              </w:rPr>
              <w:t>3 434</w:t>
            </w:r>
          </w:p>
        </w:tc>
        <w:tc>
          <w:tcPr>
            <w:tcW w:w="1358" w:type="dxa"/>
            <w:tcBorders>
              <w:top w:val="nil"/>
              <w:left w:val="nil"/>
              <w:bottom w:val="nil"/>
              <w:right w:val="nil"/>
            </w:tcBorders>
            <w:shd w:val="solid" w:color="CCE1EA" w:fill="FFFFFF"/>
            <w:tcMar>
              <w:top w:w="0" w:type="dxa"/>
              <w:left w:w="60" w:type="dxa"/>
              <w:bottom w:w="0" w:type="dxa"/>
              <w:right w:w="60" w:type="dxa"/>
            </w:tcMar>
            <w:vAlign w:val="center"/>
          </w:tcPr>
          <w:p>
            <w:pPr>
              <w:pStyle w:val="DMETW19874BIPFINREV"/>
              <w:jc w:val="right"/>
              <w:rPr>
                <w:rFonts w:ascii="Verdana" w:eastAsia="Times New Roman" w:hAnsi="Verdana" w:cs="Verdana"/>
                <w:b/>
                <w:noProof/>
                <w:color w:val="000000"/>
                <w:sz w:val="18"/>
              </w:rPr>
            </w:pPr>
            <w:r>
              <w:rPr>
                <w:rFonts w:ascii="Verdana" w:hAnsi="Verdana"/>
                <w:b/>
                <w:noProof/>
                <w:color w:val="000000"/>
                <w:sz w:val="18"/>
              </w:rPr>
              <w:t>1 817</w:t>
            </w:r>
          </w:p>
        </w:tc>
      </w:tr>
    </w:tbl>
    <w:p>
      <w:pPr>
        <w:pStyle w:val="Textstand-alone"/>
        <w:spacing w:after="0"/>
        <w:rPr>
          <w:rFonts w:eastAsia="Calibri"/>
        </w:rPr>
      </w:pPr>
      <w:r>
        <w:t xml:space="preserve">Приходите от лихви за забава произтичат предимно от глоби и вноски собствени ресурси, които са дължими, но не са платени в срок. Основните суми се отнасят до производството за нарушение, посочено в бележка </w:t>
      </w:r>
      <w:r>
        <w:rPr>
          <w:b/>
        </w:rPr>
        <w:t>2.6.1.1</w:t>
      </w:r>
      <w:r>
        <w:t xml:space="preserve"> (0,5 милиарда евро), и до прогнозните приходи по дело срещу Нидерландия за избягване на антидъмпингови мита върху слънчеви панели (0,3 милиарда евро).</w:t>
      </w:r>
    </w:p>
    <w:p>
      <w:pPr>
        <w:pStyle w:val="Textstand-alone"/>
        <w:spacing w:after="0"/>
      </w:pPr>
      <w:r>
        <w:t>Приходите от лихви върху заеми се отнасят предимно до заемите, отпуснати за финансова помощ — вж. бележка </w:t>
      </w:r>
      <w:r>
        <w:rPr>
          <w:b/>
        </w:rPr>
        <w:t>2.4.3</w:t>
      </w:r>
      <w:r>
        <w:t>.</w:t>
      </w:r>
    </w:p>
    <w:p>
      <w:pPr>
        <w:pStyle w:val="Textstand-alone"/>
        <w:spacing w:after="0"/>
      </w:pPr>
      <w:r>
        <w:t xml:space="preserve">Емисионните премии в размер на 674 милиона евро са свързани предимно с емитирането на заеми по SURE, за които постъпленията са получени над номиналната стойност на емитираните облигации. Тези приходи бяха прехвърлени на държавите членки, ползващи се от програмите за подпомагане, което води до признаване на финансови разходи в размер на 672 милиона евро — вж. бележка </w:t>
      </w:r>
      <w:r>
        <w:rPr>
          <w:b/>
        </w:rPr>
        <w:t>3.14</w:t>
      </w:r>
      <w:r>
        <w:t>.</w:t>
      </w:r>
    </w:p>
    <w:p>
      <w:pPr>
        <w:pStyle w:val="Textstand-alone"/>
        <w:spacing w:after="0"/>
      </w:pPr>
      <w:r>
        <w:t xml:space="preserve">Премията върху задължението по финансова гаранция се отнася предимно до приходите, свързани с поделяне на риска, получени от ЕИБ във връзка с гаранцията на ЕФСИ по дълговия портфейл на ИИП на ЕФСИ — вж. бележка </w:t>
      </w:r>
      <w:r>
        <w:rPr>
          <w:b/>
        </w:rPr>
        <w:t>2.11.3</w:t>
      </w:r>
      <w:r>
        <w:t>.</w:t>
      </w:r>
    </w:p>
    <w:p>
      <w:pPr>
        <w:pStyle w:val="HEADER2NOTES"/>
        <w:ind w:left="0" w:firstLine="0"/>
        <w:rPr>
          <w:noProof/>
        </w:rPr>
      </w:pPr>
      <w:r>
        <w:rPr>
          <w:noProof/>
        </w:rPr>
        <w:t>ДРУГИ ПРИХОДИ ОТ ОПЕРАЦИИ С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4"/>
        <w:gridCol w:w="1517"/>
        <w:gridCol w:w="1517"/>
      </w:tblGrid>
      <w:tr>
        <w:trPr>
          <w:trHeight w:val="255"/>
        </w:trPr>
        <w:tc>
          <w:tcPr>
            <w:tcW w:w="6724" w:type="dxa"/>
            <w:tcBorders>
              <w:top w:val="nil"/>
              <w:left w:val="nil"/>
              <w:bottom w:val="nil"/>
              <w:right w:val="nil"/>
            </w:tcBorders>
            <w:tcMar>
              <w:top w:w="0" w:type="dxa"/>
              <w:left w:w="60" w:type="dxa"/>
              <w:bottom w:w="0" w:type="dxa"/>
              <w:right w:w="60" w:type="dxa"/>
            </w:tcMar>
            <w:vAlign w:val="bottom"/>
          </w:tcPr>
          <w:p>
            <w:pPr>
              <w:pStyle w:val="DMETW19892BIPOER"/>
              <w:rPr>
                <w:rFonts w:ascii="Arial" w:eastAsia="Times New Roman" w:hAnsi="Arial" w:cs="Arial"/>
                <w:noProof/>
                <w:color w:val="000000"/>
              </w:rPr>
            </w:pPr>
            <w:bookmarkStart w:id="165" w:name="DOC_TBL00067_1_1"/>
            <w:bookmarkEnd w:id="165"/>
          </w:p>
        </w:tc>
        <w:tc>
          <w:tcPr>
            <w:tcW w:w="1517" w:type="dxa"/>
            <w:tcBorders>
              <w:top w:val="nil"/>
              <w:left w:val="nil"/>
              <w:bottom w:val="nil"/>
              <w:right w:val="nil"/>
            </w:tcBorders>
            <w:tcMar>
              <w:top w:w="0" w:type="dxa"/>
              <w:left w:w="60" w:type="dxa"/>
              <w:bottom w:w="0" w:type="dxa"/>
              <w:right w:w="60" w:type="dxa"/>
            </w:tcMar>
            <w:vAlign w:val="bottom"/>
          </w:tcPr>
          <w:p>
            <w:pPr>
              <w:pStyle w:val="DMETW19892BIPOER"/>
              <w:rPr>
                <w:rFonts w:ascii="Arial" w:eastAsia="Times New Roman" w:hAnsi="Arial" w:cs="Arial"/>
                <w:noProof/>
                <w:color w:val="000000"/>
              </w:rPr>
            </w:pPr>
          </w:p>
        </w:tc>
        <w:tc>
          <w:tcPr>
            <w:tcW w:w="1517" w:type="dxa"/>
            <w:tcBorders>
              <w:top w:val="nil"/>
              <w:left w:val="nil"/>
              <w:bottom w:val="nil"/>
              <w:right w:val="nil"/>
            </w:tcBorders>
            <w:tcMar>
              <w:top w:w="0" w:type="dxa"/>
              <w:left w:w="60" w:type="dxa"/>
              <w:bottom w:w="0" w:type="dxa"/>
              <w:right w:w="60" w:type="dxa"/>
            </w:tcMar>
            <w:vAlign w:val="bottom"/>
          </w:tcPr>
          <w:p>
            <w:pPr>
              <w:pStyle w:val="DMETW19892BIPOER"/>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6724" w:type="dxa"/>
            <w:tcBorders>
              <w:top w:val="nil"/>
              <w:left w:val="nil"/>
              <w:bottom w:val="nil"/>
              <w:right w:val="nil"/>
            </w:tcBorders>
            <w:shd w:val="solid" w:color="016794" w:fill="FFFFFF"/>
            <w:tcMar>
              <w:top w:w="0" w:type="dxa"/>
              <w:left w:w="60" w:type="dxa"/>
              <w:bottom w:w="0" w:type="dxa"/>
              <w:right w:w="60" w:type="dxa"/>
            </w:tcMar>
            <w:vAlign w:val="center"/>
          </w:tcPr>
          <w:p>
            <w:pPr>
              <w:pStyle w:val="DMETW19892BIPOER"/>
              <w:jc w:val="right"/>
              <w:rPr>
                <w:rFonts w:ascii="Verdana" w:eastAsia="Times New Roman" w:hAnsi="Verdana" w:cs="Verdana"/>
                <w:noProof/>
                <w:color w:val="FFFFFF"/>
              </w:rPr>
            </w:pPr>
          </w:p>
        </w:tc>
        <w:tc>
          <w:tcPr>
            <w:tcW w:w="1517" w:type="dxa"/>
            <w:tcBorders>
              <w:top w:val="nil"/>
              <w:left w:val="nil"/>
              <w:bottom w:val="nil"/>
              <w:right w:val="nil"/>
            </w:tcBorders>
            <w:shd w:val="solid" w:color="016794" w:fill="FFFFFF"/>
            <w:tcMar>
              <w:top w:w="0" w:type="dxa"/>
              <w:left w:w="60" w:type="dxa"/>
              <w:bottom w:w="0" w:type="dxa"/>
              <w:right w:w="60" w:type="dxa"/>
            </w:tcMar>
            <w:vAlign w:val="center"/>
          </w:tcPr>
          <w:p>
            <w:pPr>
              <w:pStyle w:val="DMETW19892BIPOER"/>
              <w:jc w:val="right"/>
              <w:rPr>
                <w:rFonts w:ascii="Verdana" w:eastAsia="Times New Roman" w:hAnsi="Verdana" w:cs="Verdana"/>
                <w:noProof/>
                <w:color w:val="FFFFFF"/>
              </w:rPr>
            </w:pPr>
            <w:r>
              <w:rPr>
                <w:rFonts w:ascii="Verdana" w:hAnsi="Verdana"/>
                <w:noProof/>
                <w:color w:val="FFFFFF"/>
              </w:rPr>
              <w:t>2020 г.</w:t>
            </w:r>
          </w:p>
        </w:tc>
        <w:tc>
          <w:tcPr>
            <w:tcW w:w="1517" w:type="dxa"/>
            <w:tcBorders>
              <w:top w:val="nil"/>
              <w:left w:val="nil"/>
              <w:bottom w:val="nil"/>
              <w:right w:val="nil"/>
            </w:tcBorders>
            <w:shd w:val="solid" w:color="016794" w:fill="FFFFFF"/>
            <w:tcMar>
              <w:top w:w="0" w:type="dxa"/>
              <w:left w:w="60" w:type="dxa"/>
              <w:bottom w:w="0" w:type="dxa"/>
              <w:right w:w="60" w:type="dxa"/>
            </w:tcMar>
            <w:vAlign w:val="center"/>
          </w:tcPr>
          <w:p>
            <w:pPr>
              <w:pStyle w:val="DMETW19892BIPOER"/>
              <w:jc w:val="right"/>
              <w:rPr>
                <w:rFonts w:ascii="Verdana" w:eastAsia="Times New Roman" w:hAnsi="Verdana" w:cs="Verdana"/>
                <w:noProof/>
                <w:color w:val="FFFFFF"/>
              </w:rPr>
            </w:pPr>
            <w:r>
              <w:rPr>
                <w:rFonts w:ascii="Verdana" w:hAnsi="Verdana"/>
                <w:noProof/>
                <w:color w:val="FFFFFF"/>
              </w:rPr>
              <w:t>2019 г.</w:t>
            </w:r>
          </w:p>
        </w:tc>
      </w:tr>
      <w:tr>
        <w:trPr>
          <w:trHeight w:val="255"/>
        </w:trPr>
        <w:tc>
          <w:tcPr>
            <w:tcW w:w="6724" w:type="dxa"/>
            <w:tcBorders>
              <w:top w:val="nil"/>
              <w:left w:val="nil"/>
              <w:bottom w:val="nil"/>
              <w:right w:val="nil"/>
            </w:tcBorders>
            <w:tcMar>
              <w:top w:w="0" w:type="dxa"/>
              <w:left w:w="60" w:type="dxa"/>
              <w:bottom w:w="0" w:type="dxa"/>
              <w:right w:w="60" w:type="dxa"/>
            </w:tcMar>
            <w:vAlign w:val="center"/>
          </w:tcPr>
          <w:p>
            <w:pPr>
              <w:pStyle w:val="DMETW19892BIPOER"/>
              <w:rPr>
                <w:rFonts w:ascii="Verdana" w:eastAsia="Times New Roman" w:hAnsi="Verdana" w:cs="Verdana"/>
                <w:i/>
                <w:noProof/>
                <w:color w:val="000000"/>
                <w:sz w:val="18"/>
              </w:rPr>
            </w:pPr>
            <w:r>
              <w:rPr>
                <w:rFonts w:ascii="Verdana" w:hAnsi="Verdana"/>
                <w:i/>
                <w:noProof/>
                <w:color w:val="000000"/>
                <w:sz w:val="18"/>
              </w:rPr>
              <w:t>Приходи от такси за предоставяне на услуги (агенции)</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640</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592</w:t>
            </w:r>
          </w:p>
        </w:tc>
      </w:tr>
      <w:tr>
        <w:trPr>
          <w:trHeight w:val="255"/>
        </w:trPr>
        <w:tc>
          <w:tcPr>
            <w:tcW w:w="6724" w:type="dxa"/>
            <w:tcBorders>
              <w:top w:val="nil"/>
              <w:left w:val="nil"/>
              <w:bottom w:val="nil"/>
              <w:right w:val="nil"/>
            </w:tcBorders>
            <w:tcMar>
              <w:top w:w="0" w:type="dxa"/>
              <w:left w:w="60" w:type="dxa"/>
              <w:bottom w:w="0" w:type="dxa"/>
              <w:right w:w="60" w:type="dxa"/>
            </w:tcMar>
            <w:vAlign w:val="center"/>
          </w:tcPr>
          <w:p>
            <w:pPr>
              <w:pStyle w:val="DMETW19892BIPOER"/>
              <w:rPr>
                <w:rFonts w:ascii="Verdana" w:eastAsia="Times New Roman" w:hAnsi="Verdana" w:cs="Verdana"/>
                <w:i/>
                <w:noProof/>
                <w:color w:val="000000"/>
                <w:sz w:val="18"/>
              </w:rPr>
            </w:pPr>
            <w:r>
              <w:rPr>
                <w:rFonts w:ascii="Verdana" w:hAnsi="Verdana"/>
                <w:i/>
                <w:noProof/>
                <w:color w:val="000000"/>
                <w:sz w:val="18"/>
              </w:rPr>
              <w:t>Печалби от курсови разлики</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370</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347</w:t>
            </w:r>
          </w:p>
        </w:tc>
      </w:tr>
      <w:tr>
        <w:trPr>
          <w:trHeight w:val="255"/>
        </w:trPr>
        <w:tc>
          <w:tcPr>
            <w:tcW w:w="6724" w:type="dxa"/>
            <w:tcBorders>
              <w:top w:val="nil"/>
              <w:left w:val="nil"/>
              <w:bottom w:val="nil"/>
              <w:right w:val="nil"/>
            </w:tcBorders>
            <w:tcMar>
              <w:top w:w="0" w:type="dxa"/>
              <w:left w:w="60" w:type="dxa"/>
              <w:bottom w:w="0" w:type="dxa"/>
              <w:right w:w="60" w:type="dxa"/>
            </w:tcMar>
            <w:vAlign w:val="center"/>
          </w:tcPr>
          <w:p>
            <w:pPr>
              <w:pStyle w:val="DMETW19892BIPOER"/>
              <w:rPr>
                <w:rFonts w:ascii="Verdana" w:eastAsia="Times New Roman" w:hAnsi="Verdana" w:cs="Verdana"/>
                <w:i/>
                <w:noProof/>
                <w:color w:val="000000"/>
                <w:sz w:val="18"/>
              </w:rPr>
            </w:pPr>
            <w:r>
              <w:rPr>
                <w:rFonts w:ascii="Verdana" w:hAnsi="Verdana"/>
                <w:i/>
                <w:noProof/>
                <w:color w:val="000000"/>
                <w:sz w:val="18"/>
              </w:rPr>
              <w:t>Продажба на стоки</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48</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31</w:t>
            </w:r>
          </w:p>
        </w:tc>
      </w:tr>
      <w:tr>
        <w:trPr>
          <w:trHeight w:val="255"/>
        </w:trPr>
        <w:tc>
          <w:tcPr>
            <w:tcW w:w="6724" w:type="dxa"/>
            <w:tcBorders>
              <w:top w:val="nil"/>
              <w:left w:val="nil"/>
              <w:bottom w:val="nil"/>
              <w:right w:val="nil"/>
            </w:tcBorders>
            <w:tcMar>
              <w:top w:w="0" w:type="dxa"/>
              <w:left w:w="60" w:type="dxa"/>
              <w:bottom w:w="0" w:type="dxa"/>
              <w:right w:w="60" w:type="dxa"/>
            </w:tcMar>
            <w:vAlign w:val="center"/>
          </w:tcPr>
          <w:p>
            <w:pPr>
              <w:pStyle w:val="DMETW19892BIPOER"/>
              <w:rPr>
                <w:rFonts w:ascii="Verdana" w:eastAsia="Times New Roman" w:hAnsi="Verdana" w:cs="Verdana"/>
                <w:i/>
                <w:noProof/>
                <w:color w:val="000000"/>
                <w:sz w:val="18"/>
              </w:rPr>
            </w:pPr>
            <w:r>
              <w:rPr>
                <w:rFonts w:ascii="Verdana" w:hAnsi="Verdana"/>
                <w:i/>
                <w:noProof/>
                <w:color w:val="000000"/>
                <w:sz w:val="18"/>
              </w:rPr>
              <w:t>Дял от нетния резултат на ЕИФ</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38</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53</w:t>
            </w:r>
          </w:p>
        </w:tc>
      </w:tr>
      <w:tr>
        <w:trPr>
          <w:trHeight w:val="255"/>
        </w:trPr>
        <w:tc>
          <w:tcPr>
            <w:tcW w:w="6724" w:type="dxa"/>
            <w:tcBorders>
              <w:top w:val="nil"/>
              <w:left w:val="nil"/>
              <w:bottom w:val="nil"/>
              <w:right w:val="nil"/>
            </w:tcBorders>
            <w:tcMar>
              <w:top w:w="0" w:type="dxa"/>
              <w:left w:w="60" w:type="dxa"/>
              <w:bottom w:w="0" w:type="dxa"/>
              <w:right w:w="60" w:type="dxa"/>
            </w:tcMar>
            <w:vAlign w:val="center"/>
          </w:tcPr>
          <w:p>
            <w:pPr>
              <w:pStyle w:val="DMETW19892BIPOER"/>
              <w:rPr>
                <w:rFonts w:ascii="Verdana" w:eastAsia="Times New Roman" w:hAnsi="Verdana" w:cs="Verdana"/>
                <w:i/>
                <w:noProof/>
                <w:color w:val="000000"/>
                <w:sz w:val="18"/>
              </w:rPr>
            </w:pPr>
            <w:r>
              <w:rPr>
                <w:rFonts w:ascii="Verdana" w:hAnsi="Verdana"/>
                <w:i/>
                <w:noProof/>
                <w:color w:val="000000"/>
                <w:sz w:val="18"/>
              </w:rPr>
              <w:t>Приходи от такси и от премии, свързани с финансовите инструменти</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34</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43</w:t>
            </w:r>
          </w:p>
        </w:tc>
      </w:tr>
      <w:tr>
        <w:trPr>
          <w:trHeight w:val="255"/>
        </w:trPr>
        <w:tc>
          <w:tcPr>
            <w:tcW w:w="6724" w:type="dxa"/>
            <w:tcBorders>
              <w:top w:val="nil"/>
              <w:left w:val="nil"/>
              <w:bottom w:val="nil"/>
              <w:right w:val="nil"/>
            </w:tcBorders>
            <w:tcMar>
              <w:top w:w="0" w:type="dxa"/>
              <w:left w:w="60" w:type="dxa"/>
              <w:bottom w:w="0" w:type="dxa"/>
              <w:right w:w="60" w:type="dxa"/>
            </w:tcMar>
            <w:vAlign w:val="center"/>
          </w:tcPr>
          <w:p>
            <w:pPr>
              <w:pStyle w:val="DMETW19892BIPOER"/>
              <w:rPr>
                <w:rFonts w:ascii="Verdana" w:eastAsia="Times New Roman" w:hAnsi="Verdana" w:cs="Verdana"/>
                <w:i/>
                <w:noProof/>
                <w:color w:val="000000"/>
                <w:sz w:val="18"/>
              </w:rPr>
            </w:pPr>
            <w:r>
              <w:rPr>
                <w:rFonts w:ascii="Verdana" w:hAnsi="Verdana"/>
                <w:i/>
                <w:noProof/>
                <w:color w:val="000000"/>
                <w:sz w:val="18"/>
              </w:rPr>
              <w:t>Приходи, свързани с дълготрайните активи</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5</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5</w:t>
            </w:r>
          </w:p>
        </w:tc>
      </w:tr>
      <w:tr>
        <w:trPr>
          <w:trHeight w:val="255"/>
        </w:trPr>
        <w:tc>
          <w:tcPr>
            <w:tcW w:w="6724" w:type="dxa"/>
            <w:tcBorders>
              <w:top w:val="nil"/>
              <w:left w:val="nil"/>
              <w:bottom w:val="nil"/>
              <w:right w:val="nil"/>
            </w:tcBorders>
            <w:tcMar>
              <w:top w:w="0" w:type="dxa"/>
              <w:left w:w="60" w:type="dxa"/>
              <w:bottom w:w="0" w:type="dxa"/>
              <w:right w:w="60" w:type="dxa"/>
            </w:tcMar>
            <w:vAlign w:val="center"/>
          </w:tcPr>
          <w:p>
            <w:pPr>
              <w:pStyle w:val="DMETW19892BIPOER"/>
              <w:rPr>
                <w:rFonts w:ascii="Verdana" w:eastAsia="Times New Roman" w:hAnsi="Verdana" w:cs="Verdana"/>
                <w:i/>
                <w:noProof/>
                <w:color w:val="000000"/>
                <w:sz w:val="18"/>
              </w:rPr>
            </w:pPr>
            <w:r>
              <w:rPr>
                <w:rFonts w:ascii="Verdana" w:hAnsi="Verdana"/>
                <w:i/>
                <w:noProof/>
                <w:color w:val="000000"/>
                <w:sz w:val="18"/>
              </w:rPr>
              <w:t>Други</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269</w:t>
            </w:r>
          </w:p>
        </w:tc>
        <w:tc>
          <w:tcPr>
            <w:tcW w:w="1517" w:type="dxa"/>
            <w:tcBorders>
              <w:top w:val="nil"/>
              <w:left w:val="nil"/>
              <w:bottom w:val="nil"/>
              <w:right w:val="nil"/>
            </w:tcBorders>
            <w:tcMar>
              <w:top w:w="0" w:type="dxa"/>
              <w:left w:w="60" w:type="dxa"/>
              <w:bottom w:w="0" w:type="dxa"/>
              <w:right w:w="60" w:type="dxa"/>
            </w:tcMar>
            <w:vAlign w:val="center"/>
          </w:tcPr>
          <w:p>
            <w:pPr>
              <w:pStyle w:val="DMETW19892BIPOER"/>
              <w:jc w:val="right"/>
              <w:rPr>
                <w:rFonts w:ascii="Verdana" w:eastAsia="Times New Roman" w:hAnsi="Verdana" w:cs="Verdana"/>
                <w:i/>
                <w:noProof/>
                <w:color w:val="000000"/>
                <w:sz w:val="18"/>
              </w:rPr>
            </w:pPr>
            <w:r>
              <w:rPr>
                <w:rFonts w:ascii="Verdana" w:hAnsi="Verdana"/>
                <w:i/>
                <w:noProof/>
                <w:color w:val="000000"/>
                <w:sz w:val="18"/>
              </w:rPr>
              <w:t xml:space="preserve"> 227</w:t>
            </w:r>
          </w:p>
        </w:tc>
      </w:tr>
      <w:tr>
        <w:trPr>
          <w:trHeight w:val="255"/>
        </w:trPr>
        <w:tc>
          <w:tcPr>
            <w:tcW w:w="6724" w:type="dxa"/>
            <w:tcBorders>
              <w:top w:val="nil"/>
              <w:left w:val="nil"/>
              <w:bottom w:val="nil"/>
              <w:right w:val="nil"/>
            </w:tcBorders>
            <w:shd w:val="solid" w:color="CCE1EA" w:fill="FFFFFF"/>
            <w:tcMar>
              <w:top w:w="0" w:type="dxa"/>
              <w:left w:w="60" w:type="dxa"/>
              <w:bottom w:w="0" w:type="dxa"/>
              <w:right w:w="60" w:type="dxa"/>
            </w:tcMar>
            <w:vAlign w:val="center"/>
          </w:tcPr>
          <w:p>
            <w:pPr>
              <w:pStyle w:val="DMETW19892BIPOER"/>
              <w:rPr>
                <w:rFonts w:ascii="Verdana" w:eastAsia="Times New Roman" w:hAnsi="Verdana" w:cs="Verdana"/>
                <w:b/>
                <w:noProof/>
                <w:color w:val="000000"/>
                <w:sz w:val="18"/>
              </w:rPr>
            </w:pPr>
            <w:r>
              <w:rPr>
                <w:rFonts w:ascii="Verdana" w:hAnsi="Verdana"/>
                <w:b/>
                <w:noProof/>
                <w:color w:val="000000"/>
                <w:sz w:val="18"/>
              </w:rPr>
              <w:t>Общо</w:t>
            </w:r>
          </w:p>
        </w:tc>
        <w:tc>
          <w:tcPr>
            <w:tcW w:w="1517" w:type="dxa"/>
            <w:tcBorders>
              <w:top w:val="nil"/>
              <w:left w:val="nil"/>
              <w:bottom w:val="nil"/>
              <w:right w:val="nil"/>
            </w:tcBorders>
            <w:shd w:val="solid" w:color="CCE1EA" w:fill="FFFFFF"/>
            <w:tcMar>
              <w:top w:w="0" w:type="dxa"/>
              <w:left w:w="60" w:type="dxa"/>
              <w:bottom w:w="0" w:type="dxa"/>
              <w:right w:w="60" w:type="dxa"/>
            </w:tcMar>
            <w:vAlign w:val="center"/>
          </w:tcPr>
          <w:p>
            <w:pPr>
              <w:pStyle w:val="DMETW19892BIPOER"/>
              <w:jc w:val="right"/>
              <w:rPr>
                <w:rFonts w:ascii="Verdana" w:eastAsia="Times New Roman" w:hAnsi="Verdana" w:cs="Verdana"/>
                <w:b/>
                <w:noProof/>
                <w:color w:val="000000"/>
                <w:sz w:val="18"/>
              </w:rPr>
            </w:pPr>
            <w:r>
              <w:rPr>
                <w:rFonts w:ascii="Verdana" w:hAnsi="Verdana"/>
                <w:b/>
                <w:noProof/>
                <w:color w:val="000000"/>
                <w:sz w:val="18"/>
              </w:rPr>
              <w:t>1 404</w:t>
            </w:r>
          </w:p>
        </w:tc>
        <w:tc>
          <w:tcPr>
            <w:tcW w:w="1517" w:type="dxa"/>
            <w:tcBorders>
              <w:top w:val="nil"/>
              <w:left w:val="nil"/>
              <w:bottom w:val="nil"/>
              <w:right w:val="nil"/>
            </w:tcBorders>
            <w:shd w:val="solid" w:color="CCE1EA" w:fill="FFFFFF"/>
            <w:tcMar>
              <w:top w:w="0" w:type="dxa"/>
              <w:left w:w="60" w:type="dxa"/>
              <w:bottom w:w="0" w:type="dxa"/>
              <w:right w:w="60" w:type="dxa"/>
            </w:tcMar>
            <w:vAlign w:val="center"/>
          </w:tcPr>
          <w:p>
            <w:pPr>
              <w:pStyle w:val="DMETW19892BIPOER"/>
              <w:jc w:val="right"/>
              <w:rPr>
                <w:rFonts w:ascii="Verdana" w:eastAsia="Times New Roman" w:hAnsi="Verdana" w:cs="Verdana"/>
                <w:b/>
                <w:noProof/>
                <w:color w:val="000000"/>
                <w:sz w:val="18"/>
              </w:rPr>
            </w:pPr>
            <w:r>
              <w:rPr>
                <w:rFonts w:ascii="Verdana" w:hAnsi="Verdana"/>
                <w:b/>
                <w:noProof/>
                <w:color w:val="000000"/>
                <w:sz w:val="18"/>
              </w:rPr>
              <w:t>1 298</w:t>
            </w:r>
          </w:p>
        </w:tc>
      </w:tr>
    </w:tbl>
    <w:p>
      <w:pPr>
        <w:pStyle w:val="DGTextstand-alone"/>
        <w:spacing w:after="0"/>
      </w:pPr>
      <w:r>
        <w:t>Приходите от такси за предоставяне на услуги включват предимно таксите за разрешения за търговия, събирани от Европейската агенция по лекарствата, и таксите за марки, събирани от Службата на Европейския съюз за интелектуална собственост.</w:t>
      </w:r>
    </w:p>
    <w:p>
      <w:pPr>
        <w:pStyle w:val="DGTextstand-alone"/>
        <w:spacing w:after="0"/>
        <w:sectPr>
          <w:headerReference w:type="even" r:id="rId224"/>
          <w:headerReference w:type="default" r:id="rId225"/>
          <w:footerReference w:type="even" r:id="rId226"/>
          <w:footerReference w:type="default" r:id="rId227"/>
          <w:headerReference w:type="first" r:id="rId228"/>
          <w:footerReference w:type="first" r:id="rId229"/>
          <w:type w:val="continuous"/>
          <w:pgSz w:w="11906" w:h="16838"/>
          <w:pgMar w:top="1134" w:right="1134" w:bottom="1134" w:left="1134" w:header="709" w:footer="709" w:gutter="0"/>
          <w:cols w:space="708"/>
          <w:docGrid w:linePitch="360"/>
        </w:sectPr>
      </w:pPr>
      <w:r>
        <w:t xml:space="preserve"> </w:t>
      </w:r>
      <w:bookmarkEnd w:id="161"/>
    </w:p>
    <w:p>
      <w:pPr>
        <w:rPr>
          <w:noProof/>
        </w:rPr>
        <w:sectPr>
          <w:headerReference w:type="even" r:id="rId230"/>
          <w:headerReference w:type="default" r:id="rId231"/>
          <w:footerReference w:type="even" r:id="rId232"/>
          <w:footerReference w:type="default" r:id="rId233"/>
          <w:headerReference w:type="first" r:id="rId234"/>
          <w:footerReference w:type="first" r:id="rId235"/>
          <w:type w:val="continuous"/>
          <w:pgSz w:w="11906" w:h="16838"/>
          <w:pgMar w:top="1134" w:right="1134" w:bottom="1134" w:left="1134" w:header="709" w:footer="709" w:gutter="0"/>
          <w:cols w:space="708"/>
          <w:docGrid w:linePitch="360"/>
        </w:sectPr>
      </w:pPr>
      <w:bookmarkStart w:id="166" w:name="_DMBM_19792"/>
      <w:r>
        <w:rPr>
          <w:noProof/>
        </w:rPr>
        <w:br w:type="page"/>
      </w:r>
      <w:r>
        <w:rPr>
          <w:rFonts w:ascii="Verdana" w:hAnsi="Verdana"/>
          <w:b/>
          <w:noProof/>
          <w:color w:val="016794"/>
          <w:sz w:val="28"/>
          <w:szCs w:val="28"/>
        </w:rPr>
        <w:t>РАЗХОДИ</w:t>
      </w:r>
      <w:r>
        <w:rPr>
          <w:noProof/>
        </w:rPr>
        <w:t xml:space="preserve"> </w:t>
      </w:r>
      <w:bookmarkEnd w:id="166"/>
    </w:p>
    <w:p>
      <w:pPr>
        <w:pStyle w:val="HEADER2NOTES"/>
        <w:rPr>
          <w:noProof/>
        </w:rPr>
      </w:pPr>
      <w:bookmarkStart w:id="167" w:name="_DMBM_19831"/>
      <w:r>
        <w:rPr>
          <w:noProof/>
        </w:rPr>
        <w:t>СПОДЕЛЕНО УПРАВЛЕНИЕ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9"/>
        <w:gridCol w:w="1669"/>
        <w:gridCol w:w="1670"/>
      </w:tblGrid>
      <w:tr>
        <w:trPr>
          <w:trHeight w:val="255"/>
        </w:trPr>
        <w:tc>
          <w:tcPr>
            <w:tcW w:w="6419" w:type="dxa"/>
            <w:tcBorders>
              <w:top w:val="nil"/>
              <w:left w:val="nil"/>
              <w:bottom w:val="nil"/>
              <w:right w:val="nil"/>
              <w:tl2br w:val="nil"/>
              <w:tr2bl w:val="nil"/>
            </w:tcBorders>
            <w:shd w:val="clear" w:color="auto" w:fill="auto"/>
            <w:tcMar>
              <w:left w:w="60" w:type="dxa"/>
              <w:right w:w="60" w:type="dxa"/>
            </w:tcMar>
            <w:vAlign w:val="bottom"/>
          </w:tcPr>
          <w:p>
            <w:pPr>
              <w:pStyle w:val="DMETW19487BIPSM"/>
              <w:rPr>
                <w:rFonts w:ascii="Arial" w:eastAsia="Arial" w:hAnsi="Arial" w:cs="Arial"/>
                <w:noProof/>
                <w:color w:val="000000"/>
              </w:rPr>
            </w:pPr>
            <w:bookmarkStart w:id="168" w:name="DOC_TBL00068_1_1"/>
            <w:bookmarkEnd w:id="168"/>
          </w:p>
        </w:tc>
        <w:tc>
          <w:tcPr>
            <w:tcW w:w="1669" w:type="dxa"/>
            <w:tcBorders>
              <w:top w:val="nil"/>
              <w:left w:val="nil"/>
              <w:bottom w:val="nil"/>
              <w:right w:val="nil"/>
              <w:tl2br w:val="nil"/>
              <w:tr2bl w:val="nil"/>
            </w:tcBorders>
            <w:shd w:val="clear" w:color="auto" w:fill="auto"/>
            <w:tcMar>
              <w:left w:w="60" w:type="dxa"/>
              <w:right w:w="60" w:type="dxa"/>
            </w:tcMar>
            <w:vAlign w:val="bottom"/>
          </w:tcPr>
          <w:p>
            <w:pPr>
              <w:pStyle w:val="DMETW19487BIPSM"/>
              <w:rPr>
                <w:rFonts w:ascii="Arial" w:eastAsia="Arial" w:hAnsi="Arial" w:cs="Arial"/>
                <w:noProof/>
                <w:color w:val="000000"/>
              </w:rPr>
            </w:pPr>
          </w:p>
        </w:tc>
        <w:tc>
          <w:tcPr>
            <w:tcW w:w="1670" w:type="dxa"/>
            <w:tcBorders>
              <w:top w:val="nil"/>
              <w:left w:val="nil"/>
              <w:bottom w:val="nil"/>
              <w:right w:val="nil"/>
              <w:tl2br w:val="nil"/>
              <w:tr2bl w:val="nil"/>
            </w:tcBorders>
            <w:shd w:val="clear" w:color="auto" w:fill="auto"/>
            <w:tcMar>
              <w:left w:w="60" w:type="dxa"/>
              <w:right w:w="60" w:type="dxa"/>
            </w:tcMar>
            <w:vAlign w:val="bottom"/>
          </w:tcPr>
          <w:p>
            <w:pPr>
              <w:pStyle w:val="DMETW19487BIPSM"/>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419" w:type="dxa"/>
            <w:tcBorders>
              <w:top w:val="nil"/>
              <w:left w:val="nil"/>
              <w:bottom w:val="nil"/>
              <w:right w:val="nil"/>
              <w:tl2br w:val="nil"/>
              <w:tr2bl w:val="nil"/>
            </w:tcBorders>
            <w:shd w:val="solid" w:color="016794" w:fill="FFFFFF"/>
            <w:tcMar>
              <w:left w:w="60" w:type="dxa"/>
              <w:right w:w="60" w:type="dxa"/>
            </w:tcMar>
            <w:vAlign w:val="center"/>
          </w:tcPr>
          <w:p>
            <w:pPr>
              <w:pStyle w:val="DMETW19487BIPSM"/>
              <w:rPr>
                <w:rFonts w:ascii="Verdana" w:eastAsia="Verdana" w:hAnsi="Verdana" w:cs="Verdana"/>
                <w:noProof/>
                <w:color w:val="FFFFFF"/>
                <w:sz w:val="18"/>
              </w:rPr>
            </w:pPr>
            <w:r>
              <w:rPr>
                <w:rFonts w:ascii="Verdana" w:hAnsi="Verdana"/>
                <w:noProof/>
                <w:color w:val="FFFFFF"/>
                <w:sz w:val="18"/>
              </w:rPr>
              <w:t>Изпълнено от държавите членки</w:t>
            </w:r>
          </w:p>
        </w:tc>
        <w:tc>
          <w:tcPr>
            <w:tcW w:w="1669" w:type="dxa"/>
            <w:tcBorders>
              <w:top w:val="nil"/>
              <w:left w:val="nil"/>
              <w:bottom w:val="nil"/>
              <w:right w:val="nil"/>
              <w:tl2br w:val="nil"/>
              <w:tr2bl w:val="nil"/>
            </w:tcBorders>
            <w:shd w:val="solid" w:color="016794" w:fill="FFFFFF"/>
            <w:tcMar>
              <w:left w:w="60" w:type="dxa"/>
              <w:right w:w="60" w:type="dxa"/>
            </w:tcMar>
            <w:vAlign w:val="center"/>
          </w:tcPr>
          <w:p>
            <w:pPr>
              <w:pStyle w:val="DMETW19487BIPSM"/>
              <w:jc w:val="right"/>
              <w:rPr>
                <w:rFonts w:ascii="Verdana" w:eastAsia="Verdana" w:hAnsi="Verdana" w:cs="Verdana"/>
                <w:noProof/>
                <w:color w:val="FFFFFF"/>
              </w:rPr>
            </w:pPr>
            <w:r>
              <w:rPr>
                <w:rFonts w:ascii="Verdana" w:hAnsi="Verdana"/>
                <w:noProof/>
                <w:color w:val="FFFFFF"/>
              </w:rPr>
              <w:t>2020 г.</w:t>
            </w:r>
          </w:p>
        </w:tc>
        <w:tc>
          <w:tcPr>
            <w:tcW w:w="1670" w:type="dxa"/>
            <w:tcBorders>
              <w:top w:val="nil"/>
              <w:left w:val="nil"/>
              <w:bottom w:val="nil"/>
              <w:right w:val="nil"/>
              <w:tl2br w:val="nil"/>
              <w:tr2bl w:val="nil"/>
            </w:tcBorders>
            <w:shd w:val="solid" w:color="016794" w:fill="FFFFFF"/>
            <w:tcMar>
              <w:left w:w="60" w:type="dxa"/>
              <w:right w:w="60" w:type="dxa"/>
            </w:tcMar>
            <w:vAlign w:val="center"/>
          </w:tcPr>
          <w:p>
            <w:pPr>
              <w:pStyle w:val="DMETW19487BIPSM"/>
              <w:jc w:val="right"/>
              <w:rPr>
                <w:rFonts w:ascii="Verdana" w:eastAsia="Verdana" w:hAnsi="Verdana" w:cs="Verdana"/>
                <w:noProof/>
                <w:color w:val="FFFFFF"/>
              </w:rPr>
            </w:pPr>
            <w:r>
              <w:rPr>
                <w:rFonts w:ascii="Verdana" w:hAnsi="Verdana"/>
                <w:noProof/>
                <w:color w:val="FFFFFF"/>
              </w:rPr>
              <w:t>2019 г.</w:t>
            </w:r>
          </w:p>
        </w:tc>
      </w:tr>
      <w:tr>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pPr>
              <w:pStyle w:val="DMETW19487BIPSM"/>
              <w:rPr>
                <w:rFonts w:ascii="Verdana" w:eastAsia="Verdana" w:hAnsi="Verdana" w:cs="Verdana"/>
                <w:i/>
                <w:noProof/>
                <w:color w:val="000000"/>
                <w:sz w:val="18"/>
              </w:rPr>
            </w:pPr>
            <w:r>
              <w:rPr>
                <w:rFonts w:ascii="Verdana" w:hAnsi="Verdana"/>
                <w:i/>
                <w:noProof/>
                <w:color w:val="000000"/>
                <w:sz w:val="18"/>
              </w:rPr>
              <w:t>Европейски фонд за гарантиране на земеделието</w:t>
            </w:r>
          </w:p>
        </w:tc>
        <w:tc>
          <w:tcPr>
            <w:tcW w:w="1669" w:type="dxa"/>
            <w:tcBorders>
              <w:top w:val="nil"/>
              <w:left w:val="nil"/>
              <w:bottom w:val="nil"/>
              <w:right w:val="nil"/>
              <w:tl2br w:val="nil"/>
              <w:tr2bl w:val="nil"/>
            </w:tcBorders>
            <w:shd w:val="clear" w:color="auto" w:fill="auto"/>
            <w:tcMar>
              <w:left w:w="60" w:type="dxa"/>
              <w:right w:w="60" w:type="dxa"/>
            </w:tcMar>
            <w:vAlign w:val="center"/>
          </w:tcPr>
          <w:p>
            <w:pPr>
              <w:pStyle w:val="DMETW19487BIPSM"/>
              <w:jc w:val="right"/>
              <w:rPr>
                <w:rFonts w:ascii="Verdana" w:eastAsia="Verdana" w:hAnsi="Verdana" w:cs="Verdana"/>
                <w:i/>
                <w:noProof/>
                <w:color w:val="000000"/>
                <w:sz w:val="18"/>
              </w:rPr>
            </w:pPr>
            <w:r>
              <w:rPr>
                <w:rFonts w:ascii="Verdana" w:hAnsi="Verdana"/>
                <w:i/>
                <w:noProof/>
                <w:color w:val="000000"/>
                <w:sz w:val="18"/>
              </w:rPr>
              <w:t>40 461</w:t>
            </w:r>
          </w:p>
        </w:tc>
        <w:tc>
          <w:tcPr>
            <w:tcW w:w="1670" w:type="dxa"/>
            <w:tcBorders>
              <w:top w:val="nil"/>
              <w:left w:val="nil"/>
              <w:bottom w:val="nil"/>
              <w:right w:val="nil"/>
              <w:tl2br w:val="nil"/>
              <w:tr2bl w:val="nil"/>
            </w:tcBorders>
            <w:shd w:val="clear" w:color="auto" w:fill="auto"/>
            <w:tcMar>
              <w:left w:w="60" w:type="dxa"/>
              <w:right w:w="60" w:type="dxa"/>
            </w:tcMar>
            <w:vAlign w:val="center"/>
          </w:tcPr>
          <w:p>
            <w:pPr>
              <w:pStyle w:val="DMETW19487BIPSM"/>
              <w:jc w:val="right"/>
              <w:rPr>
                <w:rFonts w:ascii="Verdana" w:eastAsia="Verdana" w:hAnsi="Verdana" w:cs="Verdana"/>
                <w:i/>
                <w:noProof/>
                <w:color w:val="000000"/>
                <w:sz w:val="18"/>
              </w:rPr>
            </w:pPr>
            <w:r>
              <w:rPr>
                <w:rFonts w:ascii="Verdana" w:hAnsi="Verdana"/>
                <w:i/>
                <w:noProof/>
                <w:color w:val="000000"/>
                <w:sz w:val="18"/>
              </w:rPr>
              <w:t>43 951</w:t>
            </w:r>
          </w:p>
        </w:tc>
      </w:tr>
      <w:tr>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pPr>
              <w:pStyle w:val="DMETW19487BIPSM"/>
              <w:rPr>
                <w:rFonts w:ascii="Verdana" w:eastAsia="Verdana" w:hAnsi="Verdana" w:cs="Verdana"/>
                <w:i/>
                <w:noProof/>
                <w:color w:val="000000"/>
                <w:sz w:val="18"/>
              </w:rPr>
            </w:pPr>
            <w:r>
              <w:rPr>
                <w:rFonts w:ascii="Verdana" w:hAnsi="Verdana"/>
                <w:i/>
                <w:noProof/>
                <w:color w:val="000000"/>
                <w:sz w:val="18"/>
              </w:rPr>
              <w:t>Европейски земеделски фонд за развитие на селските райони и други инструменти за развитие на селските райони</w:t>
            </w:r>
          </w:p>
        </w:tc>
        <w:tc>
          <w:tcPr>
            <w:tcW w:w="1669" w:type="dxa"/>
            <w:tcBorders>
              <w:top w:val="nil"/>
              <w:left w:val="nil"/>
              <w:bottom w:val="nil"/>
              <w:right w:val="nil"/>
              <w:tl2br w:val="nil"/>
              <w:tr2bl w:val="nil"/>
            </w:tcBorders>
            <w:shd w:val="clear" w:color="auto" w:fill="auto"/>
            <w:tcMar>
              <w:left w:w="60" w:type="dxa"/>
              <w:right w:w="60" w:type="dxa"/>
            </w:tcMar>
            <w:vAlign w:val="center"/>
          </w:tcPr>
          <w:p>
            <w:pPr>
              <w:pStyle w:val="DMETW19487BIPSM"/>
              <w:jc w:val="right"/>
              <w:rPr>
                <w:rFonts w:ascii="Verdana" w:eastAsia="Verdana" w:hAnsi="Verdana" w:cs="Verdana"/>
                <w:i/>
                <w:noProof/>
                <w:color w:val="000000"/>
                <w:sz w:val="18"/>
              </w:rPr>
            </w:pPr>
            <w:r>
              <w:rPr>
                <w:rFonts w:ascii="Verdana" w:hAnsi="Verdana"/>
                <w:i/>
                <w:noProof/>
                <w:color w:val="000000"/>
                <w:sz w:val="18"/>
              </w:rPr>
              <w:t>14 467</w:t>
            </w:r>
          </w:p>
        </w:tc>
        <w:tc>
          <w:tcPr>
            <w:tcW w:w="1670" w:type="dxa"/>
            <w:tcBorders>
              <w:top w:val="nil"/>
              <w:left w:val="nil"/>
              <w:bottom w:val="nil"/>
              <w:right w:val="nil"/>
              <w:tl2br w:val="nil"/>
              <w:tr2bl w:val="nil"/>
            </w:tcBorders>
            <w:shd w:val="clear" w:color="auto" w:fill="auto"/>
            <w:tcMar>
              <w:left w:w="60" w:type="dxa"/>
              <w:right w:w="60" w:type="dxa"/>
            </w:tcMar>
            <w:vAlign w:val="center"/>
          </w:tcPr>
          <w:p>
            <w:pPr>
              <w:pStyle w:val="DMETW19487BIPSM"/>
              <w:jc w:val="right"/>
              <w:rPr>
                <w:rFonts w:ascii="Verdana" w:eastAsia="Verdana" w:hAnsi="Verdana" w:cs="Verdana"/>
                <w:i/>
                <w:noProof/>
                <w:color w:val="000000"/>
                <w:sz w:val="18"/>
              </w:rPr>
            </w:pPr>
            <w:r>
              <w:rPr>
                <w:rFonts w:ascii="Verdana" w:hAnsi="Verdana"/>
                <w:i/>
                <w:noProof/>
                <w:color w:val="000000"/>
                <w:sz w:val="18"/>
              </w:rPr>
              <w:t>13 541</w:t>
            </w:r>
          </w:p>
        </w:tc>
      </w:tr>
      <w:tr>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pPr>
              <w:pStyle w:val="DMETW19487BIPSM"/>
              <w:rPr>
                <w:rFonts w:ascii="Verdana" w:eastAsia="Verdana" w:hAnsi="Verdana" w:cs="Verdana"/>
                <w:i/>
                <w:noProof/>
                <w:color w:val="000000"/>
                <w:sz w:val="18"/>
              </w:rPr>
            </w:pPr>
            <w:r>
              <w:rPr>
                <w:rFonts w:ascii="Verdana" w:hAnsi="Verdana"/>
                <w:i/>
                <w:noProof/>
                <w:color w:val="000000"/>
                <w:sz w:val="18"/>
              </w:rPr>
              <w:t>Европейски фонд за регионално развитие и Кохезионен фонд</w:t>
            </w:r>
          </w:p>
        </w:tc>
        <w:tc>
          <w:tcPr>
            <w:tcW w:w="1669" w:type="dxa"/>
            <w:tcBorders>
              <w:top w:val="nil"/>
              <w:left w:val="nil"/>
              <w:bottom w:val="nil"/>
              <w:right w:val="nil"/>
              <w:tl2br w:val="nil"/>
              <w:tr2bl w:val="nil"/>
            </w:tcBorders>
            <w:shd w:val="clear" w:color="auto" w:fill="auto"/>
            <w:tcMar>
              <w:left w:w="60" w:type="dxa"/>
              <w:right w:w="60" w:type="dxa"/>
            </w:tcMar>
            <w:vAlign w:val="center"/>
          </w:tcPr>
          <w:p>
            <w:pPr>
              <w:pStyle w:val="DMETW19487BIPSM"/>
              <w:jc w:val="right"/>
              <w:rPr>
                <w:rFonts w:ascii="Verdana" w:eastAsia="Verdana" w:hAnsi="Verdana" w:cs="Verdana"/>
                <w:i/>
                <w:noProof/>
                <w:color w:val="000000"/>
                <w:sz w:val="18"/>
              </w:rPr>
            </w:pPr>
            <w:r>
              <w:rPr>
                <w:rFonts w:ascii="Verdana" w:hAnsi="Verdana"/>
                <w:i/>
                <w:noProof/>
                <w:color w:val="000000"/>
                <w:sz w:val="18"/>
              </w:rPr>
              <w:t>41 118</w:t>
            </w:r>
          </w:p>
        </w:tc>
        <w:tc>
          <w:tcPr>
            <w:tcW w:w="1670" w:type="dxa"/>
            <w:tcBorders>
              <w:top w:val="nil"/>
              <w:left w:val="nil"/>
              <w:bottom w:val="nil"/>
              <w:right w:val="nil"/>
              <w:tl2br w:val="nil"/>
              <w:tr2bl w:val="nil"/>
            </w:tcBorders>
            <w:shd w:val="clear" w:color="auto" w:fill="auto"/>
            <w:tcMar>
              <w:left w:w="60" w:type="dxa"/>
              <w:right w:w="60" w:type="dxa"/>
            </w:tcMar>
            <w:vAlign w:val="center"/>
          </w:tcPr>
          <w:p>
            <w:pPr>
              <w:pStyle w:val="DMETW19487BIPSM"/>
              <w:jc w:val="right"/>
              <w:rPr>
                <w:rFonts w:ascii="Verdana" w:eastAsia="Verdana" w:hAnsi="Verdana" w:cs="Verdana"/>
                <w:i/>
                <w:noProof/>
                <w:color w:val="000000"/>
                <w:sz w:val="18"/>
              </w:rPr>
            </w:pPr>
            <w:r>
              <w:rPr>
                <w:rFonts w:ascii="Verdana" w:hAnsi="Verdana"/>
                <w:i/>
                <w:noProof/>
                <w:color w:val="000000"/>
                <w:sz w:val="18"/>
              </w:rPr>
              <w:t>35 178</w:t>
            </w:r>
          </w:p>
        </w:tc>
      </w:tr>
      <w:tr>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pPr>
              <w:pStyle w:val="DMETW19487BIPSM"/>
              <w:rPr>
                <w:rFonts w:ascii="Verdana" w:eastAsia="Verdana" w:hAnsi="Verdana" w:cs="Verdana"/>
                <w:i/>
                <w:noProof/>
                <w:color w:val="000000"/>
                <w:sz w:val="18"/>
              </w:rPr>
            </w:pPr>
            <w:r>
              <w:rPr>
                <w:rFonts w:ascii="Verdana" w:hAnsi="Verdana"/>
                <w:i/>
                <w:noProof/>
                <w:color w:val="000000"/>
                <w:sz w:val="18"/>
              </w:rPr>
              <w:t>Европейски социален фонд</w:t>
            </w:r>
          </w:p>
        </w:tc>
        <w:tc>
          <w:tcPr>
            <w:tcW w:w="1669" w:type="dxa"/>
            <w:tcBorders>
              <w:top w:val="nil"/>
              <w:left w:val="nil"/>
              <w:bottom w:val="nil"/>
              <w:right w:val="nil"/>
              <w:tl2br w:val="nil"/>
              <w:tr2bl w:val="nil"/>
            </w:tcBorders>
            <w:shd w:val="clear" w:color="auto" w:fill="auto"/>
            <w:tcMar>
              <w:left w:w="60" w:type="dxa"/>
              <w:right w:w="60" w:type="dxa"/>
            </w:tcMar>
            <w:vAlign w:val="center"/>
          </w:tcPr>
          <w:p>
            <w:pPr>
              <w:pStyle w:val="DMETW19487BIPSM"/>
              <w:jc w:val="right"/>
              <w:rPr>
                <w:rFonts w:ascii="Verdana" w:eastAsia="Verdana" w:hAnsi="Verdana" w:cs="Verdana"/>
                <w:i/>
                <w:noProof/>
                <w:color w:val="000000"/>
                <w:sz w:val="18"/>
              </w:rPr>
            </w:pPr>
            <w:r>
              <w:rPr>
                <w:rFonts w:ascii="Verdana" w:hAnsi="Verdana"/>
                <w:i/>
                <w:noProof/>
                <w:color w:val="000000"/>
                <w:sz w:val="18"/>
              </w:rPr>
              <w:t>13 677</w:t>
            </w:r>
          </w:p>
        </w:tc>
        <w:tc>
          <w:tcPr>
            <w:tcW w:w="1670" w:type="dxa"/>
            <w:tcBorders>
              <w:top w:val="nil"/>
              <w:left w:val="nil"/>
              <w:bottom w:val="nil"/>
              <w:right w:val="nil"/>
              <w:tl2br w:val="nil"/>
              <w:tr2bl w:val="nil"/>
            </w:tcBorders>
            <w:shd w:val="clear" w:color="auto" w:fill="auto"/>
            <w:tcMar>
              <w:left w:w="60" w:type="dxa"/>
              <w:right w:w="60" w:type="dxa"/>
            </w:tcMar>
            <w:vAlign w:val="center"/>
          </w:tcPr>
          <w:p>
            <w:pPr>
              <w:pStyle w:val="DMETW19487BIPSM"/>
              <w:jc w:val="right"/>
              <w:rPr>
                <w:rFonts w:ascii="Verdana" w:eastAsia="Verdana" w:hAnsi="Verdana" w:cs="Verdana"/>
                <w:i/>
                <w:noProof/>
                <w:color w:val="000000"/>
                <w:sz w:val="18"/>
              </w:rPr>
            </w:pPr>
            <w:r>
              <w:rPr>
                <w:rFonts w:ascii="Verdana" w:hAnsi="Verdana"/>
                <w:i/>
                <w:noProof/>
                <w:color w:val="000000"/>
                <w:sz w:val="18"/>
              </w:rPr>
              <w:t>11 218</w:t>
            </w:r>
          </w:p>
        </w:tc>
      </w:tr>
      <w:tr>
        <w:trPr>
          <w:trHeight w:val="255"/>
        </w:trPr>
        <w:tc>
          <w:tcPr>
            <w:tcW w:w="6419" w:type="dxa"/>
            <w:tcBorders>
              <w:top w:val="nil"/>
              <w:left w:val="nil"/>
              <w:bottom w:val="nil"/>
              <w:right w:val="nil"/>
              <w:tl2br w:val="nil"/>
              <w:tr2bl w:val="nil"/>
            </w:tcBorders>
            <w:shd w:val="clear" w:color="auto" w:fill="auto"/>
            <w:tcMar>
              <w:left w:w="60" w:type="dxa"/>
              <w:right w:w="60" w:type="dxa"/>
            </w:tcMar>
            <w:vAlign w:val="center"/>
          </w:tcPr>
          <w:p>
            <w:pPr>
              <w:pStyle w:val="DMETW19487BIPSM"/>
              <w:rPr>
                <w:rFonts w:ascii="Verdana" w:eastAsia="Verdana" w:hAnsi="Verdana" w:cs="Verdana"/>
                <w:i/>
                <w:noProof/>
                <w:color w:val="000000"/>
                <w:sz w:val="18"/>
              </w:rPr>
            </w:pPr>
            <w:r>
              <w:rPr>
                <w:rFonts w:ascii="Verdana" w:hAnsi="Verdana"/>
                <w:i/>
                <w:noProof/>
                <w:color w:val="000000"/>
                <w:sz w:val="18"/>
              </w:rPr>
              <w:t>Други</w:t>
            </w:r>
          </w:p>
        </w:tc>
        <w:tc>
          <w:tcPr>
            <w:tcW w:w="1669" w:type="dxa"/>
            <w:tcBorders>
              <w:top w:val="nil"/>
              <w:left w:val="nil"/>
              <w:bottom w:val="nil"/>
              <w:right w:val="nil"/>
              <w:tl2br w:val="nil"/>
              <w:tr2bl w:val="nil"/>
            </w:tcBorders>
            <w:shd w:val="clear" w:color="auto" w:fill="auto"/>
            <w:tcMar>
              <w:left w:w="60" w:type="dxa"/>
              <w:right w:w="60" w:type="dxa"/>
            </w:tcMar>
            <w:vAlign w:val="center"/>
          </w:tcPr>
          <w:p>
            <w:pPr>
              <w:pStyle w:val="DMETW19487BIPSM"/>
              <w:jc w:val="right"/>
              <w:rPr>
                <w:rFonts w:ascii="Verdana" w:eastAsia="Verdana" w:hAnsi="Verdana" w:cs="Verdana"/>
                <w:i/>
                <w:noProof/>
                <w:color w:val="000000"/>
                <w:sz w:val="18"/>
              </w:rPr>
            </w:pPr>
            <w:r>
              <w:rPr>
                <w:rFonts w:ascii="Verdana" w:hAnsi="Verdana"/>
                <w:i/>
                <w:noProof/>
                <w:color w:val="000000"/>
                <w:sz w:val="18"/>
              </w:rPr>
              <w:t>2 701</w:t>
            </w:r>
          </w:p>
        </w:tc>
        <w:tc>
          <w:tcPr>
            <w:tcW w:w="1670" w:type="dxa"/>
            <w:tcBorders>
              <w:top w:val="nil"/>
              <w:left w:val="nil"/>
              <w:bottom w:val="nil"/>
              <w:right w:val="nil"/>
              <w:tl2br w:val="nil"/>
              <w:tr2bl w:val="nil"/>
            </w:tcBorders>
            <w:shd w:val="clear" w:color="auto" w:fill="auto"/>
            <w:tcMar>
              <w:left w:w="60" w:type="dxa"/>
              <w:right w:w="60" w:type="dxa"/>
            </w:tcMar>
            <w:vAlign w:val="center"/>
          </w:tcPr>
          <w:p>
            <w:pPr>
              <w:pStyle w:val="DMETW19487BIPSM"/>
              <w:jc w:val="right"/>
              <w:rPr>
                <w:rFonts w:ascii="Verdana" w:eastAsia="Verdana" w:hAnsi="Verdana" w:cs="Verdana"/>
                <w:i/>
                <w:noProof/>
                <w:color w:val="000000"/>
                <w:sz w:val="18"/>
              </w:rPr>
            </w:pPr>
            <w:r>
              <w:rPr>
                <w:rFonts w:ascii="Verdana" w:hAnsi="Verdana"/>
                <w:i/>
                <w:noProof/>
                <w:color w:val="000000"/>
                <w:sz w:val="18"/>
              </w:rPr>
              <w:t>2 608</w:t>
            </w:r>
          </w:p>
        </w:tc>
      </w:tr>
      <w:tr>
        <w:trPr>
          <w:trHeight w:val="255"/>
        </w:trPr>
        <w:tc>
          <w:tcPr>
            <w:tcW w:w="6419" w:type="dxa"/>
            <w:tcBorders>
              <w:top w:val="nil"/>
              <w:left w:val="nil"/>
              <w:bottom w:val="nil"/>
              <w:right w:val="nil"/>
              <w:tl2br w:val="nil"/>
              <w:tr2bl w:val="nil"/>
            </w:tcBorders>
            <w:shd w:val="solid" w:color="CCE1EA" w:fill="FFFFFF"/>
            <w:tcMar>
              <w:left w:w="60" w:type="dxa"/>
              <w:right w:w="60" w:type="dxa"/>
            </w:tcMar>
            <w:vAlign w:val="center"/>
          </w:tcPr>
          <w:p>
            <w:pPr>
              <w:pStyle w:val="DMETW19487BIPSM"/>
              <w:rPr>
                <w:rFonts w:ascii="Verdana" w:eastAsia="Verdana" w:hAnsi="Verdana" w:cs="Verdana"/>
                <w:b/>
                <w:noProof/>
                <w:color w:val="000000"/>
                <w:sz w:val="18"/>
              </w:rPr>
            </w:pPr>
            <w:r>
              <w:rPr>
                <w:rFonts w:ascii="Verdana" w:hAnsi="Verdana"/>
                <w:b/>
                <w:noProof/>
                <w:color w:val="000000"/>
                <w:sz w:val="18"/>
              </w:rPr>
              <w:t>Общо</w:t>
            </w:r>
          </w:p>
        </w:tc>
        <w:tc>
          <w:tcPr>
            <w:tcW w:w="1669" w:type="dxa"/>
            <w:tcBorders>
              <w:top w:val="nil"/>
              <w:left w:val="nil"/>
              <w:bottom w:val="nil"/>
              <w:right w:val="nil"/>
              <w:tl2br w:val="nil"/>
              <w:tr2bl w:val="nil"/>
            </w:tcBorders>
            <w:shd w:val="solid" w:color="CCE1EA" w:fill="FFFFFF"/>
            <w:tcMar>
              <w:left w:w="60" w:type="dxa"/>
              <w:right w:w="60" w:type="dxa"/>
            </w:tcMar>
            <w:vAlign w:val="bottom"/>
          </w:tcPr>
          <w:p>
            <w:pPr>
              <w:pStyle w:val="DMETW19487BIPSM"/>
              <w:jc w:val="right"/>
              <w:rPr>
                <w:rFonts w:ascii="Verdana" w:eastAsia="Verdana" w:hAnsi="Verdana" w:cs="Verdana"/>
                <w:b/>
                <w:noProof/>
                <w:color w:val="000000"/>
                <w:sz w:val="18"/>
              </w:rPr>
            </w:pPr>
            <w:r>
              <w:rPr>
                <w:rFonts w:ascii="Verdana" w:hAnsi="Verdana"/>
                <w:b/>
                <w:noProof/>
                <w:color w:val="000000"/>
                <w:sz w:val="18"/>
              </w:rPr>
              <w:t>112 425</w:t>
            </w:r>
          </w:p>
        </w:tc>
        <w:tc>
          <w:tcPr>
            <w:tcW w:w="1670" w:type="dxa"/>
            <w:tcBorders>
              <w:top w:val="nil"/>
              <w:left w:val="nil"/>
              <w:bottom w:val="nil"/>
              <w:right w:val="nil"/>
              <w:tl2br w:val="nil"/>
              <w:tr2bl w:val="nil"/>
            </w:tcBorders>
            <w:shd w:val="solid" w:color="CCE1EA" w:fill="FFFFFF"/>
            <w:tcMar>
              <w:left w:w="60" w:type="dxa"/>
              <w:right w:w="60" w:type="dxa"/>
            </w:tcMar>
            <w:vAlign w:val="bottom"/>
          </w:tcPr>
          <w:p>
            <w:pPr>
              <w:pStyle w:val="DMETW19487BIPSM"/>
              <w:jc w:val="right"/>
              <w:rPr>
                <w:rFonts w:ascii="Verdana" w:eastAsia="Verdana" w:hAnsi="Verdana" w:cs="Verdana"/>
                <w:b/>
                <w:noProof/>
                <w:color w:val="000000"/>
                <w:sz w:val="18"/>
              </w:rPr>
            </w:pPr>
            <w:r>
              <w:rPr>
                <w:rFonts w:ascii="Verdana" w:hAnsi="Verdana"/>
                <w:b/>
                <w:noProof/>
                <w:color w:val="000000"/>
                <w:sz w:val="18"/>
              </w:rPr>
              <w:t>106 495</w:t>
            </w:r>
          </w:p>
        </w:tc>
      </w:tr>
    </w:tbl>
    <w:p>
      <w:pPr>
        <w:pStyle w:val="DGTextstand-alone"/>
      </w:pPr>
      <w:r>
        <w:t>Увеличението се отнася главно до политиката на сближаване (ЕФРР и КФ), в която област почти всички разходи са свързани с периода на програмиране 2014—2020 г., по отношение на който продължава да се отбелязва напредък в изпълнението на дейностите.</w:t>
      </w:r>
    </w:p>
    <w:p>
      <w:pPr>
        <w:pStyle w:val="DGTextstand-alone"/>
        <w:spacing w:after="0"/>
      </w:pPr>
      <w:r>
        <w:t xml:space="preserve">Другите разходи включват предимно: убежището и миграцията (0,6 милиарда евро), Фонда за европейско подпомагане на най-нуждаещите се лица(0,6 милиарда евро), фонд „Вътрешна сигурност“ (0,5 милиарда евро), фонд „Солидарност“ на Европейския съюз (0,3 милиарда евро) и Европейския фонд за морско дело и рибарство (0,6 милиарда евро). </w:t>
      </w:r>
    </w:p>
    <w:p>
      <w:pPr>
        <w:pStyle w:val="DGTextstand-alone"/>
        <w:spacing w:after="0"/>
      </w:pPr>
      <w:r>
        <w:t xml:space="preserve">Промяна на сумите по ЕФГЗ е свързана най-вече с намалението на сумите, заявени за директни плащания, главно поради липсата на директни селскостопански плащания за земеделските стопани в Обединеното кралство за референтната 2020 г. (намаление с 2,6 милиарда евро в сравнение с предходната година). </w:t>
      </w:r>
    </w:p>
    <w:p>
      <w:pPr>
        <w:pStyle w:val="HEADER2NOTES"/>
        <w:rPr>
          <w:noProof/>
        </w:rPr>
      </w:pPr>
      <w:r>
        <w:rPr>
          <w:noProof/>
        </w:rPr>
        <w:t xml:space="preserve"> ПРЯКО УПРАВЛЕНИЕ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2"/>
        <w:gridCol w:w="1723"/>
        <w:gridCol w:w="1723"/>
      </w:tblGrid>
      <w:tr>
        <w:trPr>
          <w:trHeight w:val="255"/>
        </w:trPr>
        <w:tc>
          <w:tcPr>
            <w:tcW w:w="6312" w:type="dxa"/>
            <w:tcBorders>
              <w:top w:val="nil"/>
              <w:left w:val="nil"/>
              <w:bottom w:val="nil"/>
              <w:right w:val="nil"/>
              <w:tl2br w:val="nil"/>
              <w:tr2bl w:val="nil"/>
            </w:tcBorders>
            <w:shd w:val="clear" w:color="auto" w:fill="auto"/>
            <w:tcMar>
              <w:left w:w="60" w:type="dxa"/>
              <w:right w:w="60" w:type="dxa"/>
            </w:tcMar>
            <w:vAlign w:val="bottom"/>
          </w:tcPr>
          <w:p>
            <w:pPr>
              <w:pStyle w:val="DMETW19865BIPDM"/>
              <w:rPr>
                <w:rFonts w:ascii="Arial" w:eastAsia="Arial" w:hAnsi="Arial" w:cs="Arial"/>
                <w:noProof/>
                <w:color w:val="000000"/>
              </w:rPr>
            </w:pPr>
            <w:bookmarkStart w:id="169" w:name="DOC_TBL00069_1_1"/>
            <w:bookmarkEnd w:id="169"/>
          </w:p>
        </w:tc>
        <w:tc>
          <w:tcPr>
            <w:tcW w:w="1723" w:type="dxa"/>
            <w:tcBorders>
              <w:top w:val="nil"/>
              <w:left w:val="nil"/>
              <w:bottom w:val="nil"/>
              <w:right w:val="nil"/>
              <w:tl2br w:val="nil"/>
              <w:tr2bl w:val="nil"/>
            </w:tcBorders>
            <w:shd w:val="clear" w:color="auto" w:fill="auto"/>
            <w:tcMar>
              <w:left w:w="60" w:type="dxa"/>
              <w:right w:w="60" w:type="dxa"/>
            </w:tcMar>
            <w:vAlign w:val="bottom"/>
          </w:tcPr>
          <w:p>
            <w:pPr>
              <w:pStyle w:val="DMETW19865BIPDM"/>
              <w:rPr>
                <w:rFonts w:ascii="Arial" w:eastAsia="Arial" w:hAnsi="Arial" w:cs="Arial"/>
                <w:noProof/>
                <w:color w:val="000000"/>
              </w:rPr>
            </w:pPr>
          </w:p>
        </w:tc>
        <w:tc>
          <w:tcPr>
            <w:tcW w:w="1723" w:type="dxa"/>
            <w:tcBorders>
              <w:top w:val="nil"/>
              <w:left w:val="nil"/>
              <w:bottom w:val="nil"/>
              <w:right w:val="nil"/>
              <w:tl2br w:val="nil"/>
              <w:tr2bl w:val="nil"/>
            </w:tcBorders>
            <w:shd w:val="clear" w:color="auto" w:fill="auto"/>
            <w:tcMar>
              <w:left w:w="60" w:type="dxa"/>
              <w:right w:w="60" w:type="dxa"/>
            </w:tcMar>
            <w:vAlign w:val="bottom"/>
          </w:tcPr>
          <w:p>
            <w:pPr>
              <w:pStyle w:val="DMETW19865BIPDM"/>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312" w:type="dxa"/>
            <w:tcBorders>
              <w:top w:val="nil"/>
              <w:left w:val="nil"/>
              <w:bottom w:val="nil"/>
              <w:right w:val="nil"/>
              <w:tl2br w:val="nil"/>
              <w:tr2bl w:val="nil"/>
            </w:tcBorders>
            <w:shd w:val="solid" w:color="016794" w:fill="FFFFFF"/>
            <w:tcMar>
              <w:left w:w="60" w:type="dxa"/>
              <w:right w:w="60" w:type="dxa"/>
            </w:tcMar>
            <w:vAlign w:val="center"/>
          </w:tcPr>
          <w:p>
            <w:pPr>
              <w:pStyle w:val="DMETW19865BIPDM"/>
              <w:jc w:val="right"/>
              <w:rPr>
                <w:rFonts w:ascii="Verdana" w:eastAsia="Verdana" w:hAnsi="Verdana" w:cs="Verdana"/>
                <w:noProof/>
                <w:color w:val="FFFFFF"/>
              </w:rPr>
            </w:pPr>
          </w:p>
        </w:tc>
        <w:tc>
          <w:tcPr>
            <w:tcW w:w="1723" w:type="dxa"/>
            <w:tcBorders>
              <w:top w:val="nil"/>
              <w:left w:val="nil"/>
              <w:bottom w:val="nil"/>
              <w:right w:val="nil"/>
              <w:tl2br w:val="nil"/>
              <w:tr2bl w:val="nil"/>
            </w:tcBorders>
            <w:shd w:val="solid" w:color="016794" w:fill="FFFFFF"/>
            <w:tcMar>
              <w:left w:w="60" w:type="dxa"/>
              <w:right w:w="60" w:type="dxa"/>
            </w:tcMar>
            <w:vAlign w:val="center"/>
          </w:tcPr>
          <w:p>
            <w:pPr>
              <w:pStyle w:val="DMETW19865BIPDM"/>
              <w:jc w:val="right"/>
              <w:rPr>
                <w:rFonts w:ascii="Verdana" w:eastAsia="Verdana" w:hAnsi="Verdana" w:cs="Verdana"/>
                <w:noProof/>
                <w:color w:val="FFFFFF"/>
              </w:rPr>
            </w:pPr>
            <w:r>
              <w:rPr>
                <w:rFonts w:ascii="Verdana" w:hAnsi="Verdana"/>
                <w:noProof/>
                <w:color w:val="FFFFFF"/>
              </w:rPr>
              <w:t>2020 г.</w:t>
            </w:r>
          </w:p>
        </w:tc>
        <w:tc>
          <w:tcPr>
            <w:tcW w:w="1723" w:type="dxa"/>
            <w:tcBorders>
              <w:top w:val="nil"/>
              <w:left w:val="nil"/>
              <w:bottom w:val="nil"/>
              <w:right w:val="nil"/>
              <w:tl2br w:val="nil"/>
              <w:tr2bl w:val="nil"/>
            </w:tcBorders>
            <w:shd w:val="solid" w:color="016794" w:fill="FFFFFF"/>
            <w:tcMar>
              <w:left w:w="60" w:type="dxa"/>
              <w:right w:w="60" w:type="dxa"/>
            </w:tcMar>
            <w:vAlign w:val="center"/>
          </w:tcPr>
          <w:p>
            <w:pPr>
              <w:pStyle w:val="DMETW19865BIPDM"/>
              <w:jc w:val="right"/>
              <w:rPr>
                <w:rFonts w:ascii="Verdana" w:eastAsia="Verdana" w:hAnsi="Verdana" w:cs="Verdana"/>
                <w:noProof/>
                <w:color w:val="FFFFFF"/>
              </w:rPr>
            </w:pPr>
            <w:r>
              <w:rPr>
                <w:rFonts w:ascii="Verdana" w:hAnsi="Verdana"/>
                <w:noProof/>
                <w:color w:val="FFFFFF"/>
              </w:rPr>
              <w:t>2019 г.</w:t>
            </w:r>
          </w:p>
        </w:tc>
      </w:tr>
      <w:tr>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pPr>
              <w:pStyle w:val="DMETW19865BIPDM"/>
              <w:rPr>
                <w:rFonts w:ascii="Verdana" w:eastAsia="Verdana" w:hAnsi="Verdana" w:cs="Verdana"/>
                <w:i/>
                <w:noProof/>
                <w:color w:val="000000"/>
                <w:sz w:val="18"/>
              </w:rPr>
            </w:pPr>
            <w:r>
              <w:rPr>
                <w:rFonts w:ascii="Verdana" w:hAnsi="Verdana"/>
                <w:i/>
                <w:noProof/>
                <w:color w:val="000000"/>
                <w:sz w:val="18"/>
              </w:rPr>
              <w:t>Изпълнено от Комисията</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DM"/>
              <w:jc w:val="right"/>
              <w:rPr>
                <w:rFonts w:ascii="Verdana" w:eastAsia="Verdana" w:hAnsi="Verdana" w:cs="Verdana"/>
                <w:i/>
                <w:noProof/>
                <w:color w:val="000000"/>
                <w:sz w:val="18"/>
              </w:rPr>
            </w:pPr>
            <w:r>
              <w:rPr>
                <w:rFonts w:ascii="Verdana" w:hAnsi="Verdana"/>
                <w:i/>
                <w:noProof/>
                <w:color w:val="000000"/>
                <w:sz w:val="18"/>
              </w:rPr>
              <w:t>11 429</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DM"/>
              <w:jc w:val="right"/>
              <w:rPr>
                <w:rFonts w:ascii="Verdana" w:eastAsia="Verdana" w:hAnsi="Verdana" w:cs="Verdana"/>
                <w:i/>
                <w:noProof/>
                <w:color w:val="000000"/>
                <w:sz w:val="18"/>
              </w:rPr>
            </w:pPr>
            <w:r>
              <w:rPr>
                <w:rFonts w:ascii="Verdana" w:hAnsi="Verdana"/>
                <w:i/>
                <w:noProof/>
                <w:color w:val="000000"/>
                <w:sz w:val="18"/>
              </w:rPr>
              <w:t>8 435</w:t>
            </w:r>
          </w:p>
        </w:tc>
      </w:tr>
      <w:tr>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pPr>
              <w:pStyle w:val="DMETW19865BIPDM"/>
              <w:rPr>
                <w:rFonts w:ascii="Verdana" w:eastAsia="Verdana" w:hAnsi="Verdana" w:cs="Verdana"/>
                <w:i/>
                <w:noProof/>
                <w:color w:val="000000"/>
                <w:sz w:val="18"/>
              </w:rPr>
            </w:pPr>
            <w:r>
              <w:rPr>
                <w:rFonts w:ascii="Verdana" w:hAnsi="Verdana"/>
                <w:i/>
                <w:noProof/>
                <w:color w:val="000000"/>
                <w:sz w:val="18"/>
              </w:rPr>
              <w:t>Изпълнено от изпълнителните агенции на ЕС</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DM"/>
              <w:jc w:val="right"/>
              <w:rPr>
                <w:rFonts w:ascii="Verdana" w:eastAsia="Verdana" w:hAnsi="Verdana" w:cs="Verdana"/>
                <w:i/>
                <w:noProof/>
                <w:color w:val="000000"/>
                <w:sz w:val="18"/>
              </w:rPr>
            </w:pPr>
            <w:r>
              <w:rPr>
                <w:rFonts w:ascii="Verdana" w:hAnsi="Verdana"/>
                <w:i/>
                <w:noProof/>
                <w:color w:val="000000"/>
                <w:sz w:val="18"/>
              </w:rPr>
              <w:t>10 029</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DM"/>
              <w:jc w:val="right"/>
              <w:rPr>
                <w:rFonts w:ascii="Verdana" w:eastAsia="Verdana" w:hAnsi="Verdana" w:cs="Verdana"/>
                <w:i/>
                <w:noProof/>
                <w:color w:val="000000"/>
                <w:sz w:val="18"/>
              </w:rPr>
            </w:pPr>
            <w:r>
              <w:rPr>
                <w:rFonts w:ascii="Verdana" w:hAnsi="Verdana"/>
                <w:i/>
                <w:noProof/>
                <w:color w:val="000000"/>
                <w:sz w:val="18"/>
              </w:rPr>
              <w:t>10 095</w:t>
            </w:r>
          </w:p>
        </w:tc>
      </w:tr>
      <w:tr>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pPr>
              <w:pStyle w:val="DMETW19865BIPDM"/>
              <w:rPr>
                <w:rFonts w:ascii="Verdana" w:eastAsia="Verdana" w:hAnsi="Verdana" w:cs="Verdana"/>
                <w:i/>
                <w:noProof/>
                <w:color w:val="000000"/>
                <w:sz w:val="18"/>
              </w:rPr>
            </w:pPr>
            <w:r>
              <w:rPr>
                <w:rFonts w:ascii="Verdana" w:hAnsi="Verdana"/>
                <w:i/>
                <w:noProof/>
                <w:color w:val="000000"/>
                <w:sz w:val="18"/>
              </w:rPr>
              <w:t>Изпълнено от доверителните фондове</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DM"/>
              <w:jc w:val="right"/>
              <w:rPr>
                <w:rFonts w:ascii="Verdana" w:eastAsia="Verdana" w:hAnsi="Verdana" w:cs="Verdana"/>
                <w:i/>
                <w:noProof/>
                <w:color w:val="000000"/>
                <w:sz w:val="18"/>
              </w:rPr>
            </w:pPr>
            <w:r>
              <w:rPr>
                <w:rFonts w:ascii="Verdana" w:hAnsi="Verdana"/>
                <w:i/>
                <w:noProof/>
                <w:color w:val="000000"/>
                <w:sz w:val="18"/>
              </w:rPr>
              <w:t xml:space="preserve"> 636</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DM"/>
              <w:jc w:val="right"/>
              <w:rPr>
                <w:rFonts w:ascii="Verdana" w:eastAsia="Verdana" w:hAnsi="Verdana" w:cs="Verdana"/>
                <w:i/>
                <w:noProof/>
                <w:color w:val="000000"/>
                <w:sz w:val="18"/>
              </w:rPr>
            </w:pPr>
            <w:r>
              <w:rPr>
                <w:rFonts w:ascii="Verdana" w:hAnsi="Verdana"/>
                <w:i/>
                <w:noProof/>
                <w:color w:val="000000"/>
                <w:sz w:val="18"/>
              </w:rPr>
              <w:t xml:space="preserve"> 412</w:t>
            </w:r>
          </w:p>
        </w:tc>
      </w:tr>
      <w:tr>
        <w:trPr>
          <w:trHeight w:val="255"/>
        </w:trPr>
        <w:tc>
          <w:tcPr>
            <w:tcW w:w="6312" w:type="dxa"/>
            <w:tcBorders>
              <w:top w:val="nil"/>
              <w:left w:val="nil"/>
              <w:bottom w:val="nil"/>
              <w:right w:val="nil"/>
              <w:tl2br w:val="nil"/>
              <w:tr2bl w:val="nil"/>
            </w:tcBorders>
            <w:shd w:val="solid" w:color="CCE1EA" w:fill="FFFFFF"/>
            <w:tcMar>
              <w:left w:w="60" w:type="dxa"/>
              <w:right w:w="60" w:type="dxa"/>
            </w:tcMar>
            <w:vAlign w:val="center"/>
          </w:tcPr>
          <w:p>
            <w:pPr>
              <w:pStyle w:val="DMETW19865BIPDM"/>
              <w:rPr>
                <w:rFonts w:ascii="Verdana" w:eastAsia="Verdana" w:hAnsi="Verdana" w:cs="Verdana"/>
                <w:b/>
                <w:noProof/>
                <w:color w:val="000000"/>
                <w:sz w:val="18"/>
              </w:rPr>
            </w:pPr>
            <w:r>
              <w:rPr>
                <w:rFonts w:ascii="Verdana" w:hAnsi="Verdana"/>
                <w:b/>
                <w:noProof/>
                <w:color w:val="000000"/>
                <w:sz w:val="18"/>
              </w:rPr>
              <w:t>Общо</w:t>
            </w:r>
          </w:p>
        </w:tc>
        <w:tc>
          <w:tcPr>
            <w:tcW w:w="1723" w:type="dxa"/>
            <w:tcBorders>
              <w:top w:val="nil"/>
              <w:left w:val="nil"/>
              <w:bottom w:val="nil"/>
              <w:right w:val="nil"/>
              <w:tl2br w:val="nil"/>
              <w:tr2bl w:val="nil"/>
            </w:tcBorders>
            <w:shd w:val="solid" w:color="CCE1EA" w:fill="FFFFFF"/>
            <w:tcMar>
              <w:left w:w="60" w:type="dxa"/>
              <w:right w:w="60" w:type="dxa"/>
            </w:tcMar>
            <w:vAlign w:val="center"/>
          </w:tcPr>
          <w:p>
            <w:pPr>
              <w:pStyle w:val="DMETW19865BIPDM"/>
              <w:jc w:val="right"/>
              <w:rPr>
                <w:rFonts w:ascii="Verdana" w:eastAsia="Verdana" w:hAnsi="Verdana" w:cs="Verdana"/>
                <w:b/>
                <w:noProof/>
                <w:color w:val="000000"/>
                <w:sz w:val="18"/>
              </w:rPr>
            </w:pPr>
            <w:r>
              <w:rPr>
                <w:rFonts w:ascii="Verdana" w:hAnsi="Verdana"/>
                <w:b/>
                <w:noProof/>
                <w:color w:val="000000"/>
                <w:sz w:val="18"/>
              </w:rPr>
              <w:t>22 094</w:t>
            </w:r>
          </w:p>
        </w:tc>
        <w:tc>
          <w:tcPr>
            <w:tcW w:w="1723" w:type="dxa"/>
            <w:tcBorders>
              <w:top w:val="nil"/>
              <w:left w:val="nil"/>
              <w:bottom w:val="nil"/>
              <w:right w:val="nil"/>
              <w:tl2br w:val="nil"/>
              <w:tr2bl w:val="nil"/>
            </w:tcBorders>
            <w:shd w:val="solid" w:color="CCE1EA" w:fill="FFFFFF"/>
            <w:tcMar>
              <w:left w:w="60" w:type="dxa"/>
              <w:right w:w="60" w:type="dxa"/>
            </w:tcMar>
            <w:vAlign w:val="center"/>
          </w:tcPr>
          <w:p>
            <w:pPr>
              <w:pStyle w:val="DMETW19865BIPDM"/>
              <w:jc w:val="right"/>
              <w:rPr>
                <w:rFonts w:ascii="Verdana" w:eastAsia="Verdana" w:hAnsi="Verdana" w:cs="Verdana"/>
                <w:b/>
                <w:noProof/>
                <w:color w:val="000000"/>
                <w:sz w:val="18"/>
              </w:rPr>
            </w:pPr>
            <w:r>
              <w:rPr>
                <w:rFonts w:ascii="Verdana" w:hAnsi="Verdana"/>
                <w:b/>
                <w:noProof/>
                <w:color w:val="000000"/>
                <w:sz w:val="18"/>
              </w:rPr>
              <w:t>18 942</w:t>
            </w:r>
          </w:p>
        </w:tc>
      </w:tr>
    </w:tbl>
    <w:p>
      <w:pPr>
        <w:pStyle w:val="DGTextstand-alone"/>
        <w:spacing w:after="0"/>
      </w:pPr>
      <w:r>
        <w:t>Тези суми са свързани предимно с изпълнението на политиката в областта на научните изследвания (7,2 милиарда евро), политиката в областта на транспортната инфраструктура (3,9 милиарда евро), Инструмента за сътрудничество за развитие (1,6 милиарда евро) и европейската политика за съседство (1,8 милиарда евро).</w:t>
      </w:r>
    </w:p>
    <w:p>
      <w:pPr>
        <w:pStyle w:val="DGTextstand-alone"/>
        <w:spacing w:after="0"/>
      </w:pPr>
      <w:r>
        <w:t>Увеличението на разходите под пряко управление, изпълнявани от Комисията, е свързано основно (1,6 милиарда евро) с програмите за ваксинация срещу COVID-19 и с европейската политика за съседство (0,6 милиарда евро).</w:t>
      </w:r>
    </w:p>
    <w:p>
      <w:pPr>
        <w:pStyle w:val="HEADER2NOTES"/>
        <w:rPr>
          <w:noProof/>
        </w:rPr>
      </w:pPr>
      <w:r>
        <w:rPr>
          <w:noProof/>
        </w:rPr>
        <w:t>НЕПРЯКО УПРАВЛЕНИЕ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2"/>
        <w:gridCol w:w="1723"/>
        <w:gridCol w:w="1723"/>
      </w:tblGrid>
      <w:tr>
        <w:trPr>
          <w:trHeight w:val="255"/>
        </w:trPr>
        <w:tc>
          <w:tcPr>
            <w:tcW w:w="6312" w:type="dxa"/>
            <w:tcBorders>
              <w:top w:val="nil"/>
              <w:left w:val="nil"/>
              <w:bottom w:val="nil"/>
              <w:right w:val="nil"/>
              <w:tl2br w:val="nil"/>
              <w:tr2bl w:val="nil"/>
            </w:tcBorders>
            <w:shd w:val="clear" w:color="auto" w:fill="auto"/>
            <w:tcMar>
              <w:left w:w="60" w:type="dxa"/>
              <w:right w:w="60" w:type="dxa"/>
            </w:tcMar>
            <w:vAlign w:val="bottom"/>
          </w:tcPr>
          <w:p>
            <w:pPr>
              <w:pStyle w:val="DMETW19865BIPIM"/>
              <w:rPr>
                <w:rFonts w:ascii="Arial" w:eastAsia="Arial" w:hAnsi="Arial" w:cs="Arial"/>
                <w:noProof/>
                <w:color w:val="000000"/>
              </w:rPr>
            </w:pPr>
            <w:bookmarkStart w:id="170" w:name="DOC_TBL00070_1_1"/>
            <w:bookmarkEnd w:id="170"/>
          </w:p>
        </w:tc>
        <w:tc>
          <w:tcPr>
            <w:tcW w:w="1723" w:type="dxa"/>
            <w:tcBorders>
              <w:top w:val="nil"/>
              <w:left w:val="nil"/>
              <w:bottom w:val="nil"/>
              <w:right w:val="nil"/>
              <w:tl2br w:val="nil"/>
              <w:tr2bl w:val="nil"/>
            </w:tcBorders>
            <w:shd w:val="clear" w:color="auto" w:fill="auto"/>
            <w:tcMar>
              <w:left w:w="60" w:type="dxa"/>
              <w:right w:w="60" w:type="dxa"/>
            </w:tcMar>
            <w:vAlign w:val="bottom"/>
          </w:tcPr>
          <w:p>
            <w:pPr>
              <w:pStyle w:val="DMETW19865BIPIM"/>
              <w:rPr>
                <w:rFonts w:ascii="Arial" w:eastAsia="Arial" w:hAnsi="Arial" w:cs="Arial"/>
                <w:noProof/>
                <w:color w:val="000000"/>
              </w:rPr>
            </w:pPr>
          </w:p>
        </w:tc>
        <w:tc>
          <w:tcPr>
            <w:tcW w:w="1723" w:type="dxa"/>
            <w:tcBorders>
              <w:top w:val="nil"/>
              <w:left w:val="nil"/>
              <w:bottom w:val="nil"/>
              <w:right w:val="nil"/>
              <w:tl2br w:val="nil"/>
              <w:tr2bl w:val="nil"/>
            </w:tcBorders>
            <w:shd w:val="clear" w:color="auto" w:fill="auto"/>
            <w:tcMar>
              <w:left w:w="60" w:type="dxa"/>
              <w:right w:w="60" w:type="dxa"/>
            </w:tcMar>
            <w:vAlign w:val="bottom"/>
          </w:tcPr>
          <w:p>
            <w:pPr>
              <w:pStyle w:val="DMETW19865BIPIM"/>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312" w:type="dxa"/>
            <w:tcBorders>
              <w:top w:val="nil"/>
              <w:left w:val="nil"/>
              <w:bottom w:val="nil"/>
              <w:right w:val="nil"/>
              <w:tl2br w:val="nil"/>
              <w:tr2bl w:val="nil"/>
            </w:tcBorders>
            <w:shd w:val="solid" w:color="016794" w:fill="FFFFFF"/>
            <w:tcMar>
              <w:left w:w="60" w:type="dxa"/>
              <w:right w:w="60" w:type="dxa"/>
            </w:tcMar>
            <w:vAlign w:val="center"/>
          </w:tcPr>
          <w:p>
            <w:pPr>
              <w:pStyle w:val="DMETW19865BIPIM"/>
              <w:jc w:val="right"/>
              <w:rPr>
                <w:rFonts w:ascii="Verdana" w:eastAsia="Verdana" w:hAnsi="Verdana" w:cs="Verdana"/>
                <w:noProof/>
                <w:color w:val="FFFFFF"/>
              </w:rPr>
            </w:pPr>
          </w:p>
        </w:tc>
        <w:tc>
          <w:tcPr>
            <w:tcW w:w="1723" w:type="dxa"/>
            <w:tcBorders>
              <w:top w:val="nil"/>
              <w:left w:val="nil"/>
              <w:bottom w:val="nil"/>
              <w:right w:val="nil"/>
              <w:tl2br w:val="nil"/>
              <w:tr2bl w:val="nil"/>
            </w:tcBorders>
            <w:shd w:val="solid" w:color="016794" w:fill="FFFFFF"/>
            <w:tcMar>
              <w:left w:w="60" w:type="dxa"/>
              <w:right w:w="60" w:type="dxa"/>
            </w:tcMar>
            <w:vAlign w:val="center"/>
          </w:tcPr>
          <w:p>
            <w:pPr>
              <w:pStyle w:val="DMETW19865BIPIM"/>
              <w:jc w:val="right"/>
              <w:rPr>
                <w:rFonts w:ascii="Verdana" w:eastAsia="Verdana" w:hAnsi="Verdana" w:cs="Verdana"/>
                <w:noProof/>
                <w:color w:val="FFFFFF"/>
              </w:rPr>
            </w:pPr>
            <w:r>
              <w:rPr>
                <w:rFonts w:ascii="Verdana" w:hAnsi="Verdana"/>
                <w:noProof/>
                <w:color w:val="FFFFFF"/>
              </w:rPr>
              <w:t>2020 г.</w:t>
            </w:r>
          </w:p>
        </w:tc>
        <w:tc>
          <w:tcPr>
            <w:tcW w:w="1723" w:type="dxa"/>
            <w:tcBorders>
              <w:top w:val="nil"/>
              <w:left w:val="nil"/>
              <w:bottom w:val="nil"/>
              <w:right w:val="nil"/>
              <w:tl2br w:val="nil"/>
              <w:tr2bl w:val="nil"/>
            </w:tcBorders>
            <w:shd w:val="solid" w:color="016794" w:fill="FFFFFF"/>
            <w:tcMar>
              <w:left w:w="60" w:type="dxa"/>
              <w:right w:w="60" w:type="dxa"/>
            </w:tcMar>
            <w:vAlign w:val="center"/>
          </w:tcPr>
          <w:p>
            <w:pPr>
              <w:pStyle w:val="DMETW19865BIPIM"/>
              <w:jc w:val="right"/>
              <w:rPr>
                <w:rFonts w:ascii="Verdana" w:eastAsia="Verdana" w:hAnsi="Verdana" w:cs="Verdana"/>
                <w:noProof/>
                <w:color w:val="FFFFFF"/>
              </w:rPr>
            </w:pPr>
            <w:r>
              <w:rPr>
                <w:rFonts w:ascii="Verdana" w:hAnsi="Verdana"/>
                <w:noProof/>
                <w:color w:val="FFFFFF"/>
              </w:rPr>
              <w:t>2019 г.</w:t>
            </w:r>
          </w:p>
        </w:tc>
      </w:tr>
      <w:tr>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pPr>
              <w:pStyle w:val="DMETW19865BIPIM"/>
              <w:rPr>
                <w:rFonts w:ascii="Verdana" w:eastAsia="Verdana" w:hAnsi="Verdana" w:cs="Verdana"/>
                <w:i/>
                <w:noProof/>
                <w:color w:val="000000"/>
                <w:sz w:val="18"/>
              </w:rPr>
            </w:pPr>
            <w:r>
              <w:rPr>
                <w:rFonts w:ascii="Verdana" w:hAnsi="Verdana"/>
                <w:i/>
                <w:noProof/>
                <w:color w:val="000000"/>
                <w:sz w:val="18"/>
              </w:rPr>
              <w:t>Изпълнено от други агенции и органи на ЕС</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IM"/>
              <w:jc w:val="right"/>
              <w:rPr>
                <w:rFonts w:ascii="Verdana" w:eastAsia="Verdana" w:hAnsi="Verdana" w:cs="Verdana"/>
                <w:i/>
                <w:noProof/>
                <w:color w:val="000000"/>
                <w:sz w:val="18"/>
              </w:rPr>
            </w:pPr>
            <w:r>
              <w:rPr>
                <w:rFonts w:ascii="Verdana" w:hAnsi="Verdana"/>
                <w:i/>
                <w:noProof/>
                <w:color w:val="000000"/>
                <w:sz w:val="18"/>
              </w:rPr>
              <w:t>3 530</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IM"/>
              <w:jc w:val="right"/>
              <w:rPr>
                <w:rFonts w:ascii="Verdana" w:eastAsia="Verdana" w:hAnsi="Verdana" w:cs="Verdana"/>
                <w:i/>
                <w:noProof/>
                <w:color w:val="000000"/>
                <w:sz w:val="18"/>
              </w:rPr>
            </w:pPr>
            <w:r>
              <w:rPr>
                <w:rFonts w:ascii="Verdana" w:hAnsi="Verdana"/>
                <w:i/>
                <w:noProof/>
                <w:color w:val="000000"/>
                <w:sz w:val="18"/>
              </w:rPr>
              <w:t>3 131</w:t>
            </w:r>
          </w:p>
        </w:tc>
      </w:tr>
      <w:tr>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pPr>
              <w:pStyle w:val="DMETW19865BIPIM"/>
              <w:rPr>
                <w:rFonts w:ascii="Verdana" w:eastAsia="Verdana" w:hAnsi="Verdana" w:cs="Verdana"/>
                <w:i/>
                <w:noProof/>
                <w:color w:val="000000"/>
                <w:sz w:val="18"/>
              </w:rPr>
            </w:pPr>
            <w:r>
              <w:rPr>
                <w:rFonts w:ascii="Verdana" w:hAnsi="Verdana"/>
                <w:i/>
                <w:noProof/>
                <w:color w:val="000000"/>
                <w:sz w:val="18"/>
              </w:rPr>
              <w:t>Изпълнено от трети държави</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IM"/>
              <w:jc w:val="right"/>
              <w:rPr>
                <w:rFonts w:ascii="Verdana" w:eastAsia="Verdana" w:hAnsi="Verdana" w:cs="Verdana"/>
                <w:i/>
                <w:noProof/>
                <w:color w:val="000000"/>
                <w:sz w:val="18"/>
              </w:rPr>
            </w:pPr>
            <w:r>
              <w:rPr>
                <w:rFonts w:ascii="Verdana" w:hAnsi="Verdana"/>
                <w:i/>
                <w:noProof/>
                <w:color w:val="000000"/>
                <w:sz w:val="18"/>
              </w:rPr>
              <w:t xml:space="preserve"> 559</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IM"/>
              <w:jc w:val="right"/>
              <w:rPr>
                <w:rFonts w:ascii="Verdana" w:eastAsia="Verdana" w:hAnsi="Verdana" w:cs="Verdana"/>
                <w:i/>
                <w:noProof/>
                <w:color w:val="000000"/>
                <w:sz w:val="18"/>
              </w:rPr>
            </w:pPr>
            <w:r>
              <w:rPr>
                <w:rFonts w:ascii="Verdana" w:hAnsi="Verdana"/>
                <w:i/>
                <w:noProof/>
                <w:color w:val="000000"/>
                <w:sz w:val="18"/>
              </w:rPr>
              <w:t xml:space="preserve"> 637</w:t>
            </w:r>
          </w:p>
        </w:tc>
      </w:tr>
      <w:tr>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pPr>
              <w:pStyle w:val="DMETW19865BIPIM"/>
              <w:rPr>
                <w:rFonts w:ascii="Verdana" w:eastAsia="Verdana" w:hAnsi="Verdana" w:cs="Verdana"/>
                <w:i/>
                <w:noProof/>
                <w:color w:val="000000"/>
                <w:sz w:val="18"/>
              </w:rPr>
            </w:pPr>
            <w:r>
              <w:rPr>
                <w:rFonts w:ascii="Verdana" w:hAnsi="Verdana"/>
                <w:i/>
                <w:noProof/>
                <w:color w:val="000000"/>
                <w:sz w:val="18"/>
              </w:rPr>
              <w:t>Изпълнено от международни организации</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IM"/>
              <w:jc w:val="right"/>
              <w:rPr>
                <w:rFonts w:ascii="Verdana" w:eastAsia="Verdana" w:hAnsi="Verdana" w:cs="Verdana"/>
                <w:i/>
                <w:noProof/>
                <w:color w:val="000000"/>
                <w:sz w:val="18"/>
              </w:rPr>
            </w:pPr>
            <w:r>
              <w:rPr>
                <w:rFonts w:ascii="Verdana" w:hAnsi="Verdana"/>
                <w:i/>
                <w:noProof/>
                <w:color w:val="000000"/>
                <w:sz w:val="18"/>
              </w:rPr>
              <w:t>3 619</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IM"/>
              <w:jc w:val="right"/>
              <w:rPr>
                <w:rFonts w:ascii="Verdana" w:eastAsia="Verdana" w:hAnsi="Verdana" w:cs="Verdana"/>
                <w:i/>
                <w:noProof/>
                <w:color w:val="000000"/>
                <w:sz w:val="18"/>
              </w:rPr>
            </w:pPr>
            <w:r>
              <w:rPr>
                <w:rFonts w:ascii="Verdana" w:hAnsi="Verdana"/>
                <w:i/>
                <w:noProof/>
                <w:color w:val="000000"/>
                <w:sz w:val="18"/>
              </w:rPr>
              <w:t>3 448</w:t>
            </w:r>
          </w:p>
        </w:tc>
      </w:tr>
      <w:tr>
        <w:trPr>
          <w:trHeight w:val="255"/>
        </w:trPr>
        <w:tc>
          <w:tcPr>
            <w:tcW w:w="6312" w:type="dxa"/>
            <w:tcBorders>
              <w:top w:val="nil"/>
              <w:left w:val="nil"/>
              <w:bottom w:val="nil"/>
              <w:right w:val="nil"/>
              <w:tl2br w:val="nil"/>
              <w:tr2bl w:val="nil"/>
            </w:tcBorders>
            <w:shd w:val="clear" w:color="auto" w:fill="auto"/>
            <w:tcMar>
              <w:left w:w="60" w:type="dxa"/>
              <w:right w:w="60" w:type="dxa"/>
            </w:tcMar>
            <w:vAlign w:val="center"/>
          </w:tcPr>
          <w:p>
            <w:pPr>
              <w:pStyle w:val="DMETW19865BIPIM"/>
              <w:rPr>
                <w:rFonts w:ascii="Verdana" w:eastAsia="Verdana" w:hAnsi="Verdana" w:cs="Verdana"/>
                <w:i/>
                <w:noProof/>
                <w:color w:val="000000"/>
                <w:sz w:val="18"/>
              </w:rPr>
            </w:pPr>
            <w:r>
              <w:rPr>
                <w:rFonts w:ascii="Verdana" w:hAnsi="Verdana"/>
                <w:i/>
                <w:noProof/>
                <w:color w:val="000000"/>
                <w:sz w:val="18"/>
              </w:rPr>
              <w:t>Изпълнени от други субекти</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IM"/>
              <w:jc w:val="right"/>
              <w:rPr>
                <w:rFonts w:ascii="Verdana" w:eastAsia="Verdana" w:hAnsi="Verdana" w:cs="Verdana"/>
                <w:i/>
                <w:noProof/>
                <w:color w:val="000000"/>
                <w:sz w:val="18"/>
              </w:rPr>
            </w:pPr>
            <w:r>
              <w:rPr>
                <w:rFonts w:ascii="Verdana" w:hAnsi="Verdana"/>
                <w:i/>
                <w:noProof/>
                <w:color w:val="000000"/>
                <w:sz w:val="18"/>
              </w:rPr>
              <w:t>3 257</w:t>
            </w:r>
          </w:p>
        </w:tc>
        <w:tc>
          <w:tcPr>
            <w:tcW w:w="1723" w:type="dxa"/>
            <w:tcBorders>
              <w:top w:val="nil"/>
              <w:left w:val="nil"/>
              <w:bottom w:val="nil"/>
              <w:right w:val="nil"/>
              <w:tl2br w:val="nil"/>
              <w:tr2bl w:val="nil"/>
            </w:tcBorders>
            <w:shd w:val="clear" w:color="auto" w:fill="auto"/>
            <w:tcMar>
              <w:left w:w="60" w:type="dxa"/>
              <w:right w:w="60" w:type="dxa"/>
            </w:tcMar>
            <w:vAlign w:val="center"/>
          </w:tcPr>
          <w:p>
            <w:pPr>
              <w:pStyle w:val="DMETW19865BIPIM"/>
              <w:jc w:val="right"/>
              <w:rPr>
                <w:rFonts w:ascii="Verdana" w:eastAsia="Verdana" w:hAnsi="Verdana" w:cs="Verdana"/>
                <w:i/>
                <w:noProof/>
                <w:color w:val="000000"/>
                <w:sz w:val="18"/>
              </w:rPr>
            </w:pPr>
            <w:r>
              <w:rPr>
                <w:rFonts w:ascii="Verdana" w:hAnsi="Verdana"/>
                <w:i/>
                <w:noProof/>
                <w:color w:val="000000"/>
                <w:sz w:val="18"/>
              </w:rPr>
              <w:t>2 875</w:t>
            </w:r>
          </w:p>
        </w:tc>
      </w:tr>
      <w:tr>
        <w:trPr>
          <w:trHeight w:val="255"/>
        </w:trPr>
        <w:tc>
          <w:tcPr>
            <w:tcW w:w="6312" w:type="dxa"/>
            <w:tcBorders>
              <w:top w:val="nil"/>
              <w:left w:val="nil"/>
              <w:bottom w:val="nil"/>
              <w:right w:val="nil"/>
              <w:tl2br w:val="nil"/>
              <w:tr2bl w:val="nil"/>
            </w:tcBorders>
            <w:shd w:val="solid" w:color="CCE1EA" w:fill="FFFFFF"/>
            <w:tcMar>
              <w:left w:w="60" w:type="dxa"/>
              <w:right w:w="60" w:type="dxa"/>
            </w:tcMar>
            <w:vAlign w:val="center"/>
          </w:tcPr>
          <w:p>
            <w:pPr>
              <w:pStyle w:val="DMETW19865BIPIM"/>
              <w:rPr>
                <w:rFonts w:ascii="Verdana" w:eastAsia="Verdana" w:hAnsi="Verdana" w:cs="Verdana"/>
                <w:b/>
                <w:noProof/>
                <w:color w:val="000000"/>
                <w:sz w:val="18"/>
              </w:rPr>
            </w:pPr>
            <w:r>
              <w:rPr>
                <w:rFonts w:ascii="Verdana" w:hAnsi="Verdana"/>
                <w:b/>
                <w:noProof/>
                <w:color w:val="000000"/>
                <w:sz w:val="18"/>
              </w:rPr>
              <w:t>Общо</w:t>
            </w:r>
          </w:p>
        </w:tc>
        <w:tc>
          <w:tcPr>
            <w:tcW w:w="1723" w:type="dxa"/>
            <w:tcBorders>
              <w:top w:val="nil"/>
              <w:left w:val="nil"/>
              <w:bottom w:val="nil"/>
              <w:right w:val="nil"/>
              <w:tl2br w:val="nil"/>
              <w:tr2bl w:val="nil"/>
            </w:tcBorders>
            <w:shd w:val="solid" w:color="CCE1EA" w:fill="FFFFFF"/>
            <w:tcMar>
              <w:left w:w="60" w:type="dxa"/>
              <w:right w:w="60" w:type="dxa"/>
            </w:tcMar>
            <w:vAlign w:val="center"/>
          </w:tcPr>
          <w:p>
            <w:pPr>
              <w:pStyle w:val="DMETW19865BIPIM"/>
              <w:jc w:val="right"/>
              <w:rPr>
                <w:rFonts w:ascii="Verdana" w:eastAsia="Verdana" w:hAnsi="Verdana" w:cs="Verdana"/>
                <w:b/>
                <w:noProof/>
                <w:color w:val="000000"/>
                <w:sz w:val="18"/>
              </w:rPr>
            </w:pPr>
            <w:r>
              <w:rPr>
                <w:rFonts w:ascii="Verdana" w:hAnsi="Verdana"/>
                <w:b/>
                <w:noProof/>
                <w:color w:val="000000"/>
                <w:sz w:val="18"/>
              </w:rPr>
              <w:t>10 965</w:t>
            </w:r>
          </w:p>
        </w:tc>
        <w:tc>
          <w:tcPr>
            <w:tcW w:w="1723" w:type="dxa"/>
            <w:tcBorders>
              <w:top w:val="nil"/>
              <w:left w:val="nil"/>
              <w:bottom w:val="nil"/>
              <w:right w:val="nil"/>
              <w:tl2br w:val="nil"/>
              <w:tr2bl w:val="nil"/>
            </w:tcBorders>
            <w:shd w:val="solid" w:color="CCE1EA" w:fill="FFFFFF"/>
            <w:tcMar>
              <w:left w:w="60" w:type="dxa"/>
              <w:right w:w="60" w:type="dxa"/>
            </w:tcMar>
            <w:vAlign w:val="center"/>
          </w:tcPr>
          <w:p>
            <w:pPr>
              <w:pStyle w:val="DMETW19865BIPIM"/>
              <w:jc w:val="right"/>
              <w:rPr>
                <w:rFonts w:ascii="Verdana" w:eastAsia="Verdana" w:hAnsi="Verdana" w:cs="Verdana"/>
                <w:b/>
                <w:noProof/>
                <w:color w:val="000000"/>
                <w:sz w:val="18"/>
              </w:rPr>
            </w:pPr>
            <w:r>
              <w:rPr>
                <w:rFonts w:ascii="Verdana" w:hAnsi="Verdana"/>
                <w:b/>
                <w:noProof/>
                <w:color w:val="000000"/>
                <w:sz w:val="18"/>
              </w:rPr>
              <w:t>10 091</w:t>
            </w:r>
          </w:p>
        </w:tc>
      </w:tr>
    </w:tbl>
    <w:p>
      <w:pPr>
        <w:pStyle w:val="DGTextstand-alone"/>
      </w:pPr>
      <w:r>
        <w:t xml:space="preserve">От разходите под непряко управление 4,2 милиарда евро са предназначени за външни дейности (предимно в областта на периода преди присъединяването, хуманитарната помощ, международното сътрудничество и съседството). Други 5,1 милиарда евро са предназначени за увеличаване на конкурентоспособността на Европа (в области като научните изследвания, системите за спътникова навигация и образованието). </w:t>
      </w:r>
      <w:bookmarkEnd w:id="167"/>
    </w:p>
    <w:p>
      <w:pPr>
        <w:pStyle w:val="DGTextstand-alone"/>
        <w:sectPr>
          <w:headerReference w:type="even" r:id="rId236"/>
          <w:headerReference w:type="default" r:id="rId237"/>
          <w:footerReference w:type="even" r:id="rId238"/>
          <w:footerReference w:type="default" r:id="rId239"/>
          <w:headerReference w:type="first" r:id="rId240"/>
          <w:footerReference w:type="first" r:id="rId241"/>
          <w:type w:val="continuous"/>
          <w:pgSz w:w="11906" w:h="16838"/>
          <w:pgMar w:top="1134" w:right="1134" w:bottom="1134" w:left="1134" w:header="709" w:footer="709" w:gutter="0"/>
          <w:cols w:space="708"/>
          <w:docGrid w:linePitch="360"/>
        </w:sectPr>
      </w:pPr>
    </w:p>
    <w:p>
      <w:pPr>
        <w:pStyle w:val="HEADER2NOTES"/>
        <w:spacing w:before="0"/>
        <w:rPr>
          <w:noProof/>
        </w:rPr>
      </w:pPr>
      <w:bookmarkStart w:id="171" w:name="_DMBM_19820"/>
      <w:r>
        <w:rPr>
          <w:noProof/>
        </w:rPr>
        <w:t>РАЗХОДИ ЗА ПЕРСОНАЛ И ЗА ПЕНСИИ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2"/>
        <w:gridCol w:w="1963"/>
        <w:gridCol w:w="1963"/>
      </w:tblGrid>
      <w:tr>
        <w:trPr>
          <w:trHeight w:val="255"/>
        </w:trPr>
        <w:tc>
          <w:tcPr>
            <w:tcW w:w="5832" w:type="dxa"/>
            <w:tcBorders>
              <w:top w:val="nil"/>
              <w:left w:val="nil"/>
              <w:bottom w:val="nil"/>
              <w:right w:val="nil"/>
              <w:tl2br w:val="nil"/>
              <w:tr2bl w:val="nil"/>
            </w:tcBorders>
            <w:shd w:val="clear" w:color="auto" w:fill="auto"/>
            <w:tcMar>
              <w:left w:w="60" w:type="dxa"/>
              <w:right w:w="60" w:type="dxa"/>
            </w:tcMar>
            <w:vAlign w:val="bottom"/>
          </w:tcPr>
          <w:p>
            <w:pPr>
              <w:pStyle w:val="DMETW19893BIPSPC"/>
              <w:rPr>
                <w:rFonts w:ascii="Arial" w:eastAsia="Arial" w:hAnsi="Arial" w:cs="Arial"/>
                <w:noProof/>
                <w:color w:val="000000"/>
              </w:rPr>
            </w:pPr>
            <w:bookmarkStart w:id="172" w:name="DOC_TBL00071_1_1"/>
            <w:bookmarkEnd w:id="172"/>
          </w:p>
        </w:tc>
        <w:tc>
          <w:tcPr>
            <w:tcW w:w="1963" w:type="dxa"/>
            <w:tcBorders>
              <w:top w:val="nil"/>
              <w:left w:val="nil"/>
              <w:bottom w:val="nil"/>
              <w:right w:val="nil"/>
              <w:tl2br w:val="nil"/>
              <w:tr2bl w:val="nil"/>
            </w:tcBorders>
            <w:shd w:val="clear" w:color="auto" w:fill="auto"/>
            <w:tcMar>
              <w:left w:w="60" w:type="dxa"/>
              <w:right w:w="60" w:type="dxa"/>
            </w:tcMar>
            <w:vAlign w:val="bottom"/>
          </w:tcPr>
          <w:p>
            <w:pPr>
              <w:pStyle w:val="DMETW19893BIPSPC"/>
              <w:rPr>
                <w:rFonts w:ascii="Arial" w:eastAsia="Arial" w:hAnsi="Arial" w:cs="Arial"/>
                <w:noProof/>
                <w:color w:val="000000"/>
              </w:rPr>
            </w:pPr>
          </w:p>
        </w:tc>
        <w:tc>
          <w:tcPr>
            <w:tcW w:w="1963" w:type="dxa"/>
            <w:tcBorders>
              <w:top w:val="nil"/>
              <w:left w:val="nil"/>
              <w:bottom w:val="nil"/>
              <w:right w:val="nil"/>
              <w:tl2br w:val="nil"/>
              <w:tr2bl w:val="nil"/>
            </w:tcBorders>
            <w:shd w:val="clear" w:color="auto" w:fill="auto"/>
            <w:tcMar>
              <w:left w:w="60" w:type="dxa"/>
              <w:right w:w="60" w:type="dxa"/>
            </w:tcMar>
            <w:vAlign w:val="bottom"/>
          </w:tcPr>
          <w:p>
            <w:pPr>
              <w:pStyle w:val="DMETW19893BIPSPC"/>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832" w:type="dxa"/>
            <w:tcBorders>
              <w:top w:val="nil"/>
              <w:left w:val="nil"/>
              <w:bottom w:val="nil"/>
              <w:right w:val="nil"/>
              <w:tl2br w:val="nil"/>
              <w:tr2bl w:val="nil"/>
            </w:tcBorders>
            <w:shd w:val="solid" w:color="016794" w:fill="FFFFFF"/>
            <w:tcMar>
              <w:left w:w="60" w:type="dxa"/>
              <w:right w:w="60" w:type="dxa"/>
            </w:tcMar>
            <w:vAlign w:val="center"/>
          </w:tcPr>
          <w:p>
            <w:pPr>
              <w:pStyle w:val="DMETW19893BIPSPC"/>
              <w:jc w:val="right"/>
              <w:rPr>
                <w:rFonts w:ascii="Verdana" w:eastAsia="Verdana" w:hAnsi="Verdana" w:cs="Verdana"/>
                <w:noProof/>
                <w:color w:val="FFFFFF"/>
              </w:rPr>
            </w:pPr>
          </w:p>
        </w:tc>
        <w:tc>
          <w:tcPr>
            <w:tcW w:w="1963" w:type="dxa"/>
            <w:tcBorders>
              <w:top w:val="nil"/>
              <w:left w:val="nil"/>
              <w:bottom w:val="nil"/>
              <w:right w:val="nil"/>
              <w:tl2br w:val="nil"/>
              <w:tr2bl w:val="nil"/>
            </w:tcBorders>
            <w:shd w:val="solid" w:color="016794" w:fill="FFFFFF"/>
            <w:tcMar>
              <w:left w:w="60" w:type="dxa"/>
              <w:right w:w="60" w:type="dxa"/>
            </w:tcMar>
            <w:vAlign w:val="center"/>
          </w:tcPr>
          <w:p>
            <w:pPr>
              <w:pStyle w:val="DMETW19893BIPSPC"/>
              <w:jc w:val="right"/>
              <w:rPr>
                <w:rFonts w:ascii="Verdana" w:eastAsia="Verdana" w:hAnsi="Verdana" w:cs="Verdana"/>
                <w:noProof/>
                <w:color w:val="FFFFFF"/>
              </w:rPr>
            </w:pPr>
            <w:r>
              <w:rPr>
                <w:rFonts w:ascii="Verdana" w:hAnsi="Verdana"/>
                <w:noProof/>
                <w:color w:val="FFFFFF"/>
              </w:rPr>
              <w:t>2020 г.</w:t>
            </w:r>
          </w:p>
        </w:tc>
        <w:tc>
          <w:tcPr>
            <w:tcW w:w="1963" w:type="dxa"/>
            <w:tcBorders>
              <w:top w:val="nil"/>
              <w:left w:val="nil"/>
              <w:bottom w:val="nil"/>
              <w:right w:val="nil"/>
              <w:tl2br w:val="nil"/>
              <w:tr2bl w:val="nil"/>
            </w:tcBorders>
            <w:shd w:val="solid" w:color="016794" w:fill="FFFFFF"/>
            <w:tcMar>
              <w:left w:w="60" w:type="dxa"/>
              <w:right w:w="60" w:type="dxa"/>
            </w:tcMar>
            <w:vAlign w:val="center"/>
          </w:tcPr>
          <w:p>
            <w:pPr>
              <w:pStyle w:val="DMETW19893BIPSPC"/>
              <w:jc w:val="right"/>
              <w:rPr>
                <w:rFonts w:ascii="Verdana" w:eastAsia="Verdana" w:hAnsi="Verdana" w:cs="Verdana"/>
                <w:noProof/>
                <w:color w:val="FFFFFF"/>
              </w:rPr>
            </w:pPr>
            <w:r>
              <w:rPr>
                <w:rFonts w:ascii="Verdana" w:hAnsi="Verdana"/>
                <w:noProof/>
                <w:color w:val="FFFFFF"/>
              </w:rPr>
              <w:t>2019 г.</w:t>
            </w:r>
          </w:p>
        </w:tc>
      </w:tr>
      <w:tr>
        <w:trPr>
          <w:trHeight w:val="255"/>
        </w:trPr>
        <w:tc>
          <w:tcPr>
            <w:tcW w:w="5832" w:type="dxa"/>
            <w:tcBorders>
              <w:top w:val="nil"/>
              <w:left w:val="nil"/>
              <w:bottom w:val="nil"/>
              <w:right w:val="nil"/>
              <w:tl2br w:val="nil"/>
              <w:tr2bl w:val="nil"/>
            </w:tcBorders>
            <w:shd w:val="clear" w:color="auto" w:fill="auto"/>
            <w:tcMar>
              <w:left w:w="60" w:type="dxa"/>
              <w:right w:w="60" w:type="dxa"/>
            </w:tcMar>
            <w:vAlign w:val="center"/>
          </w:tcPr>
          <w:p>
            <w:pPr>
              <w:pStyle w:val="DMETW19893BIPSPC"/>
              <w:rPr>
                <w:rFonts w:ascii="Verdana" w:eastAsia="Verdana" w:hAnsi="Verdana" w:cs="Verdana"/>
                <w:i/>
                <w:noProof/>
                <w:color w:val="000000"/>
                <w:sz w:val="18"/>
              </w:rPr>
            </w:pPr>
            <w:r>
              <w:rPr>
                <w:rFonts w:ascii="Verdana" w:hAnsi="Verdana"/>
                <w:i/>
                <w:noProof/>
                <w:color w:val="000000"/>
                <w:sz w:val="18"/>
              </w:rPr>
              <w:t>Разходи за персонал</w:t>
            </w:r>
          </w:p>
        </w:tc>
        <w:tc>
          <w:tcPr>
            <w:tcW w:w="1963" w:type="dxa"/>
            <w:tcBorders>
              <w:top w:val="nil"/>
              <w:left w:val="nil"/>
              <w:bottom w:val="nil"/>
              <w:right w:val="nil"/>
              <w:tl2br w:val="nil"/>
              <w:tr2bl w:val="nil"/>
            </w:tcBorders>
            <w:shd w:val="clear" w:color="auto" w:fill="auto"/>
            <w:tcMar>
              <w:left w:w="60" w:type="dxa"/>
              <w:right w:w="60" w:type="dxa"/>
            </w:tcMar>
            <w:vAlign w:val="center"/>
          </w:tcPr>
          <w:p>
            <w:pPr>
              <w:pStyle w:val="DMETW19893BIPSPC"/>
              <w:jc w:val="right"/>
              <w:rPr>
                <w:rFonts w:ascii="Verdana" w:eastAsia="Verdana" w:hAnsi="Verdana" w:cs="Verdana"/>
                <w:i/>
                <w:noProof/>
                <w:color w:val="000000"/>
                <w:sz w:val="18"/>
              </w:rPr>
            </w:pPr>
            <w:r>
              <w:rPr>
                <w:rFonts w:ascii="Verdana" w:hAnsi="Verdana"/>
                <w:i/>
                <w:noProof/>
                <w:color w:val="000000"/>
                <w:sz w:val="18"/>
              </w:rPr>
              <w:t>7 028</w:t>
            </w:r>
          </w:p>
        </w:tc>
        <w:tc>
          <w:tcPr>
            <w:tcW w:w="1963" w:type="dxa"/>
            <w:tcBorders>
              <w:top w:val="nil"/>
              <w:left w:val="nil"/>
              <w:bottom w:val="nil"/>
              <w:right w:val="nil"/>
              <w:tl2br w:val="nil"/>
              <w:tr2bl w:val="nil"/>
            </w:tcBorders>
            <w:shd w:val="clear" w:color="auto" w:fill="auto"/>
            <w:tcMar>
              <w:left w:w="60" w:type="dxa"/>
              <w:right w:w="60" w:type="dxa"/>
            </w:tcMar>
            <w:vAlign w:val="center"/>
          </w:tcPr>
          <w:p>
            <w:pPr>
              <w:pStyle w:val="DMETW19893BIPSPC"/>
              <w:jc w:val="right"/>
              <w:rPr>
                <w:rFonts w:ascii="Verdana" w:eastAsia="Verdana" w:hAnsi="Verdana" w:cs="Verdana"/>
                <w:i/>
                <w:noProof/>
                <w:color w:val="000000"/>
                <w:sz w:val="18"/>
              </w:rPr>
            </w:pPr>
            <w:r>
              <w:rPr>
                <w:rFonts w:ascii="Verdana" w:hAnsi="Verdana"/>
                <w:i/>
                <w:noProof/>
                <w:color w:val="000000"/>
                <w:sz w:val="18"/>
              </w:rPr>
              <w:t>6 939</w:t>
            </w:r>
          </w:p>
        </w:tc>
      </w:tr>
      <w:tr>
        <w:trPr>
          <w:trHeight w:val="255"/>
        </w:trPr>
        <w:tc>
          <w:tcPr>
            <w:tcW w:w="5832" w:type="dxa"/>
            <w:tcBorders>
              <w:top w:val="nil"/>
              <w:left w:val="nil"/>
              <w:bottom w:val="nil"/>
              <w:right w:val="nil"/>
              <w:tl2br w:val="nil"/>
              <w:tr2bl w:val="nil"/>
            </w:tcBorders>
            <w:shd w:val="clear" w:color="auto" w:fill="auto"/>
            <w:tcMar>
              <w:left w:w="60" w:type="dxa"/>
              <w:right w:w="60" w:type="dxa"/>
            </w:tcMar>
            <w:vAlign w:val="center"/>
          </w:tcPr>
          <w:p>
            <w:pPr>
              <w:pStyle w:val="DMETW19893BIPSPC"/>
              <w:rPr>
                <w:rFonts w:ascii="Verdana" w:eastAsia="Verdana" w:hAnsi="Verdana" w:cs="Verdana"/>
                <w:i/>
                <w:noProof/>
                <w:color w:val="000000"/>
                <w:sz w:val="18"/>
              </w:rPr>
            </w:pPr>
            <w:r>
              <w:rPr>
                <w:rFonts w:ascii="Verdana" w:hAnsi="Verdana"/>
                <w:i/>
                <w:noProof/>
                <w:color w:val="000000"/>
                <w:sz w:val="18"/>
              </w:rPr>
              <w:t>Разходи за пенсии</w:t>
            </w:r>
          </w:p>
        </w:tc>
        <w:tc>
          <w:tcPr>
            <w:tcW w:w="1963" w:type="dxa"/>
            <w:tcBorders>
              <w:top w:val="nil"/>
              <w:left w:val="nil"/>
              <w:bottom w:val="nil"/>
              <w:right w:val="nil"/>
              <w:tl2br w:val="nil"/>
              <w:tr2bl w:val="nil"/>
            </w:tcBorders>
            <w:shd w:val="clear" w:color="auto" w:fill="auto"/>
            <w:tcMar>
              <w:left w:w="60" w:type="dxa"/>
              <w:right w:w="60" w:type="dxa"/>
            </w:tcMar>
            <w:vAlign w:val="center"/>
          </w:tcPr>
          <w:p>
            <w:pPr>
              <w:pStyle w:val="DMETW19893BIPSPC"/>
              <w:jc w:val="right"/>
              <w:rPr>
                <w:rFonts w:ascii="Verdana" w:eastAsia="Verdana" w:hAnsi="Verdana" w:cs="Verdana"/>
                <w:i/>
                <w:noProof/>
                <w:color w:val="000000"/>
                <w:sz w:val="18"/>
              </w:rPr>
            </w:pPr>
            <w:r>
              <w:rPr>
                <w:rFonts w:ascii="Verdana" w:hAnsi="Verdana"/>
                <w:i/>
                <w:noProof/>
                <w:color w:val="000000"/>
                <w:sz w:val="18"/>
              </w:rPr>
              <w:t>4 967</w:t>
            </w:r>
          </w:p>
        </w:tc>
        <w:tc>
          <w:tcPr>
            <w:tcW w:w="1963" w:type="dxa"/>
            <w:tcBorders>
              <w:top w:val="nil"/>
              <w:left w:val="nil"/>
              <w:bottom w:val="nil"/>
              <w:right w:val="nil"/>
              <w:tl2br w:val="nil"/>
              <w:tr2bl w:val="nil"/>
            </w:tcBorders>
            <w:shd w:val="clear" w:color="auto" w:fill="auto"/>
            <w:tcMar>
              <w:left w:w="60" w:type="dxa"/>
              <w:right w:w="60" w:type="dxa"/>
            </w:tcMar>
            <w:vAlign w:val="center"/>
          </w:tcPr>
          <w:p>
            <w:pPr>
              <w:pStyle w:val="DMETW19893BIPSPC"/>
              <w:jc w:val="right"/>
              <w:rPr>
                <w:rFonts w:ascii="Verdana" w:eastAsia="Verdana" w:hAnsi="Verdana" w:cs="Verdana"/>
                <w:i/>
                <w:noProof/>
                <w:color w:val="000000"/>
                <w:sz w:val="18"/>
              </w:rPr>
            </w:pPr>
            <w:r>
              <w:rPr>
                <w:rFonts w:ascii="Verdana" w:hAnsi="Verdana"/>
                <w:i/>
                <w:noProof/>
                <w:color w:val="000000"/>
                <w:sz w:val="18"/>
              </w:rPr>
              <w:t>4 674</w:t>
            </w:r>
          </w:p>
        </w:tc>
      </w:tr>
      <w:tr>
        <w:trPr>
          <w:trHeight w:val="255"/>
        </w:trPr>
        <w:tc>
          <w:tcPr>
            <w:tcW w:w="5832" w:type="dxa"/>
            <w:tcBorders>
              <w:top w:val="nil"/>
              <w:left w:val="nil"/>
              <w:bottom w:val="nil"/>
              <w:right w:val="nil"/>
              <w:tl2br w:val="nil"/>
              <w:tr2bl w:val="nil"/>
            </w:tcBorders>
            <w:shd w:val="solid" w:color="CCE1EA" w:fill="FFFFFF"/>
            <w:tcMar>
              <w:left w:w="60" w:type="dxa"/>
              <w:right w:w="60" w:type="dxa"/>
            </w:tcMar>
            <w:vAlign w:val="center"/>
          </w:tcPr>
          <w:p>
            <w:pPr>
              <w:pStyle w:val="DMETW19893BIPSPC"/>
              <w:rPr>
                <w:rFonts w:ascii="Verdana" w:eastAsia="Verdana" w:hAnsi="Verdana" w:cs="Verdana"/>
                <w:b/>
                <w:noProof/>
                <w:color w:val="000000"/>
                <w:sz w:val="18"/>
              </w:rPr>
            </w:pPr>
            <w:r>
              <w:rPr>
                <w:rFonts w:ascii="Verdana" w:hAnsi="Verdana"/>
                <w:b/>
                <w:noProof/>
                <w:color w:val="000000"/>
                <w:sz w:val="18"/>
              </w:rPr>
              <w:t>Общо</w:t>
            </w:r>
          </w:p>
        </w:tc>
        <w:tc>
          <w:tcPr>
            <w:tcW w:w="1963" w:type="dxa"/>
            <w:tcBorders>
              <w:top w:val="nil"/>
              <w:left w:val="nil"/>
              <w:bottom w:val="nil"/>
              <w:right w:val="nil"/>
              <w:tl2br w:val="nil"/>
              <w:tr2bl w:val="nil"/>
            </w:tcBorders>
            <w:shd w:val="solid" w:color="CCE1EA" w:fill="FFFFFF"/>
            <w:tcMar>
              <w:left w:w="60" w:type="dxa"/>
              <w:right w:w="60" w:type="dxa"/>
            </w:tcMar>
            <w:vAlign w:val="center"/>
          </w:tcPr>
          <w:p>
            <w:pPr>
              <w:pStyle w:val="DMETW19893BIPSPC"/>
              <w:jc w:val="right"/>
              <w:rPr>
                <w:rFonts w:ascii="Verdana" w:eastAsia="Verdana" w:hAnsi="Verdana" w:cs="Verdana"/>
                <w:b/>
                <w:noProof/>
                <w:color w:val="000000"/>
                <w:sz w:val="18"/>
              </w:rPr>
            </w:pPr>
            <w:r>
              <w:rPr>
                <w:rFonts w:ascii="Verdana" w:hAnsi="Verdana"/>
                <w:b/>
                <w:noProof/>
                <w:color w:val="000000"/>
                <w:sz w:val="18"/>
              </w:rPr>
              <w:t>11 995</w:t>
            </w:r>
          </w:p>
        </w:tc>
        <w:tc>
          <w:tcPr>
            <w:tcW w:w="1963" w:type="dxa"/>
            <w:tcBorders>
              <w:top w:val="nil"/>
              <w:left w:val="nil"/>
              <w:bottom w:val="nil"/>
              <w:right w:val="nil"/>
              <w:tl2br w:val="nil"/>
              <w:tr2bl w:val="nil"/>
            </w:tcBorders>
            <w:shd w:val="solid" w:color="CCE1EA" w:fill="FFFFFF"/>
            <w:tcMar>
              <w:left w:w="60" w:type="dxa"/>
              <w:right w:w="60" w:type="dxa"/>
            </w:tcMar>
            <w:vAlign w:val="center"/>
          </w:tcPr>
          <w:p>
            <w:pPr>
              <w:pStyle w:val="DMETW19893BIPSPC"/>
              <w:jc w:val="right"/>
              <w:rPr>
                <w:rFonts w:ascii="Verdana" w:eastAsia="Verdana" w:hAnsi="Verdana" w:cs="Verdana"/>
                <w:b/>
                <w:noProof/>
                <w:color w:val="000000"/>
                <w:sz w:val="18"/>
              </w:rPr>
            </w:pPr>
            <w:r>
              <w:rPr>
                <w:rFonts w:ascii="Verdana" w:hAnsi="Verdana"/>
                <w:b/>
                <w:noProof/>
                <w:color w:val="000000"/>
                <w:sz w:val="18"/>
              </w:rPr>
              <w:t>11 613</w:t>
            </w:r>
          </w:p>
        </w:tc>
      </w:tr>
    </w:tbl>
    <w:p>
      <w:pPr>
        <w:pStyle w:val="DGTextstand-alone"/>
        <w:spacing w:after="0"/>
      </w:pPr>
      <w:r>
        <w:t>Разходите за пенсии представляват елементи на движенията, които са възникнали след актюерската оценка на задълженията, свързани с доходите на наети лица, различни от признатите в „Нетни активи“. Поради това те не представляват реалните пенсионни плащания за годината, които са значително по-ниски.</w:t>
      </w:r>
    </w:p>
    <w:bookmarkEnd w:id="171"/>
    <w:p>
      <w:pPr>
        <w:pStyle w:val="DGTextstand-alone"/>
        <w:spacing w:after="0"/>
        <w:sectPr>
          <w:headerReference w:type="even" r:id="rId242"/>
          <w:headerReference w:type="default" r:id="rId243"/>
          <w:footerReference w:type="even" r:id="rId244"/>
          <w:footerReference w:type="default" r:id="rId245"/>
          <w:headerReference w:type="first" r:id="rId246"/>
          <w:footerReference w:type="first" r:id="rId247"/>
          <w:type w:val="continuous"/>
          <w:pgSz w:w="11906" w:h="16838"/>
          <w:pgMar w:top="1134" w:right="1134" w:bottom="1134" w:left="1134" w:header="709" w:footer="709" w:gutter="0"/>
          <w:cols w:space="708"/>
          <w:docGrid w:linePitch="360"/>
        </w:sectPr>
      </w:pPr>
    </w:p>
    <w:p>
      <w:pPr>
        <w:pStyle w:val="HEADER2NOTES"/>
        <w:rPr>
          <w:noProof/>
        </w:rPr>
      </w:pPr>
      <w:bookmarkStart w:id="173" w:name="_DMBM_19790"/>
      <w:r>
        <w:rPr>
          <w:noProof/>
        </w:rPr>
        <w:t>ФИНАНСОВИ РАЗХОДИ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6"/>
        <w:gridCol w:w="1626"/>
        <w:gridCol w:w="1626"/>
      </w:tblGrid>
      <w:tr>
        <w:trPr>
          <w:trHeight w:hRule="exact" w:val="255"/>
        </w:trPr>
        <w:tc>
          <w:tcPr>
            <w:tcW w:w="6506" w:type="dxa"/>
            <w:tcBorders>
              <w:top w:val="nil"/>
              <w:left w:val="nil"/>
              <w:bottom w:val="nil"/>
              <w:right w:val="nil"/>
              <w:tl2br w:val="nil"/>
              <w:tr2bl w:val="nil"/>
            </w:tcBorders>
            <w:shd w:val="solid" w:color="FFFFFF" w:fill="FFFFFF"/>
            <w:tcMar>
              <w:left w:w="60" w:type="dxa"/>
              <w:right w:w="60" w:type="dxa"/>
            </w:tcMar>
            <w:vAlign w:val="bottom"/>
          </w:tcPr>
          <w:p>
            <w:pPr>
              <w:pStyle w:val="DMETW19875BIPFINEXP"/>
              <w:rPr>
                <w:rFonts w:ascii="Arial" w:eastAsia="Arial" w:hAnsi="Arial" w:cs="Arial"/>
                <w:noProof/>
                <w:color w:val="000000"/>
              </w:rPr>
            </w:pPr>
            <w:bookmarkStart w:id="174" w:name="DOC_TBL00072_1_1"/>
            <w:bookmarkEnd w:id="174"/>
          </w:p>
        </w:tc>
        <w:tc>
          <w:tcPr>
            <w:tcW w:w="1626" w:type="dxa"/>
            <w:tcBorders>
              <w:top w:val="nil"/>
              <w:left w:val="nil"/>
              <w:bottom w:val="nil"/>
              <w:right w:val="nil"/>
              <w:tl2br w:val="nil"/>
              <w:tr2bl w:val="nil"/>
            </w:tcBorders>
            <w:shd w:val="solid" w:color="FFFFFF" w:fill="FFFFFF"/>
            <w:tcMar>
              <w:left w:w="60" w:type="dxa"/>
              <w:right w:w="60" w:type="dxa"/>
            </w:tcMar>
            <w:vAlign w:val="bottom"/>
          </w:tcPr>
          <w:p>
            <w:pPr>
              <w:pStyle w:val="DMETW19875BIPFINEXP"/>
              <w:rPr>
                <w:rFonts w:ascii="Arial" w:eastAsia="Arial" w:hAnsi="Arial" w:cs="Arial"/>
                <w:noProof/>
                <w:color w:val="000000"/>
              </w:rPr>
            </w:pPr>
          </w:p>
        </w:tc>
        <w:tc>
          <w:tcPr>
            <w:tcW w:w="1626" w:type="dxa"/>
            <w:tcBorders>
              <w:top w:val="nil"/>
              <w:left w:val="nil"/>
              <w:bottom w:val="nil"/>
              <w:right w:val="nil"/>
              <w:tl2br w:val="nil"/>
              <w:tr2bl w:val="nil"/>
            </w:tcBorders>
            <w:shd w:val="solid" w:color="FFFFFF" w:fill="FFFFFF"/>
            <w:tcMar>
              <w:left w:w="60" w:type="dxa"/>
              <w:right w:w="60" w:type="dxa"/>
            </w:tcMar>
            <w:vAlign w:val="bottom"/>
          </w:tcPr>
          <w:p>
            <w:pPr>
              <w:pStyle w:val="DMETW19875BIPFINEXP"/>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6506" w:type="dxa"/>
            <w:tcBorders>
              <w:top w:val="nil"/>
              <w:left w:val="nil"/>
              <w:bottom w:val="nil"/>
              <w:right w:val="nil"/>
              <w:tl2br w:val="nil"/>
              <w:tr2bl w:val="nil"/>
            </w:tcBorders>
            <w:shd w:val="solid" w:color="016794" w:fill="FFFFFF"/>
            <w:tcMar>
              <w:left w:w="60" w:type="dxa"/>
              <w:right w:w="60" w:type="dxa"/>
            </w:tcMar>
            <w:vAlign w:val="center"/>
          </w:tcPr>
          <w:p>
            <w:pPr>
              <w:pStyle w:val="DMETW19875BIPFINEXP"/>
              <w:jc w:val="right"/>
              <w:rPr>
                <w:rFonts w:ascii="Verdana" w:eastAsia="Verdana" w:hAnsi="Verdana" w:cs="Verdana"/>
                <w:noProof/>
                <w:color w:val="FFFFFF"/>
                <w:sz w:val="18"/>
              </w:rPr>
            </w:pPr>
          </w:p>
        </w:tc>
        <w:tc>
          <w:tcPr>
            <w:tcW w:w="1626" w:type="dxa"/>
            <w:tcBorders>
              <w:top w:val="nil"/>
              <w:left w:val="nil"/>
              <w:bottom w:val="nil"/>
              <w:right w:val="nil"/>
              <w:tl2br w:val="nil"/>
              <w:tr2bl w:val="nil"/>
            </w:tcBorders>
            <w:shd w:val="solid" w:color="016794" w:fill="FFFFFF"/>
            <w:tcMar>
              <w:left w:w="60" w:type="dxa"/>
              <w:right w:w="60" w:type="dxa"/>
            </w:tcMar>
            <w:vAlign w:val="center"/>
          </w:tcPr>
          <w:p>
            <w:pPr>
              <w:pStyle w:val="DMETW19875BIPFINEXP"/>
              <w:jc w:val="right"/>
              <w:rPr>
                <w:rFonts w:ascii="Verdana" w:eastAsia="Verdana" w:hAnsi="Verdana" w:cs="Verdana"/>
                <w:noProof/>
                <w:color w:val="FFFFFF"/>
              </w:rPr>
            </w:pPr>
            <w:r>
              <w:rPr>
                <w:rFonts w:ascii="Verdana" w:hAnsi="Verdana"/>
                <w:noProof/>
                <w:color w:val="FFFFFF"/>
              </w:rPr>
              <w:t>2020 г.</w:t>
            </w:r>
          </w:p>
        </w:tc>
        <w:tc>
          <w:tcPr>
            <w:tcW w:w="1626" w:type="dxa"/>
            <w:tcBorders>
              <w:top w:val="nil"/>
              <w:left w:val="nil"/>
              <w:bottom w:val="nil"/>
              <w:right w:val="nil"/>
              <w:tl2br w:val="nil"/>
              <w:tr2bl w:val="nil"/>
            </w:tcBorders>
            <w:shd w:val="solid" w:color="016794" w:fill="FFFFFF"/>
            <w:tcMar>
              <w:left w:w="60" w:type="dxa"/>
              <w:right w:w="60" w:type="dxa"/>
            </w:tcMar>
            <w:vAlign w:val="center"/>
          </w:tcPr>
          <w:p>
            <w:pPr>
              <w:pStyle w:val="DMETW19875BIPFINEXP"/>
              <w:jc w:val="right"/>
              <w:rPr>
                <w:rFonts w:ascii="Verdana" w:eastAsia="Verdana" w:hAnsi="Verdana" w:cs="Verdana"/>
                <w:noProof/>
                <w:color w:val="FFFFFF"/>
              </w:rPr>
            </w:pPr>
            <w:r>
              <w:rPr>
                <w:rFonts w:ascii="Verdana" w:hAnsi="Verdana"/>
                <w:noProof/>
                <w:color w:val="FFFFFF"/>
              </w:rPr>
              <w:t>2019 г.</w:t>
            </w:r>
          </w:p>
        </w:tc>
      </w:tr>
      <w:tr>
        <w:trPr>
          <w:trHeight w:hRule="exact" w:val="255"/>
        </w:trPr>
        <w:tc>
          <w:tcPr>
            <w:tcW w:w="650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rPr>
                <w:rFonts w:ascii="Verdana" w:eastAsia="Verdana" w:hAnsi="Verdana" w:cs="Verdana"/>
                <w:i/>
                <w:noProof/>
                <w:color w:val="000000"/>
                <w:sz w:val="18"/>
              </w:rPr>
            </w:pPr>
            <w:r>
              <w:rPr>
                <w:rFonts w:ascii="Verdana" w:hAnsi="Verdana"/>
                <w:i/>
                <w:noProof/>
                <w:color w:val="000000"/>
                <w:sz w:val="18"/>
              </w:rPr>
              <w:t>Разходи за лихви:</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lang w:bidi="en-GB"/>
              </w:rPr>
            </w:pPr>
          </w:p>
        </w:tc>
      </w:tr>
      <w:tr>
        <w:trPr>
          <w:trHeight w:hRule="exact" w:val="255"/>
        </w:trPr>
        <w:tc>
          <w:tcPr>
            <w:tcW w:w="650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rPr>
                <w:rFonts w:ascii="Verdana" w:eastAsia="Verdana" w:hAnsi="Verdana" w:cs="Verdana"/>
                <w:i/>
                <w:noProof/>
                <w:color w:val="000000"/>
                <w:sz w:val="18"/>
              </w:rPr>
            </w:pPr>
            <w:r>
              <w:rPr>
                <w:rFonts w:ascii="Verdana" w:hAnsi="Verdana"/>
                <w:i/>
                <w:noProof/>
                <w:color w:val="000000"/>
                <w:sz w:val="18"/>
              </w:rPr>
              <w:t xml:space="preserve">     Получени заеми</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1 160</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1 174</w:t>
            </w:r>
          </w:p>
        </w:tc>
      </w:tr>
      <w:tr>
        <w:trPr>
          <w:trHeight w:hRule="exact" w:val="255"/>
        </w:trPr>
        <w:tc>
          <w:tcPr>
            <w:tcW w:w="650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rPr>
                <w:rFonts w:ascii="Verdana" w:eastAsia="Verdana" w:hAnsi="Verdana" w:cs="Verdana"/>
                <w:i/>
                <w:noProof/>
                <w:color w:val="000000"/>
                <w:sz w:val="18"/>
              </w:rPr>
            </w:pPr>
            <w:r>
              <w:rPr>
                <w:rFonts w:ascii="Verdana" w:hAnsi="Verdana"/>
                <w:i/>
                <w:noProof/>
                <w:color w:val="000000"/>
                <w:sz w:val="18"/>
              </w:rPr>
              <w:t xml:space="preserve">     Други</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24</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23</w:t>
            </w:r>
          </w:p>
        </w:tc>
      </w:tr>
      <w:tr>
        <w:trPr>
          <w:trHeight w:hRule="exact" w:val="255"/>
        </w:trPr>
        <w:tc>
          <w:tcPr>
            <w:tcW w:w="650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rPr>
                <w:rFonts w:ascii="Verdana" w:eastAsia="Verdana" w:hAnsi="Verdana" w:cs="Verdana"/>
                <w:i/>
                <w:noProof/>
                <w:color w:val="000000"/>
                <w:sz w:val="18"/>
              </w:rPr>
            </w:pPr>
            <w:r>
              <w:rPr>
                <w:rFonts w:ascii="Verdana" w:hAnsi="Verdana"/>
                <w:i/>
                <w:noProof/>
                <w:color w:val="000000"/>
                <w:sz w:val="18"/>
              </w:rPr>
              <w:t>Разходи по емитиране</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672</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hRule="exact" w:val="255"/>
        </w:trPr>
        <w:tc>
          <w:tcPr>
            <w:tcW w:w="650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rPr>
                <w:rFonts w:ascii="Verdana" w:eastAsia="Verdana" w:hAnsi="Verdana" w:cs="Verdana"/>
                <w:i/>
                <w:noProof/>
                <w:color w:val="000000"/>
                <w:sz w:val="18"/>
              </w:rPr>
            </w:pPr>
            <w:r>
              <w:rPr>
                <w:rFonts w:ascii="Verdana" w:hAnsi="Verdana"/>
                <w:i/>
                <w:noProof/>
                <w:color w:val="000000"/>
                <w:sz w:val="18"/>
              </w:rPr>
              <w:t>Загуби от обезценка на заеми и вземания</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110</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105</w:t>
            </w:r>
          </w:p>
        </w:tc>
      </w:tr>
      <w:tr>
        <w:trPr>
          <w:trHeight w:hRule="exact" w:val="563"/>
        </w:trPr>
        <w:tc>
          <w:tcPr>
            <w:tcW w:w="650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rPr>
                <w:rFonts w:ascii="Verdana" w:eastAsia="Verdana" w:hAnsi="Verdana" w:cs="Verdana"/>
                <w:i/>
                <w:noProof/>
                <w:color w:val="000000"/>
                <w:sz w:val="18"/>
              </w:rPr>
            </w:pPr>
            <w:r>
              <w:rPr>
                <w:rFonts w:ascii="Verdana" w:hAnsi="Verdana"/>
                <w:i/>
                <w:noProof/>
                <w:color w:val="000000"/>
                <w:sz w:val="18"/>
              </w:rPr>
              <w:t>Загуба от финансови активи или пасиви по справедлива стойност чрез излишъка или дефицита</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21</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57</w:t>
            </w:r>
          </w:p>
        </w:tc>
      </w:tr>
      <w:tr>
        <w:trPr>
          <w:trHeight w:hRule="exact" w:val="255"/>
        </w:trPr>
        <w:tc>
          <w:tcPr>
            <w:tcW w:w="650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rPr>
                <w:rFonts w:ascii="Verdana" w:eastAsia="Verdana" w:hAnsi="Verdana" w:cs="Verdana"/>
                <w:i/>
                <w:noProof/>
                <w:color w:val="000000"/>
                <w:sz w:val="18"/>
              </w:rPr>
            </w:pPr>
            <w:r>
              <w:rPr>
                <w:rFonts w:ascii="Verdana" w:hAnsi="Verdana"/>
                <w:i/>
                <w:noProof/>
                <w:color w:val="000000"/>
                <w:sz w:val="18"/>
              </w:rPr>
              <w:t>Финансови лизинги</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62</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70</w:t>
            </w:r>
          </w:p>
        </w:tc>
      </w:tr>
      <w:tr>
        <w:trPr>
          <w:trHeight w:hRule="exact" w:val="255"/>
        </w:trPr>
        <w:tc>
          <w:tcPr>
            <w:tcW w:w="650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rPr>
                <w:rFonts w:ascii="Verdana" w:eastAsia="Verdana" w:hAnsi="Verdana" w:cs="Verdana"/>
                <w:i/>
                <w:noProof/>
                <w:color w:val="000000"/>
                <w:sz w:val="18"/>
              </w:rPr>
            </w:pPr>
            <w:r>
              <w:rPr>
                <w:rFonts w:ascii="Verdana" w:hAnsi="Verdana"/>
                <w:i/>
                <w:noProof/>
                <w:color w:val="000000"/>
                <w:sz w:val="18"/>
              </w:rPr>
              <w:t>Загуби от обезценка на финансови активи, обявени за продажба</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41</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19</w:t>
            </w:r>
          </w:p>
        </w:tc>
      </w:tr>
      <w:tr>
        <w:trPr>
          <w:trHeight w:hRule="exact" w:val="255"/>
        </w:trPr>
        <w:tc>
          <w:tcPr>
            <w:tcW w:w="650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rPr>
                <w:rFonts w:ascii="Verdana" w:eastAsia="Verdana" w:hAnsi="Verdana" w:cs="Verdana"/>
                <w:i/>
                <w:noProof/>
                <w:color w:val="000000"/>
                <w:sz w:val="18"/>
              </w:rPr>
            </w:pPr>
            <w:r>
              <w:rPr>
                <w:rFonts w:ascii="Verdana" w:hAnsi="Verdana"/>
                <w:i/>
                <w:noProof/>
                <w:color w:val="000000"/>
                <w:sz w:val="18"/>
              </w:rPr>
              <w:t>Реализирани загуби от финансови активи, обявени за продажба</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5</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hRule="exact" w:val="255"/>
        </w:trPr>
        <w:tc>
          <w:tcPr>
            <w:tcW w:w="650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rPr>
                <w:rFonts w:ascii="Verdana" w:eastAsia="Verdana" w:hAnsi="Verdana" w:cs="Verdana"/>
                <w:i/>
                <w:noProof/>
                <w:color w:val="000000"/>
                <w:sz w:val="18"/>
              </w:rPr>
            </w:pPr>
            <w:r>
              <w:rPr>
                <w:rFonts w:ascii="Verdana" w:hAnsi="Verdana"/>
                <w:i/>
                <w:noProof/>
                <w:color w:val="000000"/>
                <w:sz w:val="18"/>
              </w:rPr>
              <w:t xml:space="preserve">Други </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92</w:t>
            </w:r>
          </w:p>
        </w:tc>
        <w:tc>
          <w:tcPr>
            <w:tcW w:w="1626" w:type="dxa"/>
            <w:tcBorders>
              <w:top w:val="nil"/>
              <w:left w:val="nil"/>
              <w:bottom w:val="nil"/>
              <w:right w:val="nil"/>
              <w:tl2br w:val="nil"/>
              <w:tr2bl w:val="nil"/>
            </w:tcBorders>
            <w:shd w:val="solid" w:color="FFFFFF" w:fill="FFFFFF"/>
            <w:tcMar>
              <w:left w:w="60" w:type="dxa"/>
              <w:right w:w="60" w:type="dxa"/>
            </w:tcMar>
            <w:vAlign w:val="center"/>
          </w:tcPr>
          <w:p>
            <w:pPr>
              <w:pStyle w:val="DMETW19875BIPFINEXP"/>
              <w:jc w:val="right"/>
              <w:rPr>
                <w:rFonts w:ascii="Verdana" w:eastAsia="Verdana" w:hAnsi="Verdana" w:cs="Verdana"/>
                <w:i/>
                <w:noProof/>
                <w:color w:val="000000"/>
                <w:sz w:val="18"/>
              </w:rPr>
            </w:pPr>
            <w:r>
              <w:rPr>
                <w:rFonts w:ascii="Verdana" w:hAnsi="Verdana"/>
                <w:i/>
                <w:noProof/>
                <w:color w:val="000000"/>
                <w:sz w:val="18"/>
              </w:rPr>
              <w:t xml:space="preserve"> 34</w:t>
            </w:r>
          </w:p>
        </w:tc>
      </w:tr>
      <w:tr>
        <w:trPr>
          <w:trHeight w:hRule="exact" w:val="255"/>
        </w:trPr>
        <w:tc>
          <w:tcPr>
            <w:tcW w:w="6506" w:type="dxa"/>
            <w:tcBorders>
              <w:top w:val="nil"/>
              <w:left w:val="nil"/>
              <w:bottom w:val="nil"/>
              <w:right w:val="nil"/>
              <w:tl2br w:val="nil"/>
              <w:tr2bl w:val="nil"/>
            </w:tcBorders>
            <w:shd w:val="solid" w:color="CCE1EA" w:fill="FFFFFF"/>
            <w:tcMar>
              <w:left w:w="60" w:type="dxa"/>
              <w:right w:w="60" w:type="dxa"/>
            </w:tcMar>
            <w:vAlign w:val="center"/>
          </w:tcPr>
          <w:p>
            <w:pPr>
              <w:pStyle w:val="DMETW19875BIPFINEXP"/>
              <w:rPr>
                <w:rFonts w:ascii="Verdana" w:eastAsia="Verdana" w:hAnsi="Verdana" w:cs="Verdana"/>
                <w:b/>
                <w:noProof/>
                <w:color w:val="000000"/>
                <w:sz w:val="18"/>
              </w:rPr>
            </w:pPr>
            <w:r>
              <w:rPr>
                <w:rFonts w:ascii="Verdana" w:hAnsi="Verdana"/>
                <w:b/>
                <w:noProof/>
                <w:color w:val="000000"/>
                <w:sz w:val="18"/>
              </w:rPr>
              <w:t>Общо</w:t>
            </w:r>
          </w:p>
        </w:tc>
        <w:tc>
          <w:tcPr>
            <w:tcW w:w="1626" w:type="dxa"/>
            <w:tcBorders>
              <w:top w:val="nil"/>
              <w:left w:val="nil"/>
              <w:bottom w:val="nil"/>
              <w:right w:val="nil"/>
              <w:tl2br w:val="nil"/>
              <w:tr2bl w:val="nil"/>
            </w:tcBorders>
            <w:shd w:val="solid" w:color="CCE1EA" w:fill="FFFFFF"/>
            <w:tcMar>
              <w:left w:w="60" w:type="dxa"/>
              <w:right w:w="60" w:type="dxa"/>
            </w:tcMar>
            <w:vAlign w:val="center"/>
          </w:tcPr>
          <w:p>
            <w:pPr>
              <w:pStyle w:val="DMETW19875BIPFINEXP"/>
              <w:jc w:val="right"/>
              <w:rPr>
                <w:rFonts w:ascii="Verdana" w:eastAsia="Verdana" w:hAnsi="Verdana" w:cs="Verdana"/>
                <w:b/>
                <w:noProof/>
                <w:color w:val="000000"/>
                <w:sz w:val="18"/>
              </w:rPr>
            </w:pPr>
            <w:r>
              <w:rPr>
                <w:rFonts w:ascii="Verdana" w:hAnsi="Verdana"/>
                <w:b/>
                <w:noProof/>
                <w:color w:val="000000"/>
                <w:sz w:val="18"/>
              </w:rPr>
              <w:t>2 188</w:t>
            </w:r>
          </w:p>
        </w:tc>
        <w:tc>
          <w:tcPr>
            <w:tcW w:w="1626" w:type="dxa"/>
            <w:tcBorders>
              <w:top w:val="nil"/>
              <w:left w:val="nil"/>
              <w:bottom w:val="nil"/>
              <w:right w:val="nil"/>
              <w:tl2br w:val="nil"/>
              <w:tr2bl w:val="nil"/>
            </w:tcBorders>
            <w:shd w:val="solid" w:color="CCE1EA" w:fill="FFFFFF"/>
            <w:tcMar>
              <w:left w:w="60" w:type="dxa"/>
              <w:right w:w="60" w:type="dxa"/>
            </w:tcMar>
            <w:vAlign w:val="center"/>
          </w:tcPr>
          <w:p>
            <w:pPr>
              <w:pStyle w:val="DMETW19875BIPFINEXP"/>
              <w:jc w:val="right"/>
              <w:rPr>
                <w:rFonts w:ascii="Verdana" w:eastAsia="Verdana" w:hAnsi="Verdana" w:cs="Verdana"/>
                <w:b/>
                <w:noProof/>
                <w:color w:val="000000"/>
                <w:sz w:val="18"/>
              </w:rPr>
            </w:pPr>
            <w:r>
              <w:rPr>
                <w:rFonts w:ascii="Verdana" w:hAnsi="Verdana"/>
                <w:b/>
                <w:noProof/>
                <w:color w:val="000000"/>
                <w:sz w:val="18"/>
              </w:rPr>
              <w:t>1 491</w:t>
            </w:r>
          </w:p>
        </w:tc>
      </w:tr>
    </w:tbl>
    <w:p>
      <w:pPr>
        <w:pStyle w:val="DGTextstand-alone"/>
        <w:spacing w:after="0"/>
      </w:pPr>
      <w:r>
        <w:t>Размерът на разходите за лихви по получените заеми съответства предимно на приходите от лихви по отпуснатите заеми за финансова помощ (операции от вида „бек-ту-бек“).</w:t>
      </w:r>
    </w:p>
    <w:p>
      <w:pPr>
        <w:pStyle w:val="DGTextstand-alone"/>
      </w:pPr>
      <w:r>
        <w:t xml:space="preserve">Разходите по емитиране в размер на 672 милиона евро са свързани главно с програмата SURE, за която емисионните премии, получени по взетите заеми, бяха прехвърлени на държавите членки, ползващи се от предоставените заеми (вж. също бележка </w:t>
      </w:r>
      <w:r>
        <w:rPr>
          <w:b/>
          <w:bCs/>
        </w:rPr>
        <w:t>3.8</w:t>
      </w:r>
      <w:r>
        <w:t>).</w:t>
      </w:r>
      <w:bookmarkEnd w:id="173"/>
    </w:p>
    <w:p>
      <w:pPr>
        <w:pStyle w:val="HEADER2NOTES"/>
        <w:rPr>
          <w:noProof/>
        </w:rPr>
      </w:pPr>
      <w:bookmarkStart w:id="175" w:name="_DMBM_19814"/>
      <w:r>
        <w:rPr>
          <w:noProof/>
        </w:rPr>
        <w:t>ДРУГИ РАЗХОДИ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1506"/>
        <w:gridCol w:w="1506"/>
      </w:tblGrid>
      <w:tr>
        <w:trPr>
          <w:trHeight w:hRule="exact" w:val="255"/>
        </w:trPr>
        <w:tc>
          <w:tcPr>
            <w:tcW w:w="6746" w:type="dxa"/>
            <w:tcBorders>
              <w:top w:val="nil"/>
              <w:left w:val="nil"/>
              <w:bottom w:val="nil"/>
              <w:right w:val="nil"/>
              <w:tl2br w:val="nil"/>
              <w:tr2bl w:val="nil"/>
            </w:tcBorders>
            <w:shd w:val="clear" w:color="auto" w:fill="auto"/>
            <w:tcMar>
              <w:left w:w="60" w:type="dxa"/>
              <w:right w:w="60" w:type="dxa"/>
            </w:tcMar>
            <w:vAlign w:val="bottom"/>
          </w:tcPr>
          <w:p>
            <w:pPr>
              <w:pStyle w:val="DMETW19866BIPOE"/>
              <w:rPr>
                <w:rFonts w:ascii="Arial" w:eastAsia="Arial" w:hAnsi="Arial" w:cs="Arial"/>
                <w:noProof/>
                <w:color w:val="000000"/>
              </w:rPr>
            </w:pPr>
            <w:bookmarkStart w:id="176" w:name="DOC_TBL00073_1_1"/>
            <w:bookmarkEnd w:id="176"/>
          </w:p>
        </w:tc>
        <w:tc>
          <w:tcPr>
            <w:tcW w:w="1506" w:type="dxa"/>
            <w:tcBorders>
              <w:top w:val="nil"/>
              <w:left w:val="nil"/>
              <w:bottom w:val="nil"/>
              <w:right w:val="nil"/>
              <w:tl2br w:val="nil"/>
              <w:tr2bl w:val="nil"/>
            </w:tcBorders>
            <w:shd w:val="clear" w:color="auto" w:fill="auto"/>
            <w:tcMar>
              <w:left w:w="60" w:type="dxa"/>
              <w:right w:w="60" w:type="dxa"/>
            </w:tcMar>
            <w:vAlign w:val="bottom"/>
          </w:tcPr>
          <w:p>
            <w:pPr>
              <w:pStyle w:val="DMETW19866BIPOE"/>
              <w:rPr>
                <w:rFonts w:ascii="Arial" w:eastAsia="Arial" w:hAnsi="Arial" w:cs="Arial"/>
                <w:noProof/>
                <w:color w:val="000000"/>
              </w:rPr>
            </w:pPr>
          </w:p>
        </w:tc>
        <w:tc>
          <w:tcPr>
            <w:tcW w:w="1506" w:type="dxa"/>
            <w:tcBorders>
              <w:top w:val="nil"/>
              <w:left w:val="nil"/>
              <w:bottom w:val="nil"/>
              <w:right w:val="nil"/>
              <w:tl2br w:val="nil"/>
              <w:tr2bl w:val="nil"/>
            </w:tcBorders>
            <w:shd w:val="clear" w:color="auto" w:fill="auto"/>
            <w:tcMar>
              <w:left w:w="60" w:type="dxa"/>
              <w:right w:w="60" w:type="dxa"/>
            </w:tcMar>
            <w:vAlign w:val="bottom"/>
          </w:tcPr>
          <w:p>
            <w:pPr>
              <w:pStyle w:val="DMETW19866BIPO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6746" w:type="dxa"/>
            <w:tcBorders>
              <w:top w:val="nil"/>
              <w:left w:val="nil"/>
              <w:bottom w:val="nil"/>
              <w:right w:val="nil"/>
              <w:tl2br w:val="nil"/>
              <w:tr2bl w:val="nil"/>
            </w:tcBorders>
            <w:shd w:val="solid" w:color="016794" w:fill="FFFFFF"/>
            <w:tcMar>
              <w:left w:w="60" w:type="dxa"/>
              <w:right w:w="60" w:type="dxa"/>
            </w:tcMar>
            <w:vAlign w:val="center"/>
          </w:tcPr>
          <w:p>
            <w:pPr>
              <w:pStyle w:val="DMETW19866BIPOE"/>
              <w:jc w:val="right"/>
              <w:rPr>
                <w:rFonts w:ascii="Verdana" w:eastAsia="Verdana" w:hAnsi="Verdana" w:cs="Verdana"/>
                <w:noProof/>
                <w:color w:val="FFFFFF"/>
              </w:rPr>
            </w:pPr>
          </w:p>
        </w:tc>
        <w:tc>
          <w:tcPr>
            <w:tcW w:w="1506" w:type="dxa"/>
            <w:tcBorders>
              <w:top w:val="nil"/>
              <w:left w:val="nil"/>
              <w:bottom w:val="nil"/>
              <w:right w:val="nil"/>
              <w:tl2br w:val="nil"/>
              <w:tr2bl w:val="nil"/>
            </w:tcBorders>
            <w:shd w:val="solid" w:color="016794" w:fill="FFFFFF"/>
            <w:tcMar>
              <w:left w:w="60" w:type="dxa"/>
              <w:right w:w="60" w:type="dxa"/>
            </w:tcMar>
            <w:vAlign w:val="center"/>
          </w:tcPr>
          <w:p>
            <w:pPr>
              <w:pStyle w:val="DMETW19866BIPOE"/>
              <w:jc w:val="right"/>
              <w:rPr>
                <w:rFonts w:ascii="Verdana" w:eastAsia="Verdana" w:hAnsi="Verdana" w:cs="Verdana"/>
                <w:noProof/>
                <w:color w:val="FFFFFF"/>
              </w:rPr>
            </w:pPr>
            <w:r>
              <w:rPr>
                <w:rFonts w:ascii="Verdana" w:hAnsi="Verdana"/>
                <w:noProof/>
                <w:color w:val="FFFFFF"/>
              </w:rPr>
              <w:t>2020 г.</w:t>
            </w:r>
          </w:p>
        </w:tc>
        <w:tc>
          <w:tcPr>
            <w:tcW w:w="1506" w:type="dxa"/>
            <w:tcBorders>
              <w:top w:val="nil"/>
              <w:left w:val="nil"/>
              <w:bottom w:val="nil"/>
              <w:right w:val="nil"/>
              <w:tl2br w:val="nil"/>
              <w:tr2bl w:val="nil"/>
            </w:tcBorders>
            <w:shd w:val="solid" w:color="016794" w:fill="FFFFFF"/>
            <w:tcMar>
              <w:left w:w="60" w:type="dxa"/>
              <w:right w:w="60" w:type="dxa"/>
            </w:tcMar>
            <w:vAlign w:val="center"/>
          </w:tcPr>
          <w:p>
            <w:pPr>
              <w:pStyle w:val="DMETW19866BIPOE"/>
              <w:jc w:val="right"/>
              <w:rPr>
                <w:rFonts w:ascii="Verdana" w:eastAsia="Verdana" w:hAnsi="Verdana" w:cs="Verdana"/>
                <w:noProof/>
                <w:color w:val="FFFFFF"/>
              </w:rPr>
            </w:pPr>
            <w:r>
              <w:rPr>
                <w:rFonts w:ascii="Verdana" w:hAnsi="Verdana"/>
                <w:noProof/>
                <w:color w:val="FFFFFF"/>
              </w:rPr>
              <w:t>2019 г.</w:t>
            </w:r>
          </w:p>
        </w:tc>
      </w:tr>
      <w:tr>
        <w:trPr>
          <w:trHeight w:hRule="exact" w:val="255"/>
        </w:trPr>
        <w:tc>
          <w:tcPr>
            <w:tcW w:w="6746" w:type="dxa"/>
            <w:tcBorders>
              <w:top w:val="nil"/>
              <w:left w:val="nil"/>
              <w:bottom w:val="nil"/>
              <w:right w:val="nil"/>
              <w:tl2br w:val="nil"/>
              <w:tr2bl w:val="nil"/>
            </w:tcBorders>
            <w:shd w:val="clear" w:color="auto" w:fill="auto"/>
            <w:tcMar>
              <w:left w:w="60" w:type="dxa"/>
              <w:right w:w="60" w:type="dxa"/>
            </w:tcMar>
            <w:vAlign w:val="center"/>
          </w:tcPr>
          <w:p>
            <w:pPr>
              <w:pStyle w:val="DMETW19866BIPOE"/>
              <w:rPr>
                <w:rFonts w:ascii="Verdana" w:eastAsia="Verdana" w:hAnsi="Verdana" w:cs="Verdana"/>
                <w:i/>
                <w:noProof/>
                <w:color w:val="000000"/>
                <w:sz w:val="18"/>
              </w:rPr>
            </w:pPr>
            <w:r>
              <w:rPr>
                <w:rFonts w:ascii="Verdana" w:hAnsi="Verdana"/>
                <w:i/>
                <w:noProof/>
                <w:color w:val="000000"/>
                <w:sz w:val="18"/>
              </w:rPr>
              <w:t>Административни разходи и разходи в областта на ИТ</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1 984</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2 154</w:t>
            </w:r>
          </w:p>
        </w:tc>
      </w:tr>
      <w:tr>
        <w:trPr>
          <w:trHeight w:hRule="exact" w:val="255"/>
        </w:trPr>
        <w:tc>
          <w:tcPr>
            <w:tcW w:w="6746" w:type="dxa"/>
            <w:tcBorders>
              <w:top w:val="nil"/>
              <w:left w:val="nil"/>
              <w:bottom w:val="nil"/>
              <w:right w:val="nil"/>
              <w:tl2br w:val="nil"/>
              <w:tr2bl w:val="nil"/>
            </w:tcBorders>
            <w:shd w:val="clear" w:color="auto" w:fill="auto"/>
            <w:tcMar>
              <w:left w:w="60" w:type="dxa"/>
              <w:right w:w="60" w:type="dxa"/>
            </w:tcMar>
            <w:vAlign w:val="center"/>
          </w:tcPr>
          <w:p>
            <w:pPr>
              <w:pStyle w:val="DMETW19866BIPOE"/>
              <w:rPr>
                <w:rFonts w:ascii="Verdana" w:eastAsia="Verdana" w:hAnsi="Verdana" w:cs="Verdana"/>
                <w:i/>
                <w:noProof/>
                <w:color w:val="000000"/>
                <w:sz w:val="18"/>
              </w:rPr>
            </w:pPr>
            <w:r>
              <w:rPr>
                <w:rFonts w:ascii="Verdana" w:hAnsi="Verdana"/>
                <w:i/>
                <w:noProof/>
                <w:color w:val="000000"/>
                <w:sz w:val="18"/>
              </w:rPr>
              <w:t>Корекция на провизиите</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1 390</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1 294</w:t>
            </w:r>
          </w:p>
        </w:tc>
      </w:tr>
      <w:tr>
        <w:trPr>
          <w:trHeight w:hRule="exact" w:val="255"/>
        </w:trPr>
        <w:tc>
          <w:tcPr>
            <w:tcW w:w="6746" w:type="dxa"/>
            <w:tcBorders>
              <w:top w:val="nil"/>
              <w:left w:val="nil"/>
              <w:bottom w:val="nil"/>
              <w:right w:val="nil"/>
              <w:tl2br w:val="nil"/>
              <w:tr2bl w:val="nil"/>
            </w:tcBorders>
            <w:shd w:val="clear" w:color="auto" w:fill="auto"/>
            <w:tcMar>
              <w:left w:w="60" w:type="dxa"/>
              <w:right w:w="60" w:type="dxa"/>
            </w:tcMar>
            <w:vAlign w:val="center"/>
          </w:tcPr>
          <w:p>
            <w:pPr>
              <w:pStyle w:val="DMETW19866BIPOE"/>
              <w:rPr>
                <w:rFonts w:ascii="Verdana" w:eastAsia="Verdana" w:hAnsi="Verdana" w:cs="Verdana"/>
                <w:i/>
                <w:noProof/>
                <w:color w:val="000000"/>
                <w:sz w:val="18"/>
              </w:rPr>
            </w:pPr>
            <w:r>
              <w:rPr>
                <w:rFonts w:ascii="Verdana" w:hAnsi="Verdana"/>
                <w:i/>
                <w:noProof/>
                <w:color w:val="000000"/>
                <w:sz w:val="18"/>
              </w:rPr>
              <w:t>Разходи по дълготрайните активи</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1 319</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1 201</w:t>
            </w:r>
          </w:p>
        </w:tc>
      </w:tr>
      <w:tr>
        <w:trPr>
          <w:trHeight w:hRule="exact" w:val="255"/>
        </w:trPr>
        <w:tc>
          <w:tcPr>
            <w:tcW w:w="6746" w:type="dxa"/>
            <w:tcBorders>
              <w:top w:val="nil"/>
              <w:left w:val="nil"/>
              <w:bottom w:val="nil"/>
              <w:right w:val="nil"/>
              <w:tl2br w:val="nil"/>
              <w:tr2bl w:val="nil"/>
            </w:tcBorders>
            <w:shd w:val="clear" w:color="auto" w:fill="auto"/>
            <w:tcMar>
              <w:left w:w="60" w:type="dxa"/>
              <w:right w:w="60" w:type="dxa"/>
            </w:tcMar>
            <w:vAlign w:val="center"/>
          </w:tcPr>
          <w:p>
            <w:pPr>
              <w:pStyle w:val="DMETW19866BIPOE"/>
              <w:rPr>
                <w:rFonts w:ascii="Verdana" w:eastAsia="Verdana" w:hAnsi="Verdana" w:cs="Verdana"/>
                <w:i/>
                <w:noProof/>
                <w:color w:val="000000"/>
                <w:sz w:val="18"/>
              </w:rPr>
            </w:pPr>
            <w:r>
              <w:rPr>
                <w:rFonts w:ascii="Verdana" w:hAnsi="Verdana"/>
                <w:i/>
                <w:noProof/>
                <w:color w:val="000000"/>
                <w:sz w:val="18"/>
              </w:rPr>
              <w:t>Разходи за управление на земя и сгради</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 xml:space="preserve"> 661</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 xml:space="preserve"> 568</w:t>
            </w:r>
          </w:p>
        </w:tc>
      </w:tr>
      <w:tr>
        <w:trPr>
          <w:trHeight w:hRule="exact" w:val="255"/>
        </w:trPr>
        <w:tc>
          <w:tcPr>
            <w:tcW w:w="6746" w:type="dxa"/>
            <w:tcBorders>
              <w:top w:val="nil"/>
              <w:left w:val="nil"/>
              <w:bottom w:val="nil"/>
              <w:right w:val="nil"/>
              <w:tl2br w:val="nil"/>
              <w:tr2bl w:val="nil"/>
            </w:tcBorders>
            <w:shd w:val="clear" w:color="auto" w:fill="auto"/>
            <w:tcMar>
              <w:left w:w="60" w:type="dxa"/>
              <w:right w:w="60" w:type="dxa"/>
            </w:tcMar>
            <w:vAlign w:val="center"/>
          </w:tcPr>
          <w:p>
            <w:pPr>
              <w:pStyle w:val="DMETW19866BIPOE"/>
              <w:rPr>
                <w:rFonts w:ascii="Verdana" w:eastAsia="Verdana" w:hAnsi="Verdana" w:cs="Verdana"/>
                <w:i/>
                <w:noProof/>
                <w:color w:val="000000"/>
                <w:sz w:val="18"/>
              </w:rPr>
            </w:pPr>
            <w:r>
              <w:rPr>
                <w:rFonts w:ascii="Verdana" w:hAnsi="Verdana"/>
                <w:i/>
                <w:noProof/>
                <w:color w:val="000000"/>
                <w:sz w:val="18"/>
              </w:rPr>
              <w:t>Загуби от курсови разлики</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 xml:space="preserve"> 578</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 xml:space="preserve"> 343</w:t>
            </w:r>
          </w:p>
        </w:tc>
      </w:tr>
      <w:tr>
        <w:trPr>
          <w:trHeight w:hRule="exact" w:val="255"/>
        </w:trPr>
        <w:tc>
          <w:tcPr>
            <w:tcW w:w="6746" w:type="dxa"/>
            <w:tcBorders>
              <w:top w:val="nil"/>
              <w:left w:val="nil"/>
              <w:bottom w:val="nil"/>
              <w:right w:val="nil"/>
              <w:tl2br w:val="nil"/>
              <w:tr2bl w:val="nil"/>
            </w:tcBorders>
            <w:shd w:val="clear" w:color="auto" w:fill="auto"/>
            <w:tcMar>
              <w:left w:w="60" w:type="dxa"/>
              <w:right w:w="60" w:type="dxa"/>
            </w:tcMar>
            <w:vAlign w:val="center"/>
          </w:tcPr>
          <w:p>
            <w:pPr>
              <w:pStyle w:val="DMETW19866BIPOE"/>
              <w:rPr>
                <w:rFonts w:ascii="Verdana" w:eastAsia="Verdana" w:hAnsi="Verdana" w:cs="Verdana"/>
                <w:i/>
                <w:noProof/>
                <w:color w:val="000000"/>
                <w:sz w:val="18"/>
              </w:rPr>
            </w:pPr>
            <w:r>
              <w:rPr>
                <w:rFonts w:ascii="Verdana" w:hAnsi="Verdana"/>
                <w:i/>
                <w:noProof/>
                <w:color w:val="000000"/>
                <w:sz w:val="18"/>
              </w:rPr>
              <w:t>Разходи по оперативен лизинг</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 xml:space="preserve"> 423</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 xml:space="preserve"> 442</w:t>
            </w:r>
          </w:p>
        </w:tc>
      </w:tr>
      <w:tr>
        <w:trPr>
          <w:trHeight w:hRule="exact" w:val="255"/>
        </w:trPr>
        <w:tc>
          <w:tcPr>
            <w:tcW w:w="6746" w:type="dxa"/>
            <w:tcBorders>
              <w:top w:val="nil"/>
              <w:left w:val="nil"/>
              <w:bottom w:val="nil"/>
              <w:right w:val="nil"/>
              <w:tl2br w:val="nil"/>
              <w:tr2bl w:val="nil"/>
            </w:tcBorders>
            <w:shd w:val="clear" w:color="auto" w:fill="auto"/>
            <w:tcMar>
              <w:left w:w="60" w:type="dxa"/>
              <w:right w:w="60" w:type="dxa"/>
            </w:tcMar>
            <w:vAlign w:val="center"/>
          </w:tcPr>
          <w:p>
            <w:pPr>
              <w:pStyle w:val="DMETW19866BIPOE"/>
              <w:rPr>
                <w:rFonts w:ascii="Verdana" w:eastAsia="Verdana" w:hAnsi="Verdana" w:cs="Verdana"/>
                <w:i/>
                <w:noProof/>
                <w:color w:val="000000"/>
                <w:sz w:val="18"/>
              </w:rPr>
            </w:pPr>
            <w:r>
              <w:rPr>
                <w:rFonts w:ascii="Verdana" w:hAnsi="Verdana"/>
                <w:i/>
                <w:noProof/>
                <w:color w:val="000000"/>
                <w:sz w:val="18"/>
              </w:rPr>
              <w:t>Други</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 xml:space="preserve"> 593</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OE"/>
              <w:jc w:val="right"/>
              <w:rPr>
                <w:rFonts w:ascii="Verdana" w:eastAsia="Verdana" w:hAnsi="Verdana" w:cs="Verdana"/>
                <w:i/>
                <w:noProof/>
                <w:color w:val="000000"/>
                <w:sz w:val="18"/>
              </w:rPr>
            </w:pPr>
            <w:r>
              <w:rPr>
                <w:rFonts w:ascii="Verdana" w:hAnsi="Verdana"/>
                <w:i/>
                <w:noProof/>
                <w:color w:val="000000"/>
                <w:sz w:val="18"/>
              </w:rPr>
              <w:t xml:space="preserve"> 860</w:t>
            </w:r>
          </w:p>
        </w:tc>
      </w:tr>
      <w:tr>
        <w:trPr>
          <w:trHeight w:hRule="exact" w:val="255"/>
        </w:trPr>
        <w:tc>
          <w:tcPr>
            <w:tcW w:w="6746" w:type="dxa"/>
            <w:tcBorders>
              <w:top w:val="nil"/>
              <w:left w:val="nil"/>
              <w:bottom w:val="nil"/>
              <w:right w:val="nil"/>
              <w:tl2br w:val="nil"/>
              <w:tr2bl w:val="nil"/>
            </w:tcBorders>
            <w:shd w:val="solid" w:color="CCE1EA" w:fill="FFFFFF"/>
            <w:tcMar>
              <w:left w:w="60" w:type="dxa"/>
              <w:right w:w="60" w:type="dxa"/>
            </w:tcMar>
            <w:vAlign w:val="center"/>
          </w:tcPr>
          <w:p>
            <w:pPr>
              <w:pStyle w:val="DMETW19866BIPOE"/>
              <w:rPr>
                <w:rFonts w:ascii="Verdana" w:eastAsia="Verdana" w:hAnsi="Verdana" w:cs="Verdana"/>
                <w:b/>
                <w:noProof/>
                <w:color w:val="000000"/>
                <w:sz w:val="18"/>
              </w:rPr>
            </w:pPr>
            <w:r>
              <w:rPr>
                <w:rFonts w:ascii="Verdana" w:hAnsi="Verdana"/>
                <w:b/>
                <w:noProof/>
                <w:color w:val="000000"/>
                <w:sz w:val="18"/>
              </w:rPr>
              <w:t>Общо</w:t>
            </w:r>
          </w:p>
        </w:tc>
        <w:tc>
          <w:tcPr>
            <w:tcW w:w="1506" w:type="dxa"/>
            <w:tcBorders>
              <w:top w:val="nil"/>
              <w:left w:val="nil"/>
              <w:bottom w:val="nil"/>
              <w:right w:val="nil"/>
              <w:tl2br w:val="nil"/>
              <w:tr2bl w:val="nil"/>
            </w:tcBorders>
            <w:shd w:val="solid" w:color="CCE1EA" w:fill="FFFFFF"/>
            <w:tcMar>
              <w:left w:w="60" w:type="dxa"/>
              <w:right w:w="60" w:type="dxa"/>
            </w:tcMar>
            <w:vAlign w:val="center"/>
          </w:tcPr>
          <w:p>
            <w:pPr>
              <w:pStyle w:val="DMETW19866BIPOE"/>
              <w:jc w:val="right"/>
              <w:rPr>
                <w:rFonts w:ascii="Verdana" w:eastAsia="Verdana" w:hAnsi="Verdana" w:cs="Verdana"/>
                <w:b/>
                <w:noProof/>
                <w:color w:val="000000"/>
                <w:sz w:val="18"/>
              </w:rPr>
            </w:pPr>
            <w:r>
              <w:rPr>
                <w:rFonts w:ascii="Verdana" w:hAnsi="Verdana"/>
                <w:b/>
                <w:noProof/>
                <w:color w:val="000000"/>
                <w:sz w:val="18"/>
              </w:rPr>
              <w:t>6 946</w:t>
            </w:r>
          </w:p>
        </w:tc>
        <w:tc>
          <w:tcPr>
            <w:tcW w:w="1506" w:type="dxa"/>
            <w:tcBorders>
              <w:top w:val="nil"/>
              <w:left w:val="nil"/>
              <w:bottom w:val="nil"/>
              <w:right w:val="nil"/>
              <w:tl2br w:val="nil"/>
              <w:tr2bl w:val="nil"/>
            </w:tcBorders>
            <w:shd w:val="solid" w:color="CCE1EA" w:fill="FFFFFF"/>
            <w:tcMar>
              <w:left w:w="60" w:type="dxa"/>
              <w:right w:w="60" w:type="dxa"/>
            </w:tcMar>
            <w:vAlign w:val="center"/>
          </w:tcPr>
          <w:p>
            <w:pPr>
              <w:pStyle w:val="DMETW19866BIPOE"/>
              <w:jc w:val="right"/>
              <w:rPr>
                <w:rFonts w:ascii="Verdana" w:eastAsia="Verdana" w:hAnsi="Verdana" w:cs="Verdana"/>
                <w:b/>
                <w:noProof/>
                <w:color w:val="000000"/>
                <w:sz w:val="18"/>
              </w:rPr>
            </w:pPr>
            <w:r>
              <w:rPr>
                <w:rFonts w:ascii="Verdana" w:hAnsi="Verdana"/>
                <w:b/>
                <w:noProof/>
                <w:color w:val="000000"/>
                <w:sz w:val="18"/>
              </w:rPr>
              <w:t>6 862</w:t>
            </w:r>
          </w:p>
        </w:tc>
      </w:tr>
    </w:tbl>
    <w:p>
      <w:pPr>
        <w:pStyle w:val="DGTextstand-alone"/>
      </w:pPr>
      <w:r>
        <w:t>Вследствие на по-подходящото представяне на разходите през 2020 г. (разходи за персонал, административни разходи и разходи в областта на ИТ, разходи за земя и сгради) сравнителните данни за 2019 г. бяха съответно адаптирани.</w:t>
      </w:r>
    </w:p>
    <w:p>
      <w:pPr>
        <w:pStyle w:val="DGTextstand-alone"/>
      </w:pPr>
      <w:r>
        <w:t>Общият размер на средствата за научноизследователска и развойна дейност, признати като разходи през 2020 г., е следният: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1506"/>
        <w:gridCol w:w="1506"/>
      </w:tblGrid>
      <w:tr>
        <w:trPr>
          <w:trHeight w:val="255"/>
        </w:trPr>
        <w:tc>
          <w:tcPr>
            <w:tcW w:w="6746" w:type="dxa"/>
            <w:tcBorders>
              <w:top w:val="nil"/>
              <w:left w:val="nil"/>
              <w:bottom w:val="nil"/>
              <w:right w:val="nil"/>
              <w:tl2br w:val="nil"/>
              <w:tr2bl w:val="nil"/>
            </w:tcBorders>
            <w:shd w:val="clear" w:color="auto" w:fill="auto"/>
            <w:tcMar>
              <w:left w:w="60" w:type="dxa"/>
              <w:right w:w="60" w:type="dxa"/>
            </w:tcMar>
            <w:vAlign w:val="bottom"/>
          </w:tcPr>
          <w:p>
            <w:pPr>
              <w:pStyle w:val="DMETW19866BIPRD"/>
              <w:rPr>
                <w:rFonts w:ascii="Arial" w:eastAsia="Arial" w:hAnsi="Arial" w:cs="Arial"/>
                <w:noProof/>
                <w:color w:val="000000"/>
              </w:rPr>
            </w:pPr>
            <w:bookmarkStart w:id="177" w:name="DOC_TBL00074_1_1"/>
            <w:bookmarkEnd w:id="177"/>
          </w:p>
        </w:tc>
        <w:tc>
          <w:tcPr>
            <w:tcW w:w="1506" w:type="dxa"/>
            <w:tcBorders>
              <w:top w:val="nil"/>
              <w:left w:val="nil"/>
              <w:bottom w:val="nil"/>
              <w:right w:val="nil"/>
              <w:tl2br w:val="nil"/>
              <w:tr2bl w:val="nil"/>
            </w:tcBorders>
            <w:shd w:val="clear" w:color="auto" w:fill="auto"/>
            <w:tcMar>
              <w:left w:w="60" w:type="dxa"/>
              <w:right w:w="60" w:type="dxa"/>
            </w:tcMar>
            <w:vAlign w:val="bottom"/>
          </w:tcPr>
          <w:p>
            <w:pPr>
              <w:pStyle w:val="DMETW19866BIPRD"/>
              <w:rPr>
                <w:rFonts w:ascii="Arial" w:eastAsia="Arial" w:hAnsi="Arial" w:cs="Arial"/>
                <w:noProof/>
                <w:color w:val="000000"/>
              </w:rPr>
            </w:pPr>
          </w:p>
        </w:tc>
        <w:tc>
          <w:tcPr>
            <w:tcW w:w="1506" w:type="dxa"/>
            <w:tcBorders>
              <w:top w:val="nil"/>
              <w:left w:val="nil"/>
              <w:bottom w:val="nil"/>
              <w:right w:val="nil"/>
              <w:tl2br w:val="nil"/>
              <w:tr2bl w:val="nil"/>
            </w:tcBorders>
            <w:shd w:val="clear" w:color="auto" w:fill="auto"/>
            <w:tcMar>
              <w:left w:w="60" w:type="dxa"/>
              <w:right w:w="60" w:type="dxa"/>
            </w:tcMar>
            <w:vAlign w:val="bottom"/>
          </w:tcPr>
          <w:p>
            <w:pPr>
              <w:pStyle w:val="DMETW19866BIPRD"/>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746" w:type="dxa"/>
            <w:tcBorders>
              <w:top w:val="nil"/>
              <w:left w:val="nil"/>
              <w:bottom w:val="nil"/>
              <w:right w:val="nil"/>
              <w:tl2br w:val="nil"/>
              <w:tr2bl w:val="nil"/>
            </w:tcBorders>
            <w:shd w:val="solid" w:color="016794" w:fill="FFFFFF"/>
            <w:tcMar>
              <w:left w:w="60" w:type="dxa"/>
              <w:right w:w="60" w:type="dxa"/>
            </w:tcMar>
            <w:vAlign w:val="center"/>
          </w:tcPr>
          <w:p>
            <w:pPr>
              <w:pStyle w:val="DMETW19866BIPRD"/>
              <w:jc w:val="right"/>
              <w:rPr>
                <w:rFonts w:ascii="Verdana" w:eastAsia="Verdana" w:hAnsi="Verdana" w:cs="Verdana"/>
                <w:noProof/>
                <w:color w:val="FFFFFF"/>
              </w:rPr>
            </w:pPr>
          </w:p>
        </w:tc>
        <w:tc>
          <w:tcPr>
            <w:tcW w:w="1506" w:type="dxa"/>
            <w:tcBorders>
              <w:top w:val="nil"/>
              <w:left w:val="nil"/>
              <w:bottom w:val="nil"/>
              <w:right w:val="nil"/>
              <w:tl2br w:val="nil"/>
              <w:tr2bl w:val="nil"/>
            </w:tcBorders>
            <w:shd w:val="solid" w:color="016794" w:fill="FFFFFF"/>
            <w:tcMar>
              <w:left w:w="60" w:type="dxa"/>
              <w:right w:w="60" w:type="dxa"/>
            </w:tcMar>
            <w:vAlign w:val="center"/>
          </w:tcPr>
          <w:p>
            <w:pPr>
              <w:pStyle w:val="DMETW19866BIPRD"/>
              <w:jc w:val="right"/>
              <w:rPr>
                <w:rFonts w:ascii="Verdana" w:eastAsia="Verdana" w:hAnsi="Verdana" w:cs="Verdana"/>
                <w:noProof/>
                <w:color w:val="FFFFFF"/>
              </w:rPr>
            </w:pPr>
            <w:r>
              <w:rPr>
                <w:rFonts w:ascii="Verdana" w:hAnsi="Verdana"/>
                <w:noProof/>
                <w:color w:val="FFFFFF"/>
              </w:rPr>
              <w:t>2020 г.</w:t>
            </w:r>
          </w:p>
        </w:tc>
        <w:tc>
          <w:tcPr>
            <w:tcW w:w="1506" w:type="dxa"/>
            <w:tcBorders>
              <w:top w:val="nil"/>
              <w:left w:val="nil"/>
              <w:bottom w:val="nil"/>
              <w:right w:val="nil"/>
              <w:tl2br w:val="nil"/>
              <w:tr2bl w:val="nil"/>
            </w:tcBorders>
            <w:shd w:val="solid" w:color="016794" w:fill="FFFFFF"/>
            <w:tcMar>
              <w:left w:w="60" w:type="dxa"/>
              <w:right w:w="60" w:type="dxa"/>
            </w:tcMar>
            <w:vAlign w:val="center"/>
          </w:tcPr>
          <w:p>
            <w:pPr>
              <w:pStyle w:val="DMETW19866BIPRD"/>
              <w:jc w:val="right"/>
              <w:rPr>
                <w:rFonts w:ascii="Verdana" w:eastAsia="Verdana" w:hAnsi="Verdana" w:cs="Verdana"/>
                <w:noProof/>
                <w:color w:val="FFFFFF"/>
              </w:rPr>
            </w:pPr>
            <w:r>
              <w:rPr>
                <w:rFonts w:ascii="Verdana" w:hAnsi="Verdana"/>
                <w:noProof/>
                <w:color w:val="FFFFFF"/>
              </w:rPr>
              <w:t>2019 г.</w:t>
            </w:r>
          </w:p>
        </w:tc>
      </w:tr>
      <w:tr>
        <w:trPr>
          <w:trHeight w:val="255"/>
        </w:trPr>
        <w:tc>
          <w:tcPr>
            <w:tcW w:w="6746" w:type="dxa"/>
            <w:tcBorders>
              <w:top w:val="nil"/>
              <w:left w:val="nil"/>
              <w:bottom w:val="nil"/>
              <w:right w:val="nil"/>
              <w:tl2br w:val="nil"/>
              <w:tr2bl w:val="nil"/>
            </w:tcBorders>
            <w:shd w:val="clear" w:color="auto" w:fill="auto"/>
            <w:tcMar>
              <w:left w:w="60" w:type="dxa"/>
              <w:right w:w="60" w:type="dxa"/>
            </w:tcMar>
            <w:vAlign w:val="center"/>
          </w:tcPr>
          <w:p>
            <w:pPr>
              <w:pStyle w:val="DMETW19866BIPRD"/>
              <w:rPr>
                <w:rFonts w:ascii="Verdana" w:eastAsia="Verdana" w:hAnsi="Verdana" w:cs="Verdana"/>
                <w:i/>
                <w:noProof/>
                <w:color w:val="000000"/>
                <w:sz w:val="18"/>
              </w:rPr>
            </w:pPr>
            <w:r>
              <w:rPr>
                <w:rFonts w:ascii="Verdana" w:hAnsi="Verdana"/>
                <w:i/>
                <w:noProof/>
                <w:color w:val="000000"/>
                <w:sz w:val="18"/>
              </w:rPr>
              <w:t>Разходи за научни изследвания</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RD"/>
              <w:jc w:val="right"/>
              <w:rPr>
                <w:rFonts w:ascii="Verdana" w:eastAsia="Verdana" w:hAnsi="Verdana" w:cs="Verdana"/>
                <w:i/>
                <w:noProof/>
                <w:color w:val="000000"/>
                <w:sz w:val="18"/>
              </w:rPr>
            </w:pPr>
            <w:r>
              <w:rPr>
                <w:rFonts w:ascii="Verdana" w:hAnsi="Verdana"/>
                <w:i/>
                <w:noProof/>
                <w:color w:val="000000"/>
                <w:sz w:val="18"/>
              </w:rPr>
              <w:t xml:space="preserve"> 402</w:t>
            </w:r>
          </w:p>
        </w:tc>
        <w:tc>
          <w:tcPr>
            <w:tcW w:w="1506" w:type="dxa"/>
            <w:tcBorders>
              <w:top w:val="nil"/>
              <w:left w:val="nil"/>
              <w:bottom w:val="nil"/>
              <w:right w:val="nil"/>
              <w:tl2br w:val="nil"/>
              <w:tr2bl w:val="nil"/>
            </w:tcBorders>
            <w:shd w:val="clear" w:color="auto" w:fill="auto"/>
            <w:tcMar>
              <w:left w:w="60" w:type="dxa"/>
              <w:right w:w="60" w:type="dxa"/>
            </w:tcMar>
            <w:vAlign w:val="center"/>
          </w:tcPr>
          <w:p>
            <w:pPr>
              <w:pStyle w:val="DMETW19866BIPRD"/>
              <w:jc w:val="right"/>
              <w:rPr>
                <w:rFonts w:ascii="Verdana" w:eastAsia="Verdana" w:hAnsi="Verdana" w:cs="Verdana"/>
                <w:i/>
                <w:noProof/>
                <w:color w:val="000000"/>
                <w:sz w:val="18"/>
              </w:rPr>
            </w:pPr>
            <w:r>
              <w:rPr>
                <w:rFonts w:ascii="Verdana" w:hAnsi="Verdana"/>
                <w:i/>
                <w:noProof/>
                <w:color w:val="000000"/>
                <w:sz w:val="18"/>
              </w:rPr>
              <w:t xml:space="preserve"> 398</w:t>
            </w:r>
          </w:p>
        </w:tc>
      </w:tr>
      <w:tr>
        <w:trPr>
          <w:trHeight w:val="255"/>
        </w:trPr>
        <w:tc>
          <w:tcPr>
            <w:tcW w:w="674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6BIPRD"/>
              <w:rPr>
                <w:rFonts w:ascii="Verdana" w:eastAsia="Verdana" w:hAnsi="Verdana" w:cs="Verdana"/>
                <w:i/>
                <w:noProof/>
                <w:color w:val="000000"/>
                <w:sz w:val="18"/>
              </w:rPr>
            </w:pPr>
            <w:r>
              <w:rPr>
                <w:rFonts w:ascii="Verdana" w:hAnsi="Verdana"/>
                <w:i/>
                <w:noProof/>
                <w:color w:val="000000"/>
                <w:sz w:val="18"/>
              </w:rPr>
              <w:t>Некапитализирани разходи за развойна дейност</w:t>
            </w:r>
          </w:p>
        </w:tc>
        <w:tc>
          <w:tcPr>
            <w:tcW w:w="150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6BIPRD"/>
              <w:jc w:val="right"/>
              <w:rPr>
                <w:rFonts w:ascii="Verdana" w:eastAsia="Verdana" w:hAnsi="Verdana" w:cs="Verdana"/>
                <w:i/>
                <w:noProof/>
                <w:color w:val="000000"/>
                <w:sz w:val="18"/>
              </w:rPr>
            </w:pPr>
            <w:r>
              <w:rPr>
                <w:rFonts w:ascii="Verdana" w:hAnsi="Verdana"/>
                <w:i/>
                <w:noProof/>
                <w:color w:val="000000"/>
                <w:sz w:val="18"/>
              </w:rPr>
              <w:t xml:space="preserve"> 118</w:t>
            </w:r>
          </w:p>
        </w:tc>
        <w:tc>
          <w:tcPr>
            <w:tcW w:w="150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6BIPRD"/>
              <w:jc w:val="right"/>
              <w:rPr>
                <w:rFonts w:ascii="Verdana" w:eastAsia="Verdana" w:hAnsi="Verdana" w:cs="Verdana"/>
                <w:i/>
                <w:noProof/>
                <w:color w:val="000000"/>
                <w:sz w:val="18"/>
              </w:rPr>
            </w:pPr>
            <w:r>
              <w:rPr>
                <w:rFonts w:ascii="Verdana" w:hAnsi="Verdana"/>
                <w:i/>
                <w:noProof/>
                <w:color w:val="000000"/>
                <w:sz w:val="18"/>
              </w:rPr>
              <w:t xml:space="preserve"> 119</w:t>
            </w:r>
          </w:p>
        </w:tc>
      </w:tr>
      <w:tr>
        <w:trPr>
          <w:trHeight w:val="255"/>
        </w:trPr>
        <w:tc>
          <w:tcPr>
            <w:tcW w:w="67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6BIPRD"/>
              <w:rPr>
                <w:rFonts w:ascii="Verdana" w:eastAsia="Verdana" w:hAnsi="Verdana" w:cs="Verdana"/>
                <w:b/>
                <w:noProof/>
                <w:color w:val="000000"/>
                <w:sz w:val="18"/>
              </w:rPr>
            </w:pPr>
            <w:r>
              <w:rPr>
                <w:rFonts w:ascii="Verdana" w:hAnsi="Verdana"/>
                <w:b/>
                <w:noProof/>
                <w:color w:val="000000"/>
                <w:sz w:val="18"/>
              </w:rPr>
              <w:t>Общо</w:t>
            </w:r>
          </w:p>
        </w:tc>
        <w:tc>
          <w:tcPr>
            <w:tcW w:w="15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6BIPRD"/>
              <w:jc w:val="right"/>
              <w:rPr>
                <w:rFonts w:ascii="Verdana" w:eastAsia="Verdana" w:hAnsi="Verdana" w:cs="Verdana"/>
                <w:b/>
                <w:noProof/>
                <w:color w:val="000000"/>
                <w:sz w:val="18"/>
              </w:rPr>
            </w:pPr>
            <w:r>
              <w:rPr>
                <w:rFonts w:ascii="Verdana" w:hAnsi="Verdana"/>
                <w:b/>
                <w:noProof/>
                <w:color w:val="000000"/>
                <w:sz w:val="18"/>
              </w:rPr>
              <w:t xml:space="preserve"> 520</w:t>
            </w:r>
          </w:p>
        </w:tc>
        <w:tc>
          <w:tcPr>
            <w:tcW w:w="15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6BIPRD"/>
              <w:jc w:val="right"/>
              <w:rPr>
                <w:rFonts w:ascii="Verdana" w:eastAsia="Verdana" w:hAnsi="Verdana" w:cs="Verdana"/>
                <w:b/>
                <w:noProof/>
                <w:color w:val="000000"/>
                <w:sz w:val="18"/>
              </w:rPr>
            </w:pPr>
            <w:r>
              <w:rPr>
                <w:rFonts w:ascii="Verdana" w:hAnsi="Verdana"/>
                <w:b/>
                <w:noProof/>
                <w:color w:val="000000"/>
                <w:sz w:val="18"/>
              </w:rPr>
              <w:t xml:space="preserve"> 517</w:t>
            </w:r>
          </w:p>
        </w:tc>
      </w:tr>
    </w:tbl>
    <w:p>
      <w:pPr>
        <w:pStyle w:val="DGTextstand-alone"/>
        <w:spacing w:before="0" w:after="0"/>
        <w:sectPr>
          <w:headerReference w:type="even" r:id="rId248"/>
          <w:headerReference w:type="default" r:id="rId249"/>
          <w:footerReference w:type="even" r:id="rId250"/>
          <w:footerReference w:type="default" r:id="rId251"/>
          <w:headerReference w:type="first" r:id="rId252"/>
          <w:footerReference w:type="first" r:id="rId253"/>
          <w:type w:val="continuous"/>
          <w:pgSz w:w="11906" w:h="16838"/>
          <w:pgMar w:top="1134" w:right="1134" w:bottom="1134" w:left="1134" w:header="709" w:footer="709" w:gutter="0"/>
          <w:cols w:space="708"/>
          <w:docGrid w:linePitch="360"/>
        </w:sectPr>
      </w:pPr>
      <w:r>
        <w:t xml:space="preserve"> </w:t>
      </w:r>
      <w:bookmarkEnd w:id="175"/>
    </w:p>
    <w:p>
      <w:pPr>
        <w:pStyle w:val="HEADER2NOTES"/>
        <w:spacing w:before="0"/>
        <w:rPr>
          <w:noProof/>
          <w:spacing w:val="-6"/>
        </w:rPr>
      </w:pPr>
      <w:bookmarkStart w:id="178" w:name="_DMBM_19828"/>
      <w:r>
        <w:rPr>
          <w:noProof/>
          <w:spacing w:val="-6"/>
        </w:rPr>
        <w:t>ОТЧИТАНЕ ПО СЕГМЕНТИ ПО ФУНКЦИИ ОТ МНОГОГОДИШНАТА ФИНАНСОВА РАМКА (МФР)</w:t>
      </w: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12"/>
        <w:gridCol w:w="1592"/>
        <w:gridCol w:w="1361"/>
        <w:gridCol w:w="1401"/>
        <w:gridCol w:w="1029"/>
        <w:gridCol w:w="1309"/>
        <w:gridCol w:w="1592"/>
        <w:gridCol w:w="1053"/>
      </w:tblGrid>
      <w:tr>
        <w:trPr>
          <w:trHeight w:val="255"/>
        </w:trPr>
        <w:tc>
          <w:tcPr>
            <w:tcW w:w="4966" w:type="dxa"/>
            <w:tcBorders>
              <w:top w:val="nil"/>
              <w:left w:val="nil"/>
              <w:bottom w:val="nil"/>
              <w:right w:val="nil"/>
            </w:tcBorders>
            <w:tcMar>
              <w:top w:w="0" w:type="dxa"/>
              <w:left w:w="60" w:type="dxa"/>
              <w:bottom w:w="0" w:type="dxa"/>
              <w:right w:w="60" w:type="dxa"/>
            </w:tcMar>
            <w:vAlign w:val="bottom"/>
          </w:tcPr>
          <w:p>
            <w:pPr>
              <w:pStyle w:val="DMETW19867BIPSEGREP"/>
              <w:rPr>
                <w:rFonts w:ascii="Arial" w:eastAsia="Times New Roman" w:hAnsi="Arial" w:cs="Arial"/>
                <w:noProof/>
                <w:color w:val="000000"/>
              </w:rPr>
            </w:pPr>
            <w:bookmarkStart w:id="179" w:name="DOC_TBL00075_1_1"/>
            <w:bookmarkEnd w:id="179"/>
          </w:p>
        </w:tc>
        <w:tc>
          <w:tcPr>
            <w:tcW w:w="1608" w:type="dxa"/>
            <w:tcBorders>
              <w:top w:val="nil"/>
              <w:left w:val="nil"/>
              <w:bottom w:val="nil"/>
              <w:right w:val="nil"/>
            </w:tcBorders>
            <w:tcMar>
              <w:top w:w="0" w:type="dxa"/>
              <w:left w:w="60" w:type="dxa"/>
              <w:bottom w:w="0" w:type="dxa"/>
              <w:right w:w="60" w:type="dxa"/>
            </w:tcMar>
            <w:vAlign w:val="bottom"/>
          </w:tcPr>
          <w:p>
            <w:pPr>
              <w:pStyle w:val="DMETW19867BIPSEGREP"/>
              <w:rPr>
                <w:rFonts w:ascii="Arial" w:eastAsia="Times New Roman" w:hAnsi="Arial" w:cs="Arial"/>
                <w:noProof/>
                <w:color w:val="000000"/>
              </w:rPr>
            </w:pPr>
          </w:p>
        </w:tc>
        <w:tc>
          <w:tcPr>
            <w:tcW w:w="1375" w:type="dxa"/>
            <w:tcBorders>
              <w:top w:val="nil"/>
              <w:left w:val="nil"/>
              <w:bottom w:val="nil"/>
              <w:right w:val="nil"/>
            </w:tcBorders>
            <w:tcMar>
              <w:top w:w="0" w:type="dxa"/>
              <w:left w:w="60" w:type="dxa"/>
              <w:bottom w:w="0" w:type="dxa"/>
              <w:right w:w="60" w:type="dxa"/>
            </w:tcMar>
            <w:vAlign w:val="bottom"/>
          </w:tcPr>
          <w:p>
            <w:pPr>
              <w:pStyle w:val="DMETW19867BIPSEGREP"/>
              <w:rPr>
                <w:rFonts w:ascii="Arial" w:eastAsia="Times New Roman" w:hAnsi="Arial" w:cs="Arial"/>
                <w:noProof/>
                <w:color w:val="000000"/>
              </w:rPr>
            </w:pPr>
          </w:p>
        </w:tc>
        <w:tc>
          <w:tcPr>
            <w:tcW w:w="1415" w:type="dxa"/>
            <w:tcBorders>
              <w:top w:val="nil"/>
              <w:left w:val="nil"/>
              <w:bottom w:val="nil"/>
              <w:right w:val="nil"/>
            </w:tcBorders>
            <w:tcMar>
              <w:top w:w="0" w:type="dxa"/>
              <w:left w:w="60" w:type="dxa"/>
              <w:bottom w:w="0" w:type="dxa"/>
              <w:right w:w="60" w:type="dxa"/>
            </w:tcMar>
            <w:vAlign w:val="bottom"/>
          </w:tcPr>
          <w:p>
            <w:pPr>
              <w:pStyle w:val="DMETW19867BIPSEGREP"/>
              <w:rPr>
                <w:rFonts w:ascii="Arial" w:eastAsia="Times New Roman" w:hAnsi="Arial" w:cs="Arial"/>
                <w:noProof/>
                <w:color w:val="000000"/>
              </w:rPr>
            </w:pPr>
          </w:p>
        </w:tc>
        <w:tc>
          <w:tcPr>
            <w:tcW w:w="1039" w:type="dxa"/>
            <w:tcBorders>
              <w:top w:val="nil"/>
              <w:left w:val="nil"/>
              <w:bottom w:val="nil"/>
              <w:right w:val="nil"/>
            </w:tcBorders>
            <w:tcMar>
              <w:top w:w="0" w:type="dxa"/>
              <w:left w:w="60" w:type="dxa"/>
              <w:bottom w:w="0" w:type="dxa"/>
              <w:right w:w="60" w:type="dxa"/>
            </w:tcMar>
            <w:vAlign w:val="bottom"/>
          </w:tcPr>
          <w:p>
            <w:pPr>
              <w:pStyle w:val="DMETW19867BIPSEGREP"/>
              <w:rPr>
                <w:rFonts w:ascii="Arial" w:eastAsia="Times New Roman" w:hAnsi="Arial" w:cs="Arial"/>
                <w:noProof/>
                <w:color w:val="000000"/>
              </w:rPr>
            </w:pPr>
          </w:p>
        </w:tc>
        <w:tc>
          <w:tcPr>
            <w:tcW w:w="1322" w:type="dxa"/>
            <w:tcBorders>
              <w:top w:val="nil"/>
              <w:left w:val="nil"/>
              <w:bottom w:val="nil"/>
              <w:right w:val="nil"/>
            </w:tcBorders>
            <w:tcMar>
              <w:top w:w="0" w:type="dxa"/>
              <w:left w:w="60" w:type="dxa"/>
              <w:bottom w:w="0" w:type="dxa"/>
              <w:right w:w="60" w:type="dxa"/>
            </w:tcMar>
            <w:vAlign w:val="bottom"/>
          </w:tcPr>
          <w:p>
            <w:pPr>
              <w:pStyle w:val="DMETW19867BIPSEGREP"/>
              <w:rPr>
                <w:rFonts w:ascii="Arial" w:eastAsia="Times New Roman" w:hAnsi="Arial" w:cs="Arial"/>
                <w:noProof/>
                <w:color w:val="000000"/>
              </w:rPr>
            </w:pPr>
          </w:p>
        </w:tc>
        <w:tc>
          <w:tcPr>
            <w:tcW w:w="1608" w:type="dxa"/>
            <w:tcBorders>
              <w:top w:val="nil"/>
              <w:left w:val="nil"/>
              <w:bottom w:val="nil"/>
              <w:right w:val="nil"/>
            </w:tcBorders>
            <w:tcMar>
              <w:top w:w="0" w:type="dxa"/>
              <w:left w:w="60" w:type="dxa"/>
              <w:bottom w:w="0" w:type="dxa"/>
              <w:right w:w="60" w:type="dxa"/>
            </w:tcMar>
            <w:vAlign w:val="bottom"/>
          </w:tcPr>
          <w:p>
            <w:pPr>
              <w:pStyle w:val="DMETW19867BIPSEGREP"/>
              <w:rPr>
                <w:rFonts w:ascii="Arial" w:eastAsia="Times New Roman" w:hAnsi="Arial" w:cs="Arial"/>
                <w:noProof/>
                <w:color w:val="000000"/>
              </w:rPr>
            </w:pPr>
          </w:p>
        </w:tc>
        <w:tc>
          <w:tcPr>
            <w:tcW w:w="1063" w:type="dxa"/>
            <w:tcBorders>
              <w:top w:val="nil"/>
              <w:left w:val="nil"/>
              <w:bottom w:val="nil"/>
              <w:right w:val="nil"/>
            </w:tcBorders>
            <w:tcMar>
              <w:top w:w="0" w:type="dxa"/>
              <w:left w:w="60" w:type="dxa"/>
              <w:bottom w:w="0" w:type="dxa"/>
              <w:right w:w="60" w:type="dxa"/>
            </w:tcMar>
            <w:vAlign w:val="bottom"/>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84"/>
        </w:trPr>
        <w:tc>
          <w:tcPr>
            <w:tcW w:w="4966" w:type="dxa"/>
            <w:tcBorders>
              <w:top w:val="nil"/>
              <w:left w:val="nil"/>
              <w:bottom w:val="nil"/>
              <w:right w:val="nil"/>
            </w:tcBorders>
            <w:shd w:val="solid" w:color="016794" w:fill="FFFFFF"/>
            <w:tcMar>
              <w:top w:w="0" w:type="dxa"/>
              <w:left w:w="60" w:type="dxa"/>
              <w:bottom w:w="0" w:type="dxa"/>
              <w:right w:w="60" w:type="dxa"/>
            </w:tcMar>
            <w:vAlign w:val="center"/>
          </w:tcPr>
          <w:p>
            <w:pPr>
              <w:pStyle w:val="DMETW19867BIPSEGREP"/>
              <w:jc w:val="right"/>
              <w:rPr>
                <w:rFonts w:ascii="Verdana" w:eastAsia="Times New Roman" w:hAnsi="Verdana" w:cs="Verdana"/>
                <w:noProof/>
                <w:color w:val="FFFFFF"/>
                <w:sz w:val="16"/>
              </w:rPr>
            </w:pPr>
          </w:p>
        </w:tc>
        <w:tc>
          <w:tcPr>
            <w:tcW w:w="1608" w:type="dxa"/>
            <w:tcBorders>
              <w:top w:val="nil"/>
              <w:left w:val="nil"/>
              <w:bottom w:val="nil"/>
              <w:right w:val="nil"/>
            </w:tcBorders>
            <w:shd w:val="solid" w:color="016794" w:fill="FFFFFF"/>
            <w:tcMar>
              <w:top w:w="0" w:type="dxa"/>
              <w:left w:w="60" w:type="dxa"/>
              <w:bottom w:w="0" w:type="dxa"/>
              <w:right w:w="60" w:type="dxa"/>
            </w:tcMar>
          </w:tcPr>
          <w:p>
            <w:pPr>
              <w:pStyle w:val="DMETW19867BIPSEGREP"/>
              <w:jc w:val="right"/>
              <w:rPr>
                <w:rFonts w:ascii="Verdana" w:eastAsia="Times New Roman" w:hAnsi="Verdana" w:cs="Verdana"/>
                <w:noProof/>
                <w:color w:val="FFFFFF"/>
                <w:sz w:val="16"/>
              </w:rPr>
            </w:pPr>
            <w:r>
              <w:rPr>
                <w:rFonts w:ascii="Verdana" w:hAnsi="Verdana"/>
                <w:noProof/>
                <w:color w:val="FFFFFF"/>
                <w:sz w:val="16"/>
              </w:rPr>
              <w:t>Интелигентен и приобщаващ растеж</w:t>
            </w:r>
          </w:p>
        </w:tc>
        <w:tc>
          <w:tcPr>
            <w:tcW w:w="1375" w:type="dxa"/>
            <w:tcBorders>
              <w:top w:val="nil"/>
              <w:left w:val="nil"/>
              <w:bottom w:val="nil"/>
              <w:right w:val="nil"/>
            </w:tcBorders>
            <w:shd w:val="solid" w:color="016794" w:fill="FFFFFF"/>
            <w:tcMar>
              <w:top w:w="0" w:type="dxa"/>
              <w:left w:w="60" w:type="dxa"/>
              <w:bottom w:w="0" w:type="dxa"/>
              <w:right w:w="60" w:type="dxa"/>
            </w:tcMar>
          </w:tcPr>
          <w:p>
            <w:pPr>
              <w:pStyle w:val="DMETW19867BIPSEGREP"/>
              <w:jc w:val="right"/>
              <w:rPr>
                <w:rFonts w:ascii="Verdana" w:eastAsia="Times New Roman" w:hAnsi="Verdana" w:cs="Verdana"/>
                <w:noProof/>
                <w:color w:val="FFFFFF"/>
                <w:sz w:val="16"/>
              </w:rPr>
            </w:pPr>
            <w:r>
              <w:rPr>
                <w:rFonts w:ascii="Verdana" w:hAnsi="Verdana"/>
                <w:noProof/>
                <w:color w:val="FFFFFF"/>
                <w:sz w:val="16"/>
              </w:rPr>
              <w:t>Устойчив растеж</w:t>
            </w:r>
          </w:p>
        </w:tc>
        <w:tc>
          <w:tcPr>
            <w:tcW w:w="1415" w:type="dxa"/>
            <w:tcBorders>
              <w:top w:val="nil"/>
              <w:left w:val="nil"/>
              <w:bottom w:val="nil"/>
              <w:right w:val="nil"/>
            </w:tcBorders>
            <w:shd w:val="solid" w:color="016794" w:fill="FFFFFF"/>
            <w:tcMar>
              <w:top w:w="0" w:type="dxa"/>
              <w:left w:w="60" w:type="dxa"/>
              <w:bottom w:w="0" w:type="dxa"/>
              <w:right w:w="60" w:type="dxa"/>
            </w:tcMar>
          </w:tcPr>
          <w:p>
            <w:pPr>
              <w:pStyle w:val="DMETW19867BIPSEGREP"/>
              <w:jc w:val="right"/>
              <w:rPr>
                <w:rFonts w:ascii="Verdana" w:eastAsia="Times New Roman" w:hAnsi="Verdana" w:cs="Verdana"/>
                <w:noProof/>
                <w:color w:val="FFFFFF"/>
                <w:sz w:val="16"/>
              </w:rPr>
            </w:pPr>
            <w:r>
              <w:rPr>
                <w:rFonts w:ascii="Verdana" w:hAnsi="Verdana"/>
                <w:noProof/>
                <w:color w:val="FFFFFF"/>
                <w:sz w:val="16"/>
              </w:rPr>
              <w:t>Сигурност и гражданство</w:t>
            </w:r>
          </w:p>
        </w:tc>
        <w:tc>
          <w:tcPr>
            <w:tcW w:w="1039" w:type="dxa"/>
            <w:tcBorders>
              <w:top w:val="nil"/>
              <w:left w:val="nil"/>
              <w:bottom w:val="nil"/>
              <w:right w:val="nil"/>
            </w:tcBorders>
            <w:shd w:val="solid" w:color="016794" w:fill="FFFFFF"/>
            <w:tcMar>
              <w:top w:w="0" w:type="dxa"/>
              <w:left w:w="60" w:type="dxa"/>
              <w:bottom w:w="0" w:type="dxa"/>
              <w:right w:w="60" w:type="dxa"/>
            </w:tcMar>
          </w:tcPr>
          <w:p>
            <w:pPr>
              <w:pStyle w:val="DMETW19867BIPSEGREP"/>
              <w:jc w:val="right"/>
              <w:rPr>
                <w:rFonts w:ascii="Verdana" w:eastAsia="Times New Roman" w:hAnsi="Verdana" w:cs="Verdana"/>
                <w:noProof/>
                <w:color w:val="FFFFFF"/>
                <w:sz w:val="16"/>
              </w:rPr>
            </w:pPr>
            <w:r>
              <w:rPr>
                <w:rFonts w:ascii="Verdana" w:hAnsi="Verdana"/>
                <w:noProof/>
                <w:color w:val="FFFFFF"/>
                <w:sz w:val="16"/>
              </w:rPr>
              <w:t>Глобална Европа</w:t>
            </w:r>
          </w:p>
        </w:tc>
        <w:tc>
          <w:tcPr>
            <w:tcW w:w="1322" w:type="dxa"/>
            <w:tcBorders>
              <w:top w:val="nil"/>
              <w:left w:val="nil"/>
              <w:bottom w:val="nil"/>
              <w:right w:val="nil"/>
            </w:tcBorders>
            <w:shd w:val="solid" w:color="016794" w:fill="FFFFFF"/>
            <w:tcMar>
              <w:top w:w="0" w:type="dxa"/>
              <w:left w:w="60" w:type="dxa"/>
              <w:bottom w:w="0" w:type="dxa"/>
              <w:right w:w="60" w:type="dxa"/>
            </w:tcMar>
          </w:tcPr>
          <w:p>
            <w:pPr>
              <w:pStyle w:val="DMETW19867BIPSEGREP"/>
              <w:jc w:val="right"/>
              <w:rPr>
                <w:rFonts w:ascii="Verdana" w:eastAsia="Times New Roman" w:hAnsi="Verdana" w:cs="Verdana"/>
                <w:noProof/>
                <w:color w:val="FFFFFF"/>
                <w:sz w:val="16"/>
              </w:rPr>
            </w:pPr>
            <w:r>
              <w:rPr>
                <w:rFonts w:ascii="Verdana" w:hAnsi="Verdana"/>
                <w:noProof/>
                <w:color w:val="FFFFFF"/>
                <w:sz w:val="16"/>
              </w:rPr>
              <w:t>Администрация</w:t>
            </w:r>
          </w:p>
        </w:tc>
        <w:tc>
          <w:tcPr>
            <w:tcW w:w="1608" w:type="dxa"/>
            <w:tcBorders>
              <w:top w:val="nil"/>
              <w:left w:val="nil"/>
              <w:bottom w:val="nil"/>
              <w:right w:val="nil"/>
            </w:tcBorders>
            <w:shd w:val="solid" w:color="016794" w:fill="FFFFFF"/>
            <w:tcMar>
              <w:top w:w="0" w:type="dxa"/>
              <w:left w:w="60" w:type="dxa"/>
              <w:bottom w:w="0" w:type="dxa"/>
              <w:right w:w="60" w:type="dxa"/>
            </w:tcMar>
          </w:tcPr>
          <w:p>
            <w:pPr>
              <w:pStyle w:val="DMETW19867BIPSEGREP"/>
              <w:jc w:val="right"/>
              <w:rPr>
                <w:rFonts w:ascii="Verdana" w:eastAsia="Times New Roman" w:hAnsi="Verdana" w:cs="Verdana"/>
                <w:noProof/>
                <w:color w:val="FFFFFF"/>
                <w:sz w:val="16"/>
              </w:rPr>
            </w:pPr>
            <w:r>
              <w:rPr>
                <w:rFonts w:ascii="Verdana" w:hAnsi="Verdana"/>
                <w:noProof/>
                <w:color w:val="FFFFFF"/>
                <w:sz w:val="16"/>
              </w:rPr>
              <w:t>Неотнесени към функция от МФР*</w:t>
            </w:r>
          </w:p>
        </w:tc>
        <w:tc>
          <w:tcPr>
            <w:tcW w:w="1063" w:type="dxa"/>
            <w:tcBorders>
              <w:top w:val="nil"/>
              <w:left w:val="nil"/>
              <w:bottom w:val="nil"/>
              <w:right w:val="nil"/>
            </w:tcBorders>
            <w:shd w:val="solid" w:color="016794" w:fill="FFFFFF"/>
            <w:tcMar>
              <w:top w:w="0" w:type="dxa"/>
              <w:left w:w="60" w:type="dxa"/>
              <w:bottom w:w="0" w:type="dxa"/>
              <w:right w:w="60" w:type="dxa"/>
            </w:tcMar>
          </w:tcPr>
          <w:p>
            <w:pPr>
              <w:pStyle w:val="DMETW19867BIPSEGREP"/>
              <w:jc w:val="right"/>
              <w:rPr>
                <w:rFonts w:ascii="Verdana" w:eastAsia="Times New Roman" w:hAnsi="Verdana" w:cs="Verdana"/>
                <w:noProof/>
                <w:color w:val="FFFFFF"/>
                <w:sz w:val="16"/>
              </w:rPr>
            </w:pPr>
            <w:r>
              <w:rPr>
                <w:rFonts w:ascii="Verdana" w:hAnsi="Verdana"/>
                <w:noProof/>
                <w:color w:val="FFFFFF"/>
                <w:sz w:val="16"/>
              </w:rPr>
              <w:t>Общо</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Ресурси от БНД</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125 393</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125 393</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Традиционни собствени ресурси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19 559</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19 559</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ДДС</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17 858</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17 858</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Глоби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452</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452</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Събиране на разходи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610</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713</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17</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14</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1 355</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Споразумение за оттеглянето на Обединеното кралство</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47 456</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47 456</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Други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1 470</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2 113</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794</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248</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4 874</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(2 383)</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7 116</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b/>
                <w:noProof/>
                <w:color w:val="000000"/>
                <w:sz w:val="16"/>
              </w:rPr>
            </w:pPr>
            <w:r>
              <w:rPr>
                <w:rFonts w:ascii="Verdana" w:hAnsi="Verdana"/>
                <w:b/>
                <w:noProof/>
                <w:color w:val="000000"/>
                <w:sz w:val="16"/>
              </w:rPr>
              <w:t>Приходи от операции без размяна</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2 080</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2 826</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 xml:space="preserve"> 811</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 xml:space="preserve"> 262</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4 874</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208 336</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219 190</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Финансови приходи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331</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9</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3 095</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3 434</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Други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135</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(19)</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(5)</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(3)</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309</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987</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1 404</w:t>
            </w:r>
          </w:p>
        </w:tc>
      </w:tr>
      <w:tr>
        <w:trPr>
          <w:trHeight w:val="255"/>
        </w:trPr>
        <w:tc>
          <w:tcPr>
            <w:tcW w:w="4966" w:type="dxa"/>
            <w:tcBorders>
              <w:top w:val="nil"/>
              <w:left w:val="nil"/>
              <w:bottom w:val="single" w:sz="4" w:space="0" w:color="016794"/>
              <w:right w:val="nil"/>
            </w:tcBorders>
            <w:tcMar>
              <w:top w:w="0" w:type="dxa"/>
              <w:left w:w="60" w:type="dxa"/>
              <w:bottom w:w="0" w:type="dxa"/>
              <w:right w:w="60" w:type="dxa"/>
            </w:tcMar>
            <w:vAlign w:val="center"/>
          </w:tcPr>
          <w:p>
            <w:pPr>
              <w:pStyle w:val="DMETW19867BIPSEGREP"/>
              <w:rPr>
                <w:rFonts w:ascii="Verdana" w:eastAsia="Times New Roman" w:hAnsi="Verdana" w:cs="Verdana"/>
                <w:b/>
                <w:noProof/>
                <w:color w:val="000000"/>
                <w:sz w:val="16"/>
              </w:rPr>
            </w:pPr>
            <w:r>
              <w:rPr>
                <w:rFonts w:ascii="Verdana" w:hAnsi="Verdana"/>
                <w:b/>
                <w:noProof/>
                <w:color w:val="000000"/>
                <w:sz w:val="16"/>
              </w:rPr>
              <w:t>Приходи от операции с размяна</w:t>
            </w:r>
          </w:p>
        </w:tc>
        <w:tc>
          <w:tcPr>
            <w:tcW w:w="1608"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 xml:space="preserve"> 466</w:t>
            </w:r>
          </w:p>
        </w:tc>
        <w:tc>
          <w:tcPr>
            <w:tcW w:w="1375"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 xml:space="preserve"> (19)</w:t>
            </w:r>
          </w:p>
        </w:tc>
        <w:tc>
          <w:tcPr>
            <w:tcW w:w="1415"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 xml:space="preserve"> (5)</w:t>
            </w:r>
          </w:p>
        </w:tc>
        <w:tc>
          <w:tcPr>
            <w:tcW w:w="1039"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 xml:space="preserve"> 5</w:t>
            </w:r>
          </w:p>
        </w:tc>
        <w:tc>
          <w:tcPr>
            <w:tcW w:w="1322"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 xml:space="preserve"> 309</w:t>
            </w:r>
          </w:p>
        </w:tc>
        <w:tc>
          <w:tcPr>
            <w:tcW w:w="1608"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4 082</w:t>
            </w:r>
          </w:p>
        </w:tc>
        <w:tc>
          <w:tcPr>
            <w:tcW w:w="1063"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4 838</w:t>
            </w:r>
          </w:p>
        </w:tc>
      </w:tr>
      <w:tr>
        <w:trPr>
          <w:trHeight w:val="255"/>
        </w:trPr>
        <w:tc>
          <w:tcPr>
            <w:tcW w:w="496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7BIPSEGREP"/>
              <w:rPr>
                <w:rFonts w:ascii="Verdana" w:eastAsia="Times New Roman" w:hAnsi="Verdana" w:cs="Verdana"/>
                <w:b/>
                <w:noProof/>
                <w:color w:val="000000"/>
                <w:sz w:val="16"/>
              </w:rPr>
            </w:pPr>
            <w:r>
              <w:rPr>
                <w:rFonts w:ascii="Verdana" w:hAnsi="Verdana"/>
                <w:b/>
                <w:noProof/>
                <w:color w:val="000000"/>
                <w:sz w:val="16"/>
              </w:rPr>
              <w:t>Общо приходи</w:t>
            </w:r>
          </w:p>
        </w:tc>
        <w:tc>
          <w:tcPr>
            <w:tcW w:w="160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2 546</w:t>
            </w:r>
          </w:p>
        </w:tc>
        <w:tc>
          <w:tcPr>
            <w:tcW w:w="137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2 807</w:t>
            </w:r>
          </w:p>
        </w:tc>
        <w:tc>
          <w:tcPr>
            <w:tcW w:w="1415"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 xml:space="preserve"> 806</w:t>
            </w:r>
          </w:p>
        </w:tc>
        <w:tc>
          <w:tcPr>
            <w:tcW w:w="103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 xml:space="preserve"> 267</w:t>
            </w:r>
          </w:p>
        </w:tc>
        <w:tc>
          <w:tcPr>
            <w:tcW w:w="1322"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5 183</w:t>
            </w:r>
          </w:p>
        </w:tc>
        <w:tc>
          <w:tcPr>
            <w:tcW w:w="160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212 418</w:t>
            </w:r>
          </w:p>
        </w:tc>
        <w:tc>
          <w:tcPr>
            <w:tcW w:w="1063"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224 028</w:t>
            </w:r>
          </w:p>
        </w:tc>
      </w:tr>
      <w:tr>
        <w:trPr>
          <w:trHeight w:val="255"/>
        </w:trPr>
        <w:tc>
          <w:tcPr>
            <w:tcW w:w="4966" w:type="dxa"/>
            <w:tcBorders>
              <w:top w:val="single" w:sz="4" w:space="0" w:color="016794"/>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Разходи, изпълнени от държавите членки:</w:t>
            </w:r>
          </w:p>
        </w:tc>
        <w:tc>
          <w:tcPr>
            <w:tcW w:w="1608"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p>
        </w:tc>
        <w:tc>
          <w:tcPr>
            <w:tcW w:w="1375"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p>
        </w:tc>
        <w:tc>
          <w:tcPr>
            <w:tcW w:w="1415"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p>
        </w:tc>
        <w:tc>
          <w:tcPr>
            <w:tcW w:w="1039"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p>
        </w:tc>
        <w:tc>
          <w:tcPr>
            <w:tcW w:w="1322"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p>
        </w:tc>
        <w:tc>
          <w:tcPr>
            <w:tcW w:w="1608"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p>
        </w:tc>
        <w:tc>
          <w:tcPr>
            <w:tcW w:w="1063"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 xml:space="preserve">     ЕФГЗ</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(40 461)</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(40 461)</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 xml:space="preserve">     ЕЗФРСР и други инструменти за развитие на селските райони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(14 467)</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(14 467)</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 xml:space="preserve">     ЕФРР и КФ</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(41 118)</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(41 118)</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 xml:space="preserve">     EСФ</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(13 677)</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(13 677)</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 xml:space="preserve">     Други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(594)</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(641)</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(1 325)</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(141)</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(2 701)</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Изпълнени от ЕК, изпълнителните агенции и доверителните фондове</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(12 743)</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(728)</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(2 943)</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(5 693)</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(12)</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25</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(22 094)</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Изпълнени от други агенции и органи на ЕС</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(3 287)</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(67)</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(1 114)</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(29)</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967</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(3 530)</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Изпълнени от трети държави и международни организации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(543)</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(6)</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(195)</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(3 435)</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(4 178)</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Изпълнени от други субекти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(2 457)</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(11)</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(2)</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(787)</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1</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(3 257)</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Разходи за персонал и за пенсии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(1 767)</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(387)</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(500)</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(706)</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(7 551)</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(1 084)</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(11 995)</w:t>
            </w:r>
          </w:p>
        </w:tc>
      </w:tr>
      <w:tr>
        <w:trPr>
          <w:trHeight w:val="255"/>
        </w:trPr>
        <w:tc>
          <w:tcPr>
            <w:tcW w:w="4966" w:type="dxa"/>
            <w:tcBorders>
              <w:top w:val="nil"/>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Финансови разходи</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(40)</w:t>
            </w:r>
          </w:p>
        </w:tc>
        <w:tc>
          <w:tcPr>
            <w:tcW w:w="137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(38)</w:t>
            </w:r>
          </w:p>
        </w:tc>
        <w:tc>
          <w:tcPr>
            <w:tcW w:w="1415"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(0)</w:t>
            </w:r>
          </w:p>
        </w:tc>
        <w:tc>
          <w:tcPr>
            <w:tcW w:w="1039"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(37)</w:t>
            </w:r>
          </w:p>
        </w:tc>
        <w:tc>
          <w:tcPr>
            <w:tcW w:w="1322"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(89)</w:t>
            </w:r>
          </w:p>
        </w:tc>
        <w:tc>
          <w:tcPr>
            <w:tcW w:w="1608"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(1 984)</w:t>
            </w:r>
          </w:p>
        </w:tc>
        <w:tc>
          <w:tcPr>
            <w:tcW w:w="1063" w:type="dxa"/>
            <w:tcBorders>
              <w:top w:val="nil"/>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(2 188)</w:t>
            </w:r>
          </w:p>
        </w:tc>
      </w:tr>
      <w:tr>
        <w:trPr>
          <w:trHeight w:val="255"/>
        </w:trPr>
        <w:tc>
          <w:tcPr>
            <w:tcW w:w="4966" w:type="dxa"/>
            <w:tcBorders>
              <w:top w:val="nil"/>
              <w:left w:val="nil"/>
              <w:bottom w:val="single" w:sz="4" w:space="0" w:color="016794"/>
              <w:right w:val="nil"/>
            </w:tcBorders>
            <w:tcMar>
              <w:top w:w="0" w:type="dxa"/>
              <w:left w:w="60" w:type="dxa"/>
              <w:bottom w:w="0" w:type="dxa"/>
              <w:right w:w="60" w:type="dxa"/>
            </w:tcMar>
            <w:vAlign w:val="center"/>
          </w:tcPr>
          <w:p>
            <w:pPr>
              <w:pStyle w:val="DMETW19867BIPSEGREP"/>
              <w:rPr>
                <w:rFonts w:ascii="Verdana" w:eastAsia="Times New Roman" w:hAnsi="Verdana" w:cs="Verdana"/>
                <w:i/>
                <w:noProof/>
                <w:color w:val="000000"/>
                <w:sz w:val="16"/>
              </w:rPr>
            </w:pPr>
            <w:r>
              <w:rPr>
                <w:rFonts w:ascii="Verdana" w:hAnsi="Verdana"/>
                <w:i/>
                <w:noProof/>
                <w:color w:val="000000"/>
                <w:sz w:val="16"/>
              </w:rPr>
              <w:t>Други разходи</w:t>
            </w:r>
          </w:p>
        </w:tc>
        <w:tc>
          <w:tcPr>
            <w:tcW w:w="1608"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(2 676)</w:t>
            </w:r>
          </w:p>
        </w:tc>
        <w:tc>
          <w:tcPr>
            <w:tcW w:w="1375"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(229)</w:t>
            </w:r>
          </w:p>
        </w:tc>
        <w:tc>
          <w:tcPr>
            <w:tcW w:w="1415"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(162)</w:t>
            </w:r>
          </w:p>
        </w:tc>
        <w:tc>
          <w:tcPr>
            <w:tcW w:w="1039"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(135)</w:t>
            </w:r>
          </w:p>
        </w:tc>
        <w:tc>
          <w:tcPr>
            <w:tcW w:w="1322"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(2 988)</w:t>
            </w:r>
          </w:p>
        </w:tc>
        <w:tc>
          <w:tcPr>
            <w:tcW w:w="1608"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 xml:space="preserve"> (756)</w:t>
            </w:r>
          </w:p>
        </w:tc>
        <w:tc>
          <w:tcPr>
            <w:tcW w:w="1063" w:type="dxa"/>
            <w:tcBorders>
              <w:top w:val="nil"/>
              <w:left w:val="nil"/>
              <w:bottom w:val="single" w:sz="4" w:space="0" w:color="016794"/>
              <w:right w:val="nil"/>
            </w:tcBorders>
            <w:tcMar>
              <w:top w:w="0" w:type="dxa"/>
              <w:left w:w="60" w:type="dxa"/>
              <w:bottom w:w="0" w:type="dxa"/>
              <w:right w:w="60" w:type="dxa"/>
            </w:tcMar>
            <w:vAlign w:val="center"/>
          </w:tcPr>
          <w:p>
            <w:pPr>
              <w:pStyle w:val="DMETW19867BIPSEGREP"/>
              <w:jc w:val="right"/>
              <w:rPr>
                <w:rFonts w:ascii="Verdana" w:eastAsia="Times New Roman" w:hAnsi="Verdana" w:cs="Verdana"/>
                <w:i/>
                <w:noProof/>
                <w:color w:val="000000"/>
                <w:sz w:val="16"/>
              </w:rPr>
            </w:pPr>
            <w:r>
              <w:rPr>
                <w:rFonts w:ascii="Verdana" w:hAnsi="Verdana"/>
                <w:i/>
                <w:noProof/>
                <w:color w:val="000000"/>
                <w:sz w:val="16"/>
              </w:rPr>
              <w:t>(6 946)</w:t>
            </w:r>
          </w:p>
        </w:tc>
      </w:tr>
      <w:tr>
        <w:trPr>
          <w:trHeight w:val="255"/>
        </w:trPr>
        <w:tc>
          <w:tcPr>
            <w:tcW w:w="4966" w:type="dxa"/>
            <w:tcBorders>
              <w:top w:val="single" w:sz="4" w:space="0" w:color="016794"/>
              <w:left w:val="nil"/>
              <w:bottom w:val="nil"/>
              <w:right w:val="nil"/>
            </w:tcBorders>
            <w:tcMar>
              <w:top w:w="0" w:type="dxa"/>
              <w:left w:w="60" w:type="dxa"/>
              <w:bottom w:w="0" w:type="dxa"/>
              <w:right w:w="60" w:type="dxa"/>
            </w:tcMar>
            <w:vAlign w:val="center"/>
          </w:tcPr>
          <w:p>
            <w:pPr>
              <w:pStyle w:val="DMETW19867BIPSEGREP"/>
              <w:rPr>
                <w:rFonts w:ascii="Verdana" w:eastAsia="Times New Roman" w:hAnsi="Verdana" w:cs="Verdana"/>
                <w:b/>
                <w:noProof/>
                <w:color w:val="000000"/>
                <w:sz w:val="16"/>
              </w:rPr>
            </w:pPr>
            <w:r>
              <w:rPr>
                <w:rFonts w:ascii="Verdana" w:hAnsi="Verdana"/>
                <w:b/>
                <w:noProof/>
                <w:color w:val="000000"/>
                <w:sz w:val="16"/>
              </w:rPr>
              <w:t>Общо разходи</w:t>
            </w:r>
          </w:p>
        </w:tc>
        <w:tc>
          <w:tcPr>
            <w:tcW w:w="1608"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(78 902)</w:t>
            </w:r>
          </w:p>
        </w:tc>
        <w:tc>
          <w:tcPr>
            <w:tcW w:w="1375"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(57 035)</w:t>
            </w:r>
          </w:p>
        </w:tc>
        <w:tc>
          <w:tcPr>
            <w:tcW w:w="1415"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(6 241)</w:t>
            </w:r>
          </w:p>
        </w:tc>
        <w:tc>
          <w:tcPr>
            <w:tcW w:w="1039"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(10 962)</w:t>
            </w:r>
          </w:p>
        </w:tc>
        <w:tc>
          <w:tcPr>
            <w:tcW w:w="1322"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(10 640)</w:t>
            </w:r>
          </w:p>
        </w:tc>
        <w:tc>
          <w:tcPr>
            <w:tcW w:w="1608"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(2 831)</w:t>
            </w:r>
          </w:p>
        </w:tc>
        <w:tc>
          <w:tcPr>
            <w:tcW w:w="1063" w:type="dxa"/>
            <w:tcBorders>
              <w:top w:val="single" w:sz="4" w:space="0" w:color="016794"/>
              <w:left w:val="nil"/>
              <w:bottom w:val="nil"/>
              <w:right w:val="nil"/>
            </w:tcBorders>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(166 612)</w:t>
            </w:r>
          </w:p>
        </w:tc>
      </w:tr>
      <w:tr>
        <w:trPr>
          <w:trHeight w:val="255"/>
        </w:trPr>
        <w:tc>
          <w:tcPr>
            <w:tcW w:w="4966" w:type="dxa"/>
            <w:tcBorders>
              <w:top w:val="nil"/>
              <w:left w:val="nil"/>
              <w:bottom w:val="nil"/>
              <w:right w:val="nil"/>
            </w:tcBorders>
            <w:shd w:val="solid" w:color="CCE1EA" w:fill="FFFFFF"/>
            <w:tcMar>
              <w:top w:w="0" w:type="dxa"/>
              <w:left w:w="60" w:type="dxa"/>
              <w:bottom w:w="0" w:type="dxa"/>
              <w:right w:w="60" w:type="dxa"/>
            </w:tcMar>
            <w:vAlign w:val="center"/>
          </w:tcPr>
          <w:p>
            <w:pPr>
              <w:pStyle w:val="DMETW19867BIPSEGREP"/>
              <w:rPr>
                <w:rFonts w:ascii="Verdana" w:eastAsia="Times New Roman" w:hAnsi="Verdana" w:cs="Verdana"/>
                <w:b/>
                <w:noProof/>
                <w:color w:val="000000"/>
                <w:sz w:val="16"/>
              </w:rPr>
            </w:pPr>
            <w:r>
              <w:rPr>
                <w:rFonts w:ascii="Verdana" w:hAnsi="Verdana"/>
                <w:b/>
                <w:noProof/>
                <w:color w:val="000000"/>
                <w:sz w:val="16"/>
              </w:rPr>
              <w:t>Финансов резултат за годината</w:t>
            </w:r>
          </w:p>
        </w:tc>
        <w:tc>
          <w:tcPr>
            <w:tcW w:w="1608" w:type="dxa"/>
            <w:tcBorders>
              <w:top w:val="nil"/>
              <w:left w:val="nil"/>
              <w:bottom w:val="nil"/>
              <w:right w:val="nil"/>
            </w:tcBorders>
            <w:shd w:val="solid" w:color="CCE1EA" w:fill="FFFFFF"/>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(76 356)</w:t>
            </w:r>
          </w:p>
        </w:tc>
        <w:tc>
          <w:tcPr>
            <w:tcW w:w="1375" w:type="dxa"/>
            <w:tcBorders>
              <w:top w:val="nil"/>
              <w:left w:val="nil"/>
              <w:bottom w:val="nil"/>
              <w:right w:val="nil"/>
            </w:tcBorders>
            <w:shd w:val="solid" w:color="CCE1EA" w:fill="FFFFFF"/>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(54 228)</w:t>
            </w:r>
          </w:p>
        </w:tc>
        <w:tc>
          <w:tcPr>
            <w:tcW w:w="1415" w:type="dxa"/>
            <w:tcBorders>
              <w:top w:val="nil"/>
              <w:left w:val="nil"/>
              <w:bottom w:val="nil"/>
              <w:right w:val="nil"/>
            </w:tcBorders>
            <w:shd w:val="solid" w:color="CCE1EA" w:fill="FFFFFF"/>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(5 435)</w:t>
            </w:r>
          </w:p>
        </w:tc>
        <w:tc>
          <w:tcPr>
            <w:tcW w:w="1039" w:type="dxa"/>
            <w:tcBorders>
              <w:top w:val="nil"/>
              <w:left w:val="nil"/>
              <w:bottom w:val="nil"/>
              <w:right w:val="nil"/>
            </w:tcBorders>
            <w:shd w:val="solid" w:color="CCE1EA" w:fill="FFFFFF"/>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(10 695)</w:t>
            </w:r>
          </w:p>
        </w:tc>
        <w:tc>
          <w:tcPr>
            <w:tcW w:w="1322" w:type="dxa"/>
            <w:tcBorders>
              <w:top w:val="nil"/>
              <w:left w:val="nil"/>
              <w:bottom w:val="nil"/>
              <w:right w:val="nil"/>
            </w:tcBorders>
            <w:shd w:val="solid" w:color="CCE1EA" w:fill="FFFFFF"/>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(5 457)</w:t>
            </w:r>
          </w:p>
        </w:tc>
        <w:tc>
          <w:tcPr>
            <w:tcW w:w="1608" w:type="dxa"/>
            <w:tcBorders>
              <w:top w:val="nil"/>
              <w:left w:val="nil"/>
              <w:bottom w:val="nil"/>
              <w:right w:val="nil"/>
            </w:tcBorders>
            <w:shd w:val="solid" w:color="CCE1EA" w:fill="FFFFFF"/>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209 587</w:t>
            </w:r>
          </w:p>
        </w:tc>
        <w:tc>
          <w:tcPr>
            <w:tcW w:w="1063" w:type="dxa"/>
            <w:tcBorders>
              <w:top w:val="nil"/>
              <w:left w:val="nil"/>
              <w:bottom w:val="nil"/>
              <w:right w:val="nil"/>
            </w:tcBorders>
            <w:shd w:val="solid" w:color="CCE1EA" w:fill="FFFFFF"/>
            <w:tcMar>
              <w:top w:w="0" w:type="dxa"/>
              <w:left w:w="60" w:type="dxa"/>
              <w:bottom w:w="0" w:type="dxa"/>
              <w:right w:w="60" w:type="dxa"/>
            </w:tcMar>
            <w:vAlign w:val="center"/>
          </w:tcPr>
          <w:p>
            <w:pPr>
              <w:pStyle w:val="DMETW19867BIPSEGREP"/>
              <w:jc w:val="right"/>
              <w:rPr>
                <w:rFonts w:ascii="Verdana" w:eastAsia="Times New Roman" w:hAnsi="Verdana" w:cs="Verdana"/>
                <w:b/>
                <w:noProof/>
                <w:color w:val="000000"/>
                <w:sz w:val="16"/>
              </w:rPr>
            </w:pPr>
            <w:r>
              <w:rPr>
                <w:rFonts w:ascii="Verdana" w:hAnsi="Verdana"/>
                <w:b/>
                <w:noProof/>
                <w:color w:val="000000"/>
                <w:sz w:val="16"/>
              </w:rPr>
              <w:t>57 416</w:t>
            </w:r>
          </w:p>
        </w:tc>
      </w:tr>
    </w:tbl>
    <w:p>
      <w:pPr>
        <w:pStyle w:val="Textstand-alone"/>
        <w:tabs>
          <w:tab w:val="left" w:pos="284"/>
        </w:tabs>
        <w:spacing w:before="60"/>
        <w:ind w:left="284" w:hanging="284"/>
        <w:rPr>
          <w:i/>
          <w:sz w:val="14"/>
        </w:rPr>
      </w:pPr>
      <w:r>
        <w:rPr>
          <w:i/>
          <w:sz w:val="14"/>
        </w:rPr>
        <w:t>* Позицията „Неотнесени към функция от МФР“ включва изпълнението на бюджета от консолидираните субекти и консолидационните изключвания, извънбюджетните операции и неразпределените програми с несъществени суми на индивидуална база.</w:t>
      </w:r>
    </w:p>
    <w:p>
      <w:pPr>
        <w:pStyle w:val="DGTextstand-alone"/>
      </w:pPr>
      <w:r>
        <w:t>Посочването на приходите и разходите по функции от МФР се основава на приблизителна оценка, тъй като не всички поети задължения са свързани с функция от МФР.</w:t>
      </w:r>
    </w:p>
    <w:bookmarkEnd w:id="178"/>
    <w:p>
      <w:pPr>
        <w:pStyle w:val="DGTextstand-alone"/>
        <w:sectPr>
          <w:headerReference w:type="even" r:id="rId254"/>
          <w:headerReference w:type="default" r:id="rId255"/>
          <w:footerReference w:type="even" r:id="rId256"/>
          <w:footerReference w:type="default" r:id="rId257"/>
          <w:headerReference w:type="first" r:id="rId258"/>
          <w:footerReference w:type="first" r:id="rId259"/>
          <w:pgSz w:w="16838" w:h="11906" w:orient="landscape"/>
          <w:pgMar w:top="1134" w:right="1134" w:bottom="1134" w:left="1134" w:header="708" w:footer="708" w:gutter="0"/>
          <w:cols w:space="708"/>
          <w:docGrid w:linePitch="360"/>
        </w:sectPr>
      </w:pPr>
    </w:p>
    <w:p>
      <w:pPr>
        <w:pStyle w:val="HEADER1NOTES"/>
        <w:rPr>
          <w:noProof/>
        </w:rPr>
      </w:pPr>
      <w:bookmarkStart w:id="180" w:name="_Toc75518111"/>
      <w:bookmarkStart w:id="181" w:name="_DMBM_19812"/>
      <w:r>
        <w:rPr>
          <w:noProof/>
        </w:rPr>
        <w:t>УСЛОВНИ ПАСИВИ И АКТИВИ</w:t>
      </w:r>
      <w:bookmarkEnd w:id="180"/>
    </w:p>
    <w:p>
      <w:pPr>
        <w:pStyle w:val="HEADER2NOTES"/>
        <w:rPr>
          <w:noProof/>
        </w:rPr>
      </w:pPr>
      <w:r>
        <w:rPr>
          <w:noProof/>
        </w:rPr>
        <w:t>УСЛОВНИ ПАСИВИ</w:t>
      </w:r>
    </w:p>
    <w:p>
      <w:pPr>
        <w:pStyle w:val="DGTextstand-alone"/>
        <w:spacing w:after="0"/>
      </w:pPr>
      <w:r>
        <w:t>Условните пасиви са възможни бъдещи задължения за плащане на ЕС, които могат да възникнат вследствие на минали събития или поети правнообвързващи задължения, но които зависят от бъдещи събития, които не са изцяло под контрола на ЕС. Те са свързани предимно с дадени финансови гаранции (по заеми и програми за финансова помощ) и с правни рискове. Всички условни пасиви, с изключение на свързаните с глоби, с гаранции и с финансови инструменти до равнището, до което са покрити от фондове (вж. бележка </w:t>
      </w:r>
      <w:r>
        <w:rPr>
          <w:b/>
        </w:rPr>
        <w:t>2.4.1</w:t>
      </w:r>
      <w:r>
        <w:t>), ще бъдат финансирани, ако станат дължими, от бюджета на ЕС (и следователно от държавите — членки на ЕС) през идните години.</w:t>
      </w:r>
    </w:p>
    <w:p>
      <w:pPr>
        <w:pStyle w:val="HEADER3NOTES"/>
        <w:rPr>
          <w:noProof/>
        </w:rPr>
      </w:pPr>
      <w:r>
        <w:rPr>
          <w:noProof/>
        </w:rPr>
        <w:t>Бюджетни гаранции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1145"/>
        <w:gridCol w:w="1144"/>
        <w:gridCol w:w="1144"/>
        <w:gridCol w:w="1144"/>
        <w:gridCol w:w="1144"/>
        <w:gridCol w:w="1145"/>
      </w:tblGrid>
      <w:tr>
        <w:trPr>
          <w:trHeight w:val="255"/>
        </w:trPr>
        <w:tc>
          <w:tcPr>
            <w:tcW w:w="2892" w:type="dxa"/>
            <w:tcBorders>
              <w:top w:val="nil"/>
              <w:left w:val="nil"/>
              <w:bottom w:val="nil"/>
              <w:right w:val="nil"/>
              <w:tl2br w:val="nil"/>
              <w:tr2bl w:val="nil"/>
            </w:tcBorders>
            <w:shd w:val="clear" w:color="auto" w:fill="auto"/>
            <w:tcMar>
              <w:left w:w="60" w:type="dxa"/>
              <w:right w:w="60" w:type="dxa"/>
            </w:tcMar>
            <w:vAlign w:val="bottom"/>
          </w:tcPr>
          <w:p>
            <w:pPr>
              <w:pStyle w:val="DMETW19550BIPGUAR"/>
              <w:rPr>
                <w:rFonts w:ascii="Arial" w:eastAsia="Arial" w:hAnsi="Arial" w:cs="Arial"/>
                <w:noProof/>
                <w:color w:val="000000"/>
              </w:rPr>
            </w:pPr>
            <w:bookmarkStart w:id="182" w:name="DOC_TBL00076_1_1"/>
            <w:bookmarkEnd w:id="182"/>
          </w:p>
        </w:tc>
        <w:tc>
          <w:tcPr>
            <w:tcW w:w="1145" w:type="dxa"/>
            <w:tcBorders>
              <w:top w:val="nil"/>
              <w:left w:val="nil"/>
              <w:bottom w:val="nil"/>
              <w:right w:val="nil"/>
              <w:tl2br w:val="nil"/>
              <w:tr2bl w:val="nil"/>
            </w:tcBorders>
            <w:shd w:val="clear" w:color="auto" w:fill="auto"/>
            <w:tcMar>
              <w:left w:w="60" w:type="dxa"/>
              <w:right w:w="60" w:type="dxa"/>
            </w:tcMar>
            <w:vAlign w:val="bottom"/>
          </w:tcPr>
          <w:p>
            <w:pPr>
              <w:pStyle w:val="DMETW19550BIPGUAR"/>
              <w:rPr>
                <w:rFonts w:ascii="Arial" w:eastAsia="Arial" w:hAnsi="Arial" w:cs="Arial"/>
                <w:noProof/>
                <w:color w:val="000000"/>
              </w:rPr>
            </w:pPr>
          </w:p>
        </w:tc>
        <w:tc>
          <w:tcPr>
            <w:tcW w:w="1144" w:type="dxa"/>
            <w:tcBorders>
              <w:top w:val="nil"/>
              <w:left w:val="nil"/>
              <w:bottom w:val="nil"/>
              <w:right w:val="nil"/>
              <w:tl2br w:val="nil"/>
              <w:tr2bl w:val="nil"/>
            </w:tcBorders>
            <w:shd w:val="clear" w:color="auto" w:fill="auto"/>
            <w:tcMar>
              <w:left w:w="60" w:type="dxa"/>
              <w:right w:w="60" w:type="dxa"/>
            </w:tcMar>
            <w:vAlign w:val="bottom"/>
          </w:tcPr>
          <w:p>
            <w:pPr>
              <w:pStyle w:val="DMETW19550BIPGUAR"/>
              <w:rPr>
                <w:rFonts w:ascii="Arial" w:eastAsia="Arial" w:hAnsi="Arial" w:cs="Arial"/>
                <w:noProof/>
                <w:color w:val="000000"/>
              </w:rPr>
            </w:pPr>
          </w:p>
        </w:tc>
        <w:tc>
          <w:tcPr>
            <w:tcW w:w="1144" w:type="dxa"/>
            <w:tcBorders>
              <w:top w:val="nil"/>
              <w:left w:val="nil"/>
              <w:bottom w:val="nil"/>
              <w:right w:val="nil"/>
              <w:tl2br w:val="nil"/>
              <w:tr2bl w:val="nil"/>
            </w:tcBorders>
            <w:shd w:val="clear" w:color="auto" w:fill="auto"/>
            <w:tcMar>
              <w:left w:w="60" w:type="dxa"/>
              <w:right w:w="60" w:type="dxa"/>
            </w:tcMar>
            <w:vAlign w:val="bottom"/>
          </w:tcPr>
          <w:p>
            <w:pPr>
              <w:pStyle w:val="DMETW19550BIPGUAR"/>
              <w:rPr>
                <w:rFonts w:ascii="Arial" w:eastAsia="Arial" w:hAnsi="Arial" w:cs="Arial"/>
                <w:noProof/>
                <w:color w:val="000000"/>
              </w:rPr>
            </w:pPr>
          </w:p>
        </w:tc>
        <w:tc>
          <w:tcPr>
            <w:tcW w:w="1144" w:type="dxa"/>
            <w:tcBorders>
              <w:top w:val="nil"/>
              <w:left w:val="nil"/>
              <w:bottom w:val="nil"/>
              <w:right w:val="nil"/>
              <w:tl2br w:val="nil"/>
              <w:tr2bl w:val="nil"/>
            </w:tcBorders>
            <w:shd w:val="clear" w:color="auto" w:fill="auto"/>
            <w:tcMar>
              <w:left w:w="60" w:type="dxa"/>
              <w:right w:w="60" w:type="dxa"/>
            </w:tcMar>
            <w:vAlign w:val="bottom"/>
          </w:tcPr>
          <w:p>
            <w:pPr>
              <w:pStyle w:val="DMETW19550BIPGUAR"/>
              <w:rPr>
                <w:rFonts w:ascii="Arial" w:eastAsia="Arial" w:hAnsi="Arial" w:cs="Arial"/>
                <w:noProof/>
                <w:color w:val="000000"/>
              </w:rPr>
            </w:pPr>
          </w:p>
        </w:tc>
        <w:tc>
          <w:tcPr>
            <w:tcW w:w="1144" w:type="dxa"/>
            <w:tcBorders>
              <w:top w:val="nil"/>
              <w:left w:val="nil"/>
              <w:bottom w:val="nil"/>
              <w:right w:val="nil"/>
              <w:tl2br w:val="nil"/>
              <w:tr2bl w:val="nil"/>
            </w:tcBorders>
            <w:shd w:val="clear" w:color="auto" w:fill="auto"/>
            <w:tcMar>
              <w:left w:w="60" w:type="dxa"/>
              <w:right w:w="60" w:type="dxa"/>
            </w:tcMar>
            <w:vAlign w:val="bottom"/>
          </w:tcPr>
          <w:p>
            <w:pPr>
              <w:pStyle w:val="DMETW19550BIPGUAR"/>
              <w:rPr>
                <w:rFonts w:ascii="Arial" w:eastAsia="Arial" w:hAnsi="Arial" w:cs="Arial"/>
                <w:noProof/>
                <w:color w:val="000000"/>
              </w:rPr>
            </w:pPr>
          </w:p>
        </w:tc>
        <w:tc>
          <w:tcPr>
            <w:tcW w:w="1145" w:type="dxa"/>
            <w:tcBorders>
              <w:top w:val="nil"/>
              <w:left w:val="nil"/>
              <w:bottom w:val="nil"/>
              <w:right w:val="nil"/>
              <w:tl2br w:val="nil"/>
              <w:tr2bl w:val="nil"/>
            </w:tcBorders>
            <w:shd w:val="clear" w:color="auto" w:fill="auto"/>
            <w:tcMar>
              <w:left w:w="60" w:type="dxa"/>
              <w:right w:w="60" w:type="dxa"/>
            </w:tcMar>
            <w:vAlign w:val="bottom"/>
          </w:tcPr>
          <w:p>
            <w:pPr>
              <w:pStyle w:val="DMETW19550BIPGUAR"/>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892" w:type="dxa"/>
            <w:tcBorders>
              <w:top w:val="nil"/>
              <w:left w:val="nil"/>
              <w:bottom w:val="nil"/>
              <w:right w:val="nil"/>
              <w:tl2br w:val="nil"/>
              <w:tr2bl w:val="nil"/>
            </w:tcBorders>
            <w:shd w:val="solid" w:color="016794" w:fill="FFFFFF"/>
            <w:tcMar>
              <w:left w:w="60" w:type="dxa"/>
              <w:right w:w="60" w:type="dxa"/>
            </w:tcMar>
            <w:vAlign w:val="center"/>
          </w:tcPr>
          <w:p>
            <w:pPr>
              <w:pStyle w:val="DMETW19550BIPGUAR"/>
              <w:jc w:val="center"/>
              <w:rPr>
                <w:rFonts w:ascii="Verdana" w:eastAsia="Verdana" w:hAnsi="Verdana" w:cs="Verdana"/>
                <w:noProof/>
                <w:color w:val="FFFFFF"/>
              </w:rPr>
            </w:pPr>
          </w:p>
        </w:tc>
        <w:tc>
          <w:tcPr>
            <w:tcW w:w="1145"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550BIPGUAR"/>
              <w:jc w:val="center"/>
              <w:rPr>
                <w:rFonts w:ascii="Verdana" w:eastAsia="Verdana" w:hAnsi="Verdana" w:cs="Verdana"/>
                <w:noProof/>
                <w:color w:val="FFFFFF"/>
              </w:rPr>
            </w:pPr>
            <w:r>
              <w:rPr>
                <w:rFonts w:ascii="Verdana" w:hAnsi="Verdana"/>
                <w:noProof/>
                <w:color w:val="FFFFFF"/>
              </w:rPr>
              <w:t>31.12.2020 г.</w:t>
            </w:r>
          </w:p>
        </w:tc>
        <w:tc>
          <w:tcPr>
            <w:tcW w:w="1144"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550BIPGUAR"/>
              <w:jc w:val="center"/>
              <w:rPr>
                <w:rFonts w:ascii="Verdana" w:eastAsia="Verdana" w:hAnsi="Verdana" w:cs="Verdana"/>
                <w:noProof/>
                <w:color w:val="FFFFFF"/>
              </w:rPr>
            </w:pPr>
            <w:r>
              <w:rPr>
                <w:rFonts w:ascii="Verdana" w:hAnsi="Verdana"/>
                <w:noProof/>
                <w:color w:val="FFFFFF"/>
              </w:rPr>
              <w:t>31.12.2019 г.</w:t>
            </w:r>
          </w:p>
        </w:tc>
      </w:tr>
      <w:tr>
        <w:trPr>
          <w:trHeight w:val="255"/>
        </w:trPr>
        <w:tc>
          <w:tcPr>
            <w:tcW w:w="2892" w:type="dxa"/>
            <w:tcBorders>
              <w:top w:val="nil"/>
              <w:left w:val="nil"/>
              <w:bottom w:val="nil"/>
              <w:right w:val="nil"/>
              <w:tl2br w:val="nil"/>
              <w:tr2bl w:val="nil"/>
            </w:tcBorders>
            <w:shd w:val="solid" w:color="016794" w:fill="FFFFFF"/>
            <w:tcMar>
              <w:left w:w="60" w:type="dxa"/>
              <w:right w:w="60" w:type="dxa"/>
            </w:tcMar>
            <w:vAlign w:val="center"/>
          </w:tcPr>
          <w:p>
            <w:pPr>
              <w:pStyle w:val="DMETW19550BIPGUAR"/>
              <w:jc w:val="center"/>
              <w:rPr>
                <w:rFonts w:ascii="Verdana" w:eastAsia="Verdana" w:hAnsi="Verdana" w:cs="Verdana"/>
                <w:noProof/>
                <w:color w:val="FFFFFF"/>
              </w:rPr>
            </w:pPr>
          </w:p>
        </w:tc>
        <w:tc>
          <w:tcPr>
            <w:tcW w:w="1145" w:type="dxa"/>
            <w:tcBorders>
              <w:top w:val="nil"/>
              <w:left w:val="nil"/>
              <w:bottom w:val="nil"/>
              <w:right w:val="nil"/>
              <w:tl2br w:val="nil"/>
              <w:tr2bl w:val="nil"/>
            </w:tcBorders>
            <w:shd w:val="solid" w:color="016794" w:fill="FFFFFF"/>
            <w:tcMar>
              <w:left w:w="60" w:type="dxa"/>
              <w:right w:w="60" w:type="dxa"/>
            </w:tcMar>
            <w:vAlign w:val="center"/>
          </w:tcPr>
          <w:p>
            <w:pPr>
              <w:pStyle w:val="DMETW19550BIPGUAR"/>
              <w:jc w:val="right"/>
              <w:rPr>
                <w:rFonts w:ascii="Verdana" w:eastAsia="Verdana" w:hAnsi="Verdana" w:cs="Verdana"/>
                <w:noProof/>
                <w:color w:val="FFFFFF"/>
                <w:sz w:val="18"/>
              </w:rPr>
            </w:pPr>
            <w:r>
              <w:rPr>
                <w:rFonts w:ascii="Verdana" w:hAnsi="Verdana"/>
                <w:noProof/>
                <w:color w:val="FFFFFF"/>
                <w:sz w:val="18"/>
              </w:rPr>
              <w:t>Таван</w:t>
            </w:r>
          </w:p>
        </w:tc>
        <w:tc>
          <w:tcPr>
            <w:tcW w:w="1144" w:type="dxa"/>
            <w:tcBorders>
              <w:top w:val="nil"/>
              <w:left w:val="nil"/>
              <w:bottom w:val="nil"/>
              <w:right w:val="nil"/>
              <w:tl2br w:val="nil"/>
              <w:tr2bl w:val="nil"/>
            </w:tcBorders>
            <w:shd w:val="solid" w:color="016794" w:fill="FFFFFF"/>
            <w:tcMar>
              <w:left w:w="60" w:type="dxa"/>
              <w:right w:w="60" w:type="dxa"/>
            </w:tcMar>
            <w:vAlign w:val="center"/>
          </w:tcPr>
          <w:p>
            <w:pPr>
              <w:pStyle w:val="DMETW19550BIPGUAR"/>
              <w:jc w:val="right"/>
              <w:rPr>
                <w:rFonts w:ascii="Verdana" w:eastAsia="Verdana" w:hAnsi="Verdana" w:cs="Verdana"/>
                <w:noProof/>
                <w:color w:val="FFFFFF"/>
                <w:sz w:val="18"/>
              </w:rPr>
            </w:pPr>
            <w:r>
              <w:rPr>
                <w:rFonts w:ascii="Verdana" w:hAnsi="Verdana"/>
                <w:noProof/>
                <w:color w:val="FFFFFF"/>
                <w:sz w:val="18"/>
              </w:rPr>
              <w:t>Подписани</w:t>
            </w:r>
          </w:p>
        </w:tc>
        <w:tc>
          <w:tcPr>
            <w:tcW w:w="1144" w:type="dxa"/>
            <w:tcBorders>
              <w:top w:val="nil"/>
              <w:left w:val="nil"/>
              <w:bottom w:val="nil"/>
              <w:right w:val="nil"/>
              <w:tl2br w:val="nil"/>
              <w:tr2bl w:val="nil"/>
            </w:tcBorders>
            <w:shd w:val="solid" w:color="016794" w:fill="FFFFFF"/>
            <w:tcMar>
              <w:left w:w="60" w:type="dxa"/>
              <w:right w:w="60" w:type="dxa"/>
            </w:tcMar>
            <w:vAlign w:val="center"/>
          </w:tcPr>
          <w:p>
            <w:pPr>
              <w:pStyle w:val="DMETW19550BIPGUAR"/>
              <w:jc w:val="right"/>
              <w:rPr>
                <w:rFonts w:ascii="Verdana" w:eastAsia="Verdana" w:hAnsi="Verdana" w:cs="Verdana"/>
                <w:noProof/>
                <w:color w:val="FFFFFF"/>
                <w:sz w:val="18"/>
              </w:rPr>
            </w:pPr>
            <w:r>
              <w:rPr>
                <w:rFonts w:ascii="Verdana" w:hAnsi="Verdana"/>
                <w:noProof/>
                <w:color w:val="FFFFFF"/>
                <w:sz w:val="18"/>
              </w:rPr>
              <w:t>Изплатени</w:t>
            </w:r>
          </w:p>
        </w:tc>
        <w:tc>
          <w:tcPr>
            <w:tcW w:w="1144" w:type="dxa"/>
            <w:tcBorders>
              <w:top w:val="nil"/>
              <w:left w:val="nil"/>
              <w:bottom w:val="nil"/>
              <w:right w:val="nil"/>
              <w:tl2br w:val="nil"/>
              <w:tr2bl w:val="nil"/>
            </w:tcBorders>
            <w:shd w:val="solid" w:color="016794" w:fill="FFFFFF"/>
            <w:tcMar>
              <w:left w:w="60" w:type="dxa"/>
              <w:right w:w="60" w:type="dxa"/>
            </w:tcMar>
            <w:vAlign w:val="center"/>
          </w:tcPr>
          <w:p>
            <w:pPr>
              <w:pStyle w:val="DMETW19550BIPGUAR"/>
              <w:jc w:val="right"/>
              <w:rPr>
                <w:rFonts w:ascii="Verdana" w:eastAsia="Verdana" w:hAnsi="Verdana" w:cs="Verdana"/>
                <w:noProof/>
                <w:color w:val="FFFFFF"/>
                <w:sz w:val="18"/>
              </w:rPr>
            </w:pPr>
            <w:r>
              <w:rPr>
                <w:rFonts w:ascii="Verdana" w:hAnsi="Verdana"/>
                <w:noProof/>
                <w:color w:val="FFFFFF"/>
                <w:sz w:val="18"/>
              </w:rPr>
              <w:t>Таван</w:t>
            </w:r>
          </w:p>
        </w:tc>
        <w:tc>
          <w:tcPr>
            <w:tcW w:w="1144" w:type="dxa"/>
            <w:tcBorders>
              <w:top w:val="nil"/>
              <w:left w:val="nil"/>
              <w:bottom w:val="nil"/>
              <w:right w:val="nil"/>
              <w:tl2br w:val="nil"/>
              <w:tr2bl w:val="nil"/>
            </w:tcBorders>
            <w:shd w:val="solid" w:color="016794" w:fill="FFFFFF"/>
            <w:tcMar>
              <w:left w:w="60" w:type="dxa"/>
              <w:right w:w="60" w:type="dxa"/>
            </w:tcMar>
            <w:vAlign w:val="center"/>
          </w:tcPr>
          <w:p>
            <w:pPr>
              <w:pStyle w:val="DMETW19550BIPGUAR"/>
              <w:jc w:val="right"/>
              <w:rPr>
                <w:rFonts w:ascii="Verdana" w:eastAsia="Verdana" w:hAnsi="Verdana" w:cs="Verdana"/>
                <w:noProof/>
                <w:color w:val="FFFFFF"/>
                <w:sz w:val="18"/>
              </w:rPr>
            </w:pPr>
            <w:r>
              <w:rPr>
                <w:rFonts w:ascii="Verdana" w:hAnsi="Verdana"/>
                <w:noProof/>
                <w:color w:val="FFFFFF"/>
                <w:sz w:val="18"/>
              </w:rPr>
              <w:t>Подписани</w:t>
            </w:r>
          </w:p>
        </w:tc>
        <w:tc>
          <w:tcPr>
            <w:tcW w:w="1145" w:type="dxa"/>
            <w:tcBorders>
              <w:top w:val="nil"/>
              <w:left w:val="nil"/>
              <w:bottom w:val="nil"/>
              <w:right w:val="nil"/>
              <w:tl2br w:val="nil"/>
              <w:tr2bl w:val="nil"/>
            </w:tcBorders>
            <w:shd w:val="solid" w:color="016794" w:fill="FFFFFF"/>
            <w:tcMar>
              <w:left w:w="60" w:type="dxa"/>
              <w:right w:w="60" w:type="dxa"/>
            </w:tcMar>
            <w:vAlign w:val="center"/>
          </w:tcPr>
          <w:p>
            <w:pPr>
              <w:pStyle w:val="DMETW19550BIPGUAR"/>
              <w:jc w:val="right"/>
              <w:rPr>
                <w:rFonts w:ascii="Verdana" w:eastAsia="Verdana" w:hAnsi="Verdana" w:cs="Verdana"/>
                <w:noProof/>
                <w:color w:val="FFFFFF"/>
                <w:sz w:val="18"/>
              </w:rPr>
            </w:pPr>
            <w:r>
              <w:rPr>
                <w:rFonts w:ascii="Verdana" w:hAnsi="Verdana"/>
                <w:noProof/>
                <w:color w:val="FFFFFF"/>
                <w:sz w:val="18"/>
              </w:rPr>
              <w:t>Изплатени</w:t>
            </w:r>
          </w:p>
        </w:tc>
      </w:tr>
      <w:tr>
        <w:trPr>
          <w:trHeight w:val="255"/>
        </w:trPr>
        <w:tc>
          <w:tcPr>
            <w:tcW w:w="2892" w:type="dxa"/>
            <w:tcBorders>
              <w:top w:val="nil"/>
              <w:left w:val="nil"/>
              <w:bottom w:val="nil"/>
              <w:right w:val="nil"/>
              <w:tl2br w:val="nil"/>
              <w:tr2bl w:val="nil"/>
            </w:tcBorders>
            <w:shd w:val="clear" w:color="auto" w:fill="auto"/>
            <w:tcMar>
              <w:left w:w="60" w:type="dxa"/>
              <w:right w:w="60" w:type="dxa"/>
            </w:tcMar>
            <w:vAlign w:val="center"/>
          </w:tcPr>
          <w:p>
            <w:pPr>
              <w:pStyle w:val="DMETW19550BIPGUAR"/>
              <w:rPr>
                <w:rFonts w:ascii="Verdana" w:eastAsia="Verdana" w:hAnsi="Verdana" w:cs="Verdana"/>
                <w:i/>
                <w:noProof/>
                <w:color w:val="000000"/>
                <w:sz w:val="18"/>
              </w:rPr>
            </w:pPr>
            <w:r>
              <w:rPr>
                <w:rFonts w:ascii="Verdana" w:hAnsi="Verdana"/>
                <w:i/>
                <w:noProof/>
                <w:color w:val="000000"/>
                <w:sz w:val="18"/>
              </w:rPr>
              <w:t>Гаранции по мандата на ЕИБ за външно кредитиране</w:t>
            </w:r>
          </w:p>
        </w:tc>
        <w:tc>
          <w:tcPr>
            <w:tcW w:w="1145"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35 372</w:t>
            </w:r>
          </w:p>
        </w:tc>
        <w:tc>
          <w:tcPr>
            <w:tcW w:w="1144"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32 530</w:t>
            </w:r>
          </w:p>
        </w:tc>
        <w:tc>
          <w:tcPr>
            <w:tcW w:w="1144"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20 050</w:t>
            </w:r>
          </w:p>
        </w:tc>
        <w:tc>
          <w:tcPr>
            <w:tcW w:w="1144"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37 929</w:t>
            </w:r>
          </w:p>
        </w:tc>
        <w:tc>
          <w:tcPr>
            <w:tcW w:w="1144"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31 521</w:t>
            </w:r>
          </w:p>
        </w:tc>
        <w:tc>
          <w:tcPr>
            <w:tcW w:w="1145"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20 014</w:t>
            </w:r>
          </w:p>
        </w:tc>
      </w:tr>
      <w:tr>
        <w:trPr>
          <w:trHeight w:val="255"/>
        </w:trPr>
        <w:tc>
          <w:tcPr>
            <w:tcW w:w="2892" w:type="dxa"/>
            <w:tcBorders>
              <w:top w:val="nil"/>
              <w:left w:val="nil"/>
              <w:bottom w:val="nil"/>
              <w:right w:val="nil"/>
              <w:tl2br w:val="nil"/>
              <w:tr2bl w:val="nil"/>
            </w:tcBorders>
            <w:shd w:val="clear" w:color="auto" w:fill="auto"/>
            <w:tcMar>
              <w:left w:w="60" w:type="dxa"/>
              <w:right w:w="60" w:type="dxa"/>
            </w:tcMar>
            <w:vAlign w:val="center"/>
          </w:tcPr>
          <w:p>
            <w:pPr>
              <w:pStyle w:val="DMETW19550BIPGUAR"/>
              <w:rPr>
                <w:rFonts w:ascii="Verdana" w:eastAsia="Verdana" w:hAnsi="Verdana" w:cs="Verdana"/>
                <w:i/>
                <w:noProof/>
                <w:color w:val="000000"/>
                <w:sz w:val="18"/>
              </w:rPr>
            </w:pPr>
            <w:r>
              <w:rPr>
                <w:rFonts w:ascii="Verdana" w:hAnsi="Verdana"/>
                <w:i/>
                <w:noProof/>
                <w:color w:val="000000"/>
                <w:sz w:val="18"/>
              </w:rPr>
              <w:t>Гаранция от ЕФСИ</w:t>
            </w:r>
          </w:p>
        </w:tc>
        <w:tc>
          <w:tcPr>
            <w:tcW w:w="1145"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25 543</w:t>
            </w:r>
          </w:p>
        </w:tc>
        <w:tc>
          <w:tcPr>
            <w:tcW w:w="1144"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23 831</w:t>
            </w:r>
          </w:p>
        </w:tc>
        <w:tc>
          <w:tcPr>
            <w:tcW w:w="1144"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18 590</w:t>
            </w:r>
          </w:p>
        </w:tc>
        <w:tc>
          <w:tcPr>
            <w:tcW w:w="1144"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25 797</w:t>
            </w:r>
          </w:p>
        </w:tc>
        <w:tc>
          <w:tcPr>
            <w:tcW w:w="1144"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21 889</w:t>
            </w:r>
          </w:p>
        </w:tc>
        <w:tc>
          <w:tcPr>
            <w:tcW w:w="1145"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17 634</w:t>
            </w:r>
          </w:p>
        </w:tc>
      </w:tr>
      <w:tr>
        <w:trPr>
          <w:trHeight w:val="255"/>
        </w:trPr>
        <w:tc>
          <w:tcPr>
            <w:tcW w:w="2892" w:type="dxa"/>
            <w:tcBorders>
              <w:top w:val="nil"/>
              <w:left w:val="nil"/>
              <w:bottom w:val="nil"/>
              <w:right w:val="nil"/>
              <w:tl2br w:val="nil"/>
              <w:tr2bl w:val="nil"/>
            </w:tcBorders>
            <w:shd w:val="clear" w:color="auto" w:fill="auto"/>
            <w:tcMar>
              <w:left w:w="60" w:type="dxa"/>
              <w:right w:w="60" w:type="dxa"/>
            </w:tcMar>
            <w:vAlign w:val="center"/>
          </w:tcPr>
          <w:p>
            <w:pPr>
              <w:pStyle w:val="DMETW19550BIPGUAR"/>
              <w:rPr>
                <w:rFonts w:ascii="Verdana" w:eastAsia="Verdana" w:hAnsi="Verdana" w:cs="Verdana"/>
                <w:i/>
                <w:noProof/>
                <w:color w:val="000000"/>
                <w:sz w:val="18"/>
              </w:rPr>
            </w:pPr>
            <w:r>
              <w:rPr>
                <w:rFonts w:ascii="Verdana" w:hAnsi="Verdana"/>
                <w:i/>
                <w:noProof/>
                <w:color w:val="000000"/>
                <w:sz w:val="18"/>
              </w:rPr>
              <w:t>Гаранция от ЕФУР</w:t>
            </w:r>
          </w:p>
        </w:tc>
        <w:tc>
          <w:tcPr>
            <w:tcW w:w="1145"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1 370</w:t>
            </w:r>
          </w:p>
        </w:tc>
        <w:tc>
          <w:tcPr>
            <w:tcW w:w="1144"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 xml:space="preserve"> 438</w:t>
            </w:r>
          </w:p>
        </w:tc>
        <w:tc>
          <w:tcPr>
            <w:tcW w:w="1144"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 xml:space="preserve"> 34</w:t>
            </w:r>
          </w:p>
        </w:tc>
        <w:tc>
          <w:tcPr>
            <w:tcW w:w="1144"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 xml:space="preserve"> 50</w:t>
            </w:r>
          </w:p>
        </w:tc>
        <w:tc>
          <w:tcPr>
            <w:tcW w:w="1144"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w:t>
            </w:r>
          </w:p>
        </w:tc>
        <w:tc>
          <w:tcPr>
            <w:tcW w:w="1145" w:type="dxa"/>
            <w:tcBorders>
              <w:top w:val="nil"/>
              <w:left w:val="nil"/>
              <w:bottom w:val="nil"/>
              <w:right w:val="nil"/>
              <w:tl2br w:val="nil"/>
              <w:tr2bl w:val="nil"/>
            </w:tcBorders>
            <w:shd w:val="clear" w:color="auto" w:fill="auto"/>
            <w:tcMar>
              <w:left w:w="60" w:type="dxa"/>
              <w:right w:w="60" w:type="dxa"/>
            </w:tcMar>
            <w:vAlign w:val="center"/>
          </w:tcPr>
          <w:p>
            <w:pPr>
              <w:pStyle w:val="DMETW19550BIPGUAR"/>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2892" w:type="dxa"/>
            <w:tcBorders>
              <w:top w:val="nil"/>
              <w:left w:val="nil"/>
              <w:bottom w:val="nil"/>
              <w:right w:val="nil"/>
              <w:tl2br w:val="nil"/>
              <w:tr2bl w:val="nil"/>
            </w:tcBorders>
            <w:shd w:val="solid" w:color="CCE1EA" w:fill="FFFFFF"/>
            <w:tcMar>
              <w:left w:w="60" w:type="dxa"/>
              <w:right w:w="60" w:type="dxa"/>
            </w:tcMar>
            <w:vAlign w:val="center"/>
          </w:tcPr>
          <w:p>
            <w:pPr>
              <w:pStyle w:val="DMETW19550BIPGUAR"/>
              <w:rPr>
                <w:rFonts w:ascii="Verdana" w:eastAsia="Verdana" w:hAnsi="Verdana" w:cs="Verdana"/>
                <w:b/>
                <w:noProof/>
                <w:color w:val="000000"/>
                <w:sz w:val="18"/>
              </w:rPr>
            </w:pPr>
            <w:r>
              <w:rPr>
                <w:rFonts w:ascii="Verdana" w:hAnsi="Verdana"/>
                <w:b/>
                <w:noProof/>
                <w:color w:val="000000"/>
                <w:sz w:val="18"/>
              </w:rPr>
              <w:t>Общо</w:t>
            </w:r>
          </w:p>
        </w:tc>
        <w:tc>
          <w:tcPr>
            <w:tcW w:w="1145" w:type="dxa"/>
            <w:tcBorders>
              <w:top w:val="nil"/>
              <w:left w:val="nil"/>
              <w:bottom w:val="nil"/>
              <w:right w:val="nil"/>
              <w:tl2br w:val="nil"/>
              <w:tr2bl w:val="nil"/>
            </w:tcBorders>
            <w:shd w:val="solid" w:color="CCE1EA" w:fill="FFFFFF"/>
            <w:tcMar>
              <w:left w:w="60" w:type="dxa"/>
              <w:right w:w="60" w:type="dxa"/>
            </w:tcMar>
            <w:vAlign w:val="center"/>
          </w:tcPr>
          <w:p>
            <w:pPr>
              <w:pStyle w:val="DMETW19550BIPGUAR"/>
              <w:jc w:val="right"/>
              <w:rPr>
                <w:rFonts w:ascii="Verdana" w:eastAsia="Verdana" w:hAnsi="Verdana" w:cs="Verdana"/>
                <w:b/>
                <w:noProof/>
                <w:color w:val="000000"/>
                <w:sz w:val="18"/>
              </w:rPr>
            </w:pPr>
            <w:r>
              <w:rPr>
                <w:rFonts w:ascii="Verdana" w:hAnsi="Verdana"/>
                <w:b/>
                <w:noProof/>
                <w:color w:val="000000"/>
                <w:sz w:val="18"/>
              </w:rPr>
              <w:t>62 285</w:t>
            </w:r>
          </w:p>
        </w:tc>
        <w:tc>
          <w:tcPr>
            <w:tcW w:w="1144" w:type="dxa"/>
            <w:tcBorders>
              <w:top w:val="nil"/>
              <w:left w:val="nil"/>
              <w:bottom w:val="nil"/>
              <w:right w:val="nil"/>
              <w:tl2br w:val="nil"/>
              <w:tr2bl w:val="nil"/>
            </w:tcBorders>
            <w:shd w:val="solid" w:color="CCE1EA" w:fill="FFFFFF"/>
            <w:tcMar>
              <w:left w:w="60" w:type="dxa"/>
              <w:right w:w="60" w:type="dxa"/>
            </w:tcMar>
            <w:vAlign w:val="center"/>
          </w:tcPr>
          <w:p>
            <w:pPr>
              <w:pStyle w:val="DMETW19550BIPGUAR"/>
              <w:jc w:val="right"/>
              <w:rPr>
                <w:rFonts w:ascii="Verdana" w:eastAsia="Verdana" w:hAnsi="Verdana" w:cs="Verdana"/>
                <w:b/>
                <w:noProof/>
                <w:color w:val="000000"/>
                <w:sz w:val="18"/>
              </w:rPr>
            </w:pPr>
            <w:r>
              <w:rPr>
                <w:rFonts w:ascii="Verdana" w:hAnsi="Verdana"/>
                <w:b/>
                <w:noProof/>
                <w:color w:val="000000"/>
                <w:sz w:val="18"/>
              </w:rPr>
              <w:t>56 799</w:t>
            </w:r>
          </w:p>
        </w:tc>
        <w:tc>
          <w:tcPr>
            <w:tcW w:w="1144" w:type="dxa"/>
            <w:tcBorders>
              <w:top w:val="nil"/>
              <w:left w:val="nil"/>
              <w:bottom w:val="nil"/>
              <w:right w:val="single" w:sz="4" w:space="0" w:color="016794"/>
              <w:tl2br w:val="nil"/>
              <w:tr2bl w:val="nil"/>
            </w:tcBorders>
            <w:shd w:val="solid" w:color="CCE1EA" w:fill="FFFFFF"/>
            <w:tcMar>
              <w:left w:w="60" w:type="dxa"/>
              <w:right w:w="60" w:type="dxa"/>
            </w:tcMar>
            <w:vAlign w:val="center"/>
          </w:tcPr>
          <w:p>
            <w:pPr>
              <w:pStyle w:val="DMETW19550BIPGUAR"/>
              <w:jc w:val="right"/>
              <w:rPr>
                <w:rFonts w:ascii="Verdana" w:eastAsia="Verdana" w:hAnsi="Verdana" w:cs="Verdana"/>
                <w:b/>
                <w:noProof/>
                <w:color w:val="000000"/>
                <w:sz w:val="18"/>
              </w:rPr>
            </w:pPr>
            <w:r>
              <w:rPr>
                <w:rFonts w:ascii="Verdana" w:hAnsi="Verdana"/>
                <w:b/>
                <w:noProof/>
                <w:color w:val="000000"/>
                <w:sz w:val="18"/>
              </w:rPr>
              <w:t>38 673</w:t>
            </w:r>
          </w:p>
        </w:tc>
        <w:tc>
          <w:tcPr>
            <w:tcW w:w="1144" w:type="dxa"/>
            <w:tcBorders>
              <w:top w:val="nil"/>
              <w:left w:val="single" w:sz="4" w:space="0" w:color="016794"/>
              <w:bottom w:val="nil"/>
              <w:right w:val="nil"/>
              <w:tl2br w:val="nil"/>
              <w:tr2bl w:val="nil"/>
            </w:tcBorders>
            <w:shd w:val="solid" w:color="CCE1EA" w:fill="FFFFFF"/>
            <w:tcMar>
              <w:left w:w="60" w:type="dxa"/>
              <w:right w:w="60" w:type="dxa"/>
            </w:tcMar>
            <w:vAlign w:val="center"/>
          </w:tcPr>
          <w:p>
            <w:pPr>
              <w:pStyle w:val="DMETW19550BIPGUAR"/>
              <w:jc w:val="right"/>
              <w:rPr>
                <w:rFonts w:ascii="Verdana" w:eastAsia="Verdana" w:hAnsi="Verdana" w:cs="Verdana"/>
                <w:b/>
                <w:noProof/>
                <w:color w:val="000000"/>
                <w:sz w:val="18"/>
              </w:rPr>
            </w:pPr>
            <w:r>
              <w:rPr>
                <w:rFonts w:ascii="Verdana" w:hAnsi="Verdana"/>
                <w:b/>
                <w:noProof/>
                <w:color w:val="000000"/>
                <w:sz w:val="18"/>
              </w:rPr>
              <w:t>63 775</w:t>
            </w:r>
          </w:p>
        </w:tc>
        <w:tc>
          <w:tcPr>
            <w:tcW w:w="1144" w:type="dxa"/>
            <w:tcBorders>
              <w:top w:val="nil"/>
              <w:left w:val="nil"/>
              <w:bottom w:val="nil"/>
              <w:right w:val="nil"/>
              <w:tl2br w:val="nil"/>
              <w:tr2bl w:val="nil"/>
            </w:tcBorders>
            <w:shd w:val="solid" w:color="CCE1EA" w:fill="FFFFFF"/>
            <w:tcMar>
              <w:left w:w="60" w:type="dxa"/>
              <w:right w:w="60" w:type="dxa"/>
            </w:tcMar>
            <w:vAlign w:val="center"/>
          </w:tcPr>
          <w:p>
            <w:pPr>
              <w:pStyle w:val="DMETW19550BIPGUAR"/>
              <w:jc w:val="right"/>
              <w:rPr>
                <w:rFonts w:ascii="Verdana" w:eastAsia="Verdana" w:hAnsi="Verdana" w:cs="Verdana"/>
                <w:b/>
                <w:noProof/>
                <w:color w:val="000000"/>
                <w:sz w:val="18"/>
              </w:rPr>
            </w:pPr>
            <w:r>
              <w:rPr>
                <w:rFonts w:ascii="Verdana" w:hAnsi="Verdana"/>
                <w:b/>
                <w:noProof/>
                <w:color w:val="000000"/>
                <w:sz w:val="18"/>
              </w:rPr>
              <w:t>53 410</w:t>
            </w:r>
          </w:p>
        </w:tc>
        <w:tc>
          <w:tcPr>
            <w:tcW w:w="1145" w:type="dxa"/>
            <w:tcBorders>
              <w:top w:val="nil"/>
              <w:left w:val="nil"/>
              <w:bottom w:val="nil"/>
              <w:right w:val="nil"/>
              <w:tl2br w:val="nil"/>
              <w:tr2bl w:val="nil"/>
            </w:tcBorders>
            <w:shd w:val="solid" w:color="CCE1EA" w:fill="FFFFFF"/>
            <w:tcMar>
              <w:left w:w="60" w:type="dxa"/>
              <w:right w:w="60" w:type="dxa"/>
            </w:tcMar>
            <w:vAlign w:val="center"/>
          </w:tcPr>
          <w:p>
            <w:pPr>
              <w:pStyle w:val="DMETW19550BIPGUAR"/>
              <w:jc w:val="right"/>
              <w:rPr>
                <w:rFonts w:ascii="Verdana" w:eastAsia="Verdana" w:hAnsi="Verdana" w:cs="Verdana"/>
                <w:b/>
                <w:noProof/>
                <w:color w:val="000000"/>
                <w:sz w:val="18"/>
              </w:rPr>
            </w:pPr>
            <w:r>
              <w:rPr>
                <w:rFonts w:ascii="Verdana" w:hAnsi="Verdana"/>
                <w:b/>
                <w:noProof/>
                <w:color w:val="000000"/>
                <w:sz w:val="18"/>
              </w:rPr>
              <w:t>37 648</w:t>
            </w:r>
          </w:p>
        </w:tc>
      </w:tr>
    </w:tbl>
    <w:p>
      <w:pPr>
        <w:pStyle w:val="DGTextstand-alone"/>
      </w:pPr>
      <w:r>
        <w:t>Таблицата по-горе показва експозицията на бюджета на ЕС спрямо евентуални бъдещи плащания, свързани с гаранции, предоставени на групата на ЕИБ или на други финансови институции. Изплатените суми са сумите, които вече са предоставени на крайните бенефициери, докато подписаните суми включват тези изплатени суми плюс вече подписаните с бенефициери или финансови посредници споразумения, средствата по които все още не са изплатени (18</w:t>
      </w:r>
      <w:r>
        <w:rPr>
          <w:lang w:val="en-GB"/>
        </w:rPr>
        <w:t> </w:t>
      </w:r>
      <w:r>
        <w:t>126 милиона евро). Таванът представлява общият размер на гаранцията, която бюджетът на ЕС, а следователно и държавите членки са поели задължението да финансират, тъй като, за да се оповести максималната експозиция на ЕС към 31 декември 2020 г., трябва да бъдат включени и операциите, които е разрешено да бъдат подписани, но все още не са подписани (5 486 милиона евро). Посочените суми са след приспадане на финансовите провизии или финансовите пасиви, признати за тези програми.</w:t>
      </w:r>
    </w:p>
    <w:p>
      <w:pPr>
        <w:pStyle w:val="HEADER5"/>
        <w:rPr>
          <w:noProof/>
        </w:rPr>
      </w:pPr>
      <w:r>
        <w:rPr>
          <w:noProof/>
        </w:rPr>
        <w:t>Гаранции по мандата на ЕИБ за външно кредитиране</w:t>
      </w:r>
    </w:p>
    <w:p>
      <w:pPr>
        <w:pStyle w:val="DGTextstand-alone"/>
      </w:pPr>
      <w:r>
        <w:t>Бюджетът на ЕС гарантира заемите, които ЕИБ е подписала и отпуснала от собствените си ресурси на трети държави. Към 31 декември 2020 г. размерът на непогасените заеми, които са покрити от гаранцията на ЕС, възлизаше на 20 050 милиона евро (2019 г.: 20 014 милиона евро). Гаранции от бюджета на ЕС:</w:t>
      </w:r>
    </w:p>
    <w:p>
      <w:pPr>
        <w:pStyle w:val="DGTextstand-alone"/>
        <w:numPr>
          <w:ilvl w:val="0"/>
          <w:numId w:val="29"/>
        </w:numPr>
        <w:pBdr>
          <w:top w:val="nil"/>
          <w:left w:val="nil"/>
          <w:bottom w:val="nil"/>
          <w:right w:val="nil"/>
          <w:between w:val="nil"/>
          <w:bar w:val="nil"/>
        </w:pBdr>
      </w:pPr>
      <w:r>
        <w:t>19 310 милиона евро (2019 г.: 19 074 милиона евро) чрез Гаранционния фонд за външни дейности (вж. бележка </w:t>
      </w:r>
      <w:r>
        <w:rPr>
          <w:b/>
        </w:rPr>
        <w:t>2.4.1</w:t>
      </w:r>
      <w:r>
        <w:t>) и</w:t>
      </w:r>
    </w:p>
    <w:p>
      <w:pPr>
        <w:pStyle w:val="DGTextstand-alone"/>
        <w:numPr>
          <w:ilvl w:val="0"/>
          <w:numId w:val="29"/>
        </w:numPr>
        <w:pBdr>
          <w:top w:val="nil"/>
          <w:left w:val="nil"/>
          <w:bottom w:val="nil"/>
          <w:right w:val="nil"/>
          <w:between w:val="nil"/>
          <w:bar w:val="nil"/>
        </w:pBdr>
      </w:pPr>
      <w:r>
        <w:t>740 милиона евро (2019 г.: 940 милиона евро) директно за заеми, отпуснати на държави членки преди присъединяването.</w:t>
      </w:r>
    </w:p>
    <w:p>
      <w:pPr>
        <w:pStyle w:val="DGTextstand-alone"/>
      </w:pPr>
      <w:r>
        <w:t>В допълнение към сумата от 20 050 милиона евро, оповестена по-горе като реално предоставена, ЕС гарантира и 113 милиона евро непогасени заеми, отпуснати на Сирия, за които са осигурени провизии, и 90 милиона евро, признати като задължение по финансова гаранция за мандата за кредитиране на частния сектор по Инициативата на ЕИБ за икономическа устойчивост (ИИУ) (вж.</w:t>
      </w:r>
      <w:r>
        <w:rPr>
          <w:lang w:val="en-GB"/>
        </w:rPr>
        <w:t> </w:t>
      </w:r>
      <w:r>
        <w:t>по-долу).</w:t>
      </w:r>
    </w:p>
    <w:p>
      <w:pPr>
        <w:pStyle w:val="DGTextstand-alone"/>
      </w:pPr>
      <w:r>
        <w:t>Гаранцията на ЕС по мандата за външно кредитиране, свързана със заемите, отпуснати от ЕИБ, е ограничена до 65 % от непогасените средства за споразуменията, подписани след 2007 г. (мандати за периодите 2007—2013 г. и 2014—2020 г.). За споразуменията отпреди 2007 г. гаранцията на ЕС е ограничена до процент от тавана на разрешените кредитни линии, като в повечето случаи този процент е 65 %, но може да бъде също 70 %, 75 % или 100 %. Когато таванът не е достигнат, гаранцията на ЕС покрива цялата сума.</w:t>
      </w:r>
    </w:p>
    <w:p>
      <w:pPr>
        <w:pStyle w:val="DGTextstand-alone"/>
      </w:pPr>
      <w:r>
        <w:t>Съгласно Решение (ЕС) 2018/412 се отпускат до 2,3 милиарда евро за новия мандат за кредитиране на частния сектор за проекти, насочени към дългосрочната икономическа устойчивост на бежанците и мигрантите, на приемащите общности и на общностите на транзитно преминаване, в рамките на ИИУ на ЕИБ. През 2019 г. ЕИБ предостави средствата по първите операции, свързани с мандата за кредитиране на частния сектор по ИИУ. Бюджетът на Съюза получава възнаграждение за поетия риск във връзка с гаранциите, предоставени за операциите по финансиране, извършвани от ЕИБ в рамките на мандата за кредитиране на частния сектор по ИИУ, поради което гаранцията за мандата за кредитиране на частния сектор по ИИУ се отчита като задължение по финансова гаранция (вж.</w:t>
      </w:r>
      <w:r>
        <w:rPr>
          <w:lang w:val="en-GB"/>
        </w:rPr>
        <w:t> </w:t>
      </w:r>
      <w:r>
        <w:t xml:space="preserve">бележка </w:t>
      </w:r>
      <w:r>
        <w:rPr>
          <w:b/>
        </w:rPr>
        <w:t>2.11.3</w:t>
      </w:r>
      <w:r>
        <w:t>).</w:t>
      </w:r>
    </w:p>
    <w:p>
      <w:pPr>
        <w:pStyle w:val="DGTextstand-alone"/>
      </w:pPr>
      <w:r>
        <w:t>Плащанията по гаранцията от ЕС се извършват чрез Гаранционния фонд за външни дейности. През 2020 г. от Гаранционния фонд за външни дейности са изплатени 52 милиона евро вследствие на задействане на гаранцията (2019 г.: 55 милиона евро).</w:t>
      </w:r>
    </w:p>
    <w:p>
      <w:pPr>
        <w:pStyle w:val="HEADER5"/>
        <w:keepNext/>
        <w:rPr>
          <w:noProof/>
        </w:rPr>
      </w:pPr>
      <w:r>
        <w:rPr>
          <w:noProof/>
        </w:rPr>
        <w:t>Гаранция на Европейския фонд за стратегически инвестиции (ЕФСИ)</w:t>
      </w:r>
    </w:p>
    <w:p>
      <w:pPr>
        <w:pStyle w:val="DGTextstand-alone"/>
      </w:pPr>
      <w:r>
        <w:t>ЕФСИ е инициатива, предприета с цел повишаване на капацитета за поемане на риск на групата на ЕИБ чрез предоставяне на възможност на ЕИБ да увеличи инвестициите си в ЕС. Целта на ЕФСИ е да подпомогне допълнителните инвестиции в ЕС и достъпа до финансиране за малките предприятия. Бюджетът на ЕС предоставя гаранция в размер до 26 милиарда евро („гаранция от ЕС по линия на ЕФСИ“) по споразумение между ЕС и ЕИБ, наричано по-нататък „Споразумението за ЕФСИ“, с цел ЕИБ да се предпази от потенциални загуби, които e възможно тя да понесе вследствие на своите операции по финансиране и инвестиране.</w:t>
      </w:r>
    </w:p>
    <w:p>
      <w:pPr>
        <w:pStyle w:val="DGTextstand-alone"/>
      </w:pPr>
      <w:r>
        <w:t>Операциите на ЕФСИ се осъществяват в рамките на два прозореца: инфраструктурния и иновационен прозорец (ИИП), прилаган от ЕИБ (гаранция от ЕС по линия на ЕФСИ в размер на 19 250 милиона евро), и прозореца за МСП (ПМСП), прилаган от ЕИФ (гаранция от ЕС по линия на ЕФСИ в размер на 6 750 милиона евро), като и двата прозореца имат дългов портфейл и капиталов портфейл. ЕИФ действа съгласно споразумение с ЕИБ въз основа на гаранция на ЕИБ, която гаранция на свой ред е гарантирана от гаранцията от ЕС по линия на ЕФСИ съгласно Споразумението за ЕФСИ.</w:t>
      </w:r>
    </w:p>
    <w:p>
      <w:pPr>
        <w:pStyle w:val="DGTextstand-alone"/>
      </w:pPr>
      <w:r>
        <w:t>ЕС и ЕИБ имат различни роли в рамките на ЕФСИ. ЕФСИ е създаден в рамките на ЕИБ, която финансира операциите (дългови и капиталови инвестиции). За тази цел тя взема назаем необходимите средства на капиталовите пазари. Групата на ЕИБ взема инвестиционните решения независимо и управлява операциите в съответствие със своите правила и процедури. ЕС предоставя гаранцията за тези операции и покрива загубите, понесени от ЕИБ, до тавана на тази гаранция.</w:t>
      </w:r>
    </w:p>
    <w:p>
      <w:pPr>
        <w:pStyle w:val="DGTextstand-alone"/>
      </w:pPr>
      <w:r>
        <w:t>За да се гарантира, че инвестициите, направени по линия на ЕФСИ, остават насочени към постигането на конкретната цел да бъде преодоляна пазарната неефективност и че отговорят на условията за защита чрез гаранцията от ЕС, бе въведена специална управленска структура, включваща Инвестиционен комитет от независими експерти, който проверява за всеки проект, предложен от ЕИБ в рамките на ИИП, дали отговаря на условията за покритие от гаранцията от ЕС, и Управителен съвет на ЕФСИ, извършващ надзор над програмата.</w:t>
      </w:r>
    </w:p>
    <w:p>
      <w:pPr>
        <w:pStyle w:val="DGTextstand-alone"/>
      </w:pPr>
      <w:r>
        <w:t>Тъй като критериите за контрол и счетоводните изисквания за консолидирането съгласно счетоводните правила на ЕС (и МССПС) не са изпълнени, съответните гарантирани активи не са отчетени в консолидираните годишни отчети на ЕС.</w:t>
      </w:r>
    </w:p>
    <w:p>
      <w:pPr>
        <w:pStyle w:val="DGTextstand-alone"/>
      </w:pPr>
      <w:r>
        <w:t xml:space="preserve">Гаранцията на ЕС, предоставена на групата на ЕИБ по линия на ЕФСИ, се отчита като задължение по финансова гаранция по отношение на дълговия портфейл на ИИП (вж. бележка </w:t>
      </w:r>
      <w:r>
        <w:rPr>
          <w:b/>
        </w:rPr>
        <w:t>2.11.3</w:t>
      </w:r>
      <w:r>
        <w:t xml:space="preserve">), като финансова провизия за дълговия портфейл на ПМСП (вж. бележка </w:t>
      </w:r>
      <w:r>
        <w:rPr>
          <w:b/>
        </w:rPr>
        <w:t>2.10</w:t>
      </w:r>
      <w:r>
        <w:t xml:space="preserve">) и като дериватив (финансов актив или финансов пасив по справедлива стойност чрез излишъка или дефицита) за двата капиталови портфейла (вж. бележка </w:t>
      </w:r>
      <w:r>
        <w:rPr>
          <w:b/>
        </w:rPr>
        <w:t>2.4.2</w:t>
      </w:r>
      <w:r>
        <w:t xml:space="preserve">). Освен в тази бележка е оповестен и условен пасив, свързан с дадената гаранция по ЕФСИ. Условният пасив във връзка с ЕФСИ включва операции по програмите COSME и „Хоризонт 2020“, Гаранционния механизъм за секторите на културата и творчеството и Програмата за заетост и социални иновации за частта, покрита от гаранцията от ЕС по линия на ЕФСИ по дълговия портфейл на ПМСП, и е посочен със стойността след приспадане на признатите за този портфейл финансови провизии в размер на 290 милиона евро, включени в позиция „Финансови провизии“ в бележка </w:t>
      </w:r>
      <w:r>
        <w:rPr>
          <w:b/>
        </w:rPr>
        <w:t>2.10</w:t>
      </w:r>
      <w:r>
        <w:t>.</w:t>
      </w:r>
    </w:p>
    <w:p>
      <w:pPr>
        <w:pStyle w:val="DGTextstand-alone"/>
      </w:pPr>
      <w:r>
        <w:t xml:space="preserve">Плащанията по гаранцията от ЕС, които не са покрити от приходи на ЕС, кредитирани по сетълмент сметката на ЕФСИ в ЕИБ, се извършват от Гаранционния фонд на ЕФСИ (вж. бележка </w:t>
      </w:r>
      <w:r>
        <w:rPr>
          <w:b/>
        </w:rPr>
        <w:t>2.4.1</w:t>
      </w:r>
      <w:r>
        <w:t>). През 2020 г. от Гаранционния фонд на ЕФСИ са извършвани плащания в размер на 1 милион евро вследствие на задействане на гаранцията (2019 г.: нула евро).</w:t>
      </w:r>
    </w:p>
    <w:p>
      <w:pPr>
        <w:pStyle w:val="HEADER5"/>
        <w:keepNext/>
        <w:rPr>
          <w:noProof/>
        </w:rPr>
      </w:pPr>
      <w:r>
        <w:rPr>
          <w:noProof/>
        </w:rPr>
        <w:t>Европейски фонд за устойчиво развитие (ЕФУР)</w:t>
      </w:r>
    </w:p>
    <w:p>
      <w:pPr>
        <w:pStyle w:val="DGTextstand-alone"/>
      </w:pPr>
      <w:r>
        <w:t xml:space="preserve">Европейският фонд за устойчиво развитие (ЕФУР), създаден с Регламента за ЕФУР, е инициатива за подкрепа на инвестициите в Африка и държавите, обхванати от европейската политика за съседство, като начин да се допринесе за устойчивото развитие и да се преодолеят специфичните социално-икономически първопричини за миграцията. Съгласно Регламента за ЕФУР ЕС следва да предостави гаранции в размер на 1,5 милиарда евро (увеличен допълнително с външно финансиране) на партньорите по изпълнението за техните операции по инвестиране и финансиране, за да се намалят инвестиционните им рискове. Гаранцията от ЕФУР е осигурена от Гаранционния фонд на ЕФУР — вж. бележка </w:t>
      </w:r>
      <w:r>
        <w:rPr>
          <w:b/>
        </w:rPr>
        <w:t>2.4.1</w:t>
      </w:r>
      <w:r>
        <w:t xml:space="preserve">. Към 31 декември 2020 г. бяха в сила петнадесет споразумения за гаранция от ЕФУР с общ лимит на гаранционното покритие от 1 370 милиона евро (2019 г.: 50 милиона евро), а операциите, подписани от партньорите и гарантирани от ЕС по тези споразумения, възлизаха на общо 438 милиона евро (2019 г.: нула евро). </w:t>
      </w:r>
    </w:p>
    <w:p>
      <w:pPr>
        <w:pStyle w:val="HEADER5"/>
        <w:keepNext/>
        <w:rPr>
          <w:noProof/>
        </w:rPr>
      </w:pPr>
      <w:r>
        <w:rPr>
          <w:noProof/>
        </w:rPr>
        <w:t>Задължения на Обединеното кралство, произтичащи от излизането му от ЕС</w:t>
      </w:r>
    </w:p>
    <w:p>
      <w:pPr>
        <w:pStyle w:val="DGTextstand-alone"/>
        <w:spacing w:after="0"/>
      </w:pPr>
      <w:r>
        <w:t>В съответствие с член 143 от Споразумението за оттеглянето Обединеното кралство носи отговорност по отношение на Съюза за своя дял от условните финансови задължения, свързани с ЕФСИ, ЕФУР и операциите на ЕИБ по мандата за външно кредитиране, одобрени към датата на оттеглянето — 31 януари 2020 г. Съгласно член 143 при задействане на гаранции за финансови операции, които са одобрени преди датата на оттеглянето, Обединеното кралство носи отговорност по отношение на Съюза за своя дял от плащанията, направени от Съюза по тези операции, освен ако това задължение може да бъде покрито от дела на Обединеното кралство от провизиите, държани в гаранционния фонд, когато е приложимо.</w:t>
      </w:r>
    </w:p>
    <w:p>
      <w:pPr>
        <w:pStyle w:val="DGTextstand-alone"/>
        <w:spacing w:after="0"/>
      </w:pPr>
      <w:r>
        <w:t>По отношение на заемите, предоставени по мандата на ЕИБ за външно кредитиране (МВК), към датата на оттеглянето стойността на бюджетната гаранция на ЕС за операциите, одобрени до тази дата, е била 33,7 милиарда евро. Към 31 декември 2020 г. тази стойност се е променила на 30,9</w:t>
      </w:r>
      <w:r>
        <w:rPr>
          <w:lang w:val="en-GB"/>
        </w:rPr>
        <w:t> </w:t>
      </w:r>
      <w:r>
        <w:t>милиарда евро. Следователно дялът на Обединеното кралство от това условно задължение към 31 декември 2020 г. възлиза на 3,8 милиарда евро. Както е посочено по-горе обаче, всяко неизпълнено задължение за плащане по тези заеми първо се покрива от Гаранционния фонд за външни дейности и от Обединеното кралство ще бъде поискано да предостави средства само ако предоставените от него провизии за този фонд, които към 31 декември 2020 г. са в размер на 347</w:t>
      </w:r>
      <w:r>
        <w:rPr>
          <w:lang w:val="en-GB"/>
        </w:rPr>
        <w:t> </w:t>
      </w:r>
      <w:r>
        <w:t>милиона евро, не са достатъчни.</w:t>
      </w:r>
    </w:p>
    <w:p>
      <w:pPr>
        <w:pStyle w:val="DGTextstand-alone"/>
        <w:spacing w:after="0"/>
      </w:pPr>
      <w:r>
        <w:t>Що се отнася до операциите на ЕФСИ, към датата на оттеглянето стойността на бюджетната гаранция на ЕС за одобрените до тази дата операции е била 23,5 милиарда евро. Към 31 декември 2020 г. тази стойност се е променила на 19,9 милиарда евро. Следователно дялът на Обединеното кралство от това условно задължение към 31 декември 2020 г. възлиза на 2,5 милиарда евро. Всички задействания на гаранции по ЕФСИ се покриват първо от Гаранционния фонд на ЕФСИ и от Обединеното кралство ще бъде поискано да предостави средства само ако предоставените от него провизии за този фонд, които към 31 декември 2020 г. са в размер на 1,1 милиарда евро, не са достатъчни.</w:t>
      </w:r>
    </w:p>
    <w:p>
      <w:pPr>
        <w:pStyle w:val="DGTextstand-alone"/>
      </w:pPr>
      <w:r>
        <w:t>Тъй като преди датата на оттеглянето партньорите по изпълнението не са одобрили нито една операция по гаранцията от ЕФУР, Обединеното кралство няма задължения във връзка с това.</w:t>
      </w:r>
    </w:p>
    <w:p>
      <w:pPr>
        <w:pStyle w:val="DGTextstand-alone"/>
      </w:pPr>
      <w:r>
        <w:t>Плащанията, извършени от държаните в гаранционните фондове провизии за операциите, одобрени през периода от датата на оттеглянето до 31 декември 2020 г., възлизат на: нула за ЕФСИ и нула за МВК. Освен това за операциите, одобрени през периода от датата на оттеглянето до 31 декември 2020 г., бяха извършени плащания в размер на 2,8 милиона евро във връзка със задействания на гаранции, такси и разходи, които бяха покрити от приходите на ЕС, държани в сетълмент сметката на ЕФСИ в ЕИБ (0,19 милиона евро), и от наличните суми по ПМСП (2,7 милиона евро) съгласно Споразумението за ЕФСИ. Съгласно СО тези плащания не намалиха дяла на Обединеното кралство от провизирането.</w:t>
      </w:r>
    </w:p>
    <w:p>
      <w:pPr>
        <w:pStyle w:val="DGTextstand-alone"/>
        <w:spacing w:before="0" w:after="0"/>
      </w:pPr>
      <w:r>
        <w:br w:type="page"/>
      </w:r>
    </w:p>
    <w:p>
      <w:pPr>
        <w:pStyle w:val="HEADER3NOTES"/>
        <w:spacing w:before="0"/>
        <w:rPr>
          <w:noProof/>
        </w:rPr>
      </w:pPr>
      <w:r>
        <w:rPr>
          <w:noProof/>
        </w:rPr>
        <w:t>Гаранции, свързани с финансова помощ (дейности по получаване и отпускане на заеми)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310"/>
        <w:gridCol w:w="1312"/>
        <w:gridCol w:w="1310"/>
        <w:gridCol w:w="1312"/>
        <w:gridCol w:w="1310"/>
        <w:gridCol w:w="1312"/>
      </w:tblGrid>
      <w:tr>
        <w:trPr>
          <w:trHeight w:hRule="exact" w:val="255"/>
        </w:trPr>
        <w:tc>
          <w:tcPr>
            <w:tcW w:w="1892" w:type="dxa"/>
            <w:tcBorders>
              <w:top w:val="nil"/>
              <w:left w:val="nil"/>
              <w:bottom w:val="nil"/>
              <w:right w:val="nil"/>
              <w:tl2br w:val="nil"/>
              <w:tr2bl w:val="nil"/>
            </w:tcBorders>
            <w:shd w:val="clear" w:color="auto" w:fill="auto"/>
            <w:tcMar>
              <w:left w:w="60" w:type="dxa"/>
              <w:right w:w="60" w:type="dxa"/>
            </w:tcMar>
            <w:vAlign w:val="bottom"/>
          </w:tcPr>
          <w:p>
            <w:pPr>
              <w:pStyle w:val="DMETW19549BIPGUARFA"/>
              <w:rPr>
                <w:rFonts w:ascii="Arial" w:eastAsia="Arial" w:hAnsi="Arial" w:cs="Arial"/>
                <w:noProof/>
                <w:color w:val="000000"/>
              </w:rPr>
            </w:pPr>
            <w:bookmarkStart w:id="183" w:name="DOC_TBL00077_1_1"/>
            <w:bookmarkEnd w:id="183"/>
          </w:p>
        </w:tc>
        <w:tc>
          <w:tcPr>
            <w:tcW w:w="1310" w:type="dxa"/>
            <w:tcBorders>
              <w:top w:val="nil"/>
              <w:left w:val="nil"/>
              <w:bottom w:val="nil"/>
              <w:right w:val="nil"/>
              <w:tl2br w:val="nil"/>
              <w:tr2bl w:val="nil"/>
            </w:tcBorders>
            <w:shd w:val="clear" w:color="auto" w:fill="auto"/>
            <w:tcMar>
              <w:left w:w="60" w:type="dxa"/>
              <w:right w:w="60" w:type="dxa"/>
            </w:tcMar>
            <w:vAlign w:val="bottom"/>
          </w:tcPr>
          <w:p>
            <w:pPr>
              <w:pStyle w:val="DMETW19549BIPGUARFA"/>
              <w:rPr>
                <w:rFonts w:ascii="Arial" w:eastAsia="Arial" w:hAnsi="Arial" w:cs="Arial"/>
                <w:noProof/>
                <w:color w:val="000000"/>
              </w:rPr>
            </w:pPr>
          </w:p>
        </w:tc>
        <w:tc>
          <w:tcPr>
            <w:tcW w:w="1312" w:type="dxa"/>
            <w:tcBorders>
              <w:top w:val="nil"/>
              <w:left w:val="nil"/>
              <w:bottom w:val="nil"/>
              <w:right w:val="nil"/>
              <w:tl2br w:val="nil"/>
              <w:tr2bl w:val="nil"/>
            </w:tcBorders>
            <w:shd w:val="clear" w:color="auto" w:fill="auto"/>
            <w:tcMar>
              <w:left w:w="60" w:type="dxa"/>
              <w:right w:w="60" w:type="dxa"/>
            </w:tcMar>
            <w:vAlign w:val="bottom"/>
          </w:tcPr>
          <w:p>
            <w:pPr>
              <w:pStyle w:val="DMETW19549BIPGUARFA"/>
              <w:rPr>
                <w:rFonts w:ascii="Arial" w:eastAsia="Arial" w:hAnsi="Arial" w:cs="Arial"/>
                <w:noProof/>
                <w:color w:val="000000"/>
              </w:rPr>
            </w:pPr>
          </w:p>
        </w:tc>
        <w:tc>
          <w:tcPr>
            <w:tcW w:w="1310" w:type="dxa"/>
            <w:tcBorders>
              <w:top w:val="nil"/>
              <w:left w:val="nil"/>
              <w:bottom w:val="nil"/>
              <w:right w:val="nil"/>
              <w:tl2br w:val="nil"/>
              <w:tr2bl w:val="nil"/>
            </w:tcBorders>
            <w:shd w:val="clear" w:color="auto" w:fill="auto"/>
            <w:tcMar>
              <w:left w:w="60" w:type="dxa"/>
              <w:right w:w="60" w:type="dxa"/>
            </w:tcMar>
            <w:vAlign w:val="bottom"/>
          </w:tcPr>
          <w:p>
            <w:pPr>
              <w:pStyle w:val="DMETW19549BIPGUARFA"/>
              <w:rPr>
                <w:rFonts w:ascii="Arial" w:eastAsia="Arial" w:hAnsi="Arial" w:cs="Arial"/>
                <w:noProof/>
                <w:color w:val="000000"/>
              </w:rPr>
            </w:pPr>
          </w:p>
        </w:tc>
        <w:tc>
          <w:tcPr>
            <w:tcW w:w="1312" w:type="dxa"/>
            <w:tcBorders>
              <w:top w:val="nil"/>
              <w:left w:val="nil"/>
              <w:bottom w:val="nil"/>
              <w:right w:val="nil"/>
              <w:tl2br w:val="nil"/>
              <w:tr2bl w:val="nil"/>
            </w:tcBorders>
            <w:shd w:val="clear" w:color="auto" w:fill="auto"/>
            <w:tcMar>
              <w:left w:w="60" w:type="dxa"/>
              <w:right w:w="60" w:type="dxa"/>
            </w:tcMar>
            <w:vAlign w:val="bottom"/>
          </w:tcPr>
          <w:p>
            <w:pPr>
              <w:pStyle w:val="DMETW19549BIPGUARFA"/>
              <w:rPr>
                <w:rFonts w:ascii="Arial" w:eastAsia="Arial" w:hAnsi="Arial" w:cs="Arial"/>
                <w:noProof/>
                <w:color w:val="000000"/>
              </w:rPr>
            </w:pPr>
          </w:p>
        </w:tc>
        <w:tc>
          <w:tcPr>
            <w:tcW w:w="1310" w:type="dxa"/>
            <w:tcBorders>
              <w:top w:val="nil"/>
              <w:left w:val="nil"/>
              <w:bottom w:val="nil"/>
              <w:right w:val="nil"/>
              <w:tl2br w:val="nil"/>
              <w:tr2bl w:val="nil"/>
            </w:tcBorders>
            <w:shd w:val="clear" w:color="auto" w:fill="auto"/>
            <w:tcMar>
              <w:left w:w="60" w:type="dxa"/>
              <w:right w:w="60" w:type="dxa"/>
            </w:tcMar>
            <w:vAlign w:val="bottom"/>
          </w:tcPr>
          <w:p>
            <w:pPr>
              <w:pStyle w:val="DMETW19549BIPGUARFA"/>
              <w:rPr>
                <w:rFonts w:ascii="Arial" w:eastAsia="Arial" w:hAnsi="Arial" w:cs="Arial"/>
                <w:noProof/>
                <w:color w:val="000000"/>
              </w:rPr>
            </w:pPr>
          </w:p>
        </w:tc>
        <w:tc>
          <w:tcPr>
            <w:tcW w:w="1312" w:type="dxa"/>
            <w:tcBorders>
              <w:top w:val="nil"/>
              <w:left w:val="nil"/>
              <w:bottom w:val="nil"/>
              <w:right w:val="nil"/>
              <w:tl2br w:val="nil"/>
              <w:tr2bl w:val="nil"/>
            </w:tcBorders>
            <w:shd w:val="clear" w:color="auto" w:fill="auto"/>
            <w:tcMar>
              <w:left w:w="60" w:type="dxa"/>
              <w:right w:w="60" w:type="dxa"/>
            </w:tcMar>
            <w:vAlign w:val="bottom"/>
          </w:tcPr>
          <w:p>
            <w:pPr>
              <w:pStyle w:val="DMETW19549BIPGUARF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1892" w:type="dxa"/>
            <w:tcBorders>
              <w:top w:val="nil"/>
              <w:left w:val="nil"/>
              <w:bottom w:val="nil"/>
              <w:right w:val="nil"/>
              <w:tl2br w:val="nil"/>
              <w:tr2bl w:val="nil"/>
            </w:tcBorders>
            <w:shd w:val="solid" w:color="016794" w:fill="FFFFFF"/>
            <w:tcMar>
              <w:left w:w="60" w:type="dxa"/>
              <w:right w:w="60" w:type="dxa"/>
            </w:tcMar>
            <w:vAlign w:val="center"/>
          </w:tcPr>
          <w:p>
            <w:pPr>
              <w:pStyle w:val="DMETW19549BIPGUARFA"/>
              <w:rPr>
                <w:rFonts w:ascii="Verdana" w:eastAsia="Verdana" w:hAnsi="Verdana" w:cs="Verdana"/>
                <w:noProof/>
                <w:color w:val="FFFFFF"/>
              </w:rPr>
            </w:pPr>
          </w:p>
        </w:tc>
        <w:tc>
          <w:tcPr>
            <w:tcW w:w="1310"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549BIPGUARFA"/>
              <w:jc w:val="center"/>
              <w:rPr>
                <w:rFonts w:ascii="Verdana" w:eastAsia="Verdana" w:hAnsi="Verdana" w:cs="Verdana"/>
                <w:noProof/>
                <w:color w:val="FFFFFF"/>
              </w:rPr>
            </w:pPr>
            <w:r>
              <w:rPr>
                <w:rFonts w:ascii="Verdana" w:hAnsi="Verdana"/>
                <w:noProof/>
                <w:color w:val="FFFFFF"/>
              </w:rPr>
              <w:t>31.12.2020 г.</w:t>
            </w:r>
          </w:p>
        </w:tc>
        <w:tc>
          <w:tcPr>
            <w:tcW w:w="1312"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549BIPGUARFA"/>
              <w:jc w:val="center"/>
              <w:rPr>
                <w:rFonts w:ascii="Verdana" w:eastAsia="Verdana" w:hAnsi="Verdana" w:cs="Verdana"/>
                <w:noProof/>
                <w:color w:val="FFFFFF"/>
              </w:rPr>
            </w:pPr>
            <w:r>
              <w:rPr>
                <w:rFonts w:ascii="Verdana" w:hAnsi="Verdana"/>
                <w:noProof/>
                <w:color w:val="FFFFFF"/>
              </w:rPr>
              <w:t>31.12.2019 г.</w:t>
            </w:r>
          </w:p>
        </w:tc>
      </w:tr>
      <w:tr>
        <w:trPr>
          <w:trHeight w:hRule="exact" w:val="255"/>
        </w:trPr>
        <w:tc>
          <w:tcPr>
            <w:tcW w:w="1892" w:type="dxa"/>
            <w:tcBorders>
              <w:top w:val="nil"/>
              <w:left w:val="nil"/>
              <w:bottom w:val="nil"/>
              <w:right w:val="nil"/>
              <w:tl2br w:val="nil"/>
              <w:tr2bl w:val="nil"/>
            </w:tcBorders>
            <w:shd w:val="solid" w:color="016794" w:fill="FFFFFF"/>
            <w:tcMar>
              <w:left w:w="60" w:type="dxa"/>
              <w:right w:w="60" w:type="dxa"/>
            </w:tcMar>
            <w:vAlign w:val="center"/>
          </w:tcPr>
          <w:p>
            <w:pPr>
              <w:pStyle w:val="DMETW19549BIPGUARFA"/>
              <w:rPr>
                <w:rFonts w:ascii="Verdana" w:eastAsia="Verdana" w:hAnsi="Verdana" w:cs="Verdana"/>
                <w:noProof/>
                <w:color w:val="FFFFFF"/>
              </w:rPr>
            </w:pPr>
          </w:p>
        </w:tc>
        <w:tc>
          <w:tcPr>
            <w:tcW w:w="1310" w:type="dxa"/>
            <w:tcBorders>
              <w:top w:val="nil"/>
              <w:left w:val="nil"/>
              <w:bottom w:val="nil"/>
              <w:right w:val="nil"/>
              <w:tl2br w:val="nil"/>
              <w:tr2bl w:val="nil"/>
            </w:tcBorders>
            <w:shd w:val="solid" w:color="016794" w:fill="FFFFFF"/>
            <w:tcMar>
              <w:left w:w="60" w:type="dxa"/>
              <w:right w:w="60" w:type="dxa"/>
            </w:tcMar>
            <w:vAlign w:val="center"/>
          </w:tcPr>
          <w:p>
            <w:pPr>
              <w:pStyle w:val="DMETW19549BIPGUARFA"/>
              <w:jc w:val="right"/>
              <w:rPr>
                <w:rFonts w:ascii="Verdana" w:eastAsia="Verdana" w:hAnsi="Verdana" w:cs="Verdana"/>
                <w:noProof/>
                <w:color w:val="FFFFFF"/>
              </w:rPr>
            </w:pPr>
            <w:r>
              <w:rPr>
                <w:rFonts w:ascii="Verdana" w:hAnsi="Verdana"/>
                <w:noProof/>
                <w:color w:val="FFFFFF"/>
              </w:rPr>
              <w:t>Усвоени</w:t>
            </w:r>
          </w:p>
        </w:tc>
        <w:tc>
          <w:tcPr>
            <w:tcW w:w="1312" w:type="dxa"/>
            <w:tcBorders>
              <w:top w:val="nil"/>
              <w:left w:val="nil"/>
              <w:bottom w:val="nil"/>
              <w:right w:val="nil"/>
              <w:tl2br w:val="nil"/>
              <w:tr2bl w:val="nil"/>
            </w:tcBorders>
            <w:shd w:val="solid" w:color="016794" w:fill="FFFFFF"/>
            <w:tcMar>
              <w:left w:w="60" w:type="dxa"/>
              <w:right w:w="60" w:type="dxa"/>
            </w:tcMar>
            <w:vAlign w:val="center"/>
          </w:tcPr>
          <w:p>
            <w:pPr>
              <w:pStyle w:val="DMETW19549BIPGUARFA"/>
              <w:jc w:val="right"/>
              <w:rPr>
                <w:rFonts w:ascii="Verdana" w:eastAsia="Verdana" w:hAnsi="Verdana" w:cs="Verdana"/>
                <w:noProof/>
                <w:color w:val="FFFFFF"/>
              </w:rPr>
            </w:pPr>
            <w:r>
              <w:rPr>
                <w:rFonts w:ascii="Verdana" w:hAnsi="Verdana"/>
                <w:noProof/>
                <w:color w:val="FFFFFF"/>
              </w:rPr>
              <w:t>Неусвоени</w:t>
            </w:r>
          </w:p>
        </w:tc>
        <w:tc>
          <w:tcPr>
            <w:tcW w:w="1310" w:type="dxa"/>
            <w:tcBorders>
              <w:top w:val="nil"/>
              <w:left w:val="nil"/>
              <w:bottom w:val="nil"/>
              <w:right w:val="nil"/>
              <w:tl2br w:val="nil"/>
              <w:tr2bl w:val="nil"/>
            </w:tcBorders>
            <w:shd w:val="solid" w:color="016794" w:fill="FFFFFF"/>
            <w:tcMar>
              <w:left w:w="60" w:type="dxa"/>
              <w:right w:w="60" w:type="dxa"/>
            </w:tcMar>
            <w:vAlign w:val="center"/>
          </w:tcPr>
          <w:p>
            <w:pPr>
              <w:pStyle w:val="DMETW19549BIPGUARFA"/>
              <w:jc w:val="right"/>
              <w:rPr>
                <w:rFonts w:ascii="Verdana" w:eastAsia="Verdana" w:hAnsi="Verdana" w:cs="Verdana"/>
                <w:noProof/>
                <w:color w:val="FFFFFF"/>
              </w:rPr>
            </w:pPr>
            <w:r>
              <w:rPr>
                <w:rFonts w:ascii="Verdana" w:hAnsi="Verdana"/>
                <w:noProof/>
                <w:color w:val="FFFFFF"/>
              </w:rPr>
              <w:t>Общо</w:t>
            </w:r>
          </w:p>
        </w:tc>
        <w:tc>
          <w:tcPr>
            <w:tcW w:w="1312" w:type="dxa"/>
            <w:tcBorders>
              <w:top w:val="nil"/>
              <w:left w:val="nil"/>
              <w:bottom w:val="nil"/>
              <w:right w:val="nil"/>
              <w:tl2br w:val="nil"/>
              <w:tr2bl w:val="nil"/>
            </w:tcBorders>
            <w:shd w:val="solid" w:color="016794" w:fill="FFFFFF"/>
            <w:tcMar>
              <w:left w:w="60" w:type="dxa"/>
              <w:right w:w="60" w:type="dxa"/>
            </w:tcMar>
            <w:vAlign w:val="center"/>
          </w:tcPr>
          <w:p>
            <w:pPr>
              <w:pStyle w:val="DMETW19549BIPGUARFA"/>
              <w:jc w:val="right"/>
              <w:rPr>
                <w:rFonts w:ascii="Verdana" w:eastAsia="Verdana" w:hAnsi="Verdana" w:cs="Verdana"/>
                <w:noProof/>
                <w:color w:val="FFFFFF"/>
              </w:rPr>
            </w:pPr>
            <w:r>
              <w:rPr>
                <w:rFonts w:ascii="Verdana" w:hAnsi="Verdana"/>
                <w:noProof/>
                <w:color w:val="FFFFFF"/>
              </w:rPr>
              <w:t>Усвоени</w:t>
            </w:r>
          </w:p>
        </w:tc>
        <w:tc>
          <w:tcPr>
            <w:tcW w:w="1310" w:type="dxa"/>
            <w:tcBorders>
              <w:top w:val="nil"/>
              <w:left w:val="nil"/>
              <w:bottom w:val="nil"/>
              <w:right w:val="nil"/>
              <w:tl2br w:val="nil"/>
              <w:tr2bl w:val="nil"/>
            </w:tcBorders>
            <w:shd w:val="solid" w:color="016794" w:fill="FFFFFF"/>
            <w:tcMar>
              <w:left w:w="60" w:type="dxa"/>
              <w:right w:w="60" w:type="dxa"/>
            </w:tcMar>
            <w:vAlign w:val="center"/>
          </w:tcPr>
          <w:p>
            <w:pPr>
              <w:pStyle w:val="DMETW19549BIPGUARFA"/>
              <w:jc w:val="right"/>
              <w:rPr>
                <w:rFonts w:ascii="Verdana" w:eastAsia="Verdana" w:hAnsi="Verdana" w:cs="Verdana"/>
                <w:noProof/>
                <w:color w:val="FFFFFF"/>
              </w:rPr>
            </w:pPr>
            <w:r>
              <w:rPr>
                <w:rFonts w:ascii="Verdana" w:hAnsi="Verdana"/>
                <w:noProof/>
                <w:color w:val="FFFFFF"/>
              </w:rPr>
              <w:t>Неусвоени</w:t>
            </w:r>
          </w:p>
        </w:tc>
        <w:tc>
          <w:tcPr>
            <w:tcW w:w="1312" w:type="dxa"/>
            <w:tcBorders>
              <w:top w:val="nil"/>
              <w:left w:val="nil"/>
              <w:bottom w:val="nil"/>
              <w:right w:val="nil"/>
              <w:tl2br w:val="nil"/>
              <w:tr2bl w:val="nil"/>
            </w:tcBorders>
            <w:shd w:val="solid" w:color="016794" w:fill="FFFFFF"/>
            <w:tcMar>
              <w:left w:w="60" w:type="dxa"/>
              <w:right w:w="60" w:type="dxa"/>
            </w:tcMar>
            <w:vAlign w:val="center"/>
          </w:tcPr>
          <w:p>
            <w:pPr>
              <w:pStyle w:val="DMETW19549BIPGUARFA"/>
              <w:jc w:val="right"/>
              <w:rPr>
                <w:rFonts w:ascii="Verdana" w:eastAsia="Verdana" w:hAnsi="Verdana" w:cs="Verdana"/>
                <w:noProof/>
                <w:color w:val="FFFFFF"/>
              </w:rPr>
            </w:pPr>
            <w:r>
              <w:rPr>
                <w:rFonts w:ascii="Verdana" w:hAnsi="Verdana"/>
                <w:noProof/>
                <w:color w:val="FFFFFF"/>
              </w:rPr>
              <w:t>Общо</w:t>
            </w:r>
          </w:p>
        </w:tc>
      </w:tr>
      <w:tr>
        <w:trPr>
          <w:trHeight w:hRule="exact" w:val="255"/>
        </w:trPr>
        <w:tc>
          <w:tcPr>
            <w:tcW w:w="1892" w:type="dxa"/>
            <w:tcBorders>
              <w:top w:val="nil"/>
              <w:left w:val="nil"/>
              <w:bottom w:val="nil"/>
              <w:right w:val="nil"/>
              <w:tl2br w:val="nil"/>
              <w:tr2bl w:val="nil"/>
            </w:tcBorders>
            <w:shd w:val="clear" w:color="auto" w:fill="auto"/>
            <w:tcMar>
              <w:left w:w="60" w:type="dxa"/>
              <w:right w:w="60" w:type="dxa"/>
            </w:tcMar>
            <w:vAlign w:val="center"/>
          </w:tcPr>
          <w:p>
            <w:pPr>
              <w:pStyle w:val="DMETW19549BIPGUARFA"/>
              <w:rPr>
                <w:rFonts w:ascii="Verdana" w:eastAsia="Verdana" w:hAnsi="Verdana" w:cs="Verdana"/>
                <w:i/>
                <w:noProof/>
                <w:color w:val="000000"/>
                <w:sz w:val="18"/>
              </w:rPr>
            </w:pPr>
            <w:r>
              <w:rPr>
                <w:rFonts w:ascii="Verdana" w:hAnsi="Verdana"/>
                <w:i/>
                <w:noProof/>
                <w:color w:val="000000"/>
                <w:sz w:val="18"/>
              </w:rPr>
              <w:t>ЕМФС</w:t>
            </w:r>
          </w:p>
        </w:tc>
        <w:tc>
          <w:tcPr>
            <w:tcW w:w="1310"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47 396</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w:t>
            </w:r>
          </w:p>
        </w:tc>
        <w:tc>
          <w:tcPr>
            <w:tcW w:w="1310"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47 396</w:t>
            </w:r>
          </w:p>
        </w:tc>
        <w:tc>
          <w:tcPr>
            <w:tcW w:w="1312"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47 394</w:t>
            </w:r>
          </w:p>
        </w:tc>
        <w:tc>
          <w:tcPr>
            <w:tcW w:w="1310"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47 394</w:t>
            </w:r>
          </w:p>
        </w:tc>
      </w:tr>
      <w:tr>
        <w:trPr>
          <w:trHeight w:hRule="exact" w:val="255"/>
        </w:trPr>
        <w:tc>
          <w:tcPr>
            <w:tcW w:w="1892" w:type="dxa"/>
            <w:tcBorders>
              <w:top w:val="nil"/>
              <w:left w:val="nil"/>
              <w:bottom w:val="nil"/>
              <w:right w:val="nil"/>
              <w:tl2br w:val="nil"/>
              <w:tr2bl w:val="nil"/>
            </w:tcBorders>
            <w:shd w:val="clear" w:color="auto" w:fill="auto"/>
            <w:tcMar>
              <w:left w:w="60" w:type="dxa"/>
              <w:right w:w="60" w:type="dxa"/>
            </w:tcMar>
            <w:vAlign w:val="center"/>
          </w:tcPr>
          <w:p>
            <w:pPr>
              <w:pStyle w:val="DMETW19549BIPGUARFA"/>
              <w:rPr>
                <w:rFonts w:ascii="Verdana" w:eastAsia="Verdana" w:hAnsi="Verdana" w:cs="Verdana"/>
                <w:i/>
                <w:noProof/>
                <w:color w:val="000000"/>
                <w:sz w:val="18"/>
              </w:rPr>
            </w:pPr>
            <w:r>
              <w:rPr>
                <w:rFonts w:ascii="Verdana" w:hAnsi="Verdana"/>
                <w:i/>
                <w:noProof/>
                <w:color w:val="000000"/>
                <w:sz w:val="18"/>
              </w:rPr>
              <w:t>SURE</w:t>
            </w:r>
          </w:p>
        </w:tc>
        <w:tc>
          <w:tcPr>
            <w:tcW w:w="1310"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39 503</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46 363</w:t>
            </w:r>
          </w:p>
        </w:tc>
        <w:tc>
          <w:tcPr>
            <w:tcW w:w="1310"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85 867</w:t>
            </w:r>
          </w:p>
        </w:tc>
        <w:tc>
          <w:tcPr>
            <w:tcW w:w="1312"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w:t>
            </w:r>
          </w:p>
        </w:tc>
        <w:tc>
          <w:tcPr>
            <w:tcW w:w="1310"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55"/>
        </w:trPr>
        <w:tc>
          <w:tcPr>
            <w:tcW w:w="1892" w:type="dxa"/>
            <w:tcBorders>
              <w:top w:val="nil"/>
              <w:left w:val="nil"/>
              <w:bottom w:val="nil"/>
              <w:right w:val="nil"/>
              <w:tl2br w:val="nil"/>
              <w:tr2bl w:val="nil"/>
            </w:tcBorders>
            <w:shd w:val="clear" w:color="auto" w:fill="auto"/>
            <w:tcMar>
              <w:left w:w="60" w:type="dxa"/>
              <w:right w:w="60" w:type="dxa"/>
            </w:tcMar>
            <w:vAlign w:val="center"/>
          </w:tcPr>
          <w:p>
            <w:pPr>
              <w:pStyle w:val="DMETW19549BIPGUARFA"/>
              <w:rPr>
                <w:rFonts w:ascii="Verdana" w:eastAsia="Verdana" w:hAnsi="Verdana" w:cs="Verdana"/>
                <w:i/>
                <w:noProof/>
                <w:color w:val="000000"/>
                <w:sz w:val="18"/>
              </w:rPr>
            </w:pPr>
            <w:r>
              <w:rPr>
                <w:rFonts w:ascii="Verdana" w:hAnsi="Verdana"/>
                <w:i/>
                <w:noProof/>
                <w:color w:val="000000"/>
                <w:sz w:val="18"/>
              </w:rPr>
              <w:t>ПБ</w:t>
            </w:r>
          </w:p>
        </w:tc>
        <w:tc>
          <w:tcPr>
            <w:tcW w:w="1310"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 xml:space="preserve"> 201</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w:t>
            </w:r>
          </w:p>
        </w:tc>
        <w:tc>
          <w:tcPr>
            <w:tcW w:w="1310"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 xml:space="preserve"> 201</w:t>
            </w:r>
          </w:p>
        </w:tc>
        <w:tc>
          <w:tcPr>
            <w:tcW w:w="1312"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 xml:space="preserve"> 201</w:t>
            </w:r>
          </w:p>
        </w:tc>
        <w:tc>
          <w:tcPr>
            <w:tcW w:w="1310"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 xml:space="preserve"> 201</w:t>
            </w:r>
          </w:p>
        </w:tc>
      </w:tr>
      <w:tr>
        <w:trPr>
          <w:trHeight w:hRule="exact" w:val="255"/>
        </w:trPr>
        <w:tc>
          <w:tcPr>
            <w:tcW w:w="1892" w:type="dxa"/>
            <w:tcBorders>
              <w:top w:val="nil"/>
              <w:left w:val="nil"/>
              <w:bottom w:val="nil"/>
              <w:right w:val="nil"/>
              <w:tl2br w:val="nil"/>
              <w:tr2bl w:val="nil"/>
            </w:tcBorders>
            <w:shd w:val="clear" w:color="auto" w:fill="auto"/>
            <w:tcMar>
              <w:left w:w="60" w:type="dxa"/>
              <w:right w:w="60" w:type="dxa"/>
            </w:tcMar>
            <w:vAlign w:val="center"/>
          </w:tcPr>
          <w:p>
            <w:pPr>
              <w:pStyle w:val="DMETW19549BIPGUARFA"/>
              <w:rPr>
                <w:rFonts w:ascii="Verdana" w:eastAsia="Verdana" w:hAnsi="Verdana" w:cs="Verdana"/>
                <w:i/>
                <w:noProof/>
                <w:color w:val="000000"/>
                <w:sz w:val="18"/>
              </w:rPr>
            </w:pPr>
            <w:r>
              <w:rPr>
                <w:rFonts w:ascii="Verdana" w:hAnsi="Verdana"/>
                <w:i/>
                <w:noProof/>
                <w:color w:val="000000"/>
                <w:sz w:val="18"/>
              </w:rPr>
              <w:t>МФП</w:t>
            </w:r>
          </w:p>
        </w:tc>
        <w:tc>
          <w:tcPr>
            <w:tcW w:w="1310"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5 813</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1 335</w:t>
            </w:r>
          </w:p>
        </w:tc>
        <w:tc>
          <w:tcPr>
            <w:tcW w:w="1310"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7 148</w:t>
            </w:r>
          </w:p>
        </w:tc>
        <w:tc>
          <w:tcPr>
            <w:tcW w:w="1312"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4 754</w:t>
            </w:r>
          </w:p>
        </w:tc>
        <w:tc>
          <w:tcPr>
            <w:tcW w:w="1310"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 xml:space="preserve"> 560</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5 314</w:t>
            </w:r>
          </w:p>
        </w:tc>
      </w:tr>
      <w:tr>
        <w:trPr>
          <w:trHeight w:hRule="exact" w:val="255"/>
        </w:trPr>
        <w:tc>
          <w:tcPr>
            <w:tcW w:w="1892" w:type="dxa"/>
            <w:tcBorders>
              <w:top w:val="nil"/>
              <w:left w:val="nil"/>
              <w:bottom w:val="nil"/>
              <w:right w:val="nil"/>
              <w:tl2br w:val="nil"/>
              <w:tr2bl w:val="nil"/>
            </w:tcBorders>
            <w:shd w:val="clear" w:color="auto" w:fill="auto"/>
            <w:tcMar>
              <w:left w:w="60" w:type="dxa"/>
              <w:right w:w="60" w:type="dxa"/>
            </w:tcMar>
            <w:vAlign w:val="center"/>
          </w:tcPr>
          <w:p>
            <w:pPr>
              <w:pStyle w:val="DMETW19549BIPGUARFA"/>
              <w:rPr>
                <w:rFonts w:ascii="Verdana" w:eastAsia="Verdana" w:hAnsi="Verdana" w:cs="Verdana"/>
                <w:i/>
                <w:noProof/>
                <w:color w:val="000000"/>
                <w:sz w:val="18"/>
              </w:rPr>
            </w:pPr>
            <w:r>
              <w:rPr>
                <w:rFonts w:ascii="Verdana" w:hAnsi="Verdana"/>
                <w:i/>
                <w:noProof/>
                <w:color w:val="000000"/>
                <w:sz w:val="18"/>
              </w:rPr>
              <w:t>Евратом</w:t>
            </w:r>
          </w:p>
        </w:tc>
        <w:tc>
          <w:tcPr>
            <w:tcW w:w="1310"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 xml:space="preserve"> 279</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 xml:space="preserve"> 100</w:t>
            </w:r>
          </w:p>
        </w:tc>
        <w:tc>
          <w:tcPr>
            <w:tcW w:w="1310"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 xml:space="preserve"> 379</w:t>
            </w:r>
          </w:p>
        </w:tc>
        <w:tc>
          <w:tcPr>
            <w:tcW w:w="1312" w:type="dxa"/>
            <w:tcBorders>
              <w:top w:val="nil"/>
              <w:left w:val="single" w:sz="4" w:space="0" w:color="016794"/>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 xml:space="preserve"> 214</w:t>
            </w:r>
          </w:p>
        </w:tc>
        <w:tc>
          <w:tcPr>
            <w:tcW w:w="1310"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 xml:space="preserve"> 200</w:t>
            </w:r>
          </w:p>
        </w:tc>
        <w:tc>
          <w:tcPr>
            <w:tcW w:w="1312" w:type="dxa"/>
            <w:tcBorders>
              <w:top w:val="nil"/>
              <w:left w:val="nil"/>
              <w:bottom w:val="nil"/>
              <w:right w:val="nil"/>
              <w:tl2br w:val="nil"/>
              <w:tr2bl w:val="nil"/>
            </w:tcBorders>
            <w:shd w:val="clear" w:color="auto" w:fill="auto"/>
            <w:tcMar>
              <w:left w:w="60" w:type="dxa"/>
              <w:right w:w="60" w:type="dxa"/>
            </w:tcMar>
            <w:vAlign w:val="center"/>
          </w:tcPr>
          <w:p>
            <w:pPr>
              <w:pStyle w:val="DMETW19549BIPGUARFA"/>
              <w:jc w:val="right"/>
              <w:rPr>
                <w:rFonts w:ascii="Verdana" w:eastAsia="Verdana" w:hAnsi="Verdana" w:cs="Verdana"/>
                <w:i/>
                <w:noProof/>
                <w:color w:val="000000"/>
                <w:sz w:val="18"/>
              </w:rPr>
            </w:pPr>
            <w:r>
              <w:rPr>
                <w:rFonts w:ascii="Verdana" w:hAnsi="Verdana"/>
                <w:i/>
                <w:noProof/>
                <w:color w:val="000000"/>
                <w:sz w:val="18"/>
              </w:rPr>
              <w:t xml:space="preserve"> 414</w:t>
            </w:r>
          </w:p>
        </w:tc>
      </w:tr>
      <w:tr>
        <w:trPr>
          <w:trHeight w:hRule="exact" w:val="255"/>
        </w:trPr>
        <w:tc>
          <w:tcPr>
            <w:tcW w:w="1892" w:type="dxa"/>
            <w:tcBorders>
              <w:top w:val="nil"/>
              <w:left w:val="nil"/>
              <w:bottom w:val="nil"/>
              <w:right w:val="nil"/>
              <w:tl2br w:val="nil"/>
              <w:tr2bl w:val="nil"/>
            </w:tcBorders>
            <w:shd w:val="solid" w:color="CCE1EA" w:fill="FFFFFF"/>
            <w:tcMar>
              <w:left w:w="60" w:type="dxa"/>
              <w:right w:w="60" w:type="dxa"/>
            </w:tcMar>
            <w:vAlign w:val="center"/>
          </w:tcPr>
          <w:p>
            <w:pPr>
              <w:pStyle w:val="DMETW19549BIPGUARFA"/>
              <w:rPr>
                <w:rFonts w:ascii="Verdana" w:eastAsia="Verdana" w:hAnsi="Verdana" w:cs="Verdana"/>
                <w:b/>
                <w:noProof/>
                <w:color w:val="000000"/>
                <w:sz w:val="18"/>
              </w:rPr>
            </w:pPr>
            <w:r>
              <w:rPr>
                <w:rFonts w:ascii="Verdana" w:hAnsi="Verdana"/>
                <w:b/>
                <w:noProof/>
                <w:color w:val="000000"/>
                <w:sz w:val="18"/>
              </w:rPr>
              <w:t>Общо</w:t>
            </w:r>
          </w:p>
        </w:tc>
        <w:tc>
          <w:tcPr>
            <w:tcW w:w="1310" w:type="dxa"/>
            <w:tcBorders>
              <w:top w:val="nil"/>
              <w:left w:val="nil"/>
              <w:bottom w:val="nil"/>
              <w:right w:val="nil"/>
              <w:tl2br w:val="nil"/>
              <w:tr2bl w:val="nil"/>
            </w:tcBorders>
            <w:shd w:val="solid" w:color="CCE1EA" w:fill="FFFFFF"/>
            <w:tcMar>
              <w:left w:w="60" w:type="dxa"/>
              <w:right w:w="60" w:type="dxa"/>
            </w:tcMar>
            <w:vAlign w:val="center"/>
          </w:tcPr>
          <w:p>
            <w:pPr>
              <w:pStyle w:val="DMETW19549BIPGUARFA"/>
              <w:jc w:val="right"/>
              <w:rPr>
                <w:rFonts w:ascii="Verdana" w:eastAsia="Verdana" w:hAnsi="Verdana" w:cs="Verdana"/>
                <w:b/>
                <w:noProof/>
                <w:color w:val="000000"/>
                <w:sz w:val="18"/>
              </w:rPr>
            </w:pPr>
            <w:r>
              <w:rPr>
                <w:rFonts w:ascii="Verdana" w:hAnsi="Verdana"/>
                <w:b/>
                <w:noProof/>
                <w:color w:val="000000"/>
                <w:sz w:val="18"/>
              </w:rPr>
              <w:t>93 193</w:t>
            </w:r>
          </w:p>
        </w:tc>
        <w:tc>
          <w:tcPr>
            <w:tcW w:w="1312" w:type="dxa"/>
            <w:tcBorders>
              <w:top w:val="nil"/>
              <w:left w:val="nil"/>
              <w:bottom w:val="nil"/>
              <w:right w:val="nil"/>
              <w:tl2br w:val="nil"/>
              <w:tr2bl w:val="nil"/>
            </w:tcBorders>
            <w:shd w:val="solid" w:color="CCE1EA" w:fill="FFFFFF"/>
            <w:tcMar>
              <w:left w:w="60" w:type="dxa"/>
              <w:right w:w="60" w:type="dxa"/>
            </w:tcMar>
            <w:vAlign w:val="center"/>
          </w:tcPr>
          <w:p>
            <w:pPr>
              <w:pStyle w:val="DMETW19549BIPGUARFA"/>
              <w:jc w:val="right"/>
              <w:rPr>
                <w:rFonts w:ascii="Verdana" w:eastAsia="Verdana" w:hAnsi="Verdana" w:cs="Verdana"/>
                <w:b/>
                <w:noProof/>
                <w:color w:val="000000"/>
                <w:sz w:val="18"/>
              </w:rPr>
            </w:pPr>
            <w:r>
              <w:rPr>
                <w:rFonts w:ascii="Verdana" w:hAnsi="Verdana"/>
                <w:b/>
                <w:noProof/>
                <w:color w:val="000000"/>
                <w:sz w:val="18"/>
              </w:rPr>
              <w:t>47 798</w:t>
            </w:r>
          </w:p>
        </w:tc>
        <w:tc>
          <w:tcPr>
            <w:tcW w:w="1310" w:type="dxa"/>
            <w:tcBorders>
              <w:top w:val="nil"/>
              <w:left w:val="nil"/>
              <w:bottom w:val="nil"/>
              <w:right w:val="single" w:sz="4" w:space="0" w:color="016794"/>
              <w:tl2br w:val="nil"/>
              <w:tr2bl w:val="nil"/>
            </w:tcBorders>
            <w:shd w:val="solid" w:color="CCE1EA" w:fill="FFFFFF"/>
            <w:tcMar>
              <w:left w:w="60" w:type="dxa"/>
              <w:right w:w="60" w:type="dxa"/>
            </w:tcMar>
            <w:vAlign w:val="center"/>
          </w:tcPr>
          <w:p>
            <w:pPr>
              <w:pStyle w:val="DMETW19549BIPGUARFA"/>
              <w:jc w:val="right"/>
              <w:rPr>
                <w:rFonts w:ascii="Verdana" w:eastAsia="Verdana" w:hAnsi="Verdana" w:cs="Verdana"/>
                <w:b/>
                <w:noProof/>
                <w:color w:val="000000"/>
                <w:sz w:val="18"/>
              </w:rPr>
            </w:pPr>
            <w:r>
              <w:rPr>
                <w:rFonts w:ascii="Verdana" w:hAnsi="Verdana"/>
                <w:b/>
                <w:noProof/>
                <w:color w:val="000000"/>
                <w:sz w:val="18"/>
              </w:rPr>
              <w:t>140 991</w:t>
            </w:r>
          </w:p>
        </w:tc>
        <w:tc>
          <w:tcPr>
            <w:tcW w:w="1312" w:type="dxa"/>
            <w:tcBorders>
              <w:top w:val="nil"/>
              <w:left w:val="single" w:sz="4" w:space="0" w:color="016794"/>
              <w:bottom w:val="nil"/>
              <w:right w:val="nil"/>
              <w:tl2br w:val="nil"/>
              <w:tr2bl w:val="nil"/>
            </w:tcBorders>
            <w:shd w:val="solid" w:color="CCE1EA" w:fill="FFFFFF"/>
            <w:tcMar>
              <w:left w:w="60" w:type="dxa"/>
              <w:right w:w="60" w:type="dxa"/>
            </w:tcMar>
            <w:vAlign w:val="center"/>
          </w:tcPr>
          <w:p>
            <w:pPr>
              <w:pStyle w:val="DMETW19549BIPGUARFA"/>
              <w:jc w:val="right"/>
              <w:rPr>
                <w:rFonts w:ascii="Verdana" w:eastAsia="Verdana" w:hAnsi="Verdana" w:cs="Verdana"/>
                <w:b/>
                <w:noProof/>
                <w:color w:val="000000"/>
                <w:sz w:val="18"/>
              </w:rPr>
            </w:pPr>
            <w:r>
              <w:rPr>
                <w:rFonts w:ascii="Verdana" w:hAnsi="Verdana"/>
                <w:b/>
                <w:noProof/>
                <w:color w:val="000000"/>
                <w:sz w:val="18"/>
              </w:rPr>
              <w:t>52 564</w:t>
            </w:r>
          </w:p>
        </w:tc>
        <w:tc>
          <w:tcPr>
            <w:tcW w:w="1310" w:type="dxa"/>
            <w:tcBorders>
              <w:top w:val="nil"/>
              <w:left w:val="nil"/>
              <w:bottom w:val="nil"/>
              <w:right w:val="nil"/>
              <w:tl2br w:val="nil"/>
              <w:tr2bl w:val="nil"/>
            </w:tcBorders>
            <w:shd w:val="solid" w:color="CCE1EA" w:fill="FFFFFF"/>
            <w:tcMar>
              <w:left w:w="60" w:type="dxa"/>
              <w:right w:w="60" w:type="dxa"/>
            </w:tcMar>
            <w:vAlign w:val="center"/>
          </w:tcPr>
          <w:p>
            <w:pPr>
              <w:pStyle w:val="DMETW19549BIPGUARFA"/>
              <w:jc w:val="right"/>
              <w:rPr>
                <w:rFonts w:ascii="Verdana" w:eastAsia="Verdana" w:hAnsi="Verdana" w:cs="Verdana"/>
                <w:b/>
                <w:noProof/>
                <w:color w:val="000000"/>
                <w:sz w:val="18"/>
              </w:rPr>
            </w:pPr>
            <w:r>
              <w:rPr>
                <w:rFonts w:ascii="Verdana" w:hAnsi="Verdana"/>
                <w:b/>
                <w:noProof/>
                <w:color w:val="000000"/>
                <w:sz w:val="18"/>
              </w:rPr>
              <w:t xml:space="preserve"> 760</w:t>
            </w:r>
          </w:p>
        </w:tc>
        <w:tc>
          <w:tcPr>
            <w:tcW w:w="1312" w:type="dxa"/>
            <w:tcBorders>
              <w:top w:val="nil"/>
              <w:left w:val="nil"/>
              <w:bottom w:val="nil"/>
              <w:right w:val="nil"/>
              <w:tl2br w:val="nil"/>
              <w:tr2bl w:val="nil"/>
            </w:tcBorders>
            <w:shd w:val="solid" w:color="CCE1EA" w:fill="FFFFFF"/>
            <w:tcMar>
              <w:left w:w="60" w:type="dxa"/>
              <w:right w:w="60" w:type="dxa"/>
            </w:tcMar>
            <w:vAlign w:val="center"/>
          </w:tcPr>
          <w:p>
            <w:pPr>
              <w:pStyle w:val="DMETW19549BIPGUARFA"/>
              <w:jc w:val="right"/>
              <w:rPr>
                <w:rFonts w:ascii="Verdana" w:eastAsia="Verdana" w:hAnsi="Verdana" w:cs="Verdana"/>
                <w:b/>
                <w:noProof/>
                <w:color w:val="000000"/>
                <w:sz w:val="18"/>
              </w:rPr>
            </w:pPr>
            <w:r>
              <w:rPr>
                <w:rFonts w:ascii="Verdana" w:hAnsi="Verdana"/>
                <w:b/>
                <w:noProof/>
                <w:color w:val="000000"/>
                <w:sz w:val="18"/>
              </w:rPr>
              <w:t>53 324</w:t>
            </w:r>
          </w:p>
        </w:tc>
      </w:tr>
    </w:tbl>
    <w:p>
      <w:pPr>
        <w:pStyle w:val="DGTextstand-alone"/>
      </w:pPr>
      <w:r>
        <w:t>Бюджетът на ЕС гарантира заемите на Комисията, взети с цел финансиране на заеми, отпускани на държави членки и на държави извън ЕС при операциите от вида „бек-ту-бек“. Тези получени заеми вече са признати като пасиви в счетоводния баланс на ЕС (вж. бележка </w:t>
      </w:r>
      <w:r>
        <w:rPr>
          <w:b/>
        </w:rPr>
        <w:t>2.11.1</w:t>
      </w:r>
      <w:r>
        <w:t>). Въпреки това при необслужване на задълженията по „бек-ту-бек“ заемите, отпуснати с тези получени заеми, въз основа на член 14 от Регламент № 609/2014 на Съвета бюджетът на ЕС ще трябва да поеме изцяло просрочената сума:</w:t>
      </w:r>
    </w:p>
    <w:p>
      <w:pPr>
        <w:pStyle w:val="DGTextstand-alone"/>
        <w:numPr>
          <w:ilvl w:val="0"/>
          <w:numId w:val="30"/>
        </w:numPr>
        <w:pBdr>
          <w:top w:val="nil"/>
          <w:left w:val="nil"/>
          <w:bottom w:val="nil"/>
          <w:right w:val="nil"/>
          <w:between w:val="nil"/>
          <w:bar w:val="nil"/>
        </w:pBdr>
      </w:pPr>
      <w:r>
        <w:t>получените заеми, свързани със заеми, отпуснати по линия на ЕМФС, се гарантират единствено от бюджета на ЕС;</w:t>
      </w:r>
    </w:p>
    <w:p>
      <w:pPr>
        <w:pStyle w:val="DGTextstand-alone"/>
        <w:numPr>
          <w:ilvl w:val="0"/>
          <w:numId w:val="30"/>
        </w:numPr>
        <w:pBdr>
          <w:top w:val="nil"/>
          <w:left w:val="nil"/>
          <w:bottom w:val="nil"/>
          <w:right w:val="nil"/>
          <w:between w:val="nil"/>
          <w:bar w:val="nil"/>
        </w:pBdr>
      </w:pPr>
      <w:r>
        <w:t>получените заеми, свързани с SURE, са подкрепени от гаранции от държавите членки в размер на 25 милиарда евро (25 % от максималния размер на финансовата помощ — 100</w:t>
      </w:r>
      <w:r>
        <w:rPr>
          <w:lang w:val="en-GB"/>
        </w:rPr>
        <w:t> </w:t>
      </w:r>
      <w:r>
        <w:t xml:space="preserve">милиарда евро). Неусвоените поети задължения са свързани със споразумения за заем, подписани през 2020 г., за които плащането се очаква през 2021 г.; </w:t>
      </w:r>
    </w:p>
    <w:p>
      <w:pPr>
        <w:pStyle w:val="DGTextstand-alone"/>
        <w:numPr>
          <w:ilvl w:val="0"/>
          <w:numId w:val="30"/>
        </w:numPr>
        <w:pBdr>
          <w:top w:val="nil"/>
          <w:left w:val="nil"/>
          <w:bottom w:val="nil"/>
          <w:right w:val="nil"/>
          <w:between w:val="nil"/>
          <w:bar w:val="nil"/>
        </w:pBdr>
      </w:pPr>
      <w:r>
        <w:t>получените заеми, свързани със заеми по линия на ПБ, се гарантират единствено от бюджета на ЕС;</w:t>
      </w:r>
    </w:p>
    <w:p>
      <w:pPr>
        <w:pStyle w:val="DGTextstand-alone"/>
        <w:numPr>
          <w:ilvl w:val="0"/>
          <w:numId w:val="30"/>
        </w:numPr>
        <w:pBdr>
          <w:top w:val="nil"/>
          <w:left w:val="nil"/>
          <w:bottom w:val="nil"/>
          <w:right w:val="nil"/>
          <w:between w:val="nil"/>
          <w:bar w:val="nil"/>
        </w:pBdr>
      </w:pPr>
      <w:r>
        <w:t>заемите по линия на МФП се гарантират първо от Гаранционния фонд за външни дейности (вж. бележка </w:t>
      </w:r>
      <w:r>
        <w:rPr>
          <w:b/>
        </w:rPr>
        <w:t>2.4.1</w:t>
      </w:r>
      <w:r>
        <w:t xml:space="preserve">), а след това от бюджета на ЕС; и </w:t>
      </w:r>
    </w:p>
    <w:p>
      <w:pPr>
        <w:pStyle w:val="DGTextstand-alone"/>
        <w:numPr>
          <w:ilvl w:val="0"/>
          <w:numId w:val="30"/>
        </w:numPr>
        <w:pBdr>
          <w:top w:val="nil"/>
          <w:left w:val="nil"/>
          <w:bottom w:val="nil"/>
          <w:right w:val="nil"/>
          <w:between w:val="nil"/>
          <w:bar w:val="nil"/>
        </w:pBdr>
      </w:pPr>
      <w:r>
        <w:t>гаранциите от трети страни са първото покритие за целите непогасени заеми от Евратом. Гаранционният фонд ще покрие външните заеми, ако третите страни гаранти не предоставят средства за тях.</w:t>
      </w:r>
    </w:p>
    <w:p>
      <w:pPr>
        <w:pStyle w:val="HEADER5"/>
        <w:rPr>
          <w:noProof/>
        </w:rPr>
      </w:pPr>
      <w:r>
        <w:rPr>
          <w:noProof/>
        </w:rPr>
        <w:t>Задължения на Обединеното кралство, произтичащи от излизането му от ЕС</w:t>
      </w:r>
    </w:p>
    <w:p>
      <w:pPr>
        <w:pStyle w:val="DGTextstand-alone"/>
      </w:pPr>
      <w:r>
        <w:t xml:space="preserve">В съответствие с член 143 от Споразумението за оттеглянето Обединеното кралство носи отговорност по отношение на Съюза за своя дял от условните финансови задължения, свързани със заемите, отпускани за финансова помощ (ЕМФС, МФП, ПБ и Евратом), които са одобрени/за които е взето решение към датата на оттеглянето — 31 януари 2020 г. Съгласно член 143 при неизпълнение на задължение за плащане по заем за финансова помощ, който е одобрен преди датата на оттеглянето, Обединеното кралство носи отговорност по отношение на Съюза за своя дял от плащанията, направени от Съюза по съответната операция, освен ако това задължение може да бъде покрито от дела на Обединеното кралство от провизиите, държани в Гаранционния фонд за външни дейности, когато е приложимо (т.е. заеми, отпуснати по МФП и Евратом в трети държави) — вж. бележка </w:t>
      </w:r>
      <w:r>
        <w:rPr>
          <w:b/>
        </w:rPr>
        <w:t>4.1.1</w:t>
      </w:r>
      <w:r>
        <w:t>.</w:t>
      </w:r>
    </w:p>
    <w:p>
      <w:pPr>
        <w:pStyle w:val="DGTextstand-alone"/>
      </w:pPr>
      <w:r>
        <w:t>Към датата на оттеглянето непогасеното условно задължение на ЕС, свързано с горепосочените заеми за финансова помощ, възлизаше на 53,9 милиарда евро. След извършеното след тази дата погасяване стойността на тези заеми, покрити от гаранцията на ЕС, към 31 декември 2020 г. е 53,2</w:t>
      </w:r>
      <w:r>
        <w:rPr>
          <w:lang w:val="en-GB"/>
        </w:rPr>
        <w:t> </w:t>
      </w:r>
      <w:r>
        <w:t>милиарда евро, а дялът на Обединеното кралство от тях — 6,6 милиарда евро.</w:t>
      </w:r>
    </w:p>
    <w:p>
      <w:pPr>
        <w:pStyle w:val="DGTextstand-alone"/>
        <w:spacing w:before="0" w:after="0"/>
      </w:pPr>
      <w:r>
        <w:br w:type="page"/>
      </w:r>
    </w:p>
    <w:p>
      <w:pPr>
        <w:pStyle w:val="HEADER3NOTES"/>
        <w:spacing w:before="0"/>
        <w:rPr>
          <w:noProof/>
        </w:rPr>
      </w:pPr>
      <w:r>
        <w:rPr>
          <w:noProof/>
        </w:rPr>
        <w:t>Гаранции, предоставени за финансови инструменти на 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1"/>
        <w:gridCol w:w="2089"/>
        <w:gridCol w:w="2178"/>
      </w:tblGrid>
      <w:tr>
        <w:trPr>
          <w:trHeight w:val="255"/>
        </w:trPr>
        <w:tc>
          <w:tcPr>
            <w:tcW w:w="5491" w:type="dxa"/>
            <w:tcBorders>
              <w:top w:val="nil"/>
              <w:left w:val="nil"/>
              <w:bottom w:val="nil"/>
              <w:right w:val="nil"/>
              <w:tl2br w:val="nil"/>
              <w:tr2bl w:val="nil"/>
            </w:tcBorders>
            <w:shd w:val="clear" w:color="auto" w:fill="auto"/>
            <w:tcMar>
              <w:left w:w="60" w:type="dxa"/>
              <w:right w:w="60" w:type="dxa"/>
            </w:tcMar>
            <w:vAlign w:val="bottom"/>
          </w:tcPr>
          <w:p>
            <w:pPr>
              <w:pStyle w:val="DMETW19549BIPINSGUA"/>
              <w:rPr>
                <w:rFonts w:ascii="Arial" w:eastAsia="Arial" w:hAnsi="Arial" w:cs="Arial"/>
                <w:noProof/>
                <w:color w:val="000000"/>
              </w:rPr>
            </w:pPr>
            <w:bookmarkStart w:id="184" w:name="DOC_TBL00078_1_1"/>
            <w:bookmarkEnd w:id="184"/>
          </w:p>
        </w:tc>
        <w:tc>
          <w:tcPr>
            <w:tcW w:w="2089" w:type="dxa"/>
            <w:tcBorders>
              <w:top w:val="nil"/>
              <w:left w:val="nil"/>
              <w:bottom w:val="nil"/>
              <w:right w:val="nil"/>
              <w:tl2br w:val="nil"/>
              <w:tr2bl w:val="nil"/>
            </w:tcBorders>
            <w:shd w:val="clear" w:color="auto" w:fill="auto"/>
            <w:tcMar>
              <w:left w:w="60" w:type="dxa"/>
              <w:right w:w="60" w:type="dxa"/>
            </w:tcMar>
            <w:vAlign w:val="bottom"/>
          </w:tcPr>
          <w:p>
            <w:pPr>
              <w:pStyle w:val="DMETW19549BIPINSGUA"/>
              <w:rPr>
                <w:rFonts w:ascii="Arial" w:eastAsia="Arial" w:hAnsi="Arial" w:cs="Arial"/>
                <w:noProof/>
                <w:color w:val="000000"/>
              </w:rPr>
            </w:pPr>
          </w:p>
        </w:tc>
        <w:tc>
          <w:tcPr>
            <w:tcW w:w="2178" w:type="dxa"/>
            <w:tcBorders>
              <w:top w:val="nil"/>
              <w:left w:val="nil"/>
              <w:bottom w:val="nil"/>
              <w:right w:val="nil"/>
              <w:tl2br w:val="nil"/>
              <w:tr2bl w:val="nil"/>
            </w:tcBorders>
            <w:shd w:val="clear" w:color="auto" w:fill="auto"/>
            <w:tcMar>
              <w:left w:w="60" w:type="dxa"/>
              <w:right w:w="60" w:type="dxa"/>
            </w:tcMar>
            <w:vAlign w:val="bottom"/>
          </w:tcPr>
          <w:p>
            <w:pPr>
              <w:pStyle w:val="DMETW19549BIPINSGU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491" w:type="dxa"/>
            <w:tcBorders>
              <w:top w:val="nil"/>
              <w:left w:val="nil"/>
              <w:bottom w:val="nil"/>
              <w:right w:val="nil"/>
              <w:tl2br w:val="nil"/>
              <w:tr2bl w:val="nil"/>
            </w:tcBorders>
            <w:shd w:val="solid" w:color="016794" w:fill="FFFFFF"/>
            <w:tcMar>
              <w:left w:w="60" w:type="dxa"/>
              <w:right w:w="60" w:type="dxa"/>
            </w:tcMar>
            <w:vAlign w:val="center"/>
          </w:tcPr>
          <w:p>
            <w:pPr>
              <w:pStyle w:val="DMETW19549BIPINSGUA"/>
              <w:rPr>
                <w:rFonts w:ascii="Verdana" w:eastAsia="Verdana" w:hAnsi="Verdana" w:cs="Verdana"/>
                <w:noProof/>
                <w:color w:val="FFFFFF"/>
              </w:rPr>
            </w:pPr>
          </w:p>
        </w:tc>
        <w:tc>
          <w:tcPr>
            <w:tcW w:w="2089" w:type="dxa"/>
            <w:tcBorders>
              <w:top w:val="nil"/>
              <w:left w:val="nil"/>
              <w:bottom w:val="nil"/>
              <w:right w:val="nil"/>
              <w:tl2br w:val="nil"/>
              <w:tr2bl w:val="nil"/>
            </w:tcBorders>
            <w:shd w:val="solid" w:color="016794" w:fill="FFFFFF"/>
            <w:tcMar>
              <w:left w:w="60" w:type="dxa"/>
              <w:right w:w="60" w:type="dxa"/>
            </w:tcMar>
            <w:vAlign w:val="center"/>
          </w:tcPr>
          <w:p>
            <w:pPr>
              <w:pStyle w:val="DMETW19549BIPINSGUA"/>
              <w:jc w:val="right"/>
              <w:rPr>
                <w:rFonts w:ascii="Verdana" w:eastAsia="Verdana" w:hAnsi="Verdana" w:cs="Verdana"/>
                <w:noProof/>
                <w:color w:val="FFFFFF"/>
              </w:rPr>
            </w:pPr>
            <w:r>
              <w:rPr>
                <w:rFonts w:ascii="Verdana" w:hAnsi="Verdana"/>
                <w:noProof/>
                <w:color w:val="FFFFFF"/>
              </w:rPr>
              <w:t>31.12.2020 г.</w:t>
            </w:r>
          </w:p>
        </w:tc>
        <w:tc>
          <w:tcPr>
            <w:tcW w:w="2178" w:type="dxa"/>
            <w:tcBorders>
              <w:top w:val="nil"/>
              <w:left w:val="nil"/>
              <w:bottom w:val="nil"/>
              <w:right w:val="nil"/>
              <w:tl2br w:val="nil"/>
              <w:tr2bl w:val="nil"/>
            </w:tcBorders>
            <w:shd w:val="solid" w:color="016794" w:fill="FFFFFF"/>
            <w:tcMar>
              <w:left w:w="60" w:type="dxa"/>
              <w:right w:w="60" w:type="dxa"/>
            </w:tcMar>
            <w:vAlign w:val="center"/>
          </w:tcPr>
          <w:p>
            <w:pPr>
              <w:pStyle w:val="DMETW19549BIPINSGUA"/>
              <w:jc w:val="right"/>
              <w:rPr>
                <w:rFonts w:ascii="Verdana" w:eastAsia="Verdana" w:hAnsi="Verdana" w:cs="Verdana"/>
                <w:noProof/>
                <w:color w:val="FFFFFF"/>
              </w:rPr>
            </w:pPr>
            <w:r>
              <w:rPr>
                <w:rFonts w:ascii="Verdana" w:hAnsi="Verdana"/>
                <w:noProof/>
                <w:color w:val="FFFFFF"/>
              </w:rPr>
              <w:t>31.12.2019 г.</w:t>
            </w:r>
          </w:p>
        </w:tc>
      </w:tr>
      <w:tr>
        <w:trPr>
          <w:trHeight w:val="255"/>
        </w:trPr>
        <w:tc>
          <w:tcPr>
            <w:tcW w:w="5491" w:type="dxa"/>
            <w:tcBorders>
              <w:top w:val="nil"/>
              <w:left w:val="nil"/>
              <w:bottom w:val="nil"/>
              <w:right w:val="nil"/>
              <w:tl2br w:val="nil"/>
              <w:tr2bl w:val="nil"/>
            </w:tcBorders>
            <w:shd w:val="clear" w:color="auto" w:fill="auto"/>
            <w:tcMar>
              <w:left w:w="60" w:type="dxa"/>
              <w:right w:w="60" w:type="dxa"/>
            </w:tcMar>
            <w:vAlign w:val="center"/>
          </w:tcPr>
          <w:p>
            <w:pPr>
              <w:pStyle w:val="DMETW19549BIPINSGUA"/>
              <w:rPr>
                <w:rFonts w:ascii="Verdana" w:eastAsia="Verdana" w:hAnsi="Verdana" w:cs="Verdana"/>
                <w:i/>
                <w:noProof/>
                <w:color w:val="000000"/>
                <w:sz w:val="18"/>
              </w:rPr>
            </w:pPr>
            <w:r>
              <w:rPr>
                <w:rFonts w:ascii="Verdana" w:hAnsi="Verdana"/>
                <w:i/>
                <w:noProof/>
                <w:color w:val="000000"/>
                <w:sz w:val="18"/>
              </w:rPr>
              <w:t>„Хоризонт 2020“</w:t>
            </w:r>
          </w:p>
        </w:tc>
        <w:tc>
          <w:tcPr>
            <w:tcW w:w="2089" w:type="dxa"/>
            <w:tcBorders>
              <w:top w:val="nil"/>
              <w:left w:val="nil"/>
              <w:bottom w:val="nil"/>
              <w:right w:val="nil"/>
              <w:tl2br w:val="nil"/>
              <w:tr2bl w:val="nil"/>
            </w:tcBorders>
            <w:shd w:val="clear" w:color="auto" w:fill="auto"/>
            <w:tcMar>
              <w:left w:w="60" w:type="dxa"/>
              <w:right w:w="60" w:type="dxa"/>
            </w:tcMar>
            <w:vAlign w:val="bottom"/>
          </w:tcPr>
          <w:p>
            <w:pPr>
              <w:pStyle w:val="DMETW19549BIPINSGUA"/>
              <w:jc w:val="right"/>
              <w:rPr>
                <w:rFonts w:ascii="Verdana" w:eastAsia="Verdana" w:hAnsi="Verdana" w:cs="Verdana"/>
                <w:i/>
                <w:noProof/>
                <w:color w:val="000000"/>
                <w:sz w:val="18"/>
              </w:rPr>
            </w:pPr>
            <w:r>
              <w:rPr>
                <w:rFonts w:ascii="Verdana" w:hAnsi="Verdana"/>
                <w:i/>
                <w:noProof/>
                <w:color w:val="000000"/>
                <w:sz w:val="18"/>
              </w:rPr>
              <w:t>1 860</w:t>
            </w:r>
          </w:p>
        </w:tc>
        <w:tc>
          <w:tcPr>
            <w:tcW w:w="2178" w:type="dxa"/>
            <w:tcBorders>
              <w:top w:val="nil"/>
              <w:left w:val="nil"/>
              <w:bottom w:val="nil"/>
              <w:right w:val="nil"/>
              <w:tl2br w:val="nil"/>
              <w:tr2bl w:val="nil"/>
            </w:tcBorders>
            <w:shd w:val="clear" w:color="auto" w:fill="auto"/>
            <w:tcMar>
              <w:left w:w="60" w:type="dxa"/>
              <w:right w:w="60" w:type="dxa"/>
            </w:tcMar>
            <w:vAlign w:val="bottom"/>
          </w:tcPr>
          <w:p>
            <w:pPr>
              <w:pStyle w:val="DMETW19549BIPINSGUA"/>
              <w:jc w:val="right"/>
              <w:rPr>
                <w:rFonts w:ascii="Verdana" w:eastAsia="Verdana" w:hAnsi="Verdana" w:cs="Verdana"/>
                <w:i/>
                <w:noProof/>
                <w:color w:val="000000"/>
                <w:sz w:val="18"/>
              </w:rPr>
            </w:pPr>
            <w:r>
              <w:rPr>
                <w:rFonts w:ascii="Verdana" w:hAnsi="Verdana"/>
                <w:i/>
                <w:noProof/>
                <w:color w:val="000000"/>
                <w:sz w:val="18"/>
              </w:rPr>
              <w:t>1 584</w:t>
            </w:r>
          </w:p>
        </w:tc>
      </w:tr>
      <w:tr>
        <w:trPr>
          <w:trHeight w:val="255"/>
        </w:trPr>
        <w:tc>
          <w:tcPr>
            <w:tcW w:w="5491" w:type="dxa"/>
            <w:tcBorders>
              <w:top w:val="nil"/>
              <w:left w:val="nil"/>
              <w:bottom w:val="nil"/>
              <w:right w:val="nil"/>
              <w:tl2br w:val="nil"/>
              <w:tr2bl w:val="nil"/>
            </w:tcBorders>
            <w:shd w:val="clear" w:color="auto" w:fill="auto"/>
            <w:tcMar>
              <w:left w:w="60" w:type="dxa"/>
              <w:right w:w="60" w:type="dxa"/>
            </w:tcMar>
            <w:vAlign w:val="center"/>
          </w:tcPr>
          <w:p>
            <w:pPr>
              <w:pStyle w:val="DMETW19549BIPINSGUA"/>
              <w:rPr>
                <w:rFonts w:ascii="Verdana" w:eastAsia="Verdana" w:hAnsi="Verdana" w:cs="Verdana"/>
                <w:i/>
                <w:noProof/>
                <w:color w:val="000000"/>
                <w:sz w:val="18"/>
              </w:rPr>
            </w:pPr>
            <w:r>
              <w:rPr>
                <w:rFonts w:ascii="Verdana" w:hAnsi="Verdana"/>
                <w:i/>
                <w:noProof/>
                <w:color w:val="000000"/>
                <w:sz w:val="18"/>
              </w:rPr>
              <w:t>Механизъм за свързване на Европа</w:t>
            </w:r>
          </w:p>
        </w:tc>
        <w:tc>
          <w:tcPr>
            <w:tcW w:w="2089" w:type="dxa"/>
            <w:tcBorders>
              <w:top w:val="nil"/>
              <w:left w:val="nil"/>
              <w:bottom w:val="nil"/>
              <w:right w:val="nil"/>
              <w:tl2br w:val="nil"/>
              <w:tr2bl w:val="nil"/>
            </w:tcBorders>
            <w:shd w:val="clear" w:color="auto" w:fill="auto"/>
            <w:tcMar>
              <w:left w:w="60" w:type="dxa"/>
              <w:right w:w="60" w:type="dxa"/>
            </w:tcMar>
            <w:vAlign w:val="bottom"/>
          </w:tcPr>
          <w:p>
            <w:pPr>
              <w:pStyle w:val="DMETW19549BIPINSGUA"/>
              <w:jc w:val="right"/>
              <w:rPr>
                <w:rFonts w:ascii="Verdana" w:eastAsia="Verdana" w:hAnsi="Verdana" w:cs="Verdana"/>
                <w:i/>
                <w:noProof/>
                <w:color w:val="000000"/>
                <w:sz w:val="18"/>
              </w:rPr>
            </w:pPr>
            <w:r>
              <w:rPr>
                <w:rFonts w:ascii="Verdana" w:hAnsi="Verdana"/>
                <w:i/>
                <w:noProof/>
                <w:color w:val="000000"/>
                <w:sz w:val="18"/>
              </w:rPr>
              <w:t xml:space="preserve"> 579</w:t>
            </w:r>
          </w:p>
        </w:tc>
        <w:tc>
          <w:tcPr>
            <w:tcW w:w="2178" w:type="dxa"/>
            <w:tcBorders>
              <w:top w:val="nil"/>
              <w:left w:val="nil"/>
              <w:bottom w:val="nil"/>
              <w:right w:val="nil"/>
              <w:tl2br w:val="nil"/>
              <w:tr2bl w:val="nil"/>
            </w:tcBorders>
            <w:shd w:val="clear" w:color="auto" w:fill="auto"/>
            <w:tcMar>
              <w:left w:w="60" w:type="dxa"/>
              <w:right w:w="60" w:type="dxa"/>
            </w:tcMar>
            <w:vAlign w:val="bottom"/>
          </w:tcPr>
          <w:p>
            <w:pPr>
              <w:pStyle w:val="DMETW19549BIPINSGUA"/>
              <w:jc w:val="right"/>
              <w:rPr>
                <w:rFonts w:ascii="Verdana" w:eastAsia="Verdana" w:hAnsi="Verdana" w:cs="Verdana"/>
                <w:i/>
                <w:noProof/>
                <w:color w:val="000000"/>
                <w:sz w:val="18"/>
              </w:rPr>
            </w:pPr>
            <w:r>
              <w:rPr>
                <w:rFonts w:ascii="Verdana" w:hAnsi="Verdana"/>
                <w:i/>
                <w:noProof/>
                <w:color w:val="000000"/>
                <w:sz w:val="18"/>
              </w:rPr>
              <w:t xml:space="preserve"> 684</w:t>
            </w:r>
          </w:p>
        </w:tc>
      </w:tr>
      <w:tr>
        <w:trPr>
          <w:trHeight w:val="255"/>
        </w:trPr>
        <w:tc>
          <w:tcPr>
            <w:tcW w:w="5491" w:type="dxa"/>
            <w:tcBorders>
              <w:top w:val="nil"/>
              <w:left w:val="nil"/>
              <w:bottom w:val="nil"/>
              <w:right w:val="nil"/>
              <w:tl2br w:val="nil"/>
              <w:tr2bl w:val="nil"/>
            </w:tcBorders>
            <w:shd w:val="clear" w:color="auto" w:fill="auto"/>
            <w:tcMar>
              <w:left w:w="60" w:type="dxa"/>
              <w:right w:w="60" w:type="dxa"/>
            </w:tcMar>
            <w:vAlign w:val="center"/>
          </w:tcPr>
          <w:p>
            <w:pPr>
              <w:pStyle w:val="DMETW19549BIPINSGUA"/>
              <w:rPr>
                <w:rFonts w:ascii="Verdana" w:eastAsia="Verdana" w:hAnsi="Verdana" w:cs="Verdana"/>
                <w:i/>
                <w:noProof/>
                <w:color w:val="000000"/>
                <w:sz w:val="18"/>
              </w:rPr>
            </w:pPr>
            <w:r>
              <w:rPr>
                <w:rFonts w:ascii="Verdana" w:hAnsi="Verdana"/>
                <w:i/>
                <w:noProof/>
                <w:color w:val="000000"/>
                <w:sz w:val="18"/>
              </w:rPr>
              <w:t>Механизъм за финансиране с поделяне на риска</w:t>
            </w:r>
          </w:p>
        </w:tc>
        <w:tc>
          <w:tcPr>
            <w:tcW w:w="2089" w:type="dxa"/>
            <w:tcBorders>
              <w:top w:val="nil"/>
              <w:left w:val="nil"/>
              <w:bottom w:val="nil"/>
              <w:right w:val="nil"/>
              <w:tl2br w:val="nil"/>
              <w:tr2bl w:val="nil"/>
            </w:tcBorders>
            <w:shd w:val="clear" w:color="auto" w:fill="auto"/>
            <w:tcMar>
              <w:left w:w="60" w:type="dxa"/>
              <w:right w:w="60" w:type="dxa"/>
            </w:tcMar>
            <w:vAlign w:val="bottom"/>
          </w:tcPr>
          <w:p>
            <w:pPr>
              <w:pStyle w:val="DMETW19549BIPINSGUA"/>
              <w:jc w:val="right"/>
              <w:rPr>
                <w:rFonts w:ascii="Verdana" w:eastAsia="Verdana" w:hAnsi="Verdana" w:cs="Verdana"/>
                <w:i/>
                <w:noProof/>
                <w:color w:val="000000"/>
                <w:sz w:val="18"/>
              </w:rPr>
            </w:pPr>
            <w:r>
              <w:rPr>
                <w:rFonts w:ascii="Verdana" w:hAnsi="Verdana"/>
                <w:i/>
                <w:noProof/>
                <w:color w:val="000000"/>
                <w:sz w:val="18"/>
              </w:rPr>
              <w:t xml:space="preserve"> 37</w:t>
            </w:r>
          </w:p>
        </w:tc>
        <w:tc>
          <w:tcPr>
            <w:tcW w:w="2178" w:type="dxa"/>
            <w:tcBorders>
              <w:top w:val="nil"/>
              <w:left w:val="nil"/>
              <w:bottom w:val="nil"/>
              <w:right w:val="nil"/>
              <w:tl2br w:val="nil"/>
              <w:tr2bl w:val="nil"/>
            </w:tcBorders>
            <w:shd w:val="clear" w:color="auto" w:fill="auto"/>
            <w:tcMar>
              <w:left w:w="60" w:type="dxa"/>
              <w:right w:w="60" w:type="dxa"/>
            </w:tcMar>
            <w:vAlign w:val="bottom"/>
          </w:tcPr>
          <w:p>
            <w:pPr>
              <w:pStyle w:val="DMETW19549BIPINSGUA"/>
              <w:jc w:val="right"/>
              <w:rPr>
                <w:rFonts w:ascii="Verdana" w:eastAsia="Verdana" w:hAnsi="Verdana" w:cs="Verdana"/>
                <w:i/>
                <w:noProof/>
                <w:color w:val="000000"/>
                <w:sz w:val="18"/>
              </w:rPr>
            </w:pPr>
            <w:r>
              <w:rPr>
                <w:rFonts w:ascii="Verdana" w:hAnsi="Verdana"/>
                <w:i/>
                <w:noProof/>
                <w:color w:val="000000"/>
                <w:sz w:val="18"/>
              </w:rPr>
              <w:t xml:space="preserve"> 110</w:t>
            </w:r>
          </w:p>
        </w:tc>
      </w:tr>
      <w:tr>
        <w:trPr>
          <w:trHeight w:val="255"/>
        </w:trPr>
        <w:tc>
          <w:tcPr>
            <w:tcW w:w="5491" w:type="dxa"/>
            <w:tcBorders>
              <w:top w:val="nil"/>
              <w:left w:val="nil"/>
              <w:bottom w:val="nil"/>
              <w:right w:val="nil"/>
              <w:tl2br w:val="nil"/>
              <w:tr2bl w:val="nil"/>
            </w:tcBorders>
            <w:shd w:val="clear" w:color="auto" w:fill="auto"/>
            <w:tcMar>
              <w:left w:w="60" w:type="dxa"/>
              <w:right w:w="60" w:type="dxa"/>
            </w:tcMar>
            <w:vAlign w:val="center"/>
          </w:tcPr>
          <w:p>
            <w:pPr>
              <w:pStyle w:val="DMETW19549BIPINSGUA"/>
              <w:rPr>
                <w:rFonts w:ascii="Verdana" w:eastAsia="Verdana" w:hAnsi="Verdana" w:cs="Verdana"/>
                <w:i/>
                <w:noProof/>
                <w:color w:val="000000"/>
                <w:sz w:val="18"/>
              </w:rPr>
            </w:pPr>
            <w:r>
              <w:rPr>
                <w:rFonts w:ascii="Verdana" w:hAnsi="Verdana"/>
                <w:i/>
                <w:noProof/>
                <w:color w:val="000000"/>
                <w:sz w:val="18"/>
              </w:rPr>
              <w:t>Други</w:t>
            </w:r>
          </w:p>
        </w:tc>
        <w:tc>
          <w:tcPr>
            <w:tcW w:w="2089" w:type="dxa"/>
            <w:tcBorders>
              <w:top w:val="nil"/>
              <w:left w:val="nil"/>
              <w:bottom w:val="nil"/>
              <w:right w:val="nil"/>
              <w:tl2br w:val="nil"/>
              <w:tr2bl w:val="nil"/>
            </w:tcBorders>
            <w:shd w:val="clear" w:color="auto" w:fill="auto"/>
            <w:tcMar>
              <w:left w:w="60" w:type="dxa"/>
              <w:right w:w="60" w:type="dxa"/>
            </w:tcMar>
            <w:vAlign w:val="bottom"/>
          </w:tcPr>
          <w:p>
            <w:pPr>
              <w:pStyle w:val="DMETW19549BIPINSGUA"/>
              <w:jc w:val="right"/>
              <w:rPr>
                <w:rFonts w:ascii="Verdana" w:eastAsia="Verdana" w:hAnsi="Verdana" w:cs="Verdana"/>
                <w:i/>
                <w:noProof/>
                <w:color w:val="000000"/>
                <w:sz w:val="18"/>
              </w:rPr>
            </w:pPr>
            <w:r>
              <w:rPr>
                <w:rFonts w:ascii="Verdana" w:hAnsi="Verdana"/>
                <w:i/>
                <w:noProof/>
                <w:color w:val="000000"/>
                <w:sz w:val="18"/>
              </w:rPr>
              <w:t xml:space="preserve"> 49</w:t>
            </w:r>
          </w:p>
        </w:tc>
        <w:tc>
          <w:tcPr>
            <w:tcW w:w="2178" w:type="dxa"/>
            <w:tcBorders>
              <w:top w:val="nil"/>
              <w:left w:val="nil"/>
              <w:bottom w:val="nil"/>
              <w:right w:val="nil"/>
              <w:tl2br w:val="nil"/>
              <w:tr2bl w:val="nil"/>
            </w:tcBorders>
            <w:shd w:val="clear" w:color="auto" w:fill="auto"/>
            <w:tcMar>
              <w:left w:w="60" w:type="dxa"/>
              <w:right w:w="60" w:type="dxa"/>
            </w:tcMar>
            <w:vAlign w:val="bottom"/>
          </w:tcPr>
          <w:p>
            <w:pPr>
              <w:pStyle w:val="DMETW19549BIPINSGUA"/>
              <w:jc w:val="right"/>
              <w:rPr>
                <w:rFonts w:ascii="Verdana" w:eastAsia="Verdana" w:hAnsi="Verdana" w:cs="Verdana"/>
                <w:i/>
                <w:noProof/>
                <w:color w:val="000000"/>
                <w:sz w:val="18"/>
              </w:rPr>
            </w:pPr>
            <w:r>
              <w:rPr>
                <w:rFonts w:ascii="Verdana" w:hAnsi="Verdana"/>
                <w:i/>
                <w:noProof/>
                <w:color w:val="000000"/>
                <w:sz w:val="18"/>
              </w:rPr>
              <w:t xml:space="preserve"> 38</w:t>
            </w:r>
          </w:p>
        </w:tc>
      </w:tr>
      <w:tr>
        <w:trPr>
          <w:trHeight w:val="255"/>
        </w:trPr>
        <w:tc>
          <w:tcPr>
            <w:tcW w:w="5491" w:type="dxa"/>
            <w:tcBorders>
              <w:top w:val="nil"/>
              <w:left w:val="nil"/>
              <w:bottom w:val="nil"/>
              <w:right w:val="nil"/>
              <w:tl2br w:val="nil"/>
              <w:tr2bl w:val="nil"/>
            </w:tcBorders>
            <w:shd w:val="solid" w:color="CCE1EA" w:fill="FFFFFF"/>
            <w:tcMar>
              <w:left w:w="60" w:type="dxa"/>
              <w:right w:w="60" w:type="dxa"/>
            </w:tcMar>
            <w:vAlign w:val="center"/>
          </w:tcPr>
          <w:p>
            <w:pPr>
              <w:pStyle w:val="DMETW19549BIPINSGUA"/>
              <w:rPr>
                <w:rFonts w:ascii="Verdana" w:eastAsia="Verdana" w:hAnsi="Verdana" w:cs="Verdana"/>
                <w:b/>
                <w:noProof/>
                <w:color w:val="000000"/>
                <w:sz w:val="18"/>
              </w:rPr>
            </w:pPr>
            <w:r>
              <w:rPr>
                <w:rFonts w:ascii="Verdana" w:hAnsi="Verdana"/>
                <w:b/>
                <w:noProof/>
                <w:color w:val="000000"/>
                <w:sz w:val="18"/>
              </w:rPr>
              <w:t>Общо</w:t>
            </w:r>
          </w:p>
        </w:tc>
        <w:tc>
          <w:tcPr>
            <w:tcW w:w="2089" w:type="dxa"/>
            <w:tcBorders>
              <w:top w:val="nil"/>
              <w:left w:val="nil"/>
              <w:bottom w:val="nil"/>
              <w:right w:val="nil"/>
              <w:tl2br w:val="nil"/>
              <w:tr2bl w:val="nil"/>
            </w:tcBorders>
            <w:shd w:val="solid" w:color="CCE1EA" w:fill="FFFFFF"/>
            <w:tcMar>
              <w:left w:w="60" w:type="dxa"/>
              <w:right w:w="60" w:type="dxa"/>
            </w:tcMar>
            <w:vAlign w:val="bottom"/>
          </w:tcPr>
          <w:p>
            <w:pPr>
              <w:pStyle w:val="DMETW19549BIPINSGUA"/>
              <w:jc w:val="right"/>
              <w:rPr>
                <w:rFonts w:ascii="Verdana" w:eastAsia="Verdana" w:hAnsi="Verdana" w:cs="Verdana"/>
                <w:b/>
                <w:noProof/>
                <w:color w:val="000000"/>
                <w:sz w:val="18"/>
              </w:rPr>
            </w:pPr>
            <w:r>
              <w:rPr>
                <w:rFonts w:ascii="Verdana" w:hAnsi="Verdana"/>
                <w:b/>
                <w:noProof/>
                <w:color w:val="000000"/>
                <w:sz w:val="18"/>
              </w:rPr>
              <w:t>2 524</w:t>
            </w:r>
          </w:p>
        </w:tc>
        <w:tc>
          <w:tcPr>
            <w:tcW w:w="2178" w:type="dxa"/>
            <w:tcBorders>
              <w:top w:val="nil"/>
              <w:left w:val="nil"/>
              <w:bottom w:val="nil"/>
              <w:right w:val="nil"/>
              <w:tl2br w:val="nil"/>
              <w:tr2bl w:val="nil"/>
            </w:tcBorders>
            <w:shd w:val="solid" w:color="CCE1EA" w:fill="FFFFFF"/>
            <w:tcMar>
              <w:left w:w="60" w:type="dxa"/>
              <w:right w:w="60" w:type="dxa"/>
            </w:tcMar>
            <w:vAlign w:val="bottom"/>
          </w:tcPr>
          <w:p>
            <w:pPr>
              <w:pStyle w:val="DMETW19549BIPINSGUA"/>
              <w:jc w:val="right"/>
              <w:rPr>
                <w:rFonts w:ascii="Verdana" w:eastAsia="Verdana" w:hAnsi="Verdana" w:cs="Verdana"/>
                <w:b/>
                <w:noProof/>
                <w:color w:val="000000"/>
                <w:sz w:val="18"/>
              </w:rPr>
            </w:pPr>
            <w:r>
              <w:rPr>
                <w:rFonts w:ascii="Verdana" w:hAnsi="Verdana"/>
                <w:b/>
                <w:noProof/>
                <w:color w:val="000000"/>
                <w:sz w:val="18"/>
              </w:rPr>
              <w:t>2 416</w:t>
            </w:r>
          </w:p>
        </w:tc>
      </w:tr>
    </w:tbl>
    <w:p>
      <w:pPr>
        <w:pStyle w:val="DGTextstand-alone"/>
      </w:pPr>
      <w:r>
        <w:t xml:space="preserve">Както се посочва в член 210, параграф 1 от ФР, бюджетните разходи, свързани с даден финансов инструмент, и финансовата отговорност на ЕС в никакъв случай не могат да надвишават размера на съответното бюджетно задължение, поето за този финансов инструмент, като по този начин се изключва възможността за генериране на условни пасиви за бюджета. На практика това означава, че тези пасиви имат насрещен запис при активите в счетоводния баланс или са покрити от неизпълнените бюджетни задължения, които все още не са отчетени като разход. Условните пасиви по-горе са посочени след приспадане на финансовите провизии и на финансовите пасиви, признати за тези инструменти (вж. бележки </w:t>
      </w:r>
      <w:r>
        <w:rPr>
          <w:b/>
        </w:rPr>
        <w:t>2.10</w:t>
      </w:r>
      <w:r>
        <w:t xml:space="preserve"> и </w:t>
      </w:r>
      <w:r>
        <w:rPr>
          <w:b/>
        </w:rPr>
        <w:t>2.11.2</w:t>
      </w:r>
      <w:r>
        <w:t>).</w:t>
      </w:r>
    </w:p>
    <w:p>
      <w:pPr>
        <w:pStyle w:val="HEADER5"/>
        <w:rPr>
          <w:noProof/>
        </w:rPr>
      </w:pPr>
      <w:r>
        <w:rPr>
          <w:noProof/>
        </w:rPr>
        <w:t>Задължения на Обединеното кралство, произтичащи от излизането му от ЕС</w:t>
      </w:r>
    </w:p>
    <w:p>
      <w:pPr>
        <w:pStyle w:val="DGTextstand-alone"/>
      </w:pPr>
      <w:r>
        <w:t xml:space="preserve">Що се отнася до условните задължения на ЕС за одобрените до датата на оттеглянето суми във връзка с финансовите инструменти на ЕС, включително посочените по-горе, ако тези условни задължения се реализират, те ще бъдат покрити от бюджета на ЕС чрез средства, държани в доверителни сметки. Следователно по принцип Обединеното кралство няма да поиска други суми, освен дела си от бюджетните RAL, както е посочено в член 140 от СО — вж. бележка </w:t>
      </w:r>
      <w:r>
        <w:rPr>
          <w:b/>
        </w:rPr>
        <w:t>2.6.1.2</w:t>
      </w:r>
      <w:r>
        <w:t>.</w:t>
      </w:r>
    </w:p>
    <w:p>
      <w:pPr>
        <w:pStyle w:val="HEADER3NOTES"/>
        <w:rPr>
          <w:noProof/>
        </w:rPr>
      </w:pPr>
      <w:r>
        <w:rPr>
          <w:noProof/>
        </w:rPr>
        <w:t>Съдебни 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6"/>
        <w:gridCol w:w="1686"/>
        <w:gridCol w:w="1686"/>
      </w:tblGrid>
      <w:tr>
        <w:trPr>
          <w:trHeight w:val="255"/>
        </w:trPr>
        <w:tc>
          <w:tcPr>
            <w:tcW w:w="6386" w:type="dxa"/>
            <w:tcBorders>
              <w:top w:val="nil"/>
              <w:left w:val="nil"/>
              <w:bottom w:val="nil"/>
              <w:right w:val="nil"/>
              <w:tl2br w:val="nil"/>
              <w:tr2bl w:val="nil"/>
            </w:tcBorders>
            <w:shd w:val="clear" w:color="auto" w:fill="auto"/>
            <w:tcMar>
              <w:left w:w="60" w:type="dxa"/>
              <w:right w:w="60" w:type="dxa"/>
            </w:tcMar>
            <w:vAlign w:val="bottom"/>
          </w:tcPr>
          <w:p>
            <w:pPr>
              <w:pStyle w:val="DMETW19877BIPCL"/>
              <w:rPr>
                <w:rFonts w:ascii="Arial" w:eastAsia="Arial" w:hAnsi="Arial" w:cs="Arial"/>
                <w:noProof/>
                <w:color w:val="000000"/>
              </w:rPr>
            </w:pPr>
            <w:bookmarkStart w:id="185" w:name="DOC_TBL00079_1_1"/>
            <w:bookmarkEnd w:id="185"/>
          </w:p>
        </w:tc>
        <w:tc>
          <w:tcPr>
            <w:tcW w:w="1686" w:type="dxa"/>
            <w:tcBorders>
              <w:top w:val="nil"/>
              <w:left w:val="nil"/>
              <w:bottom w:val="nil"/>
              <w:right w:val="nil"/>
              <w:tl2br w:val="nil"/>
              <w:tr2bl w:val="nil"/>
            </w:tcBorders>
            <w:shd w:val="clear" w:color="auto" w:fill="auto"/>
            <w:tcMar>
              <w:left w:w="60" w:type="dxa"/>
              <w:right w:w="60" w:type="dxa"/>
            </w:tcMar>
            <w:vAlign w:val="bottom"/>
          </w:tcPr>
          <w:p>
            <w:pPr>
              <w:pStyle w:val="DMETW19877BIPCL"/>
              <w:rPr>
                <w:rFonts w:ascii="Arial" w:eastAsia="Arial" w:hAnsi="Arial" w:cs="Arial"/>
                <w:noProof/>
                <w:color w:val="000000"/>
              </w:rPr>
            </w:pPr>
          </w:p>
        </w:tc>
        <w:tc>
          <w:tcPr>
            <w:tcW w:w="1686" w:type="dxa"/>
            <w:tcBorders>
              <w:top w:val="nil"/>
              <w:left w:val="nil"/>
              <w:bottom w:val="nil"/>
              <w:right w:val="nil"/>
              <w:tl2br w:val="nil"/>
              <w:tr2bl w:val="nil"/>
            </w:tcBorders>
            <w:shd w:val="clear" w:color="auto" w:fill="auto"/>
            <w:tcMar>
              <w:left w:w="60" w:type="dxa"/>
              <w:right w:w="60" w:type="dxa"/>
            </w:tcMar>
            <w:vAlign w:val="bottom"/>
          </w:tcPr>
          <w:p>
            <w:pPr>
              <w:pStyle w:val="DMETW19877BIPCL"/>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386" w:type="dxa"/>
            <w:tcBorders>
              <w:top w:val="nil"/>
              <w:left w:val="nil"/>
              <w:bottom w:val="nil"/>
              <w:right w:val="nil"/>
              <w:tl2br w:val="nil"/>
              <w:tr2bl w:val="nil"/>
            </w:tcBorders>
            <w:shd w:val="solid" w:color="016794" w:fill="FFFFFF"/>
            <w:tcMar>
              <w:left w:w="60" w:type="dxa"/>
              <w:right w:w="60" w:type="dxa"/>
            </w:tcMar>
            <w:vAlign w:val="center"/>
          </w:tcPr>
          <w:p>
            <w:pPr>
              <w:pStyle w:val="DMETW19877BIPCL"/>
              <w:jc w:val="right"/>
              <w:rPr>
                <w:rFonts w:ascii="Verdana" w:eastAsia="Verdana" w:hAnsi="Verdana" w:cs="Verdana"/>
                <w:noProof/>
                <w:color w:val="FFFFFF"/>
              </w:rPr>
            </w:pPr>
          </w:p>
        </w:tc>
        <w:tc>
          <w:tcPr>
            <w:tcW w:w="1686" w:type="dxa"/>
            <w:tcBorders>
              <w:top w:val="nil"/>
              <w:left w:val="nil"/>
              <w:bottom w:val="nil"/>
              <w:right w:val="nil"/>
              <w:tl2br w:val="nil"/>
              <w:tr2bl w:val="nil"/>
            </w:tcBorders>
            <w:shd w:val="solid" w:color="016794" w:fill="FFFFFF"/>
            <w:tcMar>
              <w:left w:w="60" w:type="dxa"/>
              <w:right w:w="60" w:type="dxa"/>
            </w:tcMar>
            <w:vAlign w:val="center"/>
          </w:tcPr>
          <w:p>
            <w:pPr>
              <w:pStyle w:val="DMETW19877BIPCL"/>
              <w:jc w:val="right"/>
              <w:rPr>
                <w:rFonts w:ascii="Verdana" w:eastAsia="Verdana" w:hAnsi="Verdana" w:cs="Verdana"/>
                <w:noProof/>
                <w:color w:val="FFFFFF"/>
              </w:rPr>
            </w:pPr>
            <w:r>
              <w:rPr>
                <w:rFonts w:ascii="Verdana" w:hAnsi="Verdana"/>
                <w:noProof/>
                <w:color w:val="FFFFFF"/>
              </w:rPr>
              <w:t>31.12.2020 г.</w:t>
            </w:r>
          </w:p>
        </w:tc>
        <w:tc>
          <w:tcPr>
            <w:tcW w:w="1686" w:type="dxa"/>
            <w:tcBorders>
              <w:top w:val="nil"/>
              <w:left w:val="nil"/>
              <w:bottom w:val="nil"/>
              <w:right w:val="nil"/>
              <w:tl2br w:val="nil"/>
              <w:tr2bl w:val="nil"/>
            </w:tcBorders>
            <w:shd w:val="solid" w:color="016794" w:fill="FFFFFF"/>
            <w:tcMar>
              <w:left w:w="60" w:type="dxa"/>
              <w:right w:w="60" w:type="dxa"/>
            </w:tcMar>
            <w:vAlign w:val="center"/>
          </w:tcPr>
          <w:p>
            <w:pPr>
              <w:pStyle w:val="DMETW19877BIPCL"/>
              <w:jc w:val="right"/>
              <w:rPr>
                <w:rFonts w:ascii="Verdana" w:eastAsia="Verdana" w:hAnsi="Verdana" w:cs="Verdana"/>
                <w:noProof/>
                <w:color w:val="FFFFFF"/>
              </w:rPr>
            </w:pPr>
            <w:r>
              <w:rPr>
                <w:rFonts w:ascii="Verdana" w:hAnsi="Verdana"/>
                <w:noProof/>
                <w:color w:val="FFFFFF"/>
              </w:rPr>
              <w:t>31.12.2019 г.</w:t>
            </w:r>
          </w:p>
        </w:tc>
      </w:tr>
      <w:tr>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pPr>
              <w:pStyle w:val="DMETW19877BIPCL"/>
              <w:rPr>
                <w:rFonts w:ascii="Verdana" w:eastAsia="Verdana" w:hAnsi="Verdana" w:cs="Verdana"/>
                <w:i/>
                <w:noProof/>
                <w:color w:val="000000"/>
                <w:sz w:val="18"/>
              </w:rPr>
            </w:pPr>
            <w:r>
              <w:rPr>
                <w:rFonts w:ascii="Verdana" w:hAnsi="Verdana"/>
                <w:i/>
                <w:noProof/>
                <w:color w:val="000000"/>
                <w:sz w:val="18"/>
              </w:rPr>
              <w:t>Глоби</w:t>
            </w:r>
          </w:p>
        </w:tc>
        <w:tc>
          <w:tcPr>
            <w:tcW w:w="1686" w:type="dxa"/>
            <w:tcBorders>
              <w:top w:val="nil"/>
              <w:left w:val="nil"/>
              <w:bottom w:val="nil"/>
              <w:right w:val="nil"/>
              <w:tl2br w:val="nil"/>
              <w:tr2bl w:val="nil"/>
            </w:tcBorders>
            <w:shd w:val="clear" w:color="auto" w:fill="auto"/>
            <w:tcMar>
              <w:left w:w="60" w:type="dxa"/>
              <w:right w:w="60" w:type="dxa"/>
            </w:tcMar>
            <w:vAlign w:val="center"/>
          </w:tcPr>
          <w:p>
            <w:pPr>
              <w:pStyle w:val="DMETW19877BIPCL"/>
              <w:jc w:val="right"/>
              <w:rPr>
                <w:rFonts w:ascii="Verdana" w:eastAsia="Verdana" w:hAnsi="Verdana" w:cs="Verdana"/>
                <w:i/>
                <w:noProof/>
                <w:color w:val="000000"/>
                <w:sz w:val="18"/>
              </w:rPr>
            </w:pPr>
            <w:r>
              <w:rPr>
                <w:rFonts w:ascii="Verdana" w:hAnsi="Verdana"/>
                <w:i/>
                <w:noProof/>
                <w:color w:val="000000"/>
                <w:sz w:val="18"/>
              </w:rPr>
              <w:t>2 985</w:t>
            </w:r>
          </w:p>
        </w:tc>
        <w:tc>
          <w:tcPr>
            <w:tcW w:w="1686" w:type="dxa"/>
            <w:tcBorders>
              <w:top w:val="nil"/>
              <w:left w:val="nil"/>
              <w:bottom w:val="nil"/>
              <w:right w:val="nil"/>
              <w:tl2br w:val="nil"/>
              <w:tr2bl w:val="nil"/>
            </w:tcBorders>
            <w:shd w:val="clear" w:color="auto" w:fill="auto"/>
            <w:tcMar>
              <w:left w:w="60" w:type="dxa"/>
              <w:right w:w="60" w:type="dxa"/>
            </w:tcMar>
            <w:vAlign w:val="center"/>
          </w:tcPr>
          <w:p>
            <w:pPr>
              <w:pStyle w:val="DMETW19877BIPCL"/>
              <w:jc w:val="right"/>
              <w:rPr>
                <w:rFonts w:ascii="Verdana" w:eastAsia="Verdana" w:hAnsi="Verdana" w:cs="Verdana"/>
                <w:i/>
                <w:noProof/>
                <w:color w:val="000000"/>
                <w:sz w:val="18"/>
              </w:rPr>
            </w:pPr>
            <w:r>
              <w:rPr>
                <w:rFonts w:ascii="Verdana" w:hAnsi="Verdana"/>
                <w:i/>
                <w:noProof/>
                <w:color w:val="000000"/>
                <w:sz w:val="18"/>
              </w:rPr>
              <w:t>3 128</w:t>
            </w:r>
          </w:p>
        </w:tc>
      </w:tr>
      <w:tr>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pPr>
              <w:pStyle w:val="DMETW19877BIPCL"/>
              <w:rPr>
                <w:rFonts w:ascii="Verdana" w:eastAsia="Verdana" w:hAnsi="Verdana" w:cs="Verdana"/>
                <w:i/>
                <w:noProof/>
                <w:color w:val="000000"/>
                <w:sz w:val="18"/>
              </w:rPr>
            </w:pPr>
            <w:r>
              <w:rPr>
                <w:rFonts w:ascii="Verdana" w:hAnsi="Verdana"/>
                <w:i/>
                <w:noProof/>
                <w:color w:val="000000"/>
                <w:sz w:val="18"/>
              </w:rPr>
              <w:t>Селско стопанство</w:t>
            </w:r>
          </w:p>
        </w:tc>
        <w:tc>
          <w:tcPr>
            <w:tcW w:w="1686" w:type="dxa"/>
            <w:tcBorders>
              <w:top w:val="nil"/>
              <w:left w:val="nil"/>
              <w:bottom w:val="nil"/>
              <w:right w:val="nil"/>
              <w:tl2br w:val="nil"/>
              <w:tr2bl w:val="nil"/>
            </w:tcBorders>
            <w:shd w:val="clear" w:color="auto" w:fill="auto"/>
            <w:tcMar>
              <w:left w:w="60" w:type="dxa"/>
              <w:right w:w="60" w:type="dxa"/>
            </w:tcMar>
            <w:vAlign w:val="center"/>
          </w:tcPr>
          <w:p>
            <w:pPr>
              <w:pStyle w:val="DMETW19877BIPCL"/>
              <w:jc w:val="right"/>
              <w:rPr>
                <w:rFonts w:ascii="Verdana" w:eastAsia="Verdana" w:hAnsi="Verdana" w:cs="Verdana"/>
                <w:i/>
                <w:noProof/>
                <w:color w:val="000000"/>
                <w:sz w:val="18"/>
              </w:rPr>
            </w:pPr>
            <w:r>
              <w:rPr>
                <w:rFonts w:ascii="Verdana" w:hAnsi="Verdana"/>
                <w:i/>
                <w:noProof/>
                <w:color w:val="000000"/>
                <w:sz w:val="18"/>
              </w:rPr>
              <w:t xml:space="preserve"> 66</w:t>
            </w:r>
          </w:p>
        </w:tc>
        <w:tc>
          <w:tcPr>
            <w:tcW w:w="1686" w:type="dxa"/>
            <w:tcBorders>
              <w:top w:val="nil"/>
              <w:left w:val="nil"/>
              <w:bottom w:val="nil"/>
              <w:right w:val="nil"/>
              <w:tl2br w:val="nil"/>
              <w:tr2bl w:val="nil"/>
            </w:tcBorders>
            <w:shd w:val="clear" w:color="auto" w:fill="auto"/>
            <w:tcMar>
              <w:left w:w="60" w:type="dxa"/>
              <w:right w:w="60" w:type="dxa"/>
            </w:tcMar>
            <w:vAlign w:val="center"/>
          </w:tcPr>
          <w:p>
            <w:pPr>
              <w:pStyle w:val="DMETW19877BIPCL"/>
              <w:jc w:val="right"/>
              <w:rPr>
                <w:rFonts w:ascii="Verdana" w:eastAsia="Verdana" w:hAnsi="Verdana" w:cs="Verdana"/>
                <w:i/>
                <w:noProof/>
                <w:color w:val="000000"/>
                <w:sz w:val="18"/>
              </w:rPr>
            </w:pPr>
            <w:r>
              <w:rPr>
                <w:rFonts w:ascii="Verdana" w:hAnsi="Verdana"/>
                <w:i/>
                <w:noProof/>
                <w:color w:val="000000"/>
                <w:sz w:val="18"/>
              </w:rPr>
              <w:t xml:space="preserve"> 199</w:t>
            </w:r>
          </w:p>
        </w:tc>
      </w:tr>
      <w:tr>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pPr>
              <w:pStyle w:val="DMETW19877BIPCL"/>
              <w:rPr>
                <w:rFonts w:ascii="Verdana" w:eastAsia="Verdana" w:hAnsi="Verdana" w:cs="Verdana"/>
                <w:i/>
                <w:noProof/>
                <w:color w:val="000000"/>
                <w:sz w:val="18"/>
              </w:rPr>
            </w:pPr>
            <w:r>
              <w:rPr>
                <w:rFonts w:ascii="Verdana" w:hAnsi="Verdana"/>
                <w:i/>
                <w:noProof/>
                <w:color w:val="000000"/>
                <w:sz w:val="18"/>
              </w:rPr>
              <w:t>Сближаване</w:t>
            </w:r>
          </w:p>
        </w:tc>
        <w:tc>
          <w:tcPr>
            <w:tcW w:w="1686" w:type="dxa"/>
            <w:tcBorders>
              <w:top w:val="nil"/>
              <w:left w:val="nil"/>
              <w:bottom w:val="nil"/>
              <w:right w:val="nil"/>
              <w:tl2br w:val="nil"/>
              <w:tr2bl w:val="nil"/>
            </w:tcBorders>
            <w:shd w:val="clear" w:color="auto" w:fill="auto"/>
            <w:tcMar>
              <w:left w:w="60" w:type="dxa"/>
              <w:right w:w="60" w:type="dxa"/>
            </w:tcMar>
            <w:vAlign w:val="center"/>
          </w:tcPr>
          <w:p>
            <w:pPr>
              <w:pStyle w:val="DMETW19877BIPCL"/>
              <w:jc w:val="right"/>
              <w:rPr>
                <w:rFonts w:ascii="Verdana" w:eastAsia="Verdana" w:hAnsi="Verdana" w:cs="Verdana"/>
                <w:i/>
                <w:noProof/>
                <w:color w:val="000000"/>
                <w:sz w:val="18"/>
              </w:rPr>
            </w:pPr>
            <w:r>
              <w:rPr>
                <w:rFonts w:ascii="Verdana" w:hAnsi="Verdana"/>
                <w:i/>
                <w:noProof/>
                <w:color w:val="000000"/>
                <w:sz w:val="18"/>
              </w:rPr>
              <w:t xml:space="preserve"> 341</w:t>
            </w:r>
          </w:p>
        </w:tc>
        <w:tc>
          <w:tcPr>
            <w:tcW w:w="1686" w:type="dxa"/>
            <w:tcBorders>
              <w:top w:val="nil"/>
              <w:left w:val="nil"/>
              <w:bottom w:val="nil"/>
              <w:right w:val="nil"/>
              <w:tl2br w:val="nil"/>
              <w:tr2bl w:val="nil"/>
            </w:tcBorders>
            <w:shd w:val="clear" w:color="auto" w:fill="auto"/>
            <w:tcMar>
              <w:left w:w="60" w:type="dxa"/>
              <w:right w:w="60" w:type="dxa"/>
            </w:tcMar>
            <w:vAlign w:val="center"/>
          </w:tcPr>
          <w:p>
            <w:pPr>
              <w:pStyle w:val="DMETW19877BIPCL"/>
              <w:jc w:val="right"/>
              <w:rPr>
                <w:rFonts w:ascii="Verdana" w:eastAsia="Verdana" w:hAnsi="Verdana" w:cs="Verdana"/>
                <w:i/>
                <w:noProof/>
                <w:color w:val="000000"/>
                <w:sz w:val="18"/>
              </w:rPr>
            </w:pPr>
            <w:r>
              <w:rPr>
                <w:rFonts w:ascii="Verdana" w:hAnsi="Verdana"/>
                <w:i/>
                <w:noProof/>
                <w:color w:val="000000"/>
                <w:sz w:val="18"/>
              </w:rPr>
              <w:t xml:space="preserve"> 341</w:t>
            </w:r>
          </w:p>
        </w:tc>
      </w:tr>
      <w:tr>
        <w:trPr>
          <w:trHeight w:val="255"/>
        </w:trPr>
        <w:tc>
          <w:tcPr>
            <w:tcW w:w="6386" w:type="dxa"/>
            <w:tcBorders>
              <w:top w:val="nil"/>
              <w:left w:val="nil"/>
              <w:bottom w:val="nil"/>
              <w:right w:val="nil"/>
              <w:tl2br w:val="nil"/>
              <w:tr2bl w:val="nil"/>
            </w:tcBorders>
            <w:shd w:val="clear" w:color="auto" w:fill="auto"/>
            <w:tcMar>
              <w:left w:w="60" w:type="dxa"/>
              <w:right w:w="60" w:type="dxa"/>
            </w:tcMar>
            <w:vAlign w:val="center"/>
          </w:tcPr>
          <w:p>
            <w:pPr>
              <w:pStyle w:val="DMETW19877BIPCL"/>
              <w:rPr>
                <w:rFonts w:ascii="Verdana" w:eastAsia="Verdana" w:hAnsi="Verdana" w:cs="Verdana"/>
                <w:i/>
                <w:noProof/>
                <w:color w:val="000000"/>
                <w:sz w:val="18"/>
              </w:rPr>
            </w:pPr>
            <w:r>
              <w:rPr>
                <w:rFonts w:ascii="Verdana" w:hAnsi="Verdana"/>
                <w:i/>
                <w:noProof/>
                <w:color w:val="000000"/>
                <w:sz w:val="18"/>
              </w:rPr>
              <w:t>Други</w:t>
            </w:r>
          </w:p>
        </w:tc>
        <w:tc>
          <w:tcPr>
            <w:tcW w:w="1686" w:type="dxa"/>
            <w:tcBorders>
              <w:top w:val="nil"/>
              <w:left w:val="nil"/>
              <w:bottom w:val="nil"/>
              <w:right w:val="nil"/>
              <w:tl2br w:val="nil"/>
              <w:tr2bl w:val="nil"/>
            </w:tcBorders>
            <w:shd w:val="clear" w:color="auto" w:fill="auto"/>
            <w:tcMar>
              <w:left w:w="60" w:type="dxa"/>
              <w:right w:w="60" w:type="dxa"/>
            </w:tcMar>
            <w:vAlign w:val="center"/>
          </w:tcPr>
          <w:p>
            <w:pPr>
              <w:pStyle w:val="DMETW19877BIPCL"/>
              <w:jc w:val="right"/>
              <w:rPr>
                <w:rFonts w:ascii="Verdana" w:eastAsia="Verdana" w:hAnsi="Verdana" w:cs="Verdana"/>
                <w:i/>
                <w:noProof/>
                <w:color w:val="000000"/>
                <w:sz w:val="18"/>
              </w:rPr>
            </w:pPr>
            <w:r>
              <w:rPr>
                <w:rFonts w:ascii="Verdana" w:hAnsi="Verdana"/>
                <w:i/>
                <w:noProof/>
                <w:color w:val="000000"/>
                <w:sz w:val="18"/>
              </w:rPr>
              <w:t>2 169</w:t>
            </w:r>
          </w:p>
        </w:tc>
        <w:tc>
          <w:tcPr>
            <w:tcW w:w="1686" w:type="dxa"/>
            <w:tcBorders>
              <w:top w:val="nil"/>
              <w:left w:val="nil"/>
              <w:bottom w:val="nil"/>
              <w:right w:val="nil"/>
              <w:tl2br w:val="nil"/>
              <w:tr2bl w:val="nil"/>
            </w:tcBorders>
            <w:shd w:val="clear" w:color="auto" w:fill="auto"/>
            <w:tcMar>
              <w:left w:w="60" w:type="dxa"/>
              <w:right w:w="60" w:type="dxa"/>
            </w:tcMar>
            <w:vAlign w:val="center"/>
          </w:tcPr>
          <w:p>
            <w:pPr>
              <w:pStyle w:val="DMETW19877BIPCL"/>
              <w:jc w:val="right"/>
              <w:rPr>
                <w:rFonts w:ascii="Verdana" w:eastAsia="Verdana" w:hAnsi="Verdana" w:cs="Verdana"/>
                <w:i/>
                <w:noProof/>
                <w:color w:val="000000"/>
                <w:sz w:val="18"/>
              </w:rPr>
            </w:pPr>
            <w:r>
              <w:rPr>
                <w:rFonts w:ascii="Verdana" w:hAnsi="Verdana"/>
                <w:i/>
                <w:noProof/>
                <w:color w:val="000000"/>
                <w:sz w:val="18"/>
              </w:rPr>
              <w:t>2 137</w:t>
            </w:r>
          </w:p>
        </w:tc>
      </w:tr>
      <w:tr>
        <w:trPr>
          <w:trHeight w:val="255"/>
        </w:trPr>
        <w:tc>
          <w:tcPr>
            <w:tcW w:w="6386" w:type="dxa"/>
            <w:tcBorders>
              <w:top w:val="nil"/>
              <w:left w:val="nil"/>
              <w:bottom w:val="nil"/>
              <w:right w:val="nil"/>
              <w:tl2br w:val="nil"/>
              <w:tr2bl w:val="nil"/>
            </w:tcBorders>
            <w:shd w:val="solid" w:color="CCE1EA" w:fill="FFFFFF"/>
            <w:tcMar>
              <w:left w:w="60" w:type="dxa"/>
              <w:right w:w="60" w:type="dxa"/>
            </w:tcMar>
            <w:vAlign w:val="center"/>
          </w:tcPr>
          <w:p>
            <w:pPr>
              <w:pStyle w:val="DMETW19877BIPCL"/>
              <w:rPr>
                <w:rFonts w:ascii="Verdana" w:eastAsia="Verdana" w:hAnsi="Verdana" w:cs="Verdana"/>
                <w:b/>
                <w:noProof/>
                <w:color w:val="000000"/>
                <w:sz w:val="18"/>
              </w:rPr>
            </w:pPr>
            <w:r>
              <w:rPr>
                <w:rFonts w:ascii="Verdana" w:hAnsi="Verdana"/>
                <w:b/>
                <w:noProof/>
                <w:color w:val="000000"/>
                <w:sz w:val="18"/>
              </w:rPr>
              <w:t>Общо</w:t>
            </w:r>
          </w:p>
        </w:tc>
        <w:tc>
          <w:tcPr>
            <w:tcW w:w="1686" w:type="dxa"/>
            <w:tcBorders>
              <w:top w:val="nil"/>
              <w:left w:val="nil"/>
              <w:bottom w:val="nil"/>
              <w:right w:val="nil"/>
              <w:tl2br w:val="nil"/>
              <w:tr2bl w:val="nil"/>
            </w:tcBorders>
            <w:shd w:val="solid" w:color="CCE1EA" w:fill="FFFFFF"/>
            <w:tcMar>
              <w:left w:w="60" w:type="dxa"/>
              <w:right w:w="60" w:type="dxa"/>
            </w:tcMar>
            <w:vAlign w:val="center"/>
          </w:tcPr>
          <w:p>
            <w:pPr>
              <w:pStyle w:val="DMETW19877BIPCL"/>
              <w:jc w:val="right"/>
              <w:rPr>
                <w:rFonts w:ascii="Verdana" w:eastAsia="Verdana" w:hAnsi="Verdana" w:cs="Verdana"/>
                <w:b/>
                <w:noProof/>
                <w:color w:val="000000"/>
                <w:sz w:val="18"/>
              </w:rPr>
            </w:pPr>
            <w:r>
              <w:rPr>
                <w:rFonts w:ascii="Verdana" w:hAnsi="Verdana"/>
                <w:b/>
                <w:noProof/>
                <w:color w:val="000000"/>
                <w:sz w:val="18"/>
              </w:rPr>
              <w:t>5 561</w:t>
            </w:r>
          </w:p>
        </w:tc>
        <w:tc>
          <w:tcPr>
            <w:tcW w:w="1686" w:type="dxa"/>
            <w:tcBorders>
              <w:top w:val="nil"/>
              <w:left w:val="nil"/>
              <w:bottom w:val="nil"/>
              <w:right w:val="nil"/>
              <w:tl2br w:val="nil"/>
              <w:tr2bl w:val="nil"/>
            </w:tcBorders>
            <w:shd w:val="solid" w:color="CCE1EA" w:fill="FFFFFF"/>
            <w:tcMar>
              <w:left w:w="60" w:type="dxa"/>
              <w:right w:w="60" w:type="dxa"/>
            </w:tcMar>
            <w:vAlign w:val="center"/>
          </w:tcPr>
          <w:p>
            <w:pPr>
              <w:pStyle w:val="DMETW19877BIPCL"/>
              <w:jc w:val="right"/>
              <w:rPr>
                <w:rFonts w:ascii="Verdana" w:eastAsia="Verdana" w:hAnsi="Verdana" w:cs="Verdana"/>
                <w:b/>
                <w:noProof/>
                <w:color w:val="000000"/>
                <w:sz w:val="18"/>
              </w:rPr>
            </w:pPr>
            <w:r>
              <w:rPr>
                <w:rFonts w:ascii="Verdana" w:hAnsi="Verdana"/>
                <w:b/>
                <w:noProof/>
                <w:color w:val="000000"/>
                <w:sz w:val="18"/>
              </w:rPr>
              <w:t>5 805</w:t>
            </w:r>
          </w:p>
        </w:tc>
      </w:tr>
    </w:tbl>
    <w:p>
      <w:pPr>
        <w:pStyle w:val="Heading9pNormalLeft"/>
        <w:rPr>
          <w:noProof/>
          <w:lang w:bidi="en-GB"/>
        </w:rPr>
      </w:pPr>
    </w:p>
    <w:p>
      <w:pPr>
        <w:pStyle w:val="DGTextstand-alone"/>
        <w:spacing w:after="120"/>
      </w:pPr>
      <w:r>
        <w:rPr>
          <w:color w:val="016794"/>
          <w:szCs w:val="20"/>
        </w:rPr>
        <w:t>Глоби</w:t>
      </w:r>
    </w:p>
    <w:p>
      <w:pPr>
        <w:pStyle w:val="DGTextstand-alone"/>
      </w:pPr>
      <w:r>
        <w:t>Тези суми се отнасят предимно до глобите, наложени от Комисията за нарушение на правилата за конкуренция и платени условно от глобените предприятия, по отношение на които или е подадена жалба, или не е известно дали ще бъде подадена такава. Условният пасив се запазва до произнасяне на окончателно решение на Съда по делото или до изтичане на срока за подаване на жалба. Лихвата, натрупана върху условните плащания, се включва във финансовия резултат за годината, а също и като условен пасив, за да се отрази несигурността на правото на собственост на Комисията върху тези суми.</w:t>
      </w:r>
    </w:p>
    <w:p>
      <w:pPr>
        <w:pStyle w:val="DGTextstand-alone"/>
      </w:pPr>
      <w:r>
        <w:t>Ако ЕС загуби някое от делата за наложени глоби, условно получените суми ще бъдат върнати на предприятията, без това да се отрази на бюджета. Размерът на глобите се признава като бюджетен приход едва когато глобите станат окончателни (член 107 от ФР).</w:t>
      </w:r>
    </w:p>
    <w:p>
      <w:pPr>
        <w:pStyle w:val="DGTextstand-alone"/>
        <w:spacing w:after="120"/>
        <w:rPr>
          <w:color w:val="016794"/>
          <w:szCs w:val="20"/>
        </w:rPr>
      </w:pPr>
      <w:r>
        <w:rPr>
          <w:color w:val="016794"/>
          <w:szCs w:val="20"/>
        </w:rPr>
        <w:t>Селско стопанство</w:t>
      </w:r>
    </w:p>
    <w:p>
      <w:pPr>
        <w:pStyle w:val="DGTextstand-alone"/>
      </w:pPr>
      <w:r>
        <w:t>Това са условни задължения към държавите членки, свързани с решенията с оглед на съответствието по ЕФГЗ и развитието на селските райони, по които Съдът все още не се е произнесъл. Определянето на окончателния размер на пасива и годината, през която резултатът от успешните обжалвания ще бъде вписан като разход за бюджета, зависят от продължителността на процедурата пред Съда.</w:t>
      </w:r>
    </w:p>
    <w:p>
      <w:pPr>
        <w:pStyle w:val="DGTextstand-alone"/>
        <w:spacing w:after="120"/>
        <w:rPr>
          <w:color w:val="016794"/>
          <w:szCs w:val="20"/>
        </w:rPr>
      </w:pPr>
      <w:r>
        <w:rPr>
          <w:color w:val="016794"/>
          <w:szCs w:val="20"/>
        </w:rPr>
        <w:t>Сближаване</w:t>
      </w:r>
    </w:p>
    <w:p>
      <w:pPr>
        <w:pStyle w:val="DGTextstand-alone"/>
      </w:pPr>
      <w:r>
        <w:t xml:space="preserve">Това са условни задължения към държавите членки във връзка с дейности в областта на политиката на сближаване, за които се очаква датата на изслушване или Съдът да се произнесе. </w:t>
      </w:r>
    </w:p>
    <w:p>
      <w:pPr>
        <w:pStyle w:val="DGTextstand-alone"/>
        <w:spacing w:after="120"/>
        <w:rPr>
          <w:color w:val="016794"/>
          <w:szCs w:val="20"/>
        </w:rPr>
      </w:pPr>
      <w:r>
        <w:rPr>
          <w:color w:val="016794"/>
          <w:szCs w:val="20"/>
        </w:rPr>
        <w:t>Други съдебни дела</w:t>
      </w:r>
    </w:p>
    <w:p>
      <w:pPr>
        <w:pStyle w:val="DGTextstand-alone"/>
        <w:spacing w:after="0"/>
        <w:rPr>
          <w:bdr w:val="none" w:sz="0" w:space="0" w:color="auto" w:frame="1"/>
        </w:rPr>
      </w:pPr>
      <w:r>
        <w:t xml:space="preserve">Тази позиция се отнася до делата за обезщетения, понастоящем заведени срещу ЕС, други съдебни спорове и очакваните съдебни разноски. Следва да се отбележи, че при дело за обезщетения по член 340 от ДФЕС ищецът трябва да докаже наличието на достатъчно сериозно нарушение от страна на институцията на законова разпоредба, предназначена да предостави права на лица, реална вреда, претърпяна от ищеца, и пряка причинно-следствена връзка между неправомерното действие и вредата. </w:t>
      </w:r>
      <w:r>
        <w:rPr>
          <w:bdr w:val="none" w:sz="0" w:space="0" w:color="auto" w:frame="1"/>
        </w:rPr>
        <w:t>Сумата за 2020 г. (както през 2019 г.) се отнася главно до иск за обезщетение срещу Комисията във връзка с решение за забрана на сливане, за който иск, при липса на надеждна оценка, оповестената сума е размерът на исканото обезщетение.</w:t>
      </w:r>
    </w:p>
    <w:p>
      <w:pPr>
        <w:pStyle w:val="HEADER5"/>
        <w:rPr>
          <w:noProof/>
          <w:highlight w:val="yellow"/>
        </w:rPr>
      </w:pPr>
    </w:p>
    <w:p>
      <w:pPr>
        <w:pStyle w:val="HEADER5"/>
        <w:rPr>
          <w:noProof/>
        </w:rPr>
      </w:pPr>
      <w:r>
        <w:rPr>
          <w:noProof/>
        </w:rPr>
        <w:t>Задължения на Обединеното кралство, произтичащи от излизането му от ЕС</w:t>
      </w:r>
    </w:p>
    <w:p>
      <w:pPr>
        <w:pStyle w:val="DGTextstand-alone"/>
        <w:spacing w:after="0"/>
      </w:pPr>
      <w:r>
        <w:t xml:space="preserve">Съгласно член 147 от СО Обединеното кралство носи отговорност за своя дял от плащанията, необходими за изпълняване на условните задължения на Съюза, които стават дължими във връзка със съдебни дела, свързани с финансовите интереси на Съюза, при условие че фактите, формиращи предмета на тези дела, са настъпили не по-късно от 31 декември 2020 г. Като се изключат посочените в таблицата по-горе суми, свързани с глоби (тъй като паричните средства са платени условно от глобения субект и няма да е необходимо да бъдат финансирани изцяло от бюджета на ЕС или от Обединеното кралство), прогнозната максимална експозиция на Обединеното кралство във връзка с това е 318 милиона евро. По отношение на съдебните дела, за които се счита за вероятно сумите да бъдат платени от бюджета на ЕС (вж. бележка </w:t>
      </w:r>
      <w:r>
        <w:rPr>
          <w:b/>
        </w:rPr>
        <w:t>2.10</w:t>
      </w:r>
      <w:r>
        <w:t xml:space="preserve">), дялът на Обединеното кралство е включен като част от общата сума, дължима от Обединеното кралство — вж. по-подробна информация в бележка </w:t>
      </w:r>
      <w:r>
        <w:rPr>
          <w:b/>
        </w:rPr>
        <w:t>2.6.1.2</w:t>
      </w:r>
      <w:r>
        <w:t>.</w:t>
      </w:r>
    </w:p>
    <w:p>
      <w:pPr>
        <w:pStyle w:val="HEADER2NOTES"/>
        <w:rPr>
          <w:noProof/>
        </w:rPr>
      </w:pPr>
      <w:r>
        <w:rPr>
          <w:noProof/>
        </w:rPr>
        <w:t>УСЛОВНИ АКТИВИ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0"/>
        <w:gridCol w:w="1989"/>
        <w:gridCol w:w="1989"/>
      </w:tblGrid>
      <w:tr>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bottom"/>
          </w:tcPr>
          <w:p>
            <w:pPr>
              <w:pStyle w:val="DMETW19877BIPCA"/>
              <w:rPr>
                <w:rFonts w:ascii="Arial" w:eastAsia="Arial" w:hAnsi="Arial" w:cs="Arial"/>
                <w:noProof/>
                <w:color w:val="000000"/>
              </w:rPr>
            </w:pPr>
            <w:bookmarkStart w:id="186" w:name="DOC_TBL00080_1_1"/>
            <w:bookmarkEnd w:id="186"/>
          </w:p>
        </w:tc>
        <w:tc>
          <w:tcPr>
            <w:tcW w:w="1989" w:type="dxa"/>
            <w:tcBorders>
              <w:top w:val="nil"/>
              <w:left w:val="nil"/>
              <w:bottom w:val="nil"/>
              <w:right w:val="nil"/>
              <w:tl2br w:val="nil"/>
              <w:tr2bl w:val="nil"/>
            </w:tcBorders>
            <w:shd w:val="solid" w:color="FFFFFF" w:fill="FFFFFF"/>
            <w:tcMar>
              <w:left w:w="60" w:type="dxa"/>
              <w:right w:w="60" w:type="dxa"/>
            </w:tcMar>
            <w:vAlign w:val="bottom"/>
          </w:tcPr>
          <w:p>
            <w:pPr>
              <w:pStyle w:val="DMETW19877BIPCA"/>
              <w:rPr>
                <w:rFonts w:ascii="Arial" w:eastAsia="Arial" w:hAnsi="Arial" w:cs="Arial"/>
                <w:noProof/>
                <w:color w:val="000000"/>
              </w:rPr>
            </w:pPr>
          </w:p>
        </w:tc>
        <w:tc>
          <w:tcPr>
            <w:tcW w:w="1989" w:type="dxa"/>
            <w:tcBorders>
              <w:top w:val="nil"/>
              <w:left w:val="nil"/>
              <w:bottom w:val="nil"/>
              <w:right w:val="nil"/>
              <w:tl2br w:val="nil"/>
              <w:tr2bl w:val="nil"/>
            </w:tcBorders>
            <w:shd w:val="solid" w:color="FFFFFF" w:fill="FFFFFF"/>
            <w:tcMar>
              <w:left w:w="60" w:type="dxa"/>
              <w:right w:w="60" w:type="dxa"/>
            </w:tcMar>
            <w:vAlign w:val="bottom"/>
          </w:tcPr>
          <w:p>
            <w:pPr>
              <w:pStyle w:val="DMETW19877BIPC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5780" w:type="dxa"/>
            <w:tcBorders>
              <w:top w:val="nil"/>
              <w:left w:val="nil"/>
              <w:bottom w:val="nil"/>
              <w:right w:val="nil"/>
              <w:tl2br w:val="nil"/>
              <w:tr2bl w:val="nil"/>
            </w:tcBorders>
            <w:shd w:val="solid" w:color="016794" w:fill="FFFFFF"/>
            <w:tcMar>
              <w:left w:w="60" w:type="dxa"/>
              <w:right w:w="60" w:type="dxa"/>
            </w:tcMar>
            <w:vAlign w:val="center"/>
          </w:tcPr>
          <w:p>
            <w:pPr>
              <w:pStyle w:val="DMETW19877BIPCA"/>
              <w:jc w:val="right"/>
              <w:rPr>
                <w:rFonts w:ascii="Verdana" w:eastAsia="Verdana" w:hAnsi="Verdana" w:cs="Verdana"/>
                <w:noProof/>
                <w:color w:val="FFFFFF"/>
              </w:rPr>
            </w:pPr>
          </w:p>
        </w:tc>
        <w:tc>
          <w:tcPr>
            <w:tcW w:w="1989" w:type="dxa"/>
            <w:tcBorders>
              <w:top w:val="nil"/>
              <w:left w:val="nil"/>
              <w:bottom w:val="nil"/>
              <w:right w:val="nil"/>
              <w:tl2br w:val="nil"/>
              <w:tr2bl w:val="nil"/>
            </w:tcBorders>
            <w:shd w:val="solid" w:color="016794" w:fill="FFFFFF"/>
            <w:tcMar>
              <w:left w:w="60" w:type="dxa"/>
              <w:right w:w="60" w:type="dxa"/>
            </w:tcMar>
            <w:vAlign w:val="center"/>
          </w:tcPr>
          <w:p>
            <w:pPr>
              <w:pStyle w:val="DMETW19877BIPCA"/>
              <w:jc w:val="right"/>
              <w:rPr>
                <w:rFonts w:ascii="Verdana" w:eastAsia="Verdana" w:hAnsi="Verdana" w:cs="Verdana"/>
                <w:noProof/>
                <w:color w:val="FFFFFF"/>
              </w:rPr>
            </w:pPr>
            <w:r>
              <w:rPr>
                <w:rFonts w:ascii="Verdana" w:hAnsi="Verdana"/>
                <w:noProof/>
                <w:color w:val="FFFFFF"/>
              </w:rPr>
              <w:t>31.12.2020 г.</w:t>
            </w:r>
          </w:p>
        </w:tc>
        <w:tc>
          <w:tcPr>
            <w:tcW w:w="1989" w:type="dxa"/>
            <w:tcBorders>
              <w:top w:val="nil"/>
              <w:left w:val="nil"/>
              <w:bottom w:val="nil"/>
              <w:right w:val="nil"/>
              <w:tl2br w:val="nil"/>
              <w:tr2bl w:val="nil"/>
            </w:tcBorders>
            <w:shd w:val="solid" w:color="016794" w:fill="FFFFFF"/>
            <w:tcMar>
              <w:left w:w="60" w:type="dxa"/>
              <w:right w:w="60" w:type="dxa"/>
            </w:tcMar>
            <w:vAlign w:val="center"/>
          </w:tcPr>
          <w:p>
            <w:pPr>
              <w:pStyle w:val="DMETW19877BIPCA"/>
              <w:jc w:val="right"/>
              <w:rPr>
                <w:rFonts w:ascii="Verdana" w:eastAsia="Verdana" w:hAnsi="Verdana" w:cs="Verdana"/>
                <w:noProof/>
                <w:color w:val="FFFFFF"/>
              </w:rPr>
            </w:pPr>
            <w:r>
              <w:rPr>
                <w:rFonts w:ascii="Verdana" w:hAnsi="Verdana"/>
                <w:noProof/>
                <w:color w:val="FFFFFF"/>
              </w:rPr>
              <w:t>31.12.2019 г.</w:t>
            </w:r>
          </w:p>
        </w:tc>
      </w:tr>
      <w:tr>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pPr>
              <w:pStyle w:val="DMETW19877BIPCA"/>
              <w:rPr>
                <w:rFonts w:ascii="Verdana" w:eastAsia="Verdana" w:hAnsi="Verdana" w:cs="Verdana"/>
                <w:i/>
                <w:noProof/>
                <w:color w:val="000000"/>
                <w:sz w:val="18"/>
              </w:rPr>
            </w:pPr>
            <w:r>
              <w:rPr>
                <w:rFonts w:ascii="Verdana" w:hAnsi="Verdana"/>
                <w:i/>
                <w:noProof/>
                <w:color w:val="000000"/>
                <w:sz w:val="18"/>
              </w:rPr>
              <w:t>Получени гаранции:</w:t>
            </w:r>
          </w:p>
        </w:tc>
        <w:tc>
          <w:tcPr>
            <w:tcW w:w="1989" w:type="dxa"/>
            <w:tcBorders>
              <w:top w:val="nil"/>
              <w:left w:val="nil"/>
              <w:bottom w:val="nil"/>
              <w:right w:val="nil"/>
              <w:tl2br w:val="nil"/>
              <w:tr2bl w:val="nil"/>
            </w:tcBorders>
            <w:shd w:val="solid" w:color="FFFFFF" w:fill="FFFFFF"/>
            <w:tcMar>
              <w:left w:w="60" w:type="dxa"/>
              <w:right w:w="60" w:type="dxa"/>
            </w:tcMar>
            <w:vAlign w:val="center"/>
          </w:tcPr>
          <w:p>
            <w:pPr>
              <w:pStyle w:val="DMETW19877BIPCA"/>
              <w:jc w:val="right"/>
              <w:rPr>
                <w:rFonts w:ascii="Verdana" w:eastAsia="Verdana" w:hAnsi="Verdana" w:cs="Verdana"/>
                <w:i/>
                <w:noProof/>
                <w:color w:val="000000"/>
                <w:sz w:val="18"/>
              </w:rPr>
            </w:pPr>
          </w:p>
        </w:tc>
        <w:tc>
          <w:tcPr>
            <w:tcW w:w="1989" w:type="dxa"/>
            <w:tcBorders>
              <w:top w:val="nil"/>
              <w:left w:val="nil"/>
              <w:bottom w:val="nil"/>
              <w:right w:val="nil"/>
              <w:tl2br w:val="nil"/>
              <w:tr2bl w:val="nil"/>
            </w:tcBorders>
            <w:shd w:val="solid" w:color="FFFFFF" w:fill="FFFFFF"/>
            <w:tcMar>
              <w:left w:w="60" w:type="dxa"/>
              <w:right w:w="60" w:type="dxa"/>
            </w:tcMar>
            <w:vAlign w:val="center"/>
          </w:tcPr>
          <w:p>
            <w:pPr>
              <w:pStyle w:val="DMETW19877BIPCA"/>
              <w:jc w:val="right"/>
              <w:rPr>
                <w:rFonts w:ascii="Verdana" w:eastAsia="Verdana" w:hAnsi="Verdana" w:cs="Verdana"/>
                <w:i/>
                <w:noProof/>
                <w:color w:val="000000"/>
                <w:sz w:val="18"/>
                <w:lang w:bidi="en-GB"/>
              </w:rPr>
            </w:pPr>
          </w:p>
        </w:tc>
      </w:tr>
      <w:tr>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pPr>
              <w:pStyle w:val="DMETW19877BIPCA"/>
              <w:rPr>
                <w:rFonts w:ascii="Verdana" w:eastAsia="Verdana" w:hAnsi="Verdana" w:cs="Verdana"/>
                <w:i/>
                <w:noProof/>
                <w:color w:val="000000"/>
                <w:sz w:val="18"/>
              </w:rPr>
            </w:pPr>
            <w:r>
              <w:rPr>
                <w:rFonts w:ascii="Verdana" w:hAnsi="Verdana"/>
                <w:i/>
                <w:noProof/>
                <w:color w:val="000000"/>
                <w:sz w:val="18"/>
              </w:rPr>
              <w:t xml:space="preserve">     Гаранции за добро изпълнение</w:t>
            </w:r>
          </w:p>
        </w:tc>
        <w:tc>
          <w:tcPr>
            <w:tcW w:w="1989" w:type="dxa"/>
            <w:tcBorders>
              <w:top w:val="nil"/>
              <w:left w:val="nil"/>
              <w:bottom w:val="nil"/>
              <w:right w:val="nil"/>
              <w:tl2br w:val="nil"/>
              <w:tr2bl w:val="nil"/>
            </w:tcBorders>
            <w:shd w:val="solid" w:color="FFFFFF" w:fill="FFFFFF"/>
            <w:tcMar>
              <w:left w:w="60" w:type="dxa"/>
              <w:right w:w="60" w:type="dxa"/>
            </w:tcMar>
            <w:vAlign w:val="center"/>
          </w:tcPr>
          <w:p>
            <w:pPr>
              <w:pStyle w:val="DMETW19877BIPCA"/>
              <w:jc w:val="right"/>
              <w:rPr>
                <w:rFonts w:ascii="Verdana" w:eastAsia="Verdana" w:hAnsi="Verdana" w:cs="Verdana"/>
                <w:i/>
                <w:noProof/>
                <w:color w:val="000000"/>
                <w:sz w:val="18"/>
              </w:rPr>
            </w:pPr>
            <w:r>
              <w:rPr>
                <w:rFonts w:ascii="Verdana" w:hAnsi="Verdana"/>
                <w:i/>
                <w:noProof/>
                <w:color w:val="000000"/>
                <w:sz w:val="18"/>
              </w:rPr>
              <w:t xml:space="preserve"> 318</w:t>
            </w:r>
          </w:p>
        </w:tc>
        <w:tc>
          <w:tcPr>
            <w:tcW w:w="1989" w:type="dxa"/>
            <w:tcBorders>
              <w:top w:val="nil"/>
              <w:left w:val="nil"/>
              <w:bottom w:val="nil"/>
              <w:right w:val="nil"/>
              <w:tl2br w:val="nil"/>
              <w:tr2bl w:val="nil"/>
            </w:tcBorders>
            <w:shd w:val="solid" w:color="FFFFFF" w:fill="FFFFFF"/>
            <w:tcMar>
              <w:left w:w="60" w:type="dxa"/>
              <w:right w:w="60" w:type="dxa"/>
            </w:tcMar>
            <w:vAlign w:val="center"/>
          </w:tcPr>
          <w:p>
            <w:pPr>
              <w:pStyle w:val="DMETW19877BIPCA"/>
              <w:jc w:val="right"/>
              <w:rPr>
                <w:rFonts w:ascii="Verdana" w:eastAsia="Verdana" w:hAnsi="Verdana" w:cs="Verdana"/>
                <w:i/>
                <w:noProof/>
                <w:color w:val="000000"/>
                <w:sz w:val="18"/>
              </w:rPr>
            </w:pPr>
            <w:r>
              <w:rPr>
                <w:rFonts w:ascii="Verdana" w:hAnsi="Verdana"/>
                <w:i/>
                <w:noProof/>
                <w:color w:val="000000"/>
                <w:sz w:val="18"/>
              </w:rPr>
              <w:t xml:space="preserve"> 349</w:t>
            </w:r>
          </w:p>
        </w:tc>
      </w:tr>
      <w:tr>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pPr>
              <w:pStyle w:val="DMETW19877BIPCA"/>
              <w:rPr>
                <w:rFonts w:ascii="Verdana" w:eastAsia="Verdana" w:hAnsi="Verdana" w:cs="Verdana"/>
                <w:i/>
                <w:noProof/>
                <w:color w:val="000000"/>
                <w:sz w:val="18"/>
              </w:rPr>
            </w:pPr>
            <w:r>
              <w:rPr>
                <w:rFonts w:ascii="Verdana" w:hAnsi="Verdana"/>
                <w:i/>
                <w:noProof/>
                <w:color w:val="000000"/>
                <w:sz w:val="18"/>
              </w:rPr>
              <w:t xml:space="preserve">     Други гаранции</w:t>
            </w:r>
          </w:p>
        </w:tc>
        <w:tc>
          <w:tcPr>
            <w:tcW w:w="1989" w:type="dxa"/>
            <w:tcBorders>
              <w:top w:val="nil"/>
              <w:left w:val="nil"/>
              <w:bottom w:val="nil"/>
              <w:right w:val="nil"/>
              <w:tl2br w:val="nil"/>
              <w:tr2bl w:val="nil"/>
            </w:tcBorders>
            <w:shd w:val="solid" w:color="FFFFFF" w:fill="FFFFFF"/>
            <w:tcMar>
              <w:left w:w="60" w:type="dxa"/>
              <w:right w:w="60" w:type="dxa"/>
            </w:tcMar>
            <w:vAlign w:val="center"/>
          </w:tcPr>
          <w:p>
            <w:pPr>
              <w:pStyle w:val="DMETW19877BIPCA"/>
              <w:jc w:val="right"/>
              <w:rPr>
                <w:rFonts w:ascii="Verdana" w:eastAsia="Verdana" w:hAnsi="Verdana" w:cs="Verdana"/>
                <w:i/>
                <w:noProof/>
                <w:color w:val="000000"/>
                <w:sz w:val="18"/>
              </w:rPr>
            </w:pPr>
            <w:r>
              <w:rPr>
                <w:rFonts w:ascii="Verdana" w:hAnsi="Verdana"/>
                <w:i/>
                <w:noProof/>
                <w:color w:val="000000"/>
                <w:sz w:val="18"/>
              </w:rPr>
              <w:t xml:space="preserve"> 8</w:t>
            </w:r>
          </w:p>
        </w:tc>
        <w:tc>
          <w:tcPr>
            <w:tcW w:w="1989" w:type="dxa"/>
            <w:tcBorders>
              <w:top w:val="nil"/>
              <w:left w:val="nil"/>
              <w:bottom w:val="nil"/>
              <w:right w:val="nil"/>
              <w:tl2br w:val="nil"/>
              <w:tr2bl w:val="nil"/>
            </w:tcBorders>
            <w:shd w:val="solid" w:color="FFFFFF" w:fill="FFFFFF"/>
            <w:tcMar>
              <w:left w:w="60" w:type="dxa"/>
              <w:right w:w="60" w:type="dxa"/>
            </w:tcMar>
            <w:vAlign w:val="center"/>
          </w:tcPr>
          <w:p>
            <w:pPr>
              <w:pStyle w:val="DMETW19877BIPCA"/>
              <w:jc w:val="right"/>
              <w:rPr>
                <w:rFonts w:ascii="Verdana" w:eastAsia="Verdana" w:hAnsi="Verdana" w:cs="Verdana"/>
                <w:i/>
                <w:noProof/>
                <w:color w:val="000000"/>
                <w:sz w:val="18"/>
              </w:rPr>
            </w:pPr>
            <w:r>
              <w:rPr>
                <w:rFonts w:ascii="Verdana" w:hAnsi="Verdana"/>
                <w:i/>
                <w:noProof/>
                <w:color w:val="000000"/>
                <w:sz w:val="18"/>
              </w:rPr>
              <w:t xml:space="preserve"> 16</w:t>
            </w:r>
          </w:p>
        </w:tc>
      </w:tr>
      <w:tr>
        <w:trPr>
          <w:trHeight w:hRule="exact" w:val="255"/>
        </w:trPr>
        <w:tc>
          <w:tcPr>
            <w:tcW w:w="5780" w:type="dxa"/>
            <w:tcBorders>
              <w:top w:val="nil"/>
              <w:left w:val="nil"/>
              <w:bottom w:val="nil"/>
              <w:right w:val="nil"/>
              <w:tl2br w:val="nil"/>
              <w:tr2bl w:val="nil"/>
            </w:tcBorders>
            <w:shd w:val="solid" w:color="FFFFFF" w:fill="FFFFFF"/>
            <w:tcMar>
              <w:left w:w="60" w:type="dxa"/>
              <w:right w:w="60" w:type="dxa"/>
            </w:tcMar>
            <w:vAlign w:val="center"/>
          </w:tcPr>
          <w:p>
            <w:pPr>
              <w:pStyle w:val="DMETW19877BIPCA"/>
              <w:rPr>
                <w:rFonts w:ascii="Verdana" w:eastAsia="Verdana" w:hAnsi="Verdana" w:cs="Verdana"/>
                <w:i/>
                <w:noProof/>
                <w:color w:val="000000"/>
                <w:sz w:val="18"/>
              </w:rPr>
            </w:pPr>
            <w:r>
              <w:rPr>
                <w:rFonts w:ascii="Verdana" w:hAnsi="Verdana"/>
                <w:i/>
                <w:noProof/>
                <w:color w:val="000000"/>
                <w:sz w:val="18"/>
              </w:rPr>
              <w:t>Други условни активи</w:t>
            </w:r>
          </w:p>
        </w:tc>
        <w:tc>
          <w:tcPr>
            <w:tcW w:w="1989" w:type="dxa"/>
            <w:tcBorders>
              <w:top w:val="nil"/>
              <w:left w:val="nil"/>
              <w:bottom w:val="nil"/>
              <w:right w:val="nil"/>
              <w:tl2br w:val="nil"/>
              <w:tr2bl w:val="nil"/>
            </w:tcBorders>
            <w:shd w:val="solid" w:color="FFFFFF" w:fill="FFFFFF"/>
            <w:tcMar>
              <w:left w:w="60" w:type="dxa"/>
              <w:right w:w="60" w:type="dxa"/>
            </w:tcMar>
            <w:vAlign w:val="center"/>
          </w:tcPr>
          <w:p>
            <w:pPr>
              <w:pStyle w:val="DMETW19877BIPCA"/>
              <w:jc w:val="right"/>
              <w:rPr>
                <w:rFonts w:ascii="Verdana" w:eastAsia="Verdana" w:hAnsi="Verdana" w:cs="Verdana"/>
                <w:i/>
                <w:noProof/>
                <w:color w:val="000000"/>
                <w:sz w:val="18"/>
              </w:rPr>
            </w:pPr>
            <w:r>
              <w:rPr>
                <w:rFonts w:ascii="Verdana" w:hAnsi="Verdana"/>
                <w:i/>
                <w:noProof/>
                <w:color w:val="000000"/>
                <w:sz w:val="18"/>
              </w:rPr>
              <w:t xml:space="preserve"> 58</w:t>
            </w:r>
          </w:p>
        </w:tc>
        <w:tc>
          <w:tcPr>
            <w:tcW w:w="1989" w:type="dxa"/>
            <w:tcBorders>
              <w:top w:val="nil"/>
              <w:left w:val="nil"/>
              <w:bottom w:val="nil"/>
              <w:right w:val="nil"/>
              <w:tl2br w:val="nil"/>
              <w:tr2bl w:val="nil"/>
            </w:tcBorders>
            <w:shd w:val="solid" w:color="FFFFFF" w:fill="FFFFFF"/>
            <w:tcMar>
              <w:left w:w="60" w:type="dxa"/>
              <w:right w:w="60" w:type="dxa"/>
            </w:tcMar>
            <w:vAlign w:val="center"/>
          </w:tcPr>
          <w:p>
            <w:pPr>
              <w:pStyle w:val="DMETW19877BIPCA"/>
              <w:jc w:val="right"/>
              <w:rPr>
                <w:rFonts w:ascii="Verdana" w:eastAsia="Verdana" w:hAnsi="Verdana" w:cs="Verdana"/>
                <w:i/>
                <w:noProof/>
                <w:color w:val="000000"/>
                <w:sz w:val="18"/>
              </w:rPr>
            </w:pPr>
            <w:r>
              <w:rPr>
                <w:rFonts w:ascii="Verdana" w:hAnsi="Verdana"/>
                <w:i/>
                <w:noProof/>
                <w:color w:val="000000"/>
                <w:sz w:val="18"/>
              </w:rPr>
              <w:t xml:space="preserve"> 65</w:t>
            </w:r>
          </w:p>
        </w:tc>
      </w:tr>
      <w:tr>
        <w:trPr>
          <w:trHeight w:hRule="exact" w:val="255"/>
        </w:trPr>
        <w:tc>
          <w:tcPr>
            <w:tcW w:w="5780" w:type="dxa"/>
            <w:tcBorders>
              <w:top w:val="nil"/>
              <w:left w:val="nil"/>
              <w:bottom w:val="nil"/>
              <w:right w:val="nil"/>
              <w:tl2br w:val="nil"/>
              <w:tr2bl w:val="nil"/>
            </w:tcBorders>
            <w:shd w:val="solid" w:color="CCE1EA" w:fill="FFFFFF"/>
            <w:tcMar>
              <w:left w:w="60" w:type="dxa"/>
              <w:right w:w="60" w:type="dxa"/>
            </w:tcMar>
            <w:vAlign w:val="center"/>
          </w:tcPr>
          <w:p>
            <w:pPr>
              <w:pStyle w:val="DMETW19877BIPCA"/>
              <w:rPr>
                <w:rFonts w:ascii="Verdana" w:eastAsia="Verdana" w:hAnsi="Verdana" w:cs="Verdana"/>
                <w:b/>
                <w:noProof/>
                <w:color w:val="000000"/>
                <w:sz w:val="18"/>
              </w:rPr>
            </w:pPr>
            <w:r>
              <w:rPr>
                <w:rFonts w:ascii="Verdana" w:hAnsi="Verdana"/>
                <w:b/>
                <w:noProof/>
                <w:color w:val="000000"/>
                <w:sz w:val="18"/>
              </w:rPr>
              <w:t>Общо</w:t>
            </w:r>
          </w:p>
        </w:tc>
        <w:tc>
          <w:tcPr>
            <w:tcW w:w="1989" w:type="dxa"/>
            <w:tcBorders>
              <w:top w:val="nil"/>
              <w:left w:val="nil"/>
              <w:bottom w:val="nil"/>
              <w:right w:val="nil"/>
              <w:tl2br w:val="nil"/>
              <w:tr2bl w:val="nil"/>
            </w:tcBorders>
            <w:shd w:val="solid" w:color="CCE1EA" w:fill="FFFFFF"/>
            <w:tcMar>
              <w:left w:w="60" w:type="dxa"/>
              <w:right w:w="60" w:type="dxa"/>
            </w:tcMar>
            <w:vAlign w:val="center"/>
          </w:tcPr>
          <w:p>
            <w:pPr>
              <w:pStyle w:val="DMETW19877BIPCA"/>
              <w:jc w:val="right"/>
              <w:rPr>
                <w:rFonts w:ascii="Verdana" w:eastAsia="Verdana" w:hAnsi="Verdana" w:cs="Verdana"/>
                <w:b/>
                <w:noProof/>
                <w:color w:val="000000"/>
                <w:sz w:val="18"/>
              </w:rPr>
            </w:pPr>
            <w:r>
              <w:rPr>
                <w:rFonts w:ascii="Verdana" w:hAnsi="Verdana"/>
                <w:b/>
                <w:noProof/>
                <w:color w:val="000000"/>
                <w:sz w:val="18"/>
              </w:rPr>
              <w:t xml:space="preserve"> 384</w:t>
            </w:r>
          </w:p>
        </w:tc>
        <w:tc>
          <w:tcPr>
            <w:tcW w:w="1989" w:type="dxa"/>
            <w:tcBorders>
              <w:top w:val="nil"/>
              <w:left w:val="nil"/>
              <w:bottom w:val="nil"/>
              <w:right w:val="nil"/>
              <w:tl2br w:val="nil"/>
              <w:tr2bl w:val="nil"/>
            </w:tcBorders>
            <w:shd w:val="solid" w:color="CCE1EA" w:fill="FFFFFF"/>
            <w:tcMar>
              <w:left w:w="60" w:type="dxa"/>
              <w:right w:w="60" w:type="dxa"/>
            </w:tcMar>
            <w:vAlign w:val="center"/>
          </w:tcPr>
          <w:p>
            <w:pPr>
              <w:pStyle w:val="DMETW19877BIPCA"/>
              <w:jc w:val="right"/>
              <w:rPr>
                <w:rFonts w:ascii="Verdana" w:eastAsia="Verdana" w:hAnsi="Verdana" w:cs="Verdana"/>
                <w:b/>
                <w:noProof/>
                <w:color w:val="000000"/>
                <w:sz w:val="18"/>
              </w:rPr>
            </w:pPr>
            <w:r>
              <w:rPr>
                <w:rFonts w:ascii="Verdana" w:hAnsi="Verdana"/>
                <w:b/>
                <w:noProof/>
                <w:color w:val="000000"/>
                <w:sz w:val="18"/>
              </w:rPr>
              <w:t xml:space="preserve"> 430</w:t>
            </w:r>
          </w:p>
        </w:tc>
      </w:tr>
    </w:tbl>
    <w:p>
      <w:pPr>
        <w:pStyle w:val="DGTextstand-alone"/>
        <w:spacing w:after="0"/>
      </w:pPr>
      <w:r>
        <w:t>Гаранциите за добро изпълнение се изискват, за да се гарантира, че бенефициерите на средства от ЕС изпълняват задълженията по своите договори с ЕС.</w:t>
      </w:r>
    </w:p>
    <w:p>
      <w:pPr>
        <w:pStyle w:val="DGTextstand-alone"/>
        <w:spacing w:after="0"/>
        <w:sectPr>
          <w:headerReference w:type="even" r:id="rId260"/>
          <w:headerReference w:type="default" r:id="rId261"/>
          <w:footerReference w:type="even" r:id="rId262"/>
          <w:footerReference w:type="default" r:id="rId263"/>
          <w:headerReference w:type="first" r:id="rId264"/>
          <w:footerReference w:type="first" r:id="rId265"/>
          <w:type w:val="continuous"/>
          <w:pgSz w:w="11906" w:h="16838"/>
          <w:pgMar w:top="1134" w:right="1134" w:bottom="1134" w:left="1134" w:header="709" w:footer="709" w:gutter="0"/>
          <w:cols w:space="708"/>
          <w:docGrid w:linePitch="360"/>
        </w:sectPr>
      </w:pPr>
      <w:r>
        <w:t xml:space="preserve"> </w:t>
      </w:r>
      <w:bookmarkEnd w:id="181"/>
    </w:p>
    <w:p>
      <w:pPr>
        <w:pStyle w:val="HEADER1NOTES"/>
        <w:spacing w:after="360"/>
        <w:rPr>
          <w:noProof/>
        </w:rPr>
      </w:pPr>
      <w:bookmarkStart w:id="187" w:name="_Toc75518112"/>
      <w:bookmarkStart w:id="188" w:name="_DMBM_19780"/>
      <w:r>
        <w:rPr>
          <w:noProof/>
        </w:rPr>
        <w:t>БЮДЖЕТНИ И ПРАВНИ ЗАДЪЛЖЕНИЯ</w:t>
      </w:r>
      <w:bookmarkEnd w:id="187"/>
    </w:p>
    <w:p>
      <w:pPr>
        <w:pStyle w:val="DGTextstand-alone"/>
      </w:pPr>
      <w:r>
        <w:t>Тази бележка предоставя информация за бюджетния процес и за бъдещите нужди от финансиране, а не за съществуващите към 31 декември 2020 г. пасиви.</w:t>
      </w:r>
    </w:p>
    <w:p>
      <w:pPr>
        <w:pStyle w:val="DGTextstand-alone"/>
      </w:pPr>
      <w:r>
        <w:t>В многогодишната финансова рамка (МФР), договорена от държавите членки, се определят програмите и се фиксират таваните на функциите за бюджетните кредити за поети задължения и общият размер на бюджетните кредити за плащания, в рамките на които ЕС може да поема бюджетни и правни задължения и в крайна сметка да извършва плащания в продължение на период от 7 години — вж. таблица 1.1 в бележките към докладите за изпълнението на бюджета.</w:t>
      </w:r>
    </w:p>
    <w:p>
      <w:pPr>
        <w:pStyle w:val="DGTextstand-alone"/>
      </w:pPr>
      <w:r>
        <w:t>Таваните на МФР бяха приети от Съвета (държавите членки) с одобрението на Европейския парламент, а в член 16 от Регламент № 1306/2013 относно финансирането на ОСП се прави пряка връзка между годишния таван на разходите по ЕФГЗ и Регламента за МФР. Европейският парламент и Съветът приеха също съответните основни актове за разходите по ЕФГЗ, в които се определят разходите за всяка държава членка за целия период 2014—2020 г.</w:t>
      </w:r>
    </w:p>
    <w:p>
      <w:pPr>
        <w:pStyle w:val="DGTextstand-alone"/>
      </w:pPr>
      <w:r>
        <w:t>Правните задължения съответстват на програми, проекти, споразумения или договори, които са подписани от ЕС и следователно го обвързват в правен аспект. Правното задължение е актът, чрез който разпоредителят с бюджетни кредити поема или установява задължение (за ЕС), което води до разход (член 2, точка 37 от ФР).</w:t>
      </w:r>
    </w:p>
    <w:p>
      <w:pPr>
        <w:pStyle w:val="DGTextstand-alone"/>
      </w:pPr>
      <w:r>
        <w:t>Бюджетното задължение по принцип се поема преди правното задължение, но за някои многогодишни програми/проекти е обратното — съответните бюджетни задължения се поемат под формата на годишни траншове в продължение на няколко години, когато това е предвидено в основния акт. Например, що се отнася до сближаването, в член 76 от Регламента за общоприложимите разпоредби (РОР) (Регламент (ЕС) № 1303/2013) се предвижда, че решението на Комисията, с което се приема дадена програма, представлява правно задължение по смисъла на Финансовия регламент, но че бюджетните задължения на Съюза по отношение на всяка програма се поемат под формата на годишни траншове за всеки фонд през периода между 1 януари 2014 г. и 31</w:t>
      </w:r>
      <w:r>
        <w:rPr>
          <w:lang w:val="en-GB"/>
        </w:rPr>
        <w:t> </w:t>
      </w:r>
      <w:r>
        <w:t>декември 2020 г. Други правни основания могат да съдържат сходни разпоредби. По тази причина може да има суми, за които ЕС е поел правно задължение да ги плати, но съответното бюджетно задължение все още не е поето (вж. бележки </w:t>
      </w:r>
      <w:r>
        <w:rPr>
          <w:b/>
        </w:rPr>
        <w:t>5.2</w:t>
      </w:r>
      <w:r>
        <w:t xml:space="preserve"> и </w:t>
      </w:r>
      <w:r>
        <w:rPr>
          <w:b/>
        </w:rPr>
        <w:t>5.3</w:t>
      </w:r>
      <w:r>
        <w:t xml:space="preserve"> по-долу).</w:t>
      </w:r>
    </w:p>
    <w:p>
      <w:pPr>
        <w:pStyle w:val="DGTextstand-alone"/>
      </w:pPr>
      <w:r>
        <w:t>Ако бюджетното задължение е поето, но последващите плащания все още не са извършени, размерът на неизпълнените поети задължения се нарича Reste à Liquider (RAL — неизпълнени поети задължения). Тази сума може да представлява подписани програми или проекти (често многогодишни), плащанията по които ще бъдат извършени едва през следващите години. То представлява задължения за плащане за бъдещи години. Тъй като финансовите отчети се изготвят на базата на текущо начисляване, докато докладите за изпълнението на бюджета се изготвят на базата на касова отчетност, част от общия размер на неплатените средства (RAL) вече е отчетена като разход и е призната като пасив в счетоводния баланс (вж. бележки </w:t>
      </w:r>
      <w:r>
        <w:rPr>
          <w:b/>
        </w:rPr>
        <w:t>2.12</w:t>
      </w:r>
      <w:r>
        <w:t xml:space="preserve"> и </w:t>
      </w:r>
      <w:r>
        <w:rPr>
          <w:b/>
        </w:rPr>
        <w:t>2.13</w:t>
      </w:r>
      <w:r>
        <w:t>). Изчисляването на тези разходи се прави въз основа на получените декларации за направени разходи и получените фактури или въз основа на прогнозното изпълнение на програма или проект, когато ЕС все още не е получил декларации за направени разходи до отчетната дата (вж.</w:t>
      </w:r>
      <w:r>
        <w:rPr>
          <w:lang w:val="en-GB"/>
        </w:rPr>
        <w:t> </w:t>
      </w:r>
      <w:r>
        <w:t>бележка </w:t>
      </w:r>
      <w:r>
        <w:rPr>
          <w:b/>
        </w:rPr>
        <w:t>5.1</w:t>
      </w:r>
      <w:r>
        <w:t xml:space="preserve"> по-долу). Когато плащанията, свързани с RAL, бъдат направени, пасивът в счетоводния баланс се отписва. Частта от RAL, която все още не е отчетена като разход, не е включена в пасивите, а вместо това е оповестена по-долу.</w:t>
      </w:r>
    </w:p>
    <w:p>
      <w:pPr>
        <w:pStyle w:val="DGTextstand-alone"/>
      </w:pPr>
      <w:r>
        <w:t>Оповестените по-долу суми следователно представляват сумите към 31 декември 2020 г., които ЕС се е ангажирал да плати въз основа на изпълнението на договорните споразумения и които поради това следва да бъдат финансирани от бъдещи бюджети на 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6"/>
        <w:gridCol w:w="1397"/>
        <w:gridCol w:w="1397"/>
        <w:gridCol w:w="1398"/>
      </w:tblGrid>
      <w:tr>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pPr>
              <w:pStyle w:val="DMETW19878BIPOBULEG"/>
              <w:rPr>
                <w:rFonts w:ascii="Verdana" w:eastAsia="Verdana" w:hAnsi="Verdana" w:cs="Verdana"/>
                <w:i/>
                <w:noProof/>
                <w:color w:val="FFFFFF"/>
                <w:sz w:val="16"/>
              </w:rPr>
            </w:pPr>
            <w:bookmarkStart w:id="189" w:name="DOC_TBL00081_1_1"/>
            <w:bookmarkEnd w:id="189"/>
          </w:p>
        </w:tc>
        <w:tc>
          <w:tcPr>
            <w:tcW w:w="1397" w:type="dxa"/>
            <w:tcBorders>
              <w:top w:val="nil"/>
              <w:left w:val="nil"/>
              <w:bottom w:val="nil"/>
              <w:right w:val="nil"/>
              <w:tl2br w:val="nil"/>
              <w:tr2bl w:val="nil"/>
            </w:tcBorders>
            <w:shd w:val="clear" w:color="auto" w:fill="auto"/>
            <w:tcMar>
              <w:left w:w="60" w:type="dxa"/>
              <w:right w:w="60" w:type="dxa"/>
            </w:tcMar>
            <w:vAlign w:val="bottom"/>
          </w:tcPr>
          <w:p>
            <w:pPr>
              <w:pStyle w:val="DMETW19878BIPOBULEG"/>
              <w:rPr>
                <w:rFonts w:ascii="Arial" w:eastAsia="Arial" w:hAnsi="Arial" w:cs="Arial"/>
                <w:noProof/>
                <w:color w:val="000000"/>
              </w:rPr>
            </w:pPr>
          </w:p>
        </w:tc>
        <w:tc>
          <w:tcPr>
            <w:tcW w:w="1397" w:type="dxa"/>
            <w:tcBorders>
              <w:top w:val="nil"/>
              <w:left w:val="nil"/>
              <w:bottom w:val="nil"/>
              <w:right w:val="nil"/>
              <w:tl2br w:val="nil"/>
              <w:tr2bl w:val="nil"/>
            </w:tcBorders>
            <w:shd w:val="clear" w:color="auto" w:fill="auto"/>
            <w:tcMar>
              <w:left w:w="60" w:type="dxa"/>
              <w:right w:w="60" w:type="dxa"/>
            </w:tcMar>
            <w:vAlign w:val="bottom"/>
          </w:tcPr>
          <w:p>
            <w:pPr>
              <w:pStyle w:val="DMETW19878BIPOBULEG"/>
              <w:rPr>
                <w:rFonts w:ascii="Arial" w:eastAsia="Arial" w:hAnsi="Arial" w:cs="Arial"/>
                <w:noProof/>
                <w:color w:val="000000"/>
              </w:rPr>
            </w:pPr>
          </w:p>
        </w:tc>
        <w:tc>
          <w:tcPr>
            <w:tcW w:w="1398" w:type="dxa"/>
            <w:tcBorders>
              <w:top w:val="nil"/>
              <w:left w:val="nil"/>
              <w:bottom w:val="nil"/>
              <w:right w:val="nil"/>
              <w:tl2br w:val="nil"/>
              <w:tr2bl w:val="nil"/>
            </w:tcBorders>
            <w:shd w:val="clear" w:color="auto" w:fill="auto"/>
            <w:tcMar>
              <w:left w:w="60" w:type="dxa"/>
              <w:right w:w="60" w:type="dxa"/>
            </w:tcMar>
            <w:vAlign w:val="bottom"/>
          </w:tcPr>
          <w:p>
            <w:pPr>
              <w:pStyle w:val="DMETW19878BIPOBULEG"/>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566" w:type="dxa"/>
            <w:tcBorders>
              <w:top w:val="nil"/>
              <w:left w:val="nil"/>
              <w:bottom w:val="nil"/>
              <w:right w:val="nil"/>
              <w:tl2br w:val="nil"/>
              <w:tr2bl w:val="nil"/>
            </w:tcBorders>
            <w:shd w:val="solid" w:color="016794" w:fill="FFFFFF"/>
            <w:tcMar>
              <w:left w:w="60" w:type="dxa"/>
              <w:right w:w="60" w:type="dxa"/>
            </w:tcMar>
            <w:vAlign w:val="center"/>
          </w:tcPr>
          <w:p>
            <w:pPr>
              <w:pStyle w:val="DMETW19878BIPOBULEG"/>
              <w:rPr>
                <w:rFonts w:ascii="Verdana" w:eastAsia="Verdana" w:hAnsi="Verdana" w:cs="Verdana"/>
                <w:noProof/>
                <w:color w:val="FFFFFF"/>
              </w:rPr>
            </w:pPr>
          </w:p>
        </w:tc>
        <w:tc>
          <w:tcPr>
            <w:tcW w:w="1397" w:type="dxa"/>
            <w:tcBorders>
              <w:top w:val="nil"/>
              <w:left w:val="nil"/>
              <w:bottom w:val="nil"/>
              <w:right w:val="nil"/>
              <w:tl2br w:val="nil"/>
              <w:tr2bl w:val="nil"/>
            </w:tcBorders>
            <w:shd w:val="solid" w:color="016794" w:fill="FFFFFF"/>
            <w:tcMar>
              <w:left w:w="60" w:type="dxa"/>
              <w:right w:w="60" w:type="dxa"/>
            </w:tcMar>
            <w:vAlign w:val="center"/>
          </w:tcPr>
          <w:p>
            <w:pPr>
              <w:pStyle w:val="DMETW19878BIPOBULEG"/>
              <w:jc w:val="center"/>
              <w:rPr>
                <w:rFonts w:ascii="Verdana" w:eastAsia="Verdana" w:hAnsi="Verdana" w:cs="Verdana"/>
                <w:noProof/>
                <w:color w:val="FFFFFF"/>
              </w:rPr>
            </w:pPr>
            <w:r>
              <w:rPr>
                <w:rFonts w:ascii="Verdana" w:hAnsi="Verdana"/>
                <w:noProof/>
                <w:color w:val="FFFFFF"/>
              </w:rPr>
              <w:t>Бележка</w:t>
            </w:r>
          </w:p>
        </w:tc>
        <w:tc>
          <w:tcPr>
            <w:tcW w:w="1397" w:type="dxa"/>
            <w:tcBorders>
              <w:top w:val="nil"/>
              <w:left w:val="nil"/>
              <w:bottom w:val="nil"/>
              <w:right w:val="nil"/>
              <w:tl2br w:val="nil"/>
              <w:tr2bl w:val="nil"/>
            </w:tcBorders>
            <w:shd w:val="solid" w:color="016794" w:fill="FFFFFF"/>
            <w:tcMar>
              <w:left w:w="60" w:type="dxa"/>
              <w:right w:w="60" w:type="dxa"/>
            </w:tcMar>
            <w:vAlign w:val="center"/>
          </w:tcPr>
          <w:p>
            <w:pPr>
              <w:pStyle w:val="DMETW19878BIPOBULEG"/>
              <w:jc w:val="right"/>
              <w:rPr>
                <w:rFonts w:ascii="Verdana" w:eastAsia="Verdana" w:hAnsi="Verdana" w:cs="Verdana"/>
                <w:noProof/>
                <w:color w:val="FFFFFF"/>
              </w:rPr>
            </w:pPr>
            <w:r>
              <w:rPr>
                <w:rFonts w:ascii="Verdana" w:hAnsi="Verdana"/>
                <w:noProof/>
                <w:color w:val="FFFFFF"/>
              </w:rPr>
              <w:t>31.12.2020 г.</w:t>
            </w:r>
          </w:p>
        </w:tc>
        <w:tc>
          <w:tcPr>
            <w:tcW w:w="1398" w:type="dxa"/>
            <w:tcBorders>
              <w:top w:val="nil"/>
              <w:left w:val="nil"/>
              <w:bottom w:val="nil"/>
              <w:right w:val="nil"/>
              <w:tl2br w:val="nil"/>
              <w:tr2bl w:val="nil"/>
            </w:tcBorders>
            <w:shd w:val="solid" w:color="016794" w:fill="FFFFFF"/>
            <w:tcMar>
              <w:left w:w="60" w:type="dxa"/>
              <w:right w:w="60" w:type="dxa"/>
            </w:tcMar>
            <w:vAlign w:val="center"/>
          </w:tcPr>
          <w:p>
            <w:pPr>
              <w:pStyle w:val="DMETW19878BIPOBULEG"/>
              <w:jc w:val="right"/>
              <w:rPr>
                <w:rFonts w:ascii="Verdana" w:eastAsia="Verdana" w:hAnsi="Verdana" w:cs="Verdana"/>
                <w:noProof/>
                <w:color w:val="FFFFFF"/>
              </w:rPr>
            </w:pPr>
            <w:r>
              <w:rPr>
                <w:rFonts w:ascii="Verdana" w:hAnsi="Verdana"/>
                <w:noProof/>
                <w:color w:val="FFFFFF"/>
              </w:rPr>
              <w:t>31.12.2019 г.</w:t>
            </w:r>
          </w:p>
        </w:tc>
      </w:tr>
      <w:tr>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pPr>
              <w:pStyle w:val="DMETW19878BIPOBULEG"/>
              <w:rPr>
                <w:rFonts w:ascii="Verdana" w:eastAsia="Verdana" w:hAnsi="Verdana" w:cs="Verdana"/>
                <w:i/>
                <w:noProof/>
                <w:color w:val="000000"/>
                <w:sz w:val="18"/>
              </w:rPr>
            </w:pPr>
            <w:r>
              <w:rPr>
                <w:rFonts w:ascii="Verdana" w:hAnsi="Verdana"/>
                <w:i/>
                <w:noProof/>
                <w:color w:val="000000"/>
                <w:sz w:val="18"/>
              </w:rPr>
              <w:t>Неизпълнени бюджетни задължения, които все още не са отчетени като разход</w:t>
            </w:r>
          </w:p>
        </w:tc>
        <w:tc>
          <w:tcPr>
            <w:tcW w:w="1397" w:type="dxa"/>
            <w:tcBorders>
              <w:top w:val="nil"/>
              <w:left w:val="nil"/>
              <w:bottom w:val="nil"/>
              <w:right w:val="nil"/>
              <w:tl2br w:val="nil"/>
              <w:tr2bl w:val="nil"/>
            </w:tcBorders>
            <w:shd w:val="clear" w:color="auto" w:fill="auto"/>
            <w:tcMar>
              <w:left w:w="60" w:type="dxa"/>
              <w:right w:w="60" w:type="dxa"/>
            </w:tcMar>
            <w:vAlign w:val="center"/>
          </w:tcPr>
          <w:p>
            <w:pPr>
              <w:pStyle w:val="DMETW19878BIPOBULEG"/>
              <w:jc w:val="center"/>
              <w:rPr>
                <w:rFonts w:ascii="Verdana" w:eastAsia="Verdana" w:hAnsi="Verdana" w:cs="Verdana"/>
                <w:i/>
                <w:noProof/>
                <w:color w:val="000000"/>
                <w:sz w:val="18"/>
              </w:rPr>
            </w:pPr>
            <w:r>
              <w:rPr>
                <w:rFonts w:ascii="Verdana" w:hAnsi="Verdana"/>
                <w:i/>
                <w:noProof/>
                <w:color w:val="000000"/>
                <w:sz w:val="18"/>
              </w:rPr>
              <w:t>5.1</w:t>
            </w:r>
          </w:p>
        </w:tc>
        <w:tc>
          <w:tcPr>
            <w:tcW w:w="1397" w:type="dxa"/>
            <w:tcBorders>
              <w:top w:val="nil"/>
              <w:left w:val="nil"/>
              <w:bottom w:val="nil"/>
              <w:right w:val="nil"/>
              <w:tl2br w:val="nil"/>
              <w:tr2bl w:val="nil"/>
            </w:tcBorders>
            <w:shd w:val="clear" w:color="auto" w:fill="auto"/>
            <w:tcMar>
              <w:left w:w="60" w:type="dxa"/>
              <w:right w:w="60" w:type="dxa"/>
            </w:tcMar>
            <w:vAlign w:val="center"/>
          </w:tcPr>
          <w:p>
            <w:pPr>
              <w:pStyle w:val="DMETW19878BIPOBULEG"/>
              <w:jc w:val="right"/>
              <w:rPr>
                <w:rFonts w:ascii="Verdana" w:eastAsia="Verdana" w:hAnsi="Verdana" w:cs="Verdana"/>
                <w:i/>
                <w:noProof/>
                <w:color w:val="000000"/>
                <w:sz w:val="18"/>
              </w:rPr>
            </w:pPr>
            <w:r>
              <w:rPr>
                <w:rFonts w:ascii="Verdana" w:hAnsi="Verdana"/>
                <w:i/>
                <w:noProof/>
                <w:color w:val="000000"/>
                <w:sz w:val="18"/>
              </w:rPr>
              <w:t>249 309</w:t>
            </w:r>
          </w:p>
        </w:tc>
        <w:tc>
          <w:tcPr>
            <w:tcW w:w="1398" w:type="dxa"/>
            <w:tcBorders>
              <w:top w:val="nil"/>
              <w:left w:val="nil"/>
              <w:bottom w:val="nil"/>
              <w:right w:val="nil"/>
              <w:tl2br w:val="nil"/>
              <w:tr2bl w:val="nil"/>
            </w:tcBorders>
            <w:shd w:val="clear" w:color="auto" w:fill="auto"/>
            <w:tcMar>
              <w:left w:w="60" w:type="dxa"/>
              <w:right w:w="60" w:type="dxa"/>
            </w:tcMar>
            <w:vAlign w:val="center"/>
          </w:tcPr>
          <w:p>
            <w:pPr>
              <w:pStyle w:val="DMETW19878BIPOBULEG"/>
              <w:jc w:val="right"/>
              <w:rPr>
                <w:rFonts w:ascii="Verdana" w:eastAsia="Verdana" w:hAnsi="Verdana" w:cs="Verdana"/>
                <w:i/>
                <w:noProof/>
                <w:color w:val="000000"/>
                <w:sz w:val="18"/>
              </w:rPr>
            </w:pPr>
            <w:r>
              <w:rPr>
                <w:rFonts w:ascii="Verdana" w:hAnsi="Verdana"/>
                <w:i/>
                <w:noProof/>
                <w:color w:val="000000"/>
                <w:sz w:val="18"/>
              </w:rPr>
              <w:t>249 686</w:t>
            </w:r>
          </w:p>
        </w:tc>
      </w:tr>
      <w:tr>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pPr>
              <w:pStyle w:val="DMETW19878BIPOBULEG"/>
              <w:rPr>
                <w:rFonts w:ascii="Verdana" w:eastAsia="Verdana" w:hAnsi="Verdana" w:cs="Verdana"/>
                <w:i/>
                <w:noProof/>
                <w:color w:val="000000"/>
                <w:sz w:val="18"/>
              </w:rPr>
            </w:pPr>
            <w:r>
              <w:rPr>
                <w:rFonts w:ascii="Verdana" w:hAnsi="Verdana"/>
                <w:i/>
                <w:noProof/>
                <w:color w:val="000000"/>
                <w:sz w:val="18"/>
              </w:rPr>
              <w:t>Правни задължения под споделено управление в рамките на настоящата МФР, които предстои да бъдат изпълнени</w:t>
            </w:r>
          </w:p>
        </w:tc>
        <w:tc>
          <w:tcPr>
            <w:tcW w:w="1397" w:type="dxa"/>
            <w:tcBorders>
              <w:top w:val="nil"/>
              <w:left w:val="nil"/>
              <w:bottom w:val="nil"/>
              <w:right w:val="nil"/>
              <w:tl2br w:val="nil"/>
              <w:tr2bl w:val="nil"/>
            </w:tcBorders>
            <w:shd w:val="clear" w:color="auto" w:fill="auto"/>
            <w:tcMar>
              <w:left w:w="60" w:type="dxa"/>
              <w:right w:w="60" w:type="dxa"/>
            </w:tcMar>
            <w:vAlign w:val="center"/>
          </w:tcPr>
          <w:p>
            <w:pPr>
              <w:pStyle w:val="DMETW19878BIPOBULEG"/>
              <w:jc w:val="center"/>
              <w:rPr>
                <w:rFonts w:ascii="Verdana" w:eastAsia="Verdana" w:hAnsi="Verdana" w:cs="Verdana"/>
                <w:i/>
                <w:noProof/>
                <w:color w:val="000000"/>
                <w:sz w:val="18"/>
              </w:rPr>
            </w:pPr>
            <w:r>
              <w:rPr>
                <w:rFonts w:ascii="Verdana" w:hAnsi="Verdana"/>
                <w:i/>
                <w:noProof/>
                <w:color w:val="000000"/>
                <w:sz w:val="18"/>
              </w:rPr>
              <w:t>5.2</w:t>
            </w:r>
          </w:p>
        </w:tc>
        <w:tc>
          <w:tcPr>
            <w:tcW w:w="1397" w:type="dxa"/>
            <w:tcBorders>
              <w:top w:val="nil"/>
              <w:left w:val="nil"/>
              <w:bottom w:val="nil"/>
              <w:right w:val="nil"/>
              <w:tl2br w:val="nil"/>
              <w:tr2bl w:val="nil"/>
            </w:tcBorders>
            <w:shd w:val="clear" w:color="auto" w:fill="auto"/>
            <w:tcMar>
              <w:left w:w="60" w:type="dxa"/>
              <w:right w:w="60" w:type="dxa"/>
            </w:tcMar>
            <w:vAlign w:val="center"/>
          </w:tcPr>
          <w:p>
            <w:pPr>
              <w:pStyle w:val="DMETW19878BIPOBULEG"/>
              <w:jc w:val="right"/>
              <w:rPr>
                <w:rFonts w:ascii="Verdana" w:eastAsia="Verdana" w:hAnsi="Verdana" w:cs="Verdana"/>
                <w:i/>
                <w:noProof/>
                <w:color w:val="000000"/>
                <w:sz w:val="18"/>
              </w:rPr>
            </w:pPr>
            <w:r>
              <w:rPr>
                <w:rFonts w:ascii="Verdana" w:hAnsi="Verdana"/>
                <w:i/>
                <w:noProof/>
                <w:color w:val="000000"/>
                <w:sz w:val="18"/>
              </w:rPr>
              <w:t>–</w:t>
            </w:r>
          </w:p>
        </w:tc>
        <w:tc>
          <w:tcPr>
            <w:tcW w:w="1398" w:type="dxa"/>
            <w:tcBorders>
              <w:top w:val="nil"/>
              <w:left w:val="nil"/>
              <w:bottom w:val="nil"/>
              <w:right w:val="nil"/>
              <w:tl2br w:val="nil"/>
              <w:tr2bl w:val="nil"/>
            </w:tcBorders>
            <w:shd w:val="clear" w:color="auto" w:fill="auto"/>
            <w:tcMar>
              <w:left w:w="60" w:type="dxa"/>
              <w:right w:w="60" w:type="dxa"/>
            </w:tcMar>
            <w:vAlign w:val="center"/>
          </w:tcPr>
          <w:p>
            <w:pPr>
              <w:pStyle w:val="DMETW19878BIPOBULEG"/>
              <w:jc w:val="right"/>
              <w:rPr>
                <w:rFonts w:ascii="Verdana" w:eastAsia="Verdana" w:hAnsi="Verdana" w:cs="Verdana"/>
                <w:i/>
                <w:noProof/>
                <w:color w:val="000000"/>
                <w:sz w:val="18"/>
              </w:rPr>
            </w:pPr>
            <w:r>
              <w:rPr>
                <w:rFonts w:ascii="Verdana" w:hAnsi="Verdana"/>
                <w:i/>
                <w:noProof/>
                <w:color w:val="000000"/>
                <w:sz w:val="18"/>
              </w:rPr>
              <w:t>72 832</w:t>
            </w:r>
          </w:p>
        </w:tc>
      </w:tr>
      <w:tr>
        <w:trPr>
          <w:trHeight w:val="255"/>
        </w:trPr>
        <w:tc>
          <w:tcPr>
            <w:tcW w:w="5566" w:type="dxa"/>
            <w:tcBorders>
              <w:top w:val="nil"/>
              <w:left w:val="nil"/>
              <w:bottom w:val="nil"/>
              <w:right w:val="nil"/>
              <w:tl2br w:val="nil"/>
              <w:tr2bl w:val="nil"/>
            </w:tcBorders>
            <w:shd w:val="clear" w:color="auto" w:fill="auto"/>
            <w:tcMar>
              <w:left w:w="60" w:type="dxa"/>
              <w:right w:w="60" w:type="dxa"/>
            </w:tcMar>
            <w:vAlign w:val="center"/>
          </w:tcPr>
          <w:p>
            <w:pPr>
              <w:pStyle w:val="DMETW19878BIPOBULEG"/>
              <w:rPr>
                <w:rFonts w:ascii="Verdana" w:eastAsia="Verdana" w:hAnsi="Verdana" w:cs="Verdana"/>
                <w:i/>
                <w:noProof/>
                <w:color w:val="000000"/>
                <w:sz w:val="18"/>
              </w:rPr>
            </w:pPr>
            <w:r>
              <w:rPr>
                <w:rFonts w:ascii="Verdana" w:hAnsi="Verdana"/>
                <w:i/>
                <w:noProof/>
                <w:color w:val="000000"/>
                <w:sz w:val="18"/>
              </w:rPr>
              <w:t>Съществени правни задължения в други области</w:t>
            </w:r>
          </w:p>
        </w:tc>
        <w:tc>
          <w:tcPr>
            <w:tcW w:w="1397" w:type="dxa"/>
            <w:tcBorders>
              <w:top w:val="nil"/>
              <w:left w:val="nil"/>
              <w:bottom w:val="nil"/>
              <w:right w:val="nil"/>
              <w:tl2br w:val="nil"/>
              <w:tr2bl w:val="nil"/>
            </w:tcBorders>
            <w:shd w:val="clear" w:color="auto" w:fill="auto"/>
            <w:tcMar>
              <w:left w:w="60" w:type="dxa"/>
              <w:right w:w="60" w:type="dxa"/>
            </w:tcMar>
            <w:vAlign w:val="center"/>
          </w:tcPr>
          <w:p>
            <w:pPr>
              <w:pStyle w:val="DMETW19878BIPOBULEG"/>
              <w:jc w:val="center"/>
              <w:rPr>
                <w:rFonts w:ascii="Verdana" w:eastAsia="Verdana" w:hAnsi="Verdana" w:cs="Verdana"/>
                <w:i/>
                <w:noProof/>
                <w:color w:val="000000"/>
                <w:sz w:val="18"/>
              </w:rPr>
            </w:pPr>
            <w:r>
              <w:rPr>
                <w:rFonts w:ascii="Verdana" w:hAnsi="Verdana"/>
                <w:i/>
                <w:noProof/>
                <w:color w:val="000000"/>
                <w:sz w:val="18"/>
              </w:rPr>
              <w:t>5.3</w:t>
            </w:r>
          </w:p>
        </w:tc>
        <w:tc>
          <w:tcPr>
            <w:tcW w:w="1397" w:type="dxa"/>
            <w:tcBorders>
              <w:top w:val="nil"/>
              <w:left w:val="nil"/>
              <w:bottom w:val="nil"/>
              <w:right w:val="nil"/>
              <w:tl2br w:val="nil"/>
              <w:tr2bl w:val="nil"/>
            </w:tcBorders>
            <w:shd w:val="clear" w:color="auto" w:fill="auto"/>
            <w:tcMar>
              <w:left w:w="60" w:type="dxa"/>
              <w:right w:w="60" w:type="dxa"/>
            </w:tcMar>
            <w:vAlign w:val="center"/>
          </w:tcPr>
          <w:p>
            <w:pPr>
              <w:pStyle w:val="DMETW19878BIPOBULEG"/>
              <w:jc w:val="right"/>
              <w:rPr>
                <w:rFonts w:ascii="Verdana" w:eastAsia="Verdana" w:hAnsi="Verdana" w:cs="Verdana"/>
                <w:i/>
                <w:noProof/>
                <w:color w:val="000000"/>
                <w:sz w:val="18"/>
              </w:rPr>
            </w:pPr>
            <w:r>
              <w:rPr>
                <w:rFonts w:ascii="Verdana" w:hAnsi="Verdana"/>
                <w:i/>
                <w:noProof/>
                <w:color w:val="000000"/>
                <w:sz w:val="18"/>
              </w:rPr>
              <w:t>14 481</w:t>
            </w:r>
          </w:p>
        </w:tc>
        <w:tc>
          <w:tcPr>
            <w:tcW w:w="1398" w:type="dxa"/>
            <w:tcBorders>
              <w:top w:val="nil"/>
              <w:left w:val="nil"/>
              <w:bottom w:val="nil"/>
              <w:right w:val="nil"/>
              <w:tl2br w:val="nil"/>
              <w:tr2bl w:val="nil"/>
            </w:tcBorders>
            <w:shd w:val="clear" w:color="auto" w:fill="auto"/>
            <w:tcMar>
              <w:left w:w="60" w:type="dxa"/>
              <w:right w:w="60" w:type="dxa"/>
            </w:tcMar>
            <w:vAlign w:val="center"/>
          </w:tcPr>
          <w:p>
            <w:pPr>
              <w:pStyle w:val="DMETW19878BIPOBULEG"/>
              <w:jc w:val="right"/>
              <w:rPr>
                <w:rFonts w:ascii="Verdana" w:eastAsia="Verdana" w:hAnsi="Verdana" w:cs="Verdana"/>
                <w:i/>
                <w:noProof/>
                <w:color w:val="000000"/>
                <w:sz w:val="18"/>
              </w:rPr>
            </w:pPr>
            <w:r>
              <w:rPr>
                <w:rFonts w:ascii="Verdana" w:hAnsi="Verdana"/>
                <w:i/>
                <w:noProof/>
                <w:color w:val="000000"/>
                <w:sz w:val="18"/>
              </w:rPr>
              <w:t>13 941</w:t>
            </w:r>
          </w:p>
        </w:tc>
      </w:tr>
      <w:tr>
        <w:trPr>
          <w:trHeight w:val="255"/>
        </w:trPr>
        <w:tc>
          <w:tcPr>
            <w:tcW w:w="5566" w:type="dxa"/>
            <w:tcBorders>
              <w:top w:val="nil"/>
              <w:left w:val="nil"/>
              <w:bottom w:val="nil"/>
              <w:right w:val="nil"/>
              <w:tl2br w:val="nil"/>
              <w:tr2bl w:val="nil"/>
            </w:tcBorders>
            <w:shd w:val="solid" w:color="CCE1EA" w:fill="FFFFFF"/>
            <w:tcMar>
              <w:left w:w="60" w:type="dxa"/>
              <w:right w:w="60" w:type="dxa"/>
            </w:tcMar>
            <w:vAlign w:val="center"/>
          </w:tcPr>
          <w:p>
            <w:pPr>
              <w:pStyle w:val="DMETW19878BIPOBULEG"/>
              <w:rPr>
                <w:rFonts w:ascii="Verdana" w:eastAsia="Verdana" w:hAnsi="Verdana" w:cs="Verdana"/>
                <w:b/>
                <w:noProof/>
                <w:color w:val="000000"/>
                <w:sz w:val="18"/>
              </w:rPr>
            </w:pPr>
            <w:r>
              <w:rPr>
                <w:rFonts w:ascii="Verdana" w:hAnsi="Verdana"/>
                <w:b/>
                <w:noProof/>
                <w:color w:val="000000"/>
                <w:sz w:val="18"/>
              </w:rPr>
              <w:t>Общо</w:t>
            </w:r>
          </w:p>
        </w:tc>
        <w:tc>
          <w:tcPr>
            <w:tcW w:w="1397" w:type="dxa"/>
            <w:tcBorders>
              <w:top w:val="nil"/>
              <w:left w:val="nil"/>
              <w:bottom w:val="nil"/>
              <w:right w:val="nil"/>
              <w:tl2br w:val="nil"/>
              <w:tr2bl w:val="nil"/>
            </w:tcBorders>
            <w:shd w:val="solid" w:color="CCE1EA" w:fill="FFFFFF"/>
            <w:tcMar>
              <w:left w:w="60" w:type="dxa"/>
              <w:right w:w="60" w:type="dxa"/>
            </w:tcMar>
            <w:vAlign w:val="center"/>
          </w:tcPr>
          <w:p>
            <w:pPr>
              <w:pStyle w:val="DMETW19878BIPOBULEG"/>
              <w:jc w:val="center"/>
              <w:rPr>
                <w:rFonts w:ascii="Verdana" w:eastAsia="Verdana" w:hAnsi="Verdana" w:cs="Verdana"/>
                <w:noProof/>
                <w:color w:val="000000"/>
                <w:sz w:val="18"/>
              </w:rPr>
            </w:pPr>
          </w:p>
        </w:tc>
        <w:tc>
          <w:tcPr>
            <w:tcW w:w="1397" w:type="dxa"/>
            <w:tcBorders>
              <w:top w:val="nil"/>
              <w:left w:val="nil"/>
              <w:bottom w:val="nil"/>
              <w:right w:val="nil"/>
              <w:tl2br w:val="nil"/>
              <w:tr2bl w:val="nil"/>
            </w:tcBorders>
            <w:shd w:val="solid" w:color="CCE1EA" w:fill="FFFFFF"/>
            <w:tcMar>
              <w:left w:w="60" w:type="dxa"/>
              <w:right w:w="60" w:type="dxa"/>
            </w:tcMar>
            <w:vAlign w:val="center"/>
          </w:tcPr>
          <w:p>
            <w:pPr>
              <w:pStyle w:val="DMETW19878BIPOBULEG"/>
              <w:jc w:val="right"/>
              <w:rPr>
                <w:rFonts w:ascii="Verdana" w:eastAsia="Verdana" w:hAnsi="Verdana" w:cs="Verdana"/>
                <w:b/>
                <w:noProof/>
                <w:color w:val="000000"/>
                <w:sz w:val="18"/>
              </w:rPr>
            </w:pPr>
            <w:r>
              <w:rPr>
                <w:rFonts w:ascii="Verdana" w:hAnsi="Verdana"/>
                <w:b/>
                <w:noProof/>
                <w:color w:val="000000"/>
                <w:sz w:val="18"/>
              </w:rPr>
              <w:t>263 790</w:t>
            </w:r>
          </w:p>
        </w:tc>
        <w:tc>
          <w:tcPr>
            <w:tcW w:w="1398" w:type="dxa"/>
            <w:tcBorders>
              <w:top w:val="nil"/>
              <w:left w:val="nil"/>
              <w:bottom w:val="nil"/>
              <w:right w:val="nil"/>
              <w:tl2br w:val="nil"/>
              <w:tr2bl w:val="nil"/>
            </w:tcBorders>
            <w:shd w:val="solid" w:color="CCE1EA" w:fill="FFFFFF"/>
            <w:tcMar>
              <w:left w:w="60" w:type="dxa"/>
              <w:right w:w="60" w:type="dxa"/>
            </w:tcMar>
            <w:vAlign w:val="center"/>
          </w:tcPr>
          <w:p>
            <w:pPr>
              <w:pStyle w:val="DMETW19878BIPOBULEG"/>
              <w:jc w:val="right"/>
              <w:rPr>
                <w:rFonts w:ascii="Verdana" w:eastAsia="Verdana" w:hAnsi="Verdana" w:cs="Verdana"/>
                <w:b/>
                <w:noProof/>
                <w:color w:val="000000"/>
                <w:sz w:val="18"/>
              </w:rPr>
            </w:pPr>
            <w:r>
              <w:rPr>
                <w:rFonts w:ascii="Verdana" w:hAnsi="Verdana"/>
                <w:b/>
                <w:noProof/>
                <w:color w:val="000000"/>
                <w:sz w:val="18"/>
              </w:rPr>
              <w:t>336 459</w:t>
            </w:r>
          </w:p>
        </w:tc>
      </w:tr>
    </w:tbl>
    <w:p>
      <w:pPr>
        <w:rPr>
          <w:noProof/>
        </w:rPr>
      </w:pPr>
    </w:p>
    <w:p>
      <w:pPr>
        <w:pStyle w:val="HEADER2NOTES"/>
        <w:spacing w:before="0"/>
        <w:rPr>
          <w:noProof/>
        </w:rPr>
      </w:pPr>
      <w:r>
        <w:rPr>
          <w:noProof/>
        </w:rPr>
        <w:br w:type="page"/>
        <w:t>НЕИЗПЪЛНЕНИ БЮДЖЕТНИ ЗАДЪЛЖЕНИЯ, КОИТО ВСЕ ОЩЕ НЕ СА ОТЧЕТЕНИ КАТО РАЗХОД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5"/>
        <w:gridCol w:w="1608"/>
        <w:gridCol w:w="1645"/>
      </w:tblGrid>
      <w:tr>
        <w:trPr>
          <w:cantSplit/>
          <w:trHeight w:val="255"/>
        </w:trPr>
        <w:tc>
          <w:tcPr>
            <w:tcW w:w="6505" w:type="dxa"/>
            <w:tcBorders>
              <w:top w:val="nil"/>
              <w:left w:val="nil"/>
              <w:bottom w:val="nil"/>
              <w:right w:val="nil"/>
              <w:tl2br w:val="nil"/>
              <w:tr2bl w:val="nil"/>
            </w:tcBorders>
            <w:shd w:val="clear" w:color="auto" w:fill="auto"/>
            <w:tcMar>
              <w:left w:w="60" w:type="dxa"/>
              <w:right w:w="60" w:type="dxa"/>
            </w:tcMar>
            <w:vAlign w:val="bottom"/>
          </w:tcPr>
          <w:p>
            <w:pPr>
              <w:pStyle w:val="DMETW19878BIPOCNYE"/>
              <w:rPr>
                <w:rFonts w:ascii="Arial" w:eastAsia="Arial" w:hAnsi="Arial" w:cs="Arial"/>
                <w:noProof/>
                <w:color w:val="000000"/>
              </w:rPr>
            </w:pPr>
            <w:bookmarkStart w:id="190" w:name="DOC_TBL00082_1_1"/>
            <w:bookmarkEnd w:id="190"/>
          </w:p>
        </w:tc>
        <w:tc>
          <w:tcPr>
            <w:tcW w:w="1608" w:type="dxa"/>
            <w:tcBorders>
              <w:top w:val="nil"/>
              <w:left w:val="nil"/>
              <w:bottom w:val="nil"/>
              <w:right w:val="nil"/>
              <w:tl2br w:val="nil"/>
              <w:tr2bl w:val="nil"/>
            </w:tcBorders>
            <w:shd w:val="clear" w:color="auto" w:fill="auto"/>
            <w:tcMar>
              <w:left w:w="60" w:type="dxa"/>
              <w:right w:w="60" w:type="dxa"/>
            </w:tcMar>
            <w:vAlign w:val="bottom"/>
          </w:tcPr>
          <w:p>
            <w:pPr>
              <w:pStyle w:val="DMETW19878BIPOCNYE"/>
              <w:rPr>
                <w:rFonts w:ascii="Arial" w:eastAsia="Arial" w:hAnsi="Arial" w:cs="Arial"/>
                <w:noProof/>
                <w:color w:val="000000"/>
              </w:rPr>
            </w:pPr>
          </w:p>
        </w:tc>
        <w:tc>
          <w:tcPr>
            <w:tcW w:w="1645" w:type="dxa"/>
            <w:tcBorders>
              <w:top w:val="nil"/>
              <w:left w:val="nil"/>
              <w:bottom w:val="nil"/>
              <w:right w:val="nil"/>
              <w:tl2br w:val="nil"/>
              <w:tr2bl w:val="nil"/>
            </w:tcBorders>
            <w:shd w:val="clear" w:color="auto" w:fill="auto"/>
            <w:tcMar>
              <w:left w:w="60" w:type="dxa"/>
              <w:right w:w="60" w:type="dxa"/>
            </w:tcMar>
            <w:vAlign w:val="bottom"/>
          </w:tcPr>
          <w:p>
            <w:pPr>
              <w:pStyle w:val="DMETW19878BIPOCNYE"/>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255"/>
        </w:trPr>
        <w:tc>
          <w:tcPr>
            <w:tcW w:w="6505" w:type="dxa"/>
            <w:tcBorders>
              <w:top w:val="nil"/>
              <w:left w:val="nil"/>
              <w:bottom w:val="nil"/>
              <w:right w:val="nil"/>
              <w:tl2br w:val="nil"/>
              <w:tr2bl w:val="nil"/>
            </w:tcBorders>
            <w:shd w:val="solid" w:color="016794" w:fill="FFFFFF"/>
            <w:tcMar>
              <w:left w:w="60" w:type="dxa"/>
              <w:right w:w="60" w:type="dxa"/>
            </w:tcMar>
            <w:vAlign w:val="center"/>
          </w:tcPr>
          <w:p>
            <w:pPr>
              <w:pStyle w:val="DMETW19878BIPOCNYE"/>
              <w:jc w:val="right"/>
              <w:rPr>
                <w:rFonts w:ascii="Verdana" w:eastAsia="Verdana" w:hAnsi="Verdana" w:cs="Verdana"/>
                <w:noProof/>
                <w:color w:val="FFFFFF"/>
              </w:rPr>
            </w:pPr>
          </w:p>
        </w:tc>
        <w:tc>
          <w:tcPr>
            <w:tcW w:w="1608" w:type="dxa"/>
            <w:tcBorders>
              <w:top w:val="nil"/>
              <w:left w:val="nil"/>
              <w:bottom w:val="nil"/>
              <w:right w:val="nil"/>
              <w:tl2br w:val="nil"/>
              <w:tr2bl w:val="nil"/>
            </w:tcBorders>
            <w:shd w:val="solid" w:color="016794" w:fill="FFFFFF"/>
            <w:tcMar>
              <w:left w:w="60" w:type="dxa"/>
              <w:right w:w="60" w:type="dxa"/>
            </w:tcMar>
            <w:vAlign w:val="center"/>
          </w:tcPr>
          <w:p>
            <w:pPr>
              <w:pStyle w:val="DMETW19878BIPOCNYE"/>
              <w:jc w:val="right"/>
              <w:rPr>
                <w:rFonts w:ascii="Verdana" w:eastAsia="Verdana" w:hAnsi="Verdana" w:cs="Verdana"/>
                <w:noProof/>
                <w:color w:val="FFFFFF"/>
              </w:rPr>
            </w:pPr>
            <w:r>
              <w:rPr>
                <w:rFonts w:ascii="Verdana" w:hAnsi="Verdana"/>
                <w:noProof/>
                <w:color w:val="FFFFFF"/>
              </w:rPr>
              <w:t>31.12.2020 г.</w:t>
            </w:r>
          </w:p>
        </w:tc>
        <w:tc>
          <w:tcPr>
            <w:tcW w:w="1645" w:type="dxa"/>
            <w:tcBorders>
              <w:top w:val="nil"/>
              <w:left w:val="nil"/>
              <w:bottom w:val="nil"/>
              <w:right w:val="nil"/>
              <w:tl2br w:val="nil"/>
              <w:tr2bl w:val="nil"/>
            </w:tcBorders>
            <w:shd w:val="solid" w:color="016794" w:fill="FFFFFF"/>
            <w:tcMar>
              <w:left w:w="60" w:type="dxa"/>
              <w:right w:w="60" w:type="dxa"/>
            </w:tcMar>
            <w:vAlign w:val="center"/>
          </w:tcPr>
          <w:p>
            <w:pPr>
              <w:pStyle w:val="DMETW19878BIPOCNYE"/>
              <w:jc w:val="right"/>
              <w:rPr>
                <w:rFonts w:ascii="Verdana" w:eastAsia="Verdana" w:hAnsi="Verdana" w:cs="Verdana"/>
                <w:noProof/>
                <w:color w:val="FFFFFF"/>
              </w:rPr>
            </w:pPr>
            <w:r>
              <w:rPr>
                <w:rFonts w:ascii="Verdana" w:hAnsi="Verdana"/>
                <w:noProof/>
                <w:color w:val="FFFFFF"/>
              </w:rPr>
              <w:t>31.12.2019 г.</w:t>
            </w:r>
          </w:p>
        </w:tc>
      </w:tr>
      <w:tr>
        <w:trPr>
          <w:trHeight w:val="255"/>
        </w:trPr>
        <w:tc>
          <w:tcPr>
            <w:tcW w:w="6505" w:type="dxa"/>
            <w:tcBorders>
              <w:top w:val="nil"/>
              <w:left w:val="nil"/>
              <w:bottom w:val="nil"/>
              <w:right w:val="nil"/>
              <w:tl2br w:val="nil"/>
              <w:tr2bl w:val="nil"/>
            </w:tcBorders>
            <w:shd w:val="clear" w:color="auto" w:fill="auto"/>
            <w:tcMar>
              <w:left w:w="60" w:type="dxa"/>
              <w:right w:w="60" w:type="dxa"/>
            </w:tcMar>
            <w:vAlign w:val="center"/>
          </w:tcPr>
          <w:p>
            <w:pPr>
              <w:pStyle w:val="DMETW19878BIPOCNYE"/>
              <w:rPr>
                <w:rFonts w:ascii="Verdana" w:eastAsia="Verdana" w:hAnsi="Verdana" w:cs="Verdana"/>
                <w:i/>
                <w:noProof/>
                <w:color w:val="000000"/>
                <w:sz w:val="18"/>
              </w:rPr>
            </w:pPr>
            <w:r>
              <w:rPr>
                <w:rFonts w:ascii="Verdana" w:hAnsi="Verdana"/>
                <w:i/>
                <w:noProof/>
                <w:color w:val="000000"/>
                <w:sz w:val="18"/>
              </w:rPr>
              <w:t>Неизпълнени бюджетни задължения, които все още не са отчетени като разход</w:t>
            </w:r>
          </w:p>
        </w:tc>
        <w:tc>
          <w:tcPr>
            <w:tcW w:w="1608" w:type="dxa"/>
            <w:tcBorders>
              <w:top w:val="nil"/>
              <w:left w:val="nil"/>
              <w:bottom w:val="nil"/>
              <w:right w:val="nil"/>
              <w:tl2br w:val="nil"/>
              <w:tr2bl w:val="nil"/>
            </w:tcBorders>
            <w:shd w:val="clear" w:color="auto" w:fill="auto"/>
            <w:tcMar>
              <w:left w:w="60" w:type="dxa"/>
              <w:right w:w="60" w:type="dxa"/>
            </w:tcMar>
            <w:vAlign w:val="center"/>
          </w:tcPr>
          <w:p>
            <w:pPr>
              <w:pStyle w:val="DMETW19878BIPOCNYE"/>
              <w:jc w:val="right"/>
              <w:rPr>
                <w:rFonts w:ascii="Verdana" w:eastAsia="Verdana" w:hAnsi="Verdana" w:cs="Verdana"/>
                <w:i/>
                <w:noProof/>
                <w:color w:val="000000"/>
                <w:sz w:val="18"/>
              </w:rPr>
            </w:pPr>
            <w:r>
              <w:rPr>
                <w:rFonts w:ascii="Verdana" w:hAnsi="Verdana"/>
                <w:i/>
                <w:noProof/>
                <w:color w:val="000000"/>
                <w:sz w:val="18"/>
              </w:rPr>
              <w:t>249 309</w:t>
            </w:r>
          </w:p>
        </w:tc>
        <w:tc>
          <w:tcPr>
            <w:tcW w:w="1645" w:type="dxa"/>
            <w:tcBorders>
              <w:top w:val="nil"/>
              <w:left w:val="nil"/>
              <w:bottom w:val="nil"/>
              <w:right w:val="nil"/>
              <w:tl2br w:val="nil"/>
              <w:tr2bl w:val="nil"/>
            </w:tcBorders>
            <w:shd w:val="clear" w:color="auto" w:fill="auto"/>
            <w:tcMar>
              <w:left w:w="60" w:type="dxa"/>
              <w:right w:w="60" w:type="dxa"/>
            </w:tcMar>
            <w:vAlign w:val="center"/>
          </w:tcPr>
          <w:p>
            <w:pPr>
              <w:pStyle w:val="DMETW19878BIPOCNYE"/>
              <w:jc w:val="right"/>
              <w:rPr>
                <w:rFonts w:ascii="Verdana" w:eastAsia="Verdana" w:hAnsi="Verdana" w:cs="Verdana"/>
                <w:i/>
                <w:noProof/>
                <w:color w:val="000000"/>
                <w:sz w:val="18"/>
              </w:rPr>
            </w:pPr>
            <w:r>
              <w:rPr>
                <w:rFonts w:ascii="Verdana" w:hAnsi="Verdana"/>
                <w:i/>
                <w:noProof/>
                <w:color w:val="000000"/>
                <w:sz w:val="18"/>
              </w:rPr>
              <w:t>249 686</w:t>
            </w:r>
          </w:p>
        </w:tc>
      </w:tr>
    </w:tbl>
    <w:p>
      <w:pPr>
        <w:pStyle w:val="DGTextstand-alone"/>
      </w:pPr>
      <w:r>
        <w:t>Сумата, оповестена по-горе, представлява бюджетните RAL (Reste à Liquider — неизпълнени поети задължения) на стойност 303 197 милиона евро (вж. таблица 4.4 в бележките към докладите за изпълнението на бюджета) минус свързаните с тях суми, които са включени като пасиви в счетоводния баланс и като разходи в отчета за финансовия резултат. Бюджетните RAL са сума, която представлява неприключените поети задължения, за които плащанията и/или отмените все още не са извършени. Както бе обяснено по-горе, това е нормално следствие от съществуването на многогодишни програми.</w:t>
      </w:r>
    </w:p>
    <w:p>
      <w:pPr>
        <w:pStyle w:val="DGTextstand-alone"/>
      </w:pPr>
      <w:r>
        <w:t>Следва да се отбележи, че към 31 декември 2020 г. неприключените аванси по предварително финансиране възлизаха на общо 62,7 милиарда евро — вж. бележка </w:t>
      </w:r>
      <w:r>
        <w:rPr>
          <w:b/>
        </w:rPr>
        <w:t>2.5</w:t>
      </w:r>
      <w:r>
        <w:t>. Това са бюджетни задължения, които са платени, като плащането им е довело до намаляване на неизпълнените поети задължения (RAL), но при които платените суми все още се считат за собственост на ЕС, а не на бенефициера, до изпълнението на съответните договорни задължения. Следователно, подобно на оповестените по-горе RAL, те все още не са отчетени като разход.</w:t>
      </w:r>
    </w:p>
    <w:p>
      <w:pPr>
        <w:pStyle w:val="HEADER2NOTES"/>
        <w:rPr>
          <w:noProof/>
        </w:rPr>
      </w:pPr>
      <w:r>
        <w:rPr>
          <w:noProof/>
        </w:rPr>
        <w:t>ПРАВНИ ЗАДЪЛЖЕНИЯ ПОД СПОДЕЛЕНО УПРАВЛЕНИЕ ПО НАСТОЯЩАТА МФР, КОИТО ПРЕДСТОИ ДА БЪДАТ ИЗПЪЛНЕНИ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1659"/>
        <w:gridCol w:w="1659"/>
        <w:gridCol w:w="1659"/>
        <w:gridCol w:w="1659"/>
      </w:tblGrid>
      <w:tr>
        <w:trPr>
          <w:trHeight w:val="255"/>
        </w:trPr>
        <w:tc>
          <w:tcPr>
            <w:tcW w:w="3122" w:type="dxa"/>
            <w:tcBorders>
              <w:top w:val="nil"/>
              <w:left w:val="nil"/>
              <w:bottom w:val="nil"/>
              <w:right w:val="nil"/>
              <w:tl2br w:val="nil"/>
              <w:tr2bl w:val="nil"/>
            </w:tcBorders>
            <w:shd w:val="clear" w:color="auto" w:fill="auto"/>
            <w:tcMar>
              <w:left w:w="60" w:type="dxa"/>
              <w:right w:w="60" w:type="dxa"/>
            </w:tcMar>
            <w:vAlign w:val="bottom"/>
          </w:tcPr>
          <w:p>
            <w:pPr>
              <w:pStyle w:val="DMETW19552BIPSTRUCAC"/>
              <w:rPr>
                <w:rFonts w:ascii="Arial" w:eastAsia="Arial" w:hAnsi="Arial" w:cs="Arial"/>
                <w:noProof/>
                <w:color w:val="000000"/>
              </w:rPr>
            </w:pPr>
            <w:bookmarkStart w:id="191" w:name="DOC_TBL00083_1_1"/>
            <w:bookmarkEnd w:id="191"/>
          </w:p>
        </w:tc>
        <w:tc>
          <w:tcPr>
            <w:tcW w:w="1659" w:type="dxa"/>
            <w:tcBorders>
              <w:top w:val="nil"/>
              <w:left w:val="nil"/>
              <w:bottom w:val="nil"/>
              <w:right w:val="nil"/>
              <w:tl2br w:val="nil"/>
              <w:tr2bl w:val="nil"/>
            </w:tcBorders>
            <w:shd w:val="clear" w:color="auto" w:fill="auto"/>
            <w:tcMar>
              <w:left w:w="60" w:type="dxa"/>
              <w:right w:w="60" w:type="dxa"/>
            </w:tcMar>
            <w:vAlign w:val="bottom"/>
          </w:tcPr>
          <w:p>
            <w:pPr>
              <w:pStyle w:val="DMETW19552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bottom"/>
          </w:tcPr>
          <w:p>
            <w:pPr>
              <w:pStyle w:val="DMETW19552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bottom"/>
          </w:tcPr>
          <w:p>
            <w:pPr>
              <w:pStyle w:val="DMETW19552BIPSTRUCAC"/>
              <w:rPr>
                <w:rFonts w:ascii="Arial" w:eastAsia="Arial" w:hAnsi="Arial" w:cs="Arial"/>
                <w:noProof/>
                <w:color w:val="000000"/>
              </w:rPr>
            </w:pPr>
          </w:p>
        </w:tc>
        <w:tc>
          <w:tcPr>
            <w:tcW w:w="1659" w:type="dxa"/>
            <w:tcBorders>
              <w:top w:val="nil"/>
              <w:left w:val="nil"/>
              <w:bottom w:val="nil"/>
              <w:right w:val="nil"/>
              <w:tl2br w:val="nil"/>
              <w:tr2bl w:val="nil"/>
            </w:tcBorders>
            <w:shd w:val="clear" w:color="auto" w:fill="auto"/>
            <w:tcMar>
              <w:left w:w="60" w:type="dxa"/>
              <w:right w:w="60" w:type="dxa"/>
            </w:tcMar>
            <w:vAlign w:val="bottom"/>
          </w:tcPr>
          <w:p>
            <w:pPr>
              <w:pStyle w:val="DMETW19552BIPSTRUCAC"/>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122" w:type="dxa"/>
            <w:tcBorders>
              <w:top w:val="nil"/>
              <w:left w:val="nil"/>
              <w:bottom w:val="nil"/>
              <w:right w:val="nil"/>
              <w:tl2br w:val="nil"/>
              <w:tr2bl w:val="nil"/>
            </w:tcBorders>
            <w:shd w:val="solid" w:color="016794" w:fill="FFFFFF"/>
            <w:tcMar>
              <w:left w:w="60" w:type="dxa"/>
              <w:right w:w="60" w:type="dxa"/>
            </w:tcMar>
            <w:vAlign w:val="center"/>
          </w:tcPr>
          <w:p>
            <w:pPr>
              <w:pStyle w:val="DMETW19552BIPSTRUCAC"/>
              <w:rPr>
                <w:rFonts w:ascii="Verdana" w:eastAsia="Verdana" w:hAnsi="Verdana" w:cs="Verdana"/>
                <w:noProof/>
                <w:color w:val="FFFFFF"/>
                <w:sz w:val="18"/>
              </w:rPr>
            </w:pPr>
            <w:r>
              <w:rPr>
                <w:rFonts w:ascii="Verdana" w:hAnsi="Verdana"/>
                <w:noProof/>
                <w:color w:val="FFFFFF"/>
                <w:sz w:val="18"/>
              </w:rPr>
              <w:t>Фондове</w:t>
            </w:r>
          </w:p>
        </w:tc>
        <w:tc>
          <w:tcPr>
            <w:tcW w:w="1659" w:type="dxa"/>
            <w:tcBorders>
              <w:top w:val="nil"/>
              <w:left w:val="nil"/>
              <w:bottom w:val="nil"/>
              <w:right w:val="nil"/>
              <w:tl2br w:val="nil"/>
              <w:tr2bl w:val="nil"/>
            </w:tcBorders>
            <w:shd w:val="solid" w:color="016794" w:fill="FFFFFF"/>
            <w:tcMar>
              <w:left w:w="60" w:type="dxa"/>
              <w:right w:w="60" w:type="dxa"/>
            </w:tcMar>
            <w:vAlign w:val="center"/>
          </w:tcPr>
          <w:p>
            <w:pPr>
              <w:pStyle w:val="DMETW19552BIPSTRUCAC"/>
              <w:jc w:val="right"/>
              <w:rPr>
                <w:rFonts w:ascii="Verdana" w:eastAsia="Verdana" w:hAnsi="Verdana" w:cs="Verdana"/>
                <w:noProof/>
                <w:color w:val="FFFFFF"/>
                <w:sz w:val="18"/>
              </w:rPr>
            </w:pPr>
            <w:r>
              <w:rPr>
                <w:rFonts w:ascii="Verdana" w:hAnsi="Verdana"/>
                <w:noProof/>
                <w:color w:val="FFFFFF"/>
                <w:sz w:val="18"/>
              </w:rPr>
              <w:t>Финансова рамка за 2014—2020 г. (А)</w:t>
            </w:r>
          </w:p>
        </w:tc>
        <w:tc>
          <w:tcPr>
            <w:tcW w:w="1659" w:type="dxa"/>
            <w:tcBorders>
              <w:top w:val="nil"/>
              <w:left w:val="nil"/>
              <w:bottom w:val="nil"/>
              <w:right w:val="nil"/>
              <w:tl2br w:val="nil"/>
              <w:tr2bl w:val="nil"/>
            </w:tcBorders>
            <w:shd w:val="solid" w:color="016794" w:fill="FFFFFF"/>
            <w:tcMar>
              <w:left w:w="60" w:type="dxa"/>
              <w:right w:w="60" w:type="dxa"/>
            </w:tcMar>
            <w:vAlign w:val="center"/>
          </w:tcPr>
          <w:p>
            <w:pPr>
              <w:pStyle w:val="DMETW19552BIPSTRUCAC"/>
              <w:jc w:val="right"/>
              <w:rPr>
                <w:rFonts w:ascii="Verdana" w:eastAsia="Verdana" w:hAnsi="Verdana" w:cs="Verdana"/>
                <w:noProof/>
                <w:color w:val="FFFFFF"/>
                <w:sz w:val="18"/>
              </w:rPr>
            </w:pPr>
            <w:r>
              <w:rPr>
                <w:rFonts w:ascii="Verdana" w:hAnsi="Verdana"/>
                <w:noProof/>
                <w:color w:val="FFFFFF"/>
                <w:sz w:val="18"/>
              </w:rPr>
              <w:t>Правни задължения съгласно последното решение на Комисията (Б)</w:t>
            </w:r>
          </w:p>
        </w:tc>
        <w:tc>
          <w:tcPr>
            <w:tcW w:w="1659" w:type="dxa"/>
            <w:tcBorders>
              <w:top w:val="nil"/>
              <w:left w:val="nil"/>
              <w:bottom w:val="nil"/>
              <w:right w:val="nil"/>
              <w:tl2br w:val="nil"/>
              <w:tr2bl w:val="nil"/>
            </w:tcBorders>
            <w:shd w:val="solid" w:color="016794" w:fill="FFFFFF"/>
            <w:tcMar>
              <w:left w:w="60" w:type="dxa"/>
              <w:right w:w="60" w:type="dxa"/>
            </w:tcMar>
            <w:vAlign w:val="center"/>
          </w:tcPr>
          <w:p>
            <w:pPr>
              <w:pStyle w:val="DMETW19552BIPSTRUCAC"/>
              <w:jc w:val="right"/>
              <w:rPr>
                <w:rFonts w:ascii="Verdana" w:eastAsia="Verdana" w:hAnsi="Verdana" w:cs="Verdana"/>
                <w:noProof/>
                <w:color w:val="FFFFFF"/>
                <w:sz w:val="18"/>
              </w:rPr>
            </w:pPr>
            <w:r>
              <w:rPr>
                <w:rFonts w:ascii="Verdana" w:hAnsi="Verdana"/>
                <w:noProof/>
                <w:color w:val="FFFFFF"/>
                <w:sz w:val="18"/>
              </w:rPr>
              <w:t>Бюджетни задължения, включително отменени (В)</w:t>
            </w:r>
          </w:p>
        </w:tc>
        <w:tc>
          <w:tcPr>
            <w:tcW w:w="1659" w:type="dxa"/>
            <w:tcBorders>
              <w:top w:val="nil"/>
              <w:left w:val="nil"/>
              <w:bottom w:val="nil"/>
              <w:right w:val="nil"/>
              <w:tl2br w:val="nil"/>
              <w:tr2bl w:val="nil"/>
            </w:tcBorders>
            <w:shd w:val="solid" w:color="016794" w:fill="FFFFFF"/>
            <w:tcMar>
              <w:left w:w="60" w:type="dxa"/>
              <w:right w:w="60" w:type="dxa"/>
            </w:tcMar>
            <w:vAlign w:val="center"/>
          </w:tcPr>
          <w:p>
            <w:pPr>
              <w:pStyle w:val="DMETW19552BIPSTRUCAC"/>
              <w:jc w:val="right"/>
              <w:rPr>
                <w:rFonts w:ascii="Verdana" w:eastAsia="Verdana" w:hAnsi="Verdana" w:cs="Verdana"/>
                <w:noProof/>
                <w:color w:val="FFFFFF"/>
                <w:sz w:val="18"/>
              </w:rPr>
            </w:pPr>
            <w:r>
              <w:rPr>
                <w:rFonts w:ascii="Verdana" w:hAnsi="Verdana"/>
                <w:noProof/>
                <w:color w:val="FFFFFF"/>
                <w:sz w:val="18"/>
              </w:rPr>
              <w:t>Правни задължения, които предстои да бъдат изпълнени (Б – В)</w:t>
            </w:r>
          </w:p>
        </w:tc>
      </w:tr>
      <w:tr>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pPr>
              <w:pStyle w:val="DMETW19552BIPSTRUCAC"/>
              <w:rPr>
                <w:rFonts w:ascii="Verdana" w:eastAsia="Verdana" w:hAnsi="Verdana" w:cs="Verdana"/>
                <w:i/>
                <w:noProof/>
                <w:color w:val="000000"/>
                <w:sz w:val="18"/>
              </w:rPr>
            </w:pPr>
            <w:r>
              <w:rPr>
                <w:rFonts w:ascii="Verdana" w:hAnsi="Verdana"/>
                <w:i/>
                <w:noProof/>
                <w:color w:val="000000"/>
                <w:sz w:val="18"/>
              </w:rPr>
              <w:t>Европейски фонд за регионално развитие и Кохезионен фонд</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261 889</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261 690</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261 690</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pPr>
              <w:pStyle w:val="DMETW19552BIPSTRUCAC"/>
              <w:rPr>
                <w:rFonts w:ascii="Verdana" w:eastAsia="Verdana" w:hAnsi="Verdana" w:cs="Verdana"/>
                <w:i/>
                <w:noProof/>
                <w:color w:val="000000"/>
                <w:sz w:val="18"/>
              </w:rPr>
            </w:pPr>
            <w:r>
              <w:rPr>
                <w:rFonts w:ascii="Verdana" w:hAnsi="Verdana"/>
                <w:i/>
                <w:noProof/>
                <w:color w:val="000000"/>
                <w:sz w:val="18"/>
              </w:rPr>
              <w:t>Европейски социален фонд</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93 642</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93 498</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93 498</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 xml:space="preserve"> 0</w:t>
            </w:r>
          </w:p>
        </w:tc>
      </w:tr>
      <w:tr>
        <w:trPr>
          <w:trHeight w:val="255"/>
        </w:trPr>
        <w:tc>
          <w:tcPr>
            <w:tcW w:w="3122" w:type="dxa"/>
            <w:tcBorders>
              <w:top w:val="nil"/>
              <w:left w:val="nil"/>
              <w:bottom w:val="nil"/>
              <w:right w:val="nil"/>
              <w:tl2br w:val="nil"/>
              <w:tr2bl w:val="nil"/>
            </w:tcBorders>
            <w:shd w:val="clear" w:color="auto" w:fill="auto"/>
            <w:tcMar>
              <w:left w:w="60" w:type="dxa"/>
              <w:right w:w="60" w:type="dxa"/>
            </w:tcMar>
            <w:vAlign w:val="center"/>
          </w:tcPr>
          <w:p>
            <w:pPr>
              <w:pStyle w:val="DMETW19552BIPSTRUCAC"/>
              <w:rPr>
                <w:rFonts w:ascii="Verdana" w:eastAsia="Verdana" w:hAnsi="Verdana" w:cs="Verdana"/>
                <w:i/>
                <w:noProof/>
                <w:color w:val="000000"/>
                <w:sz w:val="18"/>
              </w:rPr>
            </w:pPr>
            <w:r>
              <w:rPr>
                <w:rFonts w:ascii="Verdana" w:hAnsi="Verdana"/>
                <w:i/>
                <w:noProof/>
                <w:color w:val="000000"/>
                <w:sz w:val="18"/>
              </w:rPr>
              <w:t>Европейски инструмент за съседство и партньорство</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w:t>
            </w:r>
          </w:p>
        </w:tc>
        <w:tc>
          <w:tcPr>
            <w:tcW w:w="1659" w:type="dxa"/>
            <w:tcBorders>
              <w:top w:val="nil"/>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312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52BIPSTRUCAC"/>
              <w:rPr>
                <w:rFonts w:ascii="Verdana" w:eastAsia="Verdana" w:hAnsi="Verdana" w:cs="Verdana"/>
                <w:i/>
                <w:noProof/>
                <w:color w:val="000000"/>
                <w:sz w:val="18"/>
              </w:rPr>
            </w:pPr>
            <w:r>
              <w:rPr>
                <w:rFonts w:ascii="Verdana" w:hAnsi="Verdana"/>
                <w:i/>
                <w:noProof/>
                <w:color w:val="000000"/>
                <w:sz w:val="18"/>
              </w:rPr>
              <w:t>Фонд за европейско подпомагане на най-нуждаещите се лица</w:t>
            </w:r>
          </w:p>
        </w:tc>
        <w:tc>
          <w:tcPr>
            <w:tcW w:w="165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3 814</w:t>
            </w:r>
          </w:p>
        </w:tc>
        <w:tc>
          <w:tcPr>
            <w:tcW w:w="165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3 813</w:t>
            </w:r>
          </w:p>
        </w:tc>
        <w:tc>
          <w:tcPr>
            <w:tcW w:w="165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3 813</w:t>
            </w:r>
          </w:p>
        </w:tc>
        <w:tc>
          <w:tcPr>
            <w:tcW w:w="165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31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rPr>
                <w:rFonts w:ascii="Verdana" w:eastAsia="Verdana" w:hAnsi="Verdana" w:cs="Verdana"/>
                <w:b/>
                <w:noProof/>
                <w:color w:val="000000"/>
                <w:sz w:val="18"/>
              </w:rPr>
            </w:pPr>
            <w:r>
              <w:rPr>
                <w:rFonts w:ascii="Verdana" w:hAnsi="Verdana"/>
                <w:b/>
                <w:noProof/>
                <w:color w:val="000000"/>
                <w:sz w:val="18"/>
              </w:rPr>
              <w:t>ПОДФУНКЦИЯ 1Б: ФОНДОВЕ В ОБЛАСТТА НА ПОЛИТИКАТА НА СБЛИЖАВАНЕ</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359 345</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359 000</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359 000</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 xml:space="preserve"> 0</w:t>
            </w:r>
          </w:p>
        </w:tc>
      </w:tr>
      <w:tr>
        <w:trPr>
          <w:trHeight w:val="255"/>
        </w:trPr>
        <w:tc>
          <w:tcPr>
            <w:tcW w:w="312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52BIPSTRUCAC"/>
              <w:rPr>
                <w:rFonts w:ascii="Verdana" w:eastAsia="Verdana" w:hAnsi="Verdana" w:cs="Verdana"/>
                <w:i/>
                <w:noProof/>
                <w:color w:val="000000"/>
                <w:spacing w:val="-6"/>
                <w:sz w:val="18"/>
              </w:rPr>
            </w:pPr>
            <w:r>
              <w:rPr>
                <w:rFonts w:ascii="Verdana" w:hAnsi="Verdana"/>
                <w:i/>
                <w:noProof/>
                <w:color w:val="000000"/>
                <w:spacing w:val="-6"/>
                <w:sz w:val="18"/>
              </w:rPr>
              <w:t xml:space="preserve">Европейски земеделски фонд за развитие на селските райони </w:t>
            </w:r>
          </w:p>
        </w:tc>
        <w:tc>
          <w:tcPr>
            <w:tcW w:w="1659" w:type="dxa"/>
            <w:tcBorders>
              <w:top w:val="single" w:sz="4" w:space="0" w:color="016794"/>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126 909</w:t>
            </w:r>
          </w:p>
        </w:tc>
        <w:tc>
          <w:tcPr>
            <w:tcW w:w="1659" w:type="dxa"/>
            <w:tcBorders>
              <w:top w:val="single" w:sz="4" w:space="0" w:color="016794"/>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100 063</w:t>
            </w:r>
          </w:p>
        </w:tc>
        <w:tc>
          <w:tcPr>
            <w:tcW w:w="1659" w:type="dxa"/>
            <w:tcBorders>
              <w:top w:val="single" w:sz="4" w:space="0" w:color="016794"/>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100 063</w:t>
            </w:r>
          </w:p>
        </w:tc>
        <w:tc>
          <w:tcPr>
            <w:tcW w:w="1659" w:type="dxa"/>
            <w:tcBorders>
              <w:top w:val="single" w:sz="4" w:space="0" w:color="016794"/>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 xml:space="preserve"> (0)</w:t>
            </w:r>
          </w:p>
        </w:tc>
      </w:tr>
      <w:tr>
        <w:trPr>
          <w:trHeight w:val="255"/>
        </w:trPr>
        <w:tc>
          <w:tcPr>
            <w:tcW w:w="312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52BIPSTRUCAC"/>
              <w:rPr>
                <w:rFonts w:ascii="Verdana" w:eastAsia="Verdana" w:hAnsi="Verdana" w:cs="Verdana"/>
                <w:i/>
                <w:noProof/>
                <w:color w:val="000000"/>
                <w:sz w:val="18"/>
              </w:rPr>
            </w:pPr>
            <w:r>
              <w:rPr>
                <w:rFonts w:ascii="Verdana" w:hAnsi="Verdana"/>
                <w:i/>
                <w:noProof/>
                <w:color w:val="000000"/>
                <w:sz w:val="18"/>
              </w:rPr>
              <w:t>Европейски фонд за морско дело и рибарство</w:t>
            </w:r>
          </w:p>
        </w:tc>
        <w:tc>
          <w:tcPr>
            <w:tcW w:w="165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5 749</w:t>
            </w:r>
          </w:p>
        </w:tc>
        <w:tc>
          <w:tcPr>
            <w:tcW w:w="165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5 655</w:t>
            </w:r>
          </w:p>
        </w:tc>
        <w:tc>
          <w:tcPr>
            <w:tcW w:w="165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5 655</w:t>
            </w:r>
          </w:p>
        </w:tc>
        <w:tc>
          <w:tcPr>
            <w:tcW w:w="165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31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rPr>
                <w:rFonts w:ascii="Verdana" w:eastAsia="Verdana" w:hAnsi="Verdana" w:cs="Verdana"/>
                <w:b/>
                <w:noProof/>
                <w:color w:val="000000"/>
                <w:sz w:val="18"/>
              </w:rPr>
            </w:pPr>
            <w:r>
              <w:rPr>
                <w:rFonts w:ascii="Verdana" w:hAnsi="Verdana"/>
                <w:b/>
                <w:noProof/>
                <w:color w:val="000000"/>
                <w:sz w:val="18"/>
              </w:rPr>
              <w:t>ФУНКЦИЯ 2: ПРИРОДНИ РЕСУРСИ</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132 658</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105 718</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105 718</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 xml:space="preserve"> (0)</w:t>
            </w:r>
          </w:p>
        </w:tc>
      </w:tr>
      <w:tr>
        <w:trPr>
          <w:trHeight w:val="255"/>
        </w:trPr>
        <w:tc>
          <w:tcPr>
            <w:tcW w:w="312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52BIPSTRUCAC"/>
              <w:rPr>
                <w:rFonts w:ascii="Verdana" w:eastAsia="Verdana" w:hAnsi="Verdana" w:cs="Verdana"/>
                <w:i/>
                <w:noProof/>
                <w:color w:val="000000"/>
                <w:sz w:val="18"/>
              </w:rPr>
            </w:pPr>
            <w:r>
              <w:rPr>
                <w:rFonts w:ascii="Verdana" w:hAnsi="Verdana"/>
                <w:i/>
                <w:noProof/>
                <w:color w:val="000000"/>
                <w:sz w:val="18"/>
              </w:rPr>
              <w:t>Фонд „Убежище и миграция“</w:t>
            </w:r>
          </w:p>
        </w:tc>
        <w:tc>
          <w:tcPr>
            <w:tcW w:w="1659" w:type="dxa"/>
            <w:tcBorders>
              <w:top w:val="single" w:sz="4" w:space="0" w:color="016794"/>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4 576</w:t>
            </w:r>
          </w:p>
        </w:tc>
        <w:tc>
          <w:tcPr>
            <w:tcW w:w="1659" w:type="dxa"/>
            <w:tcBorders>
              <w:top w:val="single" w:sz="4" w:space="0" w:color="016794"/>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4 576</w:t>
            </w:r>
          </w:p>
        </w:tc>
        <w:tc>
          <w:tcPr>
            <w:tcW w:w="1659" w:type="dxa"/>
            <w:tcBorders>
              <w:top w:val="single" w:sz="4" w:space="0" w:color="016794"/>
              <w:left w:val="nil"/>
              <w:bottom w:val="nil"/>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4 576</w:t>
            </w:r>
          </w:p>
        </w:tc>
        <w:tc>
          <w:tcPr>
            <w:tcW w:w="165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 xml:space="preserve"> (0)</w:t>
            </w:r>
          </w:p>
        </w:tc>
      </w:tr>
      <w:tr>
        <w:trPr>
          <w:trHeight w:val="255"/>
        </w:trPr>
        <w:tc>
          <w:tcPr>
            <w:tcW w:w="312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52BIPSTRUCAC"/>
              <w:rPr>
                <w:rFonts w:ascii="Verdana" w:eastAsia="Verdana" w:hAnsi="Verdana" w:cs="Verdana"/>
                <w:i/>
                <w:noProof/>
                <w:color w:val="000000"/>
                <w:sz w:val="18"/>
              </w:rPr>
            </w:pPr>
            <w:r>
              <w:rPr>
                <w:rFonts w:ascii="Verdana" w:hAnsi="Verdana"/>
                <w:i/>
                <w:noProof/>
                <w:color w:val="000000"/>
                <w:sz w:val="18"/>
              </w:rPr>
              <w:t>Фонд „Вътрешна сигурност“</w:t>
            </w:r>
          </w:p>
        </w:tc>
        <w:tc>
          <w:tcPr>
            <w:tcW w:w="165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3 172</w:t>
            </w:r>
          </w:p>
        </w:tc>
        <w:tc>
          <w:tcPr>
            <w:tcW w:w="165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3 172</w:t>
            </w:r>
          </w:p>
        </w:tc>
        <w:tc>
          <w:tcPr>
            <w:tcW w:w="165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3 172</w:t>
            </w:r>
          </w:p>
        </w:tc>
        <w:tc>
          <w:tcPr>
            <w:tcW w:w="165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i/>
                <w:noProof/>
                <w:color w:val="000000"/>
                <w:sz w:val="18"/>
              </w:rPr>
            </w:pPr>
            <w:r>
              <w:rPr>
                <w:rFonts w:ascii="Verdana" w:hAnsi="Verdana"/>
                <w:i/>
                <w:noProof/>
                <w:color w:val="000000"/>
                <w:sz w:val="18"/>
              </w:rPr>
              <w:t xml:space="preserve"> (0)</w:t>
            </w:r>
          </w:p>
        </w:tc>
      </w:tr>
      <w:tr>
        <w:trPr>
          <w:trHeight w:val="255"/>
        </w:trPr>
        <w:tc>
          <w:tcPr>
            <w:tcW w:w="31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rPr>
                <w:rFonts w:ascii="Verdana" w:eastAsia="Verdana" w:hAnsi="Verdana" w:cs="Verdana"/>
                <w:b/>
                <w:noProof/>
                <w:color w:val="000000"/>
                <w:sz w:val="18"/>
              </w:rPr>
            </w:pPr>
            <w:r>
              <w:rPr>
                <w:rFonts w:ascii="Verdana" w:hAnsi="Verdana"/>
                <w:b/>
                <w:noProof/>
                <w:color w:val="000000"/>
                <w:sz w:val="18"/>
              </w:rPr>
              <w:t>ФУНКЦИЯ 3: СИГУРНОСТ И ГРАЖДАНСТВО</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7 747</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7 747</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7 747</w:t>
            </w:r>
          </w:p>
        </w:tc>
        <w:tc>
          <w:tcPr>
            <w:tcW w:w="16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 xml:space="preserve"> (0)</w:t>
            </w:r>
          </w:p>
        </w:tc>
      </w:tr>
      <w:tr>
        <w:trPr>
          <w:trHeight w:val="255"/>
        </w:trPr>
        <w:tc>
          <w:tcPr>
            <w:tcW w:w="312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52BIPSTRUCAC"/>
              <w:rPr>
                <w:rFonts w:ascii="Arial" w:eastAsia="Arial" w:hAnsi="Arial" w:cs="Arial"/>
                <w:noProof/>
                <w:color w:val="000000"/>
              </w:rPr>
            </w:pPr>
          </w:p>
        </w:tc>
        <w:tc>
          <w:tcPr>
            <w:tcW w:w="165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52BIPSTRUCAC"/>
              <w:rPr>
                <w:rFonts w:ascii="Arial" w:eastAsia="Arial" w:hAnsi="Arial" w:cs="Arial"/>
                <w:noProof/>
                <w:color w:val="000000"/>
              </w:rPr>
            </w:pPr>
          </w:p>
        </w:tc>
        <w:tc>
          <w:tcPr>
            <w:tcW w:w="165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52BIPSTRUCAC"/>
              <w:rPr>
                <w:rFonts w:ascii="Arial" w:eastAsia="Arial" w:hAnsi="Arial" w:cs="Arial"/>
                <w:noProof/>
                <w:color w:val="000000"/>
              </w:rPr>
            </w:pPr>
          </w:p>
        </w:tc>
        <w:tc>
          <w:tcPr>
            <w:tcW w:w="165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52BIPSTRUCAC"/>
              <w:rPr>
                <w:rFonts w:ascii="Arial" w:eastAsia="Arial" w:hAnsi="Arial" w:cs="Arial"/>
                <w:noProof/>
                <w:color w:val="000000"/>
              </w:rPr>
            </w:pPr>
          </w:p>
        </w:tc>
        <w:tc>
          <w:tcPr>
            <w:tcW w:w="165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52BIPSTRUCAC"/>
              <w:rPr>
                <w:rFonts w:ascii="Arial" w:eastAsia="Arial" w:hAnsi="Arial" w:cs="Arial"/>
                <w:noProof/>
                <w:color w:val="000000"/>
                <w:lang w:bidi="en-GB"/>
              </w:rPr>
            </w:pPr>
          </w:p>
        </w:tc>
      </w:tr>
      <w:tr>
        <w:trPr>
          <w:trHeight w:val="255"/>
        </w:trPr>
        <w:tc>
          <w:tcPr>
            <w:tcW w:w="3122" w:type="dxa"/>
            <w:tcBorders>
              <w:top w:val="nil"/>
              <w:left w:val="nil"/>
              <w:bottom w:val="nil"/>
              <w:right w:val="nil"/>
              <w:tl2br w:val="nil"/>
              <w:tr2bl w:val="nil"/>
            </w:tcBorders>
            <w:shd w:val="solid" w:color="CCE1EA" w:fill="FFFFFF"/>
            <w:tcMar>
              <w:left w:w="60" w:type="dxa"/>
              <w:right w:w="60" w:type="dxa"/>
            </w:tcMar>
            <w:vAlign w:val="center"/>
          </w:tcPr>
          <w:p>
            <w:pPr>
              <w:pStyle w:val="DMETW19552BIPSTRUCAC"/>
              <w:rPr>
                <w:rFonts w:ascii="Verdana" w:eastAsia="Verdana" w:hAnsi="Verdana" w:cs="Verdana"/>
                <w:b/>
                <w:noProof/>
                <w:color w:val="000000"/>
                <w:sz w:val="18"/>
              </w:rPr>
            </w:pPr>
            <w:r>
              <w:rPr>
                <w:rFonts w:ascii="Verdana" w:hAnsi="Verdana"/>
                <w:b/>
                <w:noProof/>
                <w:color w:val="000000"/>
                <w:sz w:val="18"/>
              </w:rPr>
              <w:t>Общо</w:t>
            </w:r>
          </w:p>
        </w:tc>
        <w:tc>
          <w:tcPr>
            <w:tcW w:w="1659" w:type="dxa"/>
            <w:tcBorders>
              <w:top w:val="nil"/>
              <w:left w:val="nil"/>
              <w:bottom w:val="nil"/>
              <w:right w:val="nil"/>
              <w:tl2br w:val="nil"/>
              <w:tr2bl w:val="nil"/>
            </w:tcBorders>
            <w:shd w:val="solid" w:color="CCE1EA" w:fill="FFFFFF"/>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499 750</w:t>
            </w:r>
          </w:p>
        </w:tc>
        <w:tc>
          <w:tcPr>
            <w:tcW w:w="1659" w:type="dxa"/>
            <w:tcBorders>
              <w:top w:val="nil"/>
              <w:left w:val="nil"/>
              <w:bottom w:val="nil"/>
              <w:right w:val="nil"/>
              <w:tl2br w:val="nil"/>
              <w:tr2bl w:val="nil"/>
            </w:tcBorders>
            <w:shd w:val="solid" w:color="CCE1EA" w:fill="FFFFFF"/>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472 466</w:t>
            </w:r>
          </w:p>
        </w:tc>
        <w:tc>
          <w:tcPr>
            <w:tcW w:w="1659" w:type="dxa"/>
            <w:tcBorders>
              <w:top w:val="nil"/>
              <w:left w:val="nil"/>
              <w:bottom w:val="nil"/>
              <w:right w:val="nil"/>
              <w:tl2br w:val="nil"/>
              <w:tr2bl w:val="nil"/>
            </w:tcBorders>
            <w:shd w:val="solid" w:color="CCE1EA" w:fill="FFFFFF"/>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472 466</w:t>
            </w:r>
          </w:p>
        </w:tc>
        <w:tc>
          <w:tcPr>
            <w:tcW w:w="1659" w:type="dxa"/>
            <w:tcBorders>
              <w:top w:val="nil"/>
              <w:left w:val="nil"/>
              <w:bottom w:val="nil"/>
              <w:right w:val="nil"/>
              <w:tl2br w:val="nil"/>
              <w:tr2bl w:val="nil"/>
            </w:tcBorders>
            <w:shd w:val="solid" w:color="CCE1EA" w:fill="FFFFFF"/>
            <w:tcMar>
              <w:left w:w="60" w:type="dxa"/>
              <w:right w:w="60" w:type="dxa"/>
            </w:tcMar>
            <w:vAlign w:val="center"/>
          </w:tcPr>
          <w:p>
            <w:pPr>
              <w:pStyle w:val="DMETW19552BIPSTRUCAC"/>
              <w:jc w:val="right"/>
              <w:rPr>
                <w:rFonts w:ascii="Verdana" w:eastAsia="Verdana" w:hAnsi="Verdana" w:cs="Verdana"/>
                <w:b/>
                <w:noProof/>
                <w:color w:val="000000"/>
                <w:sz w:val="18"/>
              </w:rPr>
            </w:pPr>
            <w:r>
              <w:rPr>
                <w:rFonts w:ascii="Verdana" w:hAnsi="Verdana"/>
                <w:b/>
                <w:noProof/>
                <w:color w:val="000000"/>
                <w:sz w:val="18"/>
              </w:rPr>
              <w:t xml:space="preserve"> 0</w:t>
            </w:r>
          </w:p>
        </w:tc>
      </w:tr>
    </w:tbl>
    <w:p>
      <w:pPr>
        <w:pStyle w:val="DGTextstand-alone"/>
        <w:spacing w:before="0" w:after="0"/>
        <w:rPr>
          <w:i/>
          <w:sz w:val="16"/>
          <w:szCs w:val="16"/>
        </w:rPr>
      </w:pPr>
      <w:r>
        <w:rPr>
          <w:i/>
          <w:sz w:val="16"/>
          <w:szCs w:val="16"/>
        </w:rPr>
        <w:t>* Съгласно Регламент (ЕС) 2020/2220 финансовата рамка за ЕЗФРСР обхваща периода 2014—2022 г.</w:t>
      </w:r>
    </w:p>
    <w:p>
      <w:pPr>
        <w:pStyle w:val="DGTextstand-alone"/>
      </w:pPr>
      <w:r>
        <w:t>Това са правни задължения, съгласно които ЕС се е ангажирал да плаща, когато приема оперативните програми, свързани със споделеното управление. Решението на Комисията, с което тя приема оперативна програма, представлява решение за финансиране по смисъла на член 110 от ФР, а след като за него бъде уведомена засегната държава членка — правно задължение по смисъла на посочения регламент.</w:t>
      </w:r>
    </w:p>
    <w:p>
      <w:pPr>
        <w:pStyle w:val="DGTextstand-alone"/>
      </w:pPr>
      <w:r>
        <w:t>Член 76 от РОР за европейските структурни и инвестиционни фондове (ЕСИФ) гласи:</w:t>
      </w:r>
    </w:p>
    <w:p>
      <w:pPr>
        <w:pStyle w:val="DGTextstand-alone"/>
        <w:rPr>
          <w:i/>
        </w:rPr>
      </w:pPr>
      <w:r>
        <w:rPr>
          <w:i/>
        </w:rPr>
        <w:t>Поемането на бюджетни задължения от страна на Съюза по отношение на всяка програма се извършва на годишни вноски за всеки от фондовете в периода между 1 януари 2014 г. и 31 декември 2020 г. Бюджетните задължения, свързани с резерва за изпълнение във всяка програма, се определят отделно от останалото разпределяне на средствата за програмата.</w:t>
      </w:r>
    </w:p>
    <w:p>
      <w:pPr>
        <w:pStyle w:val="DGTextstand-alone"/>
      </w:pPr>
      <w:r>
        <w:t xml:space="preserve">В таблицата по-горе се прави преглед на правните и бюджетните задължения, свързани с функции 1Б, 2 и 3 от МФР за периода 2014—2020 г. Таблицата започва с оповестяването на общия размер на разрешените за периода суми в МФР (колона А). В колона Б са посочени правните задължения, сключени от ЕС, в края на годината. Колона В съдържа бюджетните задължения, които вече са поети за покриване на посочените по-горе правни задължения. В края на 2020 г. правните задължения са изцяло покрити от бюджетни задължения. </w:t>
      </w:r>
    </w:p>
    <w:p>
      <w:pPr>
        <w:pStyle w:val="HEADER2NOTES"/>
        <w:rPr>
          <w:noProof/>
          <w:spacing w:val="-14"/>
        </w:rPr>
      </w:pPr>
      <w:r>
        <w:rPr>
          <w:noProof/>
          <w:spacing w:val="-14"/>
        </w:rPr>
        <w:t>СЪЩЕСТВЕНИ ПРАВНИ ЗАДЪЛЖЕНИЯ В ДРУГИ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3"/>
        <w:gridCol w:w="2357"/>
        <w:gridCol w:w="2358"/>
      </w:tblGrid>
      <w:tr>
        <w:trPr>
          <w:trHeight w:val="255"/>
        </w:trPr>
        <w:tc>
          <w:tcPr>
            <w:tcW w:w="5043" w:type="dxa"/>
            <w:tcBorders>
              <w:top w:val="nil"/>
              <w:left w:val="nil"/>
              <w:bottom w:val="nil"/>
              <w:right w:val="nil"/>
              <w:tl2br w:val="nil"/>
              <w:tr2bl w:val="nil"/>
            </w:tcBorders>
            <w:shd w:val="clear" w:color="auto" w:fill="auto"/>
            <w:tcMar>
              <w:left w:w="60" w:type="dxa"/>
              <w:right w:w="60" w:type="dxa"/>
            </w:tcMar>
            <w:vAlign w:val="bottom"/>
          </w:tcPr>
          <w:p>
            <w:pPr>
              <w:pStyle w:val="DMETW19878BIPLEGCOM"/>
              <w:rPr>
                <w:rFonts w:ascii="Arial" w:eastAsia="Arial" w:hAnsi="Arial" w:cs="Arial"/>
                <w:noProof/>
                <w:color w:val="000000"/>
              </w:rPr>
            </w:pPr>
            <w:bookmarkStart w:id="192" w:name="DOC_TBL00084_1_1"/>
            <w:bookmarkEnd w:id="192"/>
          </w:p>
        </w:tc>
        <w:tc>
          <w:tcPr>
            <w:tcW w:w="2357" w:type="dxa"/>
            <w:tcBorders>
              <w:top w:val="nil"/>
              <w:left w:val="nil"/>
              <w:bottom w:val="nil"/>
              <w:right w:val="nil"/>
              <w:tl2br w:val="nil"/>
              <w:tr2bl w:val="nil"/>
            </w:tcBorders>
            <w:shd w:val="clear" w:color="auto" w:fill="auto"/>
            <w:tcMar>
              <w:left w:w="60" w:type="dxa"/>
              <w:right w:w="60" w:type="dxa"/>
            </w:tcMar>
            <w:vAlign w:val="bottom"/>
          </w:tcPr>
          <w:p>
            <w:pPr>
              <w:pStyle w:val="DMETW19878BIPLEGCOM"/>
              <w:rPr>
                <w:rFonts w:ascii="Arial" w:eastAsia="Arial" w:hAnsi="Arial" w:cs="Arial"/>
                <w:noProof/>
                <w:color w:val="000000"/>
              </w:rPr>
            </w:pPr>
          </w:p>
        </w:tc>
        <w:tc>
          <w:tcPr>
            <w:tcW w:w="2358" w:type="dxa"/>
            <w:tcBorders>
              <w:top w:val="nil"/>
              <w:left w:val="nil"/>
              <w:bottom w:val="nil"/>
              <w:right w:val="nil"/>
              <w:tl2br w:val="nil"/>
              <w:tr2bl w:val="nil"/>
            </w:tcBorders>
            <w:shd w:val="clear" w:color="auto" w:fill="auto"/>
            <w:tcMar>
              <w:left w:w="60" w:type="dxa"/>
              <w:right w:w="60" w:type="dxa"/>
            </w:tcMar>
            <w:vAlign w:val="bottom"/>
          </w:tcPr>
          <w:p>
            <w:pPr>
              <w:pStyle w:val="DMETW19878BIPLEGCOM"/>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043" w:type="dxa"/>
            <w:tcBorders>
              <w:top w:val="nil"/>
              <w:left w:val="nil"/>
              <w:bottom w:val="nil"/>
              <w:right w:val="nil"/>
              <w:tl2br w:val="nil"/>
              <w:tr2bl w:val="nil"/>
            </w:tcBorders>
            <w:shd w:val="solid" w:color="016794" w:fill="FFFFFF"/>
            <w:tcMar>
              <w:left w:w="60" w:type="dxa"/>
              <w:right w:w="60" w:type="dxa"/>
            </w:tcMar>
            <w:vAlign w:val="center"/>
          </w:tcPr>
          <w:p>
            <w:pPr>
              <w:pStyle w:val="DMETW19878BIPLEGCOM"/>
              <w:jc w:val="right"/>
              <w:rPr>
                <w:rFonts w:ascii="Verdana" w:eastAsia="Verdana" w:hAnsi="Verdana" w:cs="Verdana"/>
                <w:noProof/>
                <w:color w:val="FFFFFF"/>
              </w:rPr>
            </w:pPr>
          </w:p>
        </w:tc>
        <w:tc>
          <w:tcPr>
            <w:tcW w:w="2357" w:type="dxa"/>
            <w:tcBorders>
              <w:top w:val="nil"/>
              <w:left w:val="nil"/>
              <w:bottom w:val="nil"/>
              <w:right w:val="nil"/>
              <w:tl2br w:val="nil"/>
              <w:tr2bl w:val="nil"/>
            </w:tcBorders>
            <w:shd w:val="solid" w:color="016794" w:fill="FFFFFF"/>
            <w:tcMar>
              <w:left w:w="60" w:type="dxa"/>
              <w:right w:w="60" w:type="dxa"/>
            </w:tcMar>
            <w:vAlign w:val="center"/>
          </w:tcPr>
          <w:p>
            <w:pPr>
              <w:pStyle w:val="DMETW19878BIPLEGCOM"/>
              <w:jc w:val="right"/>
              <w:rPr>
                <w:rFonts w:ascii="Verdana" w:eastAsia="Verdana" w:hAnsi="Verdana" w:cs="Verdana"/>
                <w:noProof/>
                <w:color w:val="FFFFFF"/>
              </w:rPr>
            </w:pPr>
            <w:r>
              <w:rPr>
                <w:rFonts w:ascii="Verdana" w:hAnsi="Verdana"/>
                <w:noProof/>
                <w:color w:val="FFFFFF"/>
              </w:rPr>
              <w:t>31.12.2020 г.</w:t>
            </w:r>
          </w:p>
        </w:tc>
        <w:tc>
          <w:tcPr>
            <w:tcW w:w="2358" w:type="dxa"/>
            <w:tcBorders>
              <w:top w:val="nil"/>
              <w:left w:val="nil"/>
              <w:bottom w:val="nil"/>
              <w:right w:val="nil"/>
              <w:tl2br w:val="nil"/>
              <w:tr2bl w:val="nil"/>
            </w:tcBorders>
            <w:shd w:val="solid" w:color="016794" w:fill="FFFFFF"/>
            <w:tcMar>
              <w:left w:w="60" w:type="dxa"/>
              <w:right w:w="60" w:type="dxa"/>
            </w:tcMar>
            <w:vAlign w:val="center"/>
          </w:tcPr>
          <w:p>
            <w:pPr>
              <w:pStyle w:val="DMETW19878BIPLEGCOM"/>
              <w:jc w:val="right"/>
              <w:rPr>
                <w:rFonts w:ascii="Verdana" w:eastAsia="Verdana" w:hAnsi="Verdana" w:cs="Verdana"/>
                <w:noProof/>
                <w:color w:val="FFFFFF"/>
              </w:rPr>
            </w:pPr>
            <w:r>
              <w:rPr>
                <w:rFonts w:ascii="Verdana" w:hAnsi="Verdana"/>
                <w:noProof/>
                <w:color w:val="FFFFFF"/>
              </w:rPr>
              <w:t>31.12.2019 г.</w:t>
            </w:r>
          </w:p>
        </w:tc>
      </w:tr>
      <w:tr>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pPr>
              <w:pStyle w:val="DMETW19878BIPLEGCOM"/>
              <w:rPr>
                <w:rFonts w:ascii="Verdana" w:eastAsia="Verdana" w:hAnsi="Verdana" w:cs="Verdana"/>
                <w:i/>
                <w:noProof/>
                <w:color w:val="000000"/>
                <w:sz w:val="18"/>
              </w:rPr>
            </w:pPr>
            <w:r>
              <w:rPr>
                <w:rFonts w:ascii="Verdana" w:hAnsi="Verdana"/>
                <w:i/>
                <w:noProof/>
                <w:color w:val="000000"/>
                <w:sz w:val="18"/>
              </w:rPr>
              <w:t>Механизъм за свързване на Европа</w:t>
            </w:r>
          </w:p>
        </w:tc>
        <w:tc>
          <w:tcPr>
            <w:tcW w:w="2357"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4 140</w:t>
            </w:r>
          </w:p>
        </w:tc>
        <w:tc>
          <w:tcPr>
            <w:tcW w:w="2358"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7 680</w:t>
            </w:r>
          </w:p>
        </w:tc>
      </w:tr>
      <w:tr>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pPr>
              <w:pStyle w:val="DMETW19878BIPLEGCOM"/>
              <w:rPr>
                <w:rFonts w:ascii="Verdana" w:eastAsia="Verdana" w:hAnsi="Verdana" w:cs="Verdana"/>
                <w:i/>
                <w:noProof/>
                <w:color w:val="000000"/>
                <w:sz w:val="18"/>
              </w:rPr>
            </w:pPr>
            <w:r>
              <w:rPr>
                <w:rFonts w:ascii="Verdana" w:hAnsi="Verdana"/>
                <w:i/>
                <w:noProof/>
                <w:color w:val="000000"/>
                <w:sz w:val="18"/>
              </w:rPr>
              <w:t>ITER</w:t>
            </w:r>
          </w:p>
        </w:tc>
        <w:tc>
          <w:tcPr>
            <w:tcW w:w="2357"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6 837</w:t>
            </w:r>
          </w:p>
        </w:tc>
        <w:tc>
          <w:tcPr>
            <w:tcW w:w="2358"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1 676</w:t>
            </w:r>
          </w:p>
        </w:tc>
      </w:tr>
      <w:tr>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pPr>
              <w:pStyle w:val="DMETW19878BIPLEGCOM"/>
              <w:rPr>
                <w:rFonts w:ascii="Verdana" w:eastAsia="Verdana" w:hAnsi="Verdana" w:cs="Verdana"/>
                <w:i/>
                <w:noProof/>
                <w:color w:val="000000"/>
                <w:sz w:val="18"/>
              </w:rPr>
            </w:pPr>
            <w:r>
              <w:rPr>
                <w:rFonts w:ascii="Verdana" w:hAnsi="Verdana"/>
                <w:i/>
                <w:noProof/>
                <w:color w:val="000000"/>
                <w:sz w:val="18"/>
              </w:rPr>
              <w:t>„Коперник“</w:t>
            </w:r>
          </w:p>
        </w:tc>
        <w:tc>
          <w:tcPr>
            <w:tcW w:w="2357"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w:t>
            </w:r>
          </w:p>
        </w:tc>
        <w:tc>
          <w:tcPr>
            <w:tcW w:w="2358"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 xml:space="preserve"> 601</w:t>
            </w:r>
          </w:p>
        </w:tc>
      </w:tr>
      <w:tr>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pPr>
              <w:pStyle w:val="DMETW19878BIPLEGCOM"/>
              <w:rPr>
                <w:rFonts w:ascii="Verdana" w:eastAsia="Verdana" w:hAnsi="Verdana" w:cs="Verdana"/>
                <w:i/>
                <w:noProof/>
                <w:color w:val="000000"/>
                <w:sz w:val="18"/>
              </w:rPr>
            </w:pPr>
            <w:r>
              <w:rPr>
                <w:rFonts w:ascii="Verdana" w:hAnsi="Verdana"/>
                <w:i/>
                <w:noProof/>
                <w:color w:val="000000"/>
                <w:sz w:val="18"/>
              </w:rPr>
              <w:t xml:space="preserve">„Галилео“ </w:t>
            </w:r>
          </w:p>
        </w:tc>
        <w:tc>
          <w:tcPr>
            <w:tcW w:w="2357"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w:t>
            </w:r>
          </w:p>
        </w:tc>
        <w:tc>
          <w:tcPr>
            <w:tcW w:w="2358"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 xml:space="preserve"> 438</w:t>
            </w:r>
          </w:p>
        </w:tc>
      </w:tr>
      <w:tr>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pPr>
              <w:pStyle w:val="DMETW19878BIPLEGCOM"/>
              <w:rPr>
                <w:rFonts w:ascii="Verdana" w:eastAsia="Verdana" w:hAnsi="Verdana" w:cs="Verdana"/>
                <w:i/>
                <w:noProof/>
                <w:color w:val="000000"/>
                <w:sz w:val="18"/>
              </w:rPr>
            </w:pPr>
            <w:r>
              <w:rPr>
                <w:rFonts w:ascii="Verdana" w:hAnsi="Verdana"/>
                <w:i/>
                <w:noProof/>
                <w:color w:val="000000"/>
                <w:sz w:val="18"/>
              </w:rPr>
              <w:t>Споразумения в областта на рибарството</w:t>
            </w:r>
          </w:p>
        </w:tc>
        <w:tc>
          <w:tcPr>
            <w:tcW w:w="2357"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 xml:space="preserve"> 172</w:t>
            </w:r>
          </w:p>
        </w:tc>
        <w:tc>
          <w:tcPr>
            <w:tcW w:w="2358"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 xml:space="preserve"> 223</w:t>
            </w:r>
          </w:p>
        </w:tc>
      </w:tr>
      <w:tr>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pPr>
              <w:pStyle w:val="DMETW19878BIPLEGCOM"/>
              <w:rPr>
                <w:rFonts w:ascii="Verdana" w:eastAsia="Verdana" w:hAnsi="Verdana" w:cs="Verdana"/>
                <w:i/>
                <w:noProof/>
                <w:color w:val="000000"/>
                <w:sz w:val="18"/>
              </w:rPr>
            </w:pPr>
            <w:r>
              <w:rPr>
                <w:rFonts w:ascii="Verdana" w:hAnsi="Verdana"/>
                <w:i/>
                <w:noProof/>
                <w:color w:val="000000"/>
                <w:sz w:val="18"/>
              </w:rPr>
              <w:t>Задължения по оперативен лизинг</w:t>
            </w:r>
          </w:p>
        </w:tc>
        <w:tc>
          <w:tcPr>
            <w:tcW w:w="2357"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2 547</w:t>
            </w:r>
          </w:p>
        </w:tc>
        <w:tc>
          <w:tcPr>
            <w:tcW w:w="2358"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2 535</w:t>
            </w:r>
          </w:p>
        </w:tc>
      </w:tr>
      <w:tr>
        <w:trPr>
          <w:trHeight w:val="255"/>
        </w:trPr>
        <w:tc>
          <w:tcPr>
            <w:tcW w:w="5043" w:type="dxa"/>
            <w:tcBorders>
              <w:top w:val="nil"/>
              <w:left w:val="nil"/>
              <w:bottom w:val="nil"/>
              <w:right w:val="nil"/>
              <w:tl2br w:val="nil"/>
              <w:tr2bl w:val="nil"/>
            </w:tcBorders>
            <w:shd w:val="clear" w:color="auto" w:fill="auto"/>
            <w:tcMar>
              <w:left w:w="60" w:type="dxa"/>
              <w:right w:w="60" w:type="dxa"/>
            </w:tcMar>
            <w:vAlign w:val="center"/>
          </w:tcPr>
          <w:p>
            <w:pPr>
              <w:pStyle w:val="DMETW19878BIPLEGCOM"/>
              <w:rPr>
                <w:rFonts w:ascii="Verdana" w:eastAsia="Verdana" w:hAnsi="Verdana" w:cs="Verdana"/>
                <w:i/>
                <w:noProof/>
                <w:color w:val="000000"/>
                <w:sz w:val="18"/>
              </w:rPr>
            </w:pPr>
            <w:r>
              <w:rPr>
                <w:rFonts w:ascii="Verdana" w:hAnsi="Verdana"/>
                <w:i/>
                <w:noProof/>
                <w:color w:val="000000"/>
                <w:sz w:val="18"/>
              </w:rPr>
              <w:t>Други договорни задължения</w:t>
            </w:r>
          </w:p>
        </w:tc>
        <w:tc>
          <w:tcPr>
            <w:tcW w:w="2357"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 xml:space="preserve"> 785</w:t>
            </w:r>
          </w:p>
        </w:tc>
        <w:tc>
          <w:tcPr>
            <w:tcW w:w="2358" w:type="dxa"/>
            <w:tcBorders>
              <w:top w:val="nil"/>
              <w:left w:val="nil"/>
              <w:bottom w:val="nil"/>
              <w:right w:val="nil"/>
              <w:tl2br w:val="nil"/>
              <w:tr2bl w:val="nil"/>
            </w:tcBorders>
            <w:shd w:val="clear" w:color="auto" w:fill="auto"/>
            <w:tcMar>
              <w:left w:w="60" w:type="dxa"/>
              <w:right w:w="60" w:type="dxa"/>
            </w:tcMar>
            <w:vAlign w:val="center"/>
          </w:tcPr>
          <w:p>
            <w:pPr>
              <w:pStyle w:val="DMETW19878BIPLEGCOM"/>
              <w:jc w:val="right"/>
              <w:rPr>
                <w:rFonts w:ascii="Verdana" w:eastAsia="Verdana" w:hAnsi="Verdana" w:cs="Verdana"/>
                <w:i/>
                <w:noProof/>
                <w:color w:val="000000"/>
                <w:sz w:val="18"/>
              </w:rPr>
            </w:pPr>
            <w:r>
              <w:rPr>
                <w:rFonts w:ascii="Verdana" w:hAnsi="Verdana"/>
                <w:i/>
                <w:noProof/>
                <w:color w:val="000000"/>
                <w:sz w:val="18"/>
              </w:rPr>
              <w:t xml:space="preserve"> 788</w:t>
            </w:r>
          </w:p>
        </w:tc>
      </w:tr>
      <w:tr>
        <w:trPr>
          <w:trHeight w:val="255"/>
        </w:trPr>
        <w:tc>
          <w:tcPr>
            <w:tcW w:w="5043" w:type="dxa"/>
            <w:tcBorders>
              <w:top w:val="nil"/>
              <w:left w:val="nil"/>
              <w:bottom w:val="nil"/>
              <w:right w:val="nil"/>
              <w:tl2br w:val="nil"/>
              <w:tr2bl w:val="nil"/>
            </w:tcBorders>
            <w:shd w:val="solid" w:color="CCE1EA" w:fill="FFFFFF"/>
            <w:tcMar>
              <w:left w:w="60" w:type="dxa"/>
              <w:right w:w="60" w:type="dxa"/>
            </w:tcMar>
            <w:vAlign w:val="center"/>
          </w:tcPr>
          <w:p>
            <w:pPr>
              <w:pStyle w:val="DMETW19878BIPLEGCOM"/>
              <w:rPr>
                <w:rFonts w:ascii="Verdana" w:eastAsia="Verdana" w:hAnsi="Verdana" w:cs="Verdana"/>
                <w:b/>
                <w:noProof/>
                <w:color w:val="000000"/>
                <w:sz w:val="18"/>
              </w:rPr>
            </w:pPr>
            <w:r>
              <w:rPr>
                <w:rFonts w:ascii="Verdana" w:hAnsi="Verdana"/>
                <w:b/>
                <w:noProof/>
                <w:color w:val="000000"/>
                <w:sz w:val="18"/>
              </w:rPr>
              <w:t>Общо</w:t>
            </w:r>
          </w:p>
        </w:tc>
        <w:tc>
          <w:tcPr>
            <w:tcW w:w="2357" w:type="dxa"/>
            <w:tcBorders>
              <w:top w:val="nil"/>
              <w:left w:val="nil"/>
              <w:bottom w:val="nil"/>
              <w:right w:val="nil"/>
              <w:tl2br w:val="nil"/>
              <w:tr2bl w:val="nil"/>
            </w:tcBorders>
            <w:shd w:val="solid" w:color="CCE1EA" w:fill="FFFFFF"/>
            <w:tcMar>
              <w:left w:w="60" w:type="dxa"/>
              <w:right w:w="60" w:type="dxa"/>
            </w:tcMar>
            <w:vAlign w:val="center"/>
          </w:tcPr>
          <w:p>
            <w:pPr>
              <w:pStyle w:val="DMETW19878BIPLEGCOM"/>
              <w:jc w:val="right"/>
              <w:rPr>
                <w:rFonts w:ascii="Verdana" w:eastAsia="Verdana" w:hAnsi="Verdana" w:cs="Verdana"/>
                <w:b/>
                <w:noProof/>
                <w:color w:val="000000"/>
                <w:sz w:val="18"/>
              </w:rPr>
            </w:pPr>
            <w:r>
              <w:rPr>
                <w:rFonts w:ascii="Verdana" w:hAnsi="Verdana"/>
                <w:b/>
                <w:noProof/>
                <w:color w:val="000000"/>
                <w:sz w:val="18"/>
              </w:rPr>
              <w:t>14 481</w:t>
            </w:r>
          </w:p>
        </w:tc>
        <w:tc>
          <w:tcPr>
            <w:tcW w:w="2358" w:type="dxa"/>
            <w:tcBorders>
              <w:top w:val="nil"/>
              <w:left w:val="nil"/>
              <w:bottom w:val="nil"/>
              <w:right w:val="nil"/>
              <w:tl2br w:val="nil"/>
              <w:tr2bl w:val="nil"/>
            </w:tcBorders>
            <w:shd w:val="solid" w:color="CCE1EA" w:fill="FFFFFF"/>
            <w:tcMar>
              <w:left w:w="60" w:type="dxa"/>
              <w:right w:w="60" w:type="dxa"/>
            </w:tcMar>
            <w:vAlign w:val="center"/>
          </w:tcPr>
          <w:p>
            <w:pPr>
              <w:pStyle w:val="DMETW19878BIPLEGCOM"/>
              <w:jc w:val="right"/>
              <w:rPr>
                <w:rFonts w:ascii="Verdana" w:eastAsia="Verdana" w:hAnsi="Verdana" w:cs="Verdana"/>
                <w:b/>
                <w:noProof/>
                <w:color w:val="000000"/>
                <w:sz w:val="18"/>
              </w:rPr>
            </w:pPr>
            <w:r>
              <w:rPr>
                <w:rFonts w:ascii="Verdana" w:hAnsi="Verdana"/>
                <w:b/>
                <w:noProof/>
                <w:color w:val="000000"/>
                <w:sz w:val="18"/>
              </w:rPr>
              <w:t>13 941</w:t>
            </w:r>
          </w:p>
        </w:tc>
      </w:tr>
    </w:tbl>
    <w:p>
      <w:pPr>
        <w:pStyle w:val="DGTextstand-alone"/>
      </w:pPr>
      <w:r>
        <w:t>Тези суми отразяват дългосрочните правни задължения, които не са били покрити от бюджетни кредити за поети задължения в бюджета към края на годината. Тези обвързващи задължения ще бъдат отразени в бюджета под формата на годишни траншове през бъдещи години и ще бъдат платени.</w:t>
      </w:r>
    </w:p>
    <w:p>
      <w:pPr>
        <w:pStyle w:val="DGTextstand-alone"/>
      </w:pPr>
      <w:r>
        <w:t>Някои важни програми (вж. по-долу) могат да бъдат изпълнени чрез годишни траншове съгласно член 112, параграф 2 от ФР. Това позволява на ЕС да поема правни задължения (да подписва споразумения за предоставяне на безвъзмездни средства, споразумения за делегиране и договори за възлагане на поръчки), които надвишават наличните бюджетни кредити за поети задължения за дадена година. Поради това може вече да са поети задължения за значителна част от общата отпусната сума за настоящата МФР. Това важи по-специално за програмите, описани по-долу:</w:t>
      </w:r>
    </w:p>
    <w:p>
      <w:pPr>
        <w:pStyle w:val="HEADER5"/>
        <w:rPr>
          <w:noProof/>
        </w:rPr>
      </w:pPr>
      <w:r>
        <w:rPr>
          <w:noProof/>
        </w:rPr>
        <w:t>Механизъм за свързване на Европа (МСЕ)</w:t>
      </w:r>
    </w:p>
    <w:p>
      <w:pPr>
        <w:pStyle w:val="DGTextstand-alone"/>
      </w:pPr>
      <w:r>
        <w:t>МСЕ предоставя финансова помощ за трансевропейските мрежи, за да се подпомогнат проекти от общ интерес в секторите на транспортните, телекомуникационните и енергийните инфраструктури. Правните задължения по линия на програмата МСЕ обхващат периода на изпълнение от 2014 г. до 2024 г. за направлението „транспорт“ на МСЕ и до 31.12.2025 г. за направлението „енергетика“ на МСЕ. Правното основание за тези задължения е Регламент (ЕС) № 1316/2013 на Европейския парламент и на Съвета от 11 декември 2013 г. за създаване на Механизъм за свързване на Европа, за изменение на Регламент (ЕС) № 913/2010 и за отмяна на регламенти (ЕО) № 680/2007 и (ЕО)</w:t>
      </w:r>
      <w:r>
        <w:rPr>
          <w:lang w:val="en-GB"/>
        </w:rPr>
        <w:t> </w:t>
      </w:r>
      <w:r>
        <w:t>№ 67/2010 (текст от значение за ЕИП) (ОВ L 348, 20 декември 2013 г.), в чийто член 19 се предвижда използването на годишни траншове.</w:t>
      </w:r>
    </w:p>
    <w:p>
      <w:pPr>
        <w:pStyle w:val="HEADER5"/>
        <w:rPr>
          <w:noProof/>
        </w:rPr>
      </w:pPr>
      <w:r>
        <w:rPr>
          <w:noProof/>
        </w:rPr>
        <w:t>ITER — международен експериментален термоядрен реактор</w:t>
      </w:r>
    </w:p>
    <w:p>
      <w:pPr>
        <w:pStyle w:val="DGTextstand-alone"/>
      </w:pPr>
      <w:r>
        <w:t>Тези задължения са предназначени за покриване на бъдещи нужди от финансиране на съоръженията на ITER до 2027 г. Финансовият принос от ЕС (Евратом) за Международната организация ITER се предоставя чрез Агенцията за термоядрен синтез за енергия и включва и финансовия принос на държавите членки и на Швейцария. Значителното годишно увеличение на поетите задължения отразява бъдещото финансиране по МФР за 2021—2027 г. съгласно Решение (Евратом) 2021/281 на Съвета от 22 февруари 2021 г. за изменение на Решение 2007/198/Евратом за създаване на Европейско съвместно предприятие за „ITER“ и развитието на термоядрената енергия, с което се разрешава използването на годишни траншове. ITER бе създадено, за да управлява и насърчава експлоатацията на съоръженията на ITER, за да насърчава общественото разбиране и приемане на термоядрената енергия и за да извършва всякакви други дейности, необходими за постигането на неговата цел. В ITER участват ЕС, Китай, Индия, Русия, Южна Корея, Япония и САЩ.</w:t>
      </w:r>
    </w:p>
    <w:p>
      <w:pPr>
        <w:pStyle w:val="HEADER5"/>
        <w:rPr>
          <w:noProof/>
        </w:rPr>
      </w:pPr>
      <w:r>
        <w:rPr>
          <w:noProof/>
        </w:rPr>
        <w:t>„Коперник“</w:t>
      </w:r>
    </w:p>
    <w:p>
      <w:pPr>
        <w:pStyle w:val="DGTextstand-alone"/>
      </w:pPr>
      <w:r>
        <w:t>„Коперник“ е европейската програма за наблюдение на Земята (вж. също бележка </w:t>
      </w:r>
      <w:r>
        <w:rPr>
          <w:b/>
        </w:rPr>
        <w:t>2.2</w:t>
      </w:r>
      <w:r>
        <w:t>). Тези задължения са поети за периода до 2020 г. Въз основа на Регламент (ЕС) № 377/2014 на Европейския парламент и на Съвета от 3 април 2014 г. (ОВ L 122, 24 април 2014 г., стр. 44) Комисията подписа споразумения за делегиране с Европейската космическа агенция (ЕКА), EUMETSAT, „Меркатор“ и Европейския център за средносрочна прогноза за времето. Член 8 от Регламент № 377/2014 разрешава използването на годишни траншове.</w:t>
      </w:r>
    </w:p>
    <w:p>
      <w:pPr>
        <w:pStyle w:val="DGTextstand-alone"/>
      </w:pPr>
      <w:r>
        <w:t>Към 31 декември 2020 г. всички правни задължения бяха изцяло покрити от бюджетни задължения.</w:t>
      </w:r>
    </w:p>
    <w:p>
      <w:pPr>
        <w:pStyle w:val="HEADER5"/>
        <w:rPr>
          <w:noProof/>
        </w:rPr>
      </w:pPr>
      <w:r>
        <w:rPr>
          <w:noProof/>
        </w:rPr>
        <w:t>„Галилео“</w:t>
      </w:r>
    </w:p>
    <w:p>
      <w:pPr>
        <w:pStyle w:val="DGTextstand-alone"/>
      </w:pPr>
      <w:r>
        <w:t>Тези суми са заделени за програмата „Галилео“ за разработване на европейска глобална навигационна спътникова система (вж. също бележка </w:t>
      </w:r>
      <w:r>
        <w:rPr>
          <w:b/>
        </w:rPr>
        <w:t>2.2</w:t>
      </w:r>
      <w:r>
        <w:t>). Тези задължения са поети за периода до 2020 г. Въз основа на Регламент (ЕС) № 1285/2013 на Европейския парламент и на Съвета от 11</w:t>
      </w:r>
      <w:r>
        <w:rPr>
          <w:lang w:val="en-GB"/>
        </w:rPr>
        <w:t> </w:t>
      </w:r>
      <w:r>
        <w:t>декември 2013 г. (ОВ L 347, 20 декември 2013 г., стр. 1) Комисията подписа споразумение за делегиране с ЕКА. Член 9 от Регламент (ЕС) № 1285/2013 разрешава използването на годишни траншове.</w:t>
      </w:r>
    </w:p>
    <w:p>
      <w:pPr>
        <w:pStyle w:val="DGTextstand-alone"/>
      </w:pPr>
      <w:r>
        <w:t>Към 31 декември 2020 г. всички правни задължения бяха изцяло покрити от бюджетни задължения.</w:t>
      </w:r>
    </w:p>
    <w:p>
      <w:pPr>
        <w:pStyle w:val="HEADER5"/>
        <w:rPr>
          <w:noProof/>
        </w:rPr>
      </w:pPr>
      <w:r>
        <w:rPr>
          <w:noProof/>
        </w:rPr>
        <w:t>Споразумения в областта на рибарството</w:t>
      </w:r>
    </w:p>
    <w:p>
      <w:pPr>
        <w:pStyle w:val="HEADER5"/>
        <w:spacing w:before="240" w:after="240"/>
        <w:jc w:val="both"/>
        <w:rPr>
          <w:rFonts w:eastAsia="Calibri"/>
          <w:noProof/>
          <w:color w:val="auto"/>
        </w:rPr>
      </w:pPr>
      <w:r>
        <w:rPr>
          <w:noProof/>
          <w:color w:val="auto"/>
        </w:rPr>
        <w:t>Те представляват задължения, поети с трети държави, за операции по международни споразумения в областта на рибарството до 2026 г. Поетите задължения се основават на решения на Съвета за всяка трета държава (например Споразумението между ЕС и Република Сейшели и Протокола за изпълнение към него; ОВ L 60, 28.2.2020 г.) и се считат за специфични международни договори с многогодишни права и задължения.</w:t>
      </w:r>
    </w:p>
    <w:p>
      <w:pPr>
        <w:pStyle w:val="HEADER5"/>
        <w:rPr>
          <w:noProof/>
        </w:rPr>
      </w:pPr>
      <w:r>
        <w:rPr>
          <w:noProof/>
        </w:rPr>
        <w:t>Задължения по оперативен лизинг</w:t>
      </w:r>
    </w:p>
    <w:p>
      <w:pPr>
        <w:pStyle w:val="DGTextstand-alone"/>
      </w:pPr>
      <w:r>
        <w:t>Минималните суми, за които е поето задължение за плащане съгласно съответните договори през оставащия срок на тези лизингови договори, са,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1641"/>
        <w:gridCol w:w="1642"/>
        <w:gridCol w:w="1642"/>
        <w:gridCol w:w="1642"/>
      </w:tblGrid>
      <w:tr>
        <w:trPr>
          <w:trHeight w:val="255"/>
        </w:trPr>
        <w:tc>
          <w:tcPr>
            <w:tcW w:w="3191" w:type="dxa"/>
            <w:tcBorders>
              <w:top w:val="nil"/>
              <w:left w:val="nil"/>
              <w:bottom w:val="nil"/>
              <w:right w:val="nil"/>
              <w:tl2br w:val="nil"/>
              <w:tr2bl w:val="nil"/>
            </w:tcBorders>
            <w:shd w:val="solid" w:color="FFFFFF" w:fill="FFFFFF"/>
            <w:tcMar>
              <w:left w:w="60" w:type="dxa"/>
              <w:right w:w="60" w:type="dxa"/>
            </w:tcMar>
            <w:vAlign w:val="bottom"/>
          </w:tcPr>
          <w:p>
            <w:pPr>
              <w:pStyle w:val="DMETW19876BIPPPERE"/>
              <w:rPr>
                <w:rFonts w:ascii="Arial" w:eastAsia="Arial" w:hAnsi="Arial" w:cs="Arial"/>
                <w:noProof/>
                <w:color w:val="000000"/>
              </w:rPr>
            </w:pPr>
            <w:bookmarkStart w:id="193" w:name="DOC_TBL00085_1_1"/>
            <w:bookmarkEnd w:id="193"/>
          </w:p>
        </w:tc>
        <w:tc>
          <w:tcPr>
            <w:tcW w:w="1641" w:type="dxa"/>
            <w:tcBorders>
              <w:top w:val="nil"/>
              <w:left w:val="nil"/>
              <w:bottom w:val="nil"/>
              <w:right w:val="nil"/>
              <w:tl2br w:val="nil"/>
              <w:tr2bl w:val="nil"/>
            </w:tcBorders>
            <w:shd w:val="solid" w:color="FFFFFF" w:fill="FFFFFF"/>
            <w:tcMar>
              <w:left w:w="60" w:type="dxa"/>
              <w:right w:w="60" w:type="dxa"/>
            </w:tcMar>
            <w:vAlign w:val="bottom"/>
          </w:tcPr>
          <w:p>
            <w:pPr>
              <w:pStyle w:val="DMETW19876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pPr>
              <w:pStyle w:val="DMETW19876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pPr>
              <w:pStyle w:val="DMETW19876BIPPPERE"/>
              <w:rPr>
                <w:rFonts w:ascii="Arial" w:eastAsia="Arial" w:hAnsi="Arial" w:cs="Arial"/>
                <w:noProof/>
                <w:color w:val="000000"/>
              </w:rPr>
            </w:pPr>
          </w:p>
        </w:tc>
        <w:tc>
          <w:tcPr>
            <w:tcW w:w="1642" w:type="dxa"/>
            <w:tcBorders>
              <w:top w:val="nil"/>
              <w:left w:val="nil"/>
              <w:bottom w:val="nil"/>
              <w:right w:val="nil"/>
              <w:tl2br w:val="nil"/>
              <w:tr2bl w:val="nil"/>
            </w:tcBorders>
            <w:shd w:val="solid" w:color="FFFFFF" w:fill="FFFFFF"/>
            <w:tcMar>
              <w:left w:w="60" w:type="dxa"/>
              <w:right w:w="60" w:type="dxa"/>
            </w:tcMar>
            <w:vAlign w:val="bottom"/>
          </w:tcPr>
          <w:p>
            <w:pPr>
              <w:pStyle w:val="DMETW19876BIPPPER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191"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76BIPPPERE"/>
              <w:jc w:val="center"/>
              <w:rPr>
                <w:rFonts w:ascii="Verdana" w:eastAsia="Verdana" w:hAnsi="Verdana" w:cs="Verdana"/>
                <w:noProof/>
                <w:color w:val="FFFFFF"/>
              </w:rPr>
            </w:pPr>
          </w:p>
        </w:tc>
        <w:tc>
          <w:tcPr>
            <w:tcW w:w="1641"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76BIPPPERE"/>
              <w:jc w:val="center"/>
              <w:rPr>
                <w:rFonts w:ascii="Verdana" w:eastAsia="Verdana" w:hAnsi="Verdana" w:cs="Verdana"/>
                <w:noProof/>
                <w:color w:val="FFFFFF"/>
              </w:rPr>
            </w:pPr>
            <w:r>
              <w:rPr>
                <w:rFonts w:ascii="Verdana" w:hAnsi="Verdana"/>
                <w:noProof/>
                <w:color w:val="FFFFFF"/>
              </w:rPr>
              <w:t>Минимални лизингови плащания</w:t>
            </w:r>
          </w:p>
        </w:tc>
      </w:tr>
      <w:tr>
        <w:trPr>
          <w:trHeight w:val="255"/>
        </w:trPr>
        <w:tc>
          <w:tcPr>
            <w:tcW w:w="3345" w:type="dxa"/>
            <w:vMerge/>
            <w:tcBorders>
              <w:top w:val="nil"/>
              <w:left w:val="nil"/>
              <w:bottom w:val="nil"/>
              <w:right w:val="nil"/>
              <w:tl2br w:val="nil"/>
              <w:tr2bl w:val="nil"/>
            </w:tcBorders>
            <w:shd w:val="solid" w:color="016794" w:fill="FFFFFF"/>
            <w:tcMar>
              <w:left w:w="60" w:type="dxa"/>
              <w:right w:w="60" w:type="dxa"/>
            </w:tcMar>
            <w:vAlign w:val="center"/>
          </w:tcPr>
          <w:p>
            <w:pPr>
              <w:pStyle w:val="DMETW19876BIPPPERE"/>
              <w:jc w:val="center"/>
              <w:rPr>
                <w:rFonts w:ascii="Verdana" w:eastAsia="Verdana" w:hAnsi="Verdana" w:cs="Verdana"/>
                <w:noProof/>
                <w:color w:val="FFFFFF"/>
              </w:rPr>
            </w:pPr>
          </w:p>
        </w:tc>
        <w:tc>
          <w:tcPr>
            <w:tcW w:w="1641" w:type="dxa"/>
            <w:tcBorders>
              <w:top w:val="nil"/>
              <w:left w:val="nil"/>
              <w:bottom w:val="nil"/>
              <w:right w:val="nil"/>
              <w:tl2br w:val="nil"/>
              <w:tr2bl w:val="nil"/>
            </w:tcBorders>
            <w:shd w:val="solid" w:color="3486A9" w:fill="FFFFFF"/>
            <w:tcMar>
              <w:left w:w="60" w:type="dxa"/>
              <w:right w:w="60" w:type="dxa"/>
            </w:tcMar>
            <w:vAlign w:val="center"/>
          </w:tcPr>
          <w:p>
            <w:pPr>
              <w:pStyle w:val="DMETW19876BIPPPERE"/>
              <w:jc w:val="right"/>
              <w:rPr>
                <w:rFonts w:ascii="Verdana" w:eastAsia="Verdana" w:hAnsi="Verdana" w:cs="Verdana"/>
                <w:noProof/>
                <w:color w:val="FFFFFF"/>
              </w:rPr>
            </w:pPr>
            <w:r>
              <w:rPr>
                <w:rFonts w:ascii="Verdana" w:hAnsi="Verdana"/>
                <w:noProof/>
                <w:color w:val="FFFFFF"/>
              </w:rPr>
              <w:t>&lt; 1 година</w:t>
            </w:r>
          </w:p>
        </w:tc>
        <w:tc>
          <w:tcPr>
            <w:tcW w:w="1642" w:type="dxa"/>
            <w:tcBorders>
              <w:top w:val="nil"/>
              <w:left w:val="nil"/>
              <w:bottom w:val="nil"/>
              <w:right w:val="nil"/>
              <w:tl2br w:val="nil"/>
              <w:tr2bl w:val="nil"/>
            </w:tcBorders>
            <w:shd w:val="solid" w:color="3486A9" w:fill="FFFFFF"/>
            <w:tcMar>
              <w:left w:w="60" w:type="dxa"/>
              <w:right w:w="60" w:type="dxa"/>
            </w:tcMar>
            <w:vAlign w:val="center"/>
          </w:tcPr>
          <w:p>
            <w:pPr>
              <w:pStyle w:val="DMETW19876BIPPPERE"/>
              <w:jc w:val="right"/>
              <w:rPr>
                <w:rFonts w:ascii="Verdana" w:eastAsia="Verdana" w:hAnsi="Verdana" w:cs="Verdana"/>
                <w:noProof/>
                <w:color w:val="FFFFFF"/>
              </w:rPr>
            </w:pPr>
            <w:r>
              <w:rPr>
                <w:rFonts w:ascii="Verdana" w:hAnsi="Verdana"/>
                <w:noProof/>
                <w:color w:val="FFFFFF"/>
              </w:rPr>
              <w:t>1—5 години</w:t>
            </w:r>
          </w:p>
        </w:tc>
        <w:tc>
          <w:tcPr>
            <w:tcW w:w="1642" w:type="dxa"/>
            <w:tcBorders>
              <w:top w:val="nil"/>
              <w:left w:val="nil"/>
              <w:bottom w:val="nil"/>
              <w:right w:val="nil"/>
              <w:tl2br w:val="nil"/>
              <w:tr2bl w:val="nil"/>
            </w:tcBorders>
            <w:shd w:val="solid" w:color="3486A9" w:fill="FFFFFF"/>
            <w:tcMar>
              <w:left w:w="60" w:type="dxa"/>
              <w:right w:w="60" w:type="dxa"/>
            </w:tcMar>
            <w:vAlign w:val="center"/>
          </w:tcPr>
          <w:p>
            <w:pPr>
              <w:pStyle w:val="DMETW19876BIPPPERE"/>
              <w:jc w:val="right"/>
              <w:rPr>
                <w:rFonts w:ascii="Verdana" w:eastAsia="Verdana" w:hAnsi="Verdana" w:cs="Verdana"/>
                <w:noProof/>
                <w:color w:val="FFFFFF"/>
              </w:rPr>
            </w:pPr>
            <w:r>
              <w:rPr>
                <w:rFonts w:ascii="Verdana" w:hAnsi="Verdana"/>
                <w:noProof/>
                <w:color w:val="FFFFFF"/>
              </w:rPr>
              <w:t>&gt; 5 години</w:t>
            </w:r>
          </w:p>
        </w:tc>
        <w:tc>
          <w:tcPr>
            <w:tcW w:w="1642" w:type="dxa"/>
            <w:tcBorders>
              <w:top w:val="nil"/>
              <w:left w:val="nil"/>
              <w:bottom w:val="nil"/>
              <w:right w:val="nil"/>
              <w:tl2br w:val="nil"/>
              <w:tr2bl w:val="nil"/>
            </w:tcBorders>
            <w:shd w:val="solid" w:color="3486A9" w:fill="FFFFFF"/>
            <w:tcMar>
              <w:left w:w="60" w:type="dxa"/>
              <w:right w:w="60" w:type="dxa"/>
            </w:tcMar>
            <w:vAlign w:val="center"/>
          </w:tcPr>
          <w:p>
            <w:pPr>
              <w:pStyle w:val="DMETW19876BIPPPERE"/>
              <w:jc w:val="right"/>
              <w:rPr>
                <w:rFonts w:ascii="Verdana" w:eastAsia="Verdana" w:hAnsi="Verdana" w:cs="Verdana"/>
                <w:noProof/>
                <w:color w:val="FFFFFF"/>
              </w:rPr>
            </w:pPr>
            <w:r>
              <w:rPr>
                <w:rFonts w:ascii="Verdana" w:hAnsi="Verdana"/>
                <w:noProof/>
                <w:color w:val="FFFFFF"/>
              </w:rPr>
              <w:t>Общо</w:t>
            </w:r>
          </w:p>
        </w:tc>
      </w:tr>
      <w:tr>
        <w:trPr>
          <w:trHeight w:val="255"/>
        </w:trPr>
        <w:tc>
          <w:tcPr>
            <w:tcW w:w="3191" w:type="dxa"/>
            <w:tcBorders>
              <w:top w:val="nil"/>
              <w:left w:val="nil"/>
              <w:bottom w:val="nil"/>
              <w:right w:val="nil"/>
              <w:tl2br w:val="nil"/>
              <w:tr2bl w:val="nil"/>
            </w:tcBorders>
            <w:shd w:val="solid" w:color="FFFFFF" w:fill="FFFFFF"/>
            <w:tcMar>
              <w:left w:w="60" w:type="dxa"/>
              <w:right w:w="60" w:type="dxa"/>
            </w:tcMar>
            <w:vAlign w:val="center"/>
          </w:tcPr>
          <w:p>
            <w:pPr>
              <w:pStyle w:val="DMETW19876BIPPPERE"/>
              <w:rPr>
                <w:rFonts w:ascii="Verdana" w:eastAsia="Verdana" w:hAnsi="Verdana" w:cs="Verdana"/>
                <w:i/>
                <w:noProof/>
                <w:color w:val="000000"/>
                <w:sz w:val="18"/>
              </w:rPr>
            </w:pPr>
            <w:r>
              <w:rPr>
                <w:rFonts w:ascii="Verdana" w:hAnsi="Verdana"/>
                <w:i/>
                <w:noProof/>
                <w:color w:val="000000"/>
                <w:sz w:val="18"/>
              </w:rPr>
              <w:t>Сгради</w:t>
            </w:r>
          </w:p>
        </w:tc>
        <w:tc>
          <w:tcPr>
            <w:tcW w:w="1641" w:type="dxa"/>
            <w:tcBorders>
              <w:top w:val="nil"/>
              <w:left w:val="nil"/>
              <w:bottom w:val="nil"/>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i/>
                <w:noProof/>
                <w:color w:val="000000"/>
                <w:sz w:val="18"/>
              </w:rPr>
            </w:pPr>
            <w:r>
              <w:rPr>
                <w:rFonts w:ascii="Verdana" w:hAnsi="Verdana"/>
                <w:i/>
                <w:noProof/>
                <w:color w:val="000000"/>
                <w:sz w:val="18"/>
              </w:rPr>
              <w:t xml:space="preserve"> 407</w:t>
            </w:r>
          </w:p>
        </w:tc>
        <w:tc>
          <w:tcPr>
            <w:tcW w:w="1642" w:type="dxa"/>
            <w:tcBorders>
              <w:top w:val="nil"/>
              <w:left w:val="nil"/>
              <w:bottom w:val="nil"/>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i/>
                <w:noProof/>
                <w:color w:val="000000"/>
                <w:sz w:val="18"/>
              </w:rPr>
            </w:pPr>
            <w:r>
              <w:rPr>
                <w:rFonts w:ascii="Verdana" w:hAnsi="Verdana"/>
                <w:i/>
                <w:noProof/>
                <w:color w:val="000000"/>
                <w:sz w:val="18"/>
              </w:rPr>
              <w:t xml:space="preserve"> 993</w:t>
            </w:r>
          </w:p>
        </w:tc>
        <w:tc>
          <w:tcPr>
            <w:tcW w:w="1642" w:type="dxa"/>
            <w:tcBorders>
              <w:top w:val="nil"/>
              <w:left w:val="nil"/>
              <w:bottom w:val="nil"/>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i/>
                <w:noProof/>
                <w:color w:val="000000"/>
                <w:sz w:val="18"/>
              </w:rPr>
            </w:pPr>
            <w:r>
              <w:rPr>
                <w:rFonts w:ascii="Verdana" w:hAnsi="Verdana"/>
                <w:i/>
                <w:noProof/>
                <w:color w:val="000000"/>
                <w:sz w:val="18"/>
              </w:rPr>
              <w:t>1 088</w:t>
            </w:r>
          </w:p>
        </w:tc>
        <w:tc>
          <w:tcPr>
            <w:tcW w:w="1642" w:type="dxa"/>
            <w:tcBorders>
              <w:top w:val="nil"/>
              <w:left w:val="nil"/>
              <w:bottom w:val="nil"/>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i/>
                <w:noProof/>
                <w:color w:val="000000"/>
                <w:sz w:val="18"/>
              </w:rPr>
            </w:pPr>
            <w:r>
              <w:rPr>
                <w:rFonts w:ascii="Verdana" w:hAnsi="Verdana"/>
                <w:i/>
                <w:noProof/>
                <w:color w:val="000000"/>
                <w:sz w:val="18"/>
              </w:rPr>
              <w:t>2 488</w:t>
            </w:r>
          </w:p>
        </w:tc>
      </w:tr>
      <w:tr>
        <w:trPr>
          <w:trHeight w:val="255"/>
        </w:trPr>
        <w:tc>
          <w:tcPr>
            <w:tcW w:w="3191"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876BIPPPERE"/>
              <w:rPr>
                <w:rFonts w:ascii="Verdana" w:eastAsia="Verdana" w:hAnsi="Verdana" w:cs="Verdana"/>
                <w:i/>
                <w:noProof/>
                <w:color w:val="000000"/>
                <w:sz w:val="18"/>
              </w:rPr>
            </w:pPr>
            <w:r>
              <w:rPr>
                <w:rFonts w:ascii="Verdana" w:hAnsi="Verdana"/>
                <w:i/>
                <w:noProof/>
                <w:color w:val="000000"/>
                <w:sz w:val="18"/>
              </w:rPr>
              <w:t>Материали, свързани с ИТ, и друго оборудване</w:t>
            </w:r>
          </w:p>
        </w:tc>
        <w:tc>
          <w:tcPr>
            <w:tcW w:w="1641"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i/>
                <w:noProof/>
                <w:color w:val="000000"/>
                <w:sz w:val="18"/>
              </w:rPr>
            </w:pPr>
            <w:r>
              <w:rPr>
                <w:rFonts w:ascii="Verdana" w:hAnsi="Verdana"/>
                <w:i/>
                <w:noProof/>
                <w:color w:val="000000"/>
                <w:sz w:val="18"/>
              </w:rPr>
              <w:t xml:space="preserve"> 15</w:t>
            </w:r>
          </w:p>
        </w:tc>
        <w:tc>
          <w:tcPr>
            <w:tcW w:w="1642"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i/>
                <w:noProof/>
                <w:color w:val="000000"/>
                <w:sz w:val="18"/>
              </w:rPr>
            </w:pPr>
            <w:r>
              <w:rPr>
                <w:rFonts w:ascii="Verdana" w:hAnsi="Verdana"/>
                <w:i/>
                <w:noProof/>
                <w:color w:val="000000"/>
                <w:sz w:val="18"/>
              </w:rPr>
              <w:t xml:space="preserve"> 35</w:t>
            </w:r>
          </w:p>
        </w:tc>
        <w:tc>
          <w:tcPr>
            <w:tcW w:w="1642"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i/>
                <w:noProof/>
                <w:color w:val="000000"/>
                <w:sz w:val="18"/>
              </w:rPr>
            </w:pPr>
            <w:r>
              <w:rPr>
                <w:rFonts w:ascii="Verdana" w:hAnsi="Verdana"/>
                <w:i/>
                <w:noProof/>
                <w:color w:val="000000"/>
                <w:sz w:val="18"/>
              </w:rPr>
              <w:t xml:space="preserve"> 10</w:t>
            </w:r>
          </w:p>
        </w:tc>
        <w:tc>
          <w:tcPr>
            <w:tcW w:w="1642"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i/>
                <w:noProof/>
                <w:color w:val="000000"/>
                <w:sz w:val="18"/>
              </w:rPr>
            </w:pPr>
            <w:r>
              <w:rPr>
                <w:rFonts w:ascii="Verdana" w:hAnsi="Verdana"/>
                <w:i/>
                <w:noProof/>
                <w:color w:val="000000"/>
                <w:sz w:val="18"/>
              </w:rPr>
              <w:t xml:space="preserve"> 60</w:t>
            </w:r>
          </w:p>
        </w:tc>
      </w:tr>
      <w:tr>
        <w:trPr>
          <w:trHeight w:val="255"/>
        </w:trPr>
        <w:tc>
          <w:tcPr>
            <w:tcW w:w="3191"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76BIPPPERE"/>
              <w:rPr>
                <w:rFonts w:ascii="Verdana" w:eastAsia="Verdana" w:hAnsi="Verdana" w:cs="Verdana"/>
                <w:b/>
                <w:noProof/>
                <w:color w:val="000000"/>
                <w:sz w:val="18"/>
              </w:rPr>
            </w:pPr>
            <w:r>
              <w:rPr>
                <w:rFonts w:ascii="Verdana" w:hAnsi="Verdana"/>
                <w:b/>
                <w:noProof/>
                <w:color w:val="000000"/>
                <w:sz w:val="18"/>
              </w:rPr>
              <w:t>Общо</w:t>
            </w:r>
          </w:p>
        </w:tc>
        <w:tc>
          <w:tcPr>
            <w:tcW w:w="1641"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b/>
                <w:noProof/>
                <w:color w:val="000000"/>
                <w:sz w:val="18"/>
              </w:rPr>
            </w:pPr>
            <w:r>
              <w:rPr>
                <w:rFonts w:ascii="Verdana" w:hAnsi="Verdana"/>
                <w:b/>
                <w:noProof/>
                <w:color w:val="000000"/>
                <w:sz w:val="18"/>
              </w:rPr>
              <w:t xml:space="preserve"> 422</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b/>
                <w:noProof/>
                <w:color w:val="000000"/>
                <w:sz w:val="18"/>
              </w:rPr>
            </w:pPr>
            <w:r>
              <w:rPr>
                <w:rFonts w:ascii="Verdana" w:hAnsi="Verdana"/>
                <w:b/>
                <w:noProof/>
                <w:color w:val="000000"/>
                <w:sz w:val="18"/>
              </w:rPr>
              <w:t>1 028</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b/>
                <w:noProof/>
                <w:color w:val="000000"/>
                <w:sz w:val="18"/>
              </w:rPr>
            </w:pPr>
            <w:r>
              <w:rPr>
                <w:rFonts w:ascii="Verdana" w:hAnsi="Verdana"/>
                <w:b/>
                <w:noProof/>
                <w:color w:val="000000"/>
                <w:sz w:val="18"/>
              </w:rPr>
              <w:t>1 098</w:t>
            </w:r>
          </w:p>
        </w:tc>
        <w:tc>
          <w:tcPr>
            <w:tcW w:w="1642" w:type="dxa"/>
            <w:tcBorders>
              <w:top w:val="single" w:sz="4" w:space="0" w:color="016794"/>
              <w:left w:val="nil"/>
              <w:bottom w:val="single" w:sz="4" w:space="0" w:color="016794"/>
              <w:right w:val="nil"/>
              <w:tl2br w:val="nil"/>
              <w:tr2bl w:val="nil"/>
            </w:tcBorders>
            <w:shd w:val="solid" w:color="FFFFFF" w:fill="FFFFFF"/>
            <w:tcMar>
              <w:left w:w="60" w:type="dxa"/>
              <w:right w:w="60" w:type="dxa"/>
            </w:tcMar>
            <w:vAlign w:val="center"/>
          </w:tcPr>
          <w:p>
            <w:pPr>
              <w:pStyle w:val="DMETW19876BIPPPERE"/>
              <w:jc w:val="right"/>
              <w:rPr>
                <w:rFonts w:ascii="Verdana" w:eastAsia="Verdana" w:hAnsi="Verdana" w:cs="Verdana"/>
                <w:b/>
                <w:noProof/>
                <w:color w:val="000000"/>
                <w:sz w:val="18"/>
              </w:rPr>
            </w:pPr>
            <w:r>
              <w:rPr>
                <w:rFonts w:ascii="Verdana" w:hAnsi="Verdana"/>
                <w:b/>
                <w:noProof/>
                <w:color w:val="000000"/>
                <w:sz w:val="18"/>
              </w:rPr>
              <w:t>2 547</w:t>
            </w:r>
          </w:p>
        </w:tc>
      </w:tr>
    </w:tbl>
    <w:p>
      <w:pPr>
        <w:pStyle w:val="Heading7pNormalCentered"/>
        <w:rPr>
          <w:lang w:bidi="en-GB"/>
        </w:rPr>
      </w:pPr>
    </w:p>
    <w:p>
      <w:pPr>
        <w:pStyle w:val="DGTextstand-alone"/>
      </w:pPr>
      <w:r>
        <w:t>През март 2019 г. в контекста на нотификацията от Обединеното кралство за намерението му да се оттегли от ЕС и вследствие на Регламент (ЕС) 2018/1718 на Европейския парламент и на Съвета от 14 ноември 2018 г. за изменение на Регламент (ЕО) № 726/2004 седалището на Европейската агенция по лекарствата (ЕМА) бе преместено от Лондон в Амстердам. На 2 юли 2019 г. Агенцията постигна споразумение със своя наемодател и оттогава преотдава под наем помещенията си на поднаемател при условия, съответстващи на условията по основния договор за наем, включително относно срока на преотдаване под наем, който изтича с изтичането на основния договор за наем на помещенията на EMA през юни 2039 г.</w:t>
      </w:r>
    </w:p>
    <w:p>
      <w:pPr>
        <w:pStyle w:val="DGTextstand-alone"/>
      </w:pPr>
      <w:r>
        <w:t>Сумите, оповестени в таблицата по-горе, включват 378 милиона евро, които все още са дължими по основния договор за наем. Очаква се да бъдат получени плащания в същия размер от поднаемателя по неотменимия договор за преотдаване под наем.</w:t>
      </w:r>
    </w:p>
    <w:p>
      <w:pPr>
        <w:pStyle w:val="HEADER5"/>
        <w:rPr>
          <w:noProof/>
        </w:rPr>
      </w:pPr>
      <w:r>
        <w:rPr>
          <w:noProof/>
        </w:rPr>
        <w:t>Други договорни задължения</w:t>
      </w:r>
    </w:p>
    <w:p>
      <w:pPr>
        <w:pStyle w:val="DGTextstand-alone"/>
      </w:pPr>
      <w:r>
        <w:t>Включените в тази позиция суми съответстват на сумите, за които е поето задължение за изплащане по време на срока на договорите. Най-съществената сума, включена в тази позиция, е свързана с договор за строителство (JMO2) на Комисията в Люксембург (354 милиона евро).</w:t>
      </w:r>
    </w:p>
    <w:p>
      <w:pPr>
        <w:pStyle w:val="DGTextstand-alone"/>
        <w:sectPr>
          <w:headerReference w:type="even" r:id="rId266"/>
          <w:headerReference w:type="default" r:id="rId267"/>
          <w:footerReference w:type="even" r:id="rId268"/>
          <w:footerReference w:type="default" r:id="rId269"/>
          <w:headerReference w:type="first" r:id="rId270"/>
          <w:footerReference w:type="first" r:id="rId271"/>
          <w:type w:val="continuous"/>
          <w:pgSz w:w="11906" w:h="16838"/>
          <w:pgMar w:top="1134" w:right="1134" w:bottom="1134" w:left="1134" w:header="709" w:footer="709" w:gutter="0"/>
          <w:cols w:space="708"/>
          <w:docGrid w:linePitch="360"/>
        </w:sectPr>
      </w:pPr>
      <w:r>
        <w:t xml:space="preserve"> </w:t>
      </w:r>
      <w:bookmarkEnd w:id="188"/>
    </w:p>
    <w:p>
      <w:pPr>
        <w:pStyle w:val="HEADER1NOTES"/>
        <w:rPr>
          <w:noProof/>
        </w:rPr>
      </w:pPr>
      <w:bookmarkStart w:id="194" w:name="_Toc75518113"/>
      <w:bookmarkStart w:id="195" w:name="_DMBM_19829"/>
      <w:r>
        <w:rPr>
          <w:noProof/>
        </w:rPr>
        <w:t>УПРАВЛЕНИЕ НА ФИНАНСОВИЯ РИСК</w:t>
      </w:r>
      <w:bookmarkEnd w:id="194"/>
    </w:p>
    <w:p>
      <w:pPr>
        <w:pStyle w:val="DGTextstand-alone"/>
      </w:pPr>
      <w:r>
        <w:t>Следната оповестена информация във връзка с управлението на финансовия риск на ЕС се отнася до:</w:t>
      </w:r>
    </w:p>
    <w:p>
      <w:pPr>
        <w:pStyle w:val="DGTextstand-alone"/>
        <w:numPr>
          <w:ilvl w:val="0"/>
          <w:numId w:val="31"/>
        </w:numPr>
        <w:pBdr>
          <w:top w:val="nil"/>
          <w:left w:val="nil"/>
          <w:bottom w:val="nil"/>
          <w:right w:val="nil"/>
          <w:between w:val="nil"/>
          <w:bar w:val="nil"/>
        </w:pBdr>
      </w:pPr>
      <w:r>
        <w:t>дейностите по получаване и отпускане на заеми за финансова помощ, оказвана от Комисията посредством ЕМФС, ПБ, МФП, SURE и действия на Евратом;</w:t>
      </w:r>
    </w:p>
    <w:p>
      <w:pPr>
        <w:pStyle w:val="DGTextstand-alone"/>
        <w:numPr>
          <w:ilvl w:val="0"/>
          <w:numId w:val="31"/>
        </w:numPr>
        <w:pBdr>
          <w:top w:val="nil"/>
          <w:left w:val="nil"/>
          <w:bottom w:val="nil"/>
          <w:right w:val="nil"/>
          <w:between w:val="nil"/>
          <w:bar w:val="nil"/>
        </w:pBdr>
      </w:pPr>
      <w:r>
        <w:t>касовите операции, които Комисията извършва с цел изпълняване на бюджета на ЕС, включително получаването на глоби;</w:t>
      </w:r>
    </w:p>
    <w:p>
      <w:pPr>
        <w:pStyle w:val="DGTextstand-alone"/>
        <w:numPr>
          <w:ilvl w:val="0"/>
          <w:numId w:val="31"/>
        </w:numPr>
        <w:pBdr>
          <w:top w:val="nil"/>
          <w:left w:val="nil"/>
          <w:bottom w:val="nil"/>
          <w:right w:val="nil"/>
          <w:between w:val="nil"/>
          <w:bar w:val="nil"/>
        </w:pBdr>
      </w:pPr>
      <w:r>
        <w:t>активите, държани във фондове за бюджетни гаранции: Гаранционния фонд за външни дейности, Гаранционния фонд на ЕФСИ и Гаранционния фонд на ЕФУР; и</w:t>
      </w:r>
    </w:p>
    <w:p>
      <w:pPr>
        <w:pStyle w:val="DGTextstand-alone"/>
        <w:numPr>
          <w:ilvl w:val="0"/>
          <w:numId w:val="31"/>
        </w:numPr>
        <w:pBdr>
          <w:top w:val="nil"/>
          <w:left w:val="nil"/>
          <w:bottom w:val="nil"/>
          <w:right w:val="nil"/>
          <w:between w:val="nil"/>
          <w:bar w:val="nil"/>
        </w:pBdr>
      </w:pPr>
      <w:r>
        <w:t>финансовите инструменти, финансирани от бюджета на ЕС.</w:t>
      </w:r>
    </w:p>
    <w:p>
      <w:pPr>
        <w:pStyle w:val="HEADER2NOTES"/>
        <w:rPr>
          <w:noProof/>
        </w:rPr>
      </w:pPr>
      <w:r>
        <w:rPr>
          <w:noProof/>
        </w:rPr>
        <w:t>ВИДОВЕ РИСК</w:t>
      </w:r>
    </w:p>
    <w:p>
      <w:pPr>
        <w:pStyle w:val="DGTextstand-alone"/>
      </w:pPr>
      <w:r>
        <w:rPr>
          <w:b/>
        </w:rPr>
        <w:t>Пазарният риск</w:t>
      </w:r>
      <w:r>
        <w:t xml:space="preserve"> е рискът от колебание на справедливата стойност или бъдещите парични потоци на финансов инструмент поради промени в пазарните цени. Пазарният риск обхваща не само потенциала за загуба, но и потенциала за печалба. Той включва </w:t>
      </w:r>
      <w:r>
        <w:rPr>
          <w:i/>
        </w:rPr>
        <w:t>валутния риск, лихвения риск и други ценови рискове</w:t>
      </w:r>
      <w:r>
        <w:t xml:space="preserve"> (за ЕС няма друг значителен ценови риск).</w:t>
      </w:r>
    </w:p>
    <w:p>
      <w:pPr>
        <w:pStyle w:val="DGTextstand-alone"/>
        <w:numPr>
          <w:ilvl w:val="0"/>
          <w:numId w:val="32"/>
        </w:numPr>
        <w:pBdr>
          <w:top w:val="nil"/>
          <w:left w:val="nil"/>
          <w:bottom w:val="nil"/>
          <w:right w:val="nil"/>
          <w:between w:val="nil"/>
          <w:bar w:val="nil"/>
        </w:pBdr>
      </w:pPr>
      <w:r>
        <w:rPr>
          <w:i/>
        </w:rPr>
        <w:t>Валутният риск</w:t>
      </w:r>
      <w:r>
        <w:t xml:space="preserve"> е рискът, че операциите на ЕС или стойността на неговите инвестиции ще бъдат засегнати от промени в обменните курсове. Този риск възниква от промяната в цената на една валута спрямо друга.</w:t>
      </w:r>
    </w:p>
    <w:p>
      <w:pPr>
        <w:pStyle w:val="DGTextstand-alone"/>
        <w:numPr>
          <w:ilvl w:val="0"/>
          <w:numId w:val="32"/>
        </w:numPr>
        <w:pBdr>
          <w:top w:val="nil"/>
          <w:left w:val="nil"/>
          <w:bottom w:val="nil"/>
          <w:right w:val="nil"/>
          <w:between w:val="nil"/>
          <w:bar w:val="nil"/>
        </w:pBdr>
      </w:pPr>
      <w:r>
        <w:rPr>
          <w:i/>
        </w:rPr>
        <w:t>Лихвеният риск</w:t>
      </w:r>
      <w:r>
        <w:t xml:space="preserve"> е възможността да намалее стойността на ценна книга, особено на облигация, в резултат на повишение на лихвените проценти. Като цяло по-високите лихвени проценти водят до по-ниски цени на облигациите с фиксиран лихвен процент, и обратно.</w:t>
      </w:r>
    </w:p>
    <w:p>
      <w:pPr>
        <w:pStyle w:val="DGTextstand-alone"/>
      </w:pPr>
      <w:r>
        <w:rPr>
          <w:b/>
        </w:rPr>
        <w:t>Кредитният риск</w:t>
      </w:r>
      <w:r>
        <w:t xml:space="preserve"> е рискът от загуба поради неизплащане от страна на длъжник/заемополучател на заем или друга кредитна линия (било то главницата или лихвата или и двете) или поради друго неизпълнение на договорно задължение от негова страна. Събитията, с които се нарушават поети задължения, включват закъсняване с плащането на вноските, преструктуриране на вноските на заемополучателя и фалит.</w:t>
      </w:r>
    </w:p>
    <w:p>
      <w:pPr>
        <w:pStyle w:val="DGTextstand-alone"/>
      </w:pPr>
      <w:r>
        <w:rPr>
          <w:b/>
        </w:rPr>
        <w:t>Ликвидният риск</w:t>
      </w:r>
      <w:r>
        <w:t xml:space="preserve"> е рискът, произтичащ от трудното продаване на даден актив. Например рискът, че дадена ценна книга или актив не могат да бъдат продадени достатъчно бързо на пазара, за да се предотврати загуба или изпълни задължение.</w:t>
      </w:r>
    </w:p>
    <w:p>
      <w:pPr>
        <w:pStyle w:val="HEADER2NOTES"/>
        <w:rPr>
          <w:noProof/>
        </w:rPr>
      </w:pPr>
      <w:r>
        <w:rPr>
          <w:noProof/>
        </w:rPr>
        <w:t xml:space="preserve">ПОЛИТИКИ ЗА УПРАВЛЕНИЕ НА РИСКА </w:t>
      </w:r>
    </w:p>
    <w:p>
      <w:pPr>
        <w:pStyle w:val="HEADER5"/>
        <w:rPr>
          <w:i/>
          <w:noProof/>
          <w:color w:val="auto"/>
        </w:rPr>
      </w:pPr>
      <w:r>
        <w:rPr>
          <w:noProof/>
        </w:rPr>
        <w:t>Оценяване на финансовите инструменти</w:t>
      </w:r>
    </w:p>
    <w:p>
      <w:pPr>
        <w:pStyle w:val="DGTextstand-alone"/>
      </w:pPr>
      <w:r>
        <w:t>Следните класове финансови активи и пасиви не се оценяват по справедлива стойност: пари и парични еквиваленти, отпуснати заеми, вземания по операции с размяна и средства, подлежащи на събиране, по операции без размяна, получени заеми и други финансови пасиви, оценени по амортизирана стойност. Балансовата стойност на тези финансови активи и пасиви се счита за разумно приближение до справедливата им стойност.</w:t>
      </w:r>
    </w:p>
    <w:p>
      <w:pPr>
        <w:pStyle w:val="HEADER5"/>
        <w:rPr>
          <w:noProof/>
        </w:rPr>
      </w:pPr>
      <w:r>
        <w:rPr>
          <w:noProof/>
        </w:rPr>
        <w:t>Дейности по получаване и отпускане на заеми за финансова помощ</w:t>
      </w:r>
    </w:p>
    <w:p>
      <w:pPr>
        <w:pStyle w:val="DGTextstand-alone"/>
      </w:pPr>
      <w:r>
        <w:t>Операциите по получаване и отпускане на заеми се извършват от ЕС съгласно съответните регламенти на Съвета, съответните решения на Съвета и Европейския парламент и ако е приложимо — съответните вътрешни насоки. Изготвени са писмени наръчници за процедурите, обхващащи конкретни области, като например получените и отпуснатите заеми, които се използват от съответните оперативни отдели. Операциите по отпускане на заеми се финансират с „бек-ту-бек“ получени заеми, които следователно не генерират открити лихвени или валутни позиции.</w:t>
      </w:r>
    </w:p>
    <w:p>
      <w:pPr>
        <w:pStyle w:val="HEADER5"/>
        <w:rPr>
          <w:noProof/>
        </w:rPr>
      </w:pPr>
      <w:r>
        <w:rPr>
          <w:noProof/>
        </w:rPr>
        <w:t>Каса</w:t>
      </w:r>
    </w:p>
    <w:p>
      <w:pPr>
        <w:pStyle w:val="DGTextstand-alone"/>
      </w:pPr>
      <w:r>
        <w:t>Правилата и принципите за управлението на касовите операции на Комисията са посочени в Регламент № 609/2014 на Съвета (изменен с Регламент 2016/804 на Съвета) и във Финансовия регламент.</w:t>
      </w:r>
    </w:p>
    <w:p>
      <w:pPr>
        <w:pStyle w:val="DGTextstand-alone"/>
      </w:pPr>
      <w:r>
        <w:t>В резултат на посочените по-горе регламенти се прилагат следните основни принципи:</w:t>
      </w:r>
    </w:p>
    <w:p>
      <w:pPr>
        <w:pStyle w:val="DGTextstand-alone"/>
        <w:numPr>
          <w:ilvl w:val="0"/>
          <w:numId w:val="33"/>
        </w:numPr>
        <w:pBdr>
          <w:top w:val="nil"/>
          <w:left w:val="nil"/>
          <w:bottom w:val="nil"/>
          <w:right w:val="nil"/>
          <w:between w:val="nil"/>
          <w:bar w:val="nil"/>
        </w:pBdr>
      </w:pPr>
      <w:r>
        <w:t>Собствените ресурси се внасят от държавите членки в сметки, открити за тази цел на името на Комисията към министерството на финансите или националната централна банка. Комисията може да тегли от посочените по-горе сметки само за да покрие нуждите си от парични средства.</w:t>
      </w:r>
    </w:p>
    <w:p>
      <w:pPr>
        <w:pStyle w:val="DGTextstand-alone"/>
        <w:numPr>
          <w:ilvl w:val="0"/>
          <w:numId w:val="33"/>
        </w:numPr>
        <w:pBdr>
          <w:top w:val="nil"/>
          <w:left w:val="nil"/>
          <w:bottom w:val="nil"/>
          <w:right w:val="nil"/>
          <w:between w:val="nil"/>
          <w:bar w:val="nil"/>
        </w:pBdr>
      </w:pPr>
      <w:r>
        <w:t>Собствените ресурси се плащат от държавите членки в националната им валута, докато плащанията на Комисията са предимно в евро.</w:t>
      </w:r>
    </w:p>
    <w:p>
      <w:pPr>
        <w:pStyle w:val="DGTextstand-alone"/>
        <w:numPr>
          <w:ilvl w:val="0"/>
          <w:numId w:val="33"/>
        </w:numPr>
        <w:pBdr>
          <w:top w:val="nil"/>
          <w:left w:val="nil"/>
          <w:bottom w:val="nil"/>
          <w:right w:val="nil"/>
          <w:between w:val="nil"/>
          <w:bar w:val="nil"/>
        </w:pBdr>
      </w:pPr>
      <w:r>
        <w:t>Не може по банковите сметки, открити на името на Комисията, да се теглят суми, надвишаващи наличните. Това ограничение не важи за сметките за собствените ресурси на Комисията в случай на неизпълнение на задълженията по заеми, сключени или гарантирани по силата на регламенти и решения на Съвета на ЕС, и при определени условия, ако нуждите от средства надвишават наличностите по тези сметки.</w:t>
      </w:r>
    </w:p>
    <w:p>
      <w:pPr>
        <w:pStyle w:val="DGTextstand-alone"/>
        <w:numPr>
          <w:ilvl w:val="0"/>
          <w:numId w:val="33"/>
        </w:numPr>
        <w:pBdr>
          <w:top w:val="nil"/>
          <w:left w:val="nil"/>
          <w:bottom w:val="nil"/>
          <w:right w:val="nil"/>
          <w:between w:val="nil"/>
          <w:bar w:val="nil"/>
        </w:pBdr>
      </w:pPr>
      <w:r>
        <w:t>Средствата в банкови сметки във валути, различни от еврото, се използват за плащания в тези валути или периодично се конвертират в евро.</w:t>
      </w:r>
    </w:p>
    <w:p>
      <w:pPr>
        <w:pStyle w:val="DGTextstand-alone"/>
      </w:pPr>
      <w:r>
        <w:t>Освен сметките за собствените ресурси Комисията открива и други банкови сметки към централните банки и търговските банки с цел извършване на плащания и получаване на приходи, различни от вноските на държавите членки в бюджета.</w:t>
      </w:r>
    </w:p>
    <w:p>
      <w:pPr>
        <w:pStyle w:val="DGTextstand-alone"/>
      </w:pPr>
      <w:r>
        <w:t>Касовите и платежните операции са силно автоматизирани и разчитат на модерни информационни системи. Прилагат се специални процедури, за да се гарантира сигурността на системата и да се осигури разделението на служебните задължения в съответствие с Финансовия регламент, стандартите на Комисията за вътрешен контрол и принципите за одит.</w:t>
      </w:r>
    </w:p>
    <w:p>
      <w:pPr>
        <w:pStyle w:val="DGTextstand-alone"/>
      </w:pPr>
      <w:r>
        <w:t>Набор от писмени насоки и процедури уреждат управлението на касовите и платежните операции на Комисията с цел ограничаване на оперативния и финансовия риск и осигуряване на подходяща степен на контрол. Те обхващат различни области на дейност (напр.: извършването на плащанията и управлението на паричните средства, прогнозирането на паричните потоци, непрекъснатостта на дейността и т.н.) и спазването на насоките и на процедурите се проверява редовно.</w:t>
      </w:r>
    </w:p>
    <w:p>
      <w:pPr>
        <w:pStyle w:val="HEADER5"/>
        <w:rPr>
          <w:noProof/>
        </w:rPr>
      </w:pPr>
      <w:r>
        <w:rPr>
          <w:noProof/>
        </w:rPr>
        <w:t>Глоби</w:t>
      </w:r>
    </w:p>
    <w:p>
      <w:pPr>
        <w:pStyle w:val="Textstand-alone"/>
        <w:rPr>
          <w:i/>
        </w:rPr>
      </w:pPr>
      <w:r>
        <w:rPr>
          <w:i/>
        </w:rPr>
        <w:t>Условно платени глоби: депозити</w:t>
      </w:r>
    </w:p>
    <w:p>
      <w:pPr>
        <w:pStyle w:val="DGTextstand-alone"/>
      </w:pPr>
      <w:r>
        <w:t>Сумите, получени преди 2010 г., остават в банкови сметки в банки, които са специално избрани за депозиране на условно платени глоби. Подборът на банки се извършва съгласно тръжните процедури, определени във Финансовия регламент. Влагането на средства в конкретни банки се определя от вътрешната политика за управление на риска, в която са посочени изискванията по отношение на кредитния рейтинг и размерът на средствата, които могат да бъдат вложени, в зависимост от капитала на контрагента. Идентифицират се и се оценяват финансовият и оперативният риск и редовно се проверява съблюдаването на вътрешните политики и процедури.</w:t>
      </w:r>
    </w:p>
    <w:p>
      <w:pPr>
        <w:pStyle w:val="Textstand-alone"/>
        <w:rPr>
          <w:i/>
        </w:rPr>
      </w:pPr>
      <w:r>
        <w:rPr>
          <w:i/>
        </w:rPr>
        <w:t>Условно платени глоби: портфейл BUFI</w:t>
      </w:r>
    </w:p>
    <w:p>
      <w:pPr>
        <w:pStyle w:val="DGTextstand-alone"/>
      </w:pPr>
      <w:r>
        <w:t>Глобите, които са наложени и са платени условно от 2010 г. нататък, се инвестират в специално създаден за целта портфейл — BUFI. Основните цели на портфейла са намаляването на рисковете, свързани с финансовите пазари, и равното третиране на всички субекти чрез прилагане на гарантирана възвръщаемост, изчислена на една и съща база, към номиналния размер на глобите. Гарантираната възвръщаемост, прилагана по отношение на глобените субекти преди влизането в сила на новия Финансов регламент през август 2018 г., обаче е със стойност нула. Управлението на активите за условно платените глоби се извършва от Комисията в съответствие с вътрешните насоки за управление на активите. Изготвени са процедурни наръчници, обхващащи конкретни области, като управлението на касата, които се използват от съответните оперативни отдели. Идентифицират се и се оценяват финансовият и оперативният риск и редовно се проверява съблюдаването на вътрешните насоки и процедури.</w:t>
      </w:r>
    </w:p>
    <w:p>
      <w:pPr>
        <w:pStyle w:val="DGTextstand-alone"/>
        <w:spacing w:after="120"/>
      </w:pPr>
      <w:r>
        <w:t>Целите на дейностите по управление на активите са условно платените на Комисията глоби да се инвестират по начин, по който:</w:t>
      </w:r>
    </w:p>
    <w:p>
      <w:pPr>
        <w:pStyle w:val="DGTextstand-alone"/>
        <w:numPr>
          <w:ilvl w:val="0"/>
          <w:numId w:val="34"/>
        </w:numPr>
        <w:pBdr>
          <w:top w:val="nil"/>
          <w:left w:val="nil"/>
          <w:bottom w:val="nil"/>
          <w:right w:val="nil"/>
          <w:between w:val="nil"/>
          <w:bar w:val="nil"/>
        </w:pBdr>
        <w:spacing w:before="120" w:after="120"/>
      </w:pPr>
      <w:r>
        <w:t>се гарантира, че средствата са лесно достъпни, когато са нужни, като същевременно</w:t>
      </w:r>
    </w:p>
    <w:p>
      <w:pPr>
        <w:pStyle w:val="DGTextstand-alone"/>
        <w:numPr>
          <w:ilvl w:val="0"/>
          <w:numId w:val="34"/>
        </w:numPr>
        <w:pBdr>
          <w:top w:val="nil"/>
          <w:left w:val="nil"/>
          <w:bottom w:val="nil"/>
          <w:right w:val="nil"/>
          <w:between w:val="nil"/>
          <w:bar w:val="nil"/>
        </w:pBdr>
        <w:spacing w:before="120"/>
      </w:pPr>
      <w:r>
        <w:t>се цели постигане, при нормални обстоятелства, на възвръщаемост, която средно съответства на референтната възвръщаемост на BUFI минус направените разходи, като се запазва номиналният размер на глобите.</w:t>
      </w:r>
    </w:p>
    <w:p>
      <w:pPr>
        <w:pStyle w:val="DGTextstand-alone"/>
      </w:pPr>
      <w:r>
        <w:t>В основата си инвестициите се ограничават до следните категории: срочни депозити в централните банки на държавите членки, в агенции за държавния дълг, в изцяло държавни или гарантирани от държавата банки или в наднационални институции и в облигации, менителници и депозитни сертификати, издадени от суверенни или наднационални институции.</w:t>
      </w:r>
    </w:p>
    <w:p>
      <w:pPr>
        <w:pStyle w:val="Textstand-alone"/>
        <w:rPr>
          <w:i/>
        </w:rPr>
      </w:pPr>
      <w:r>
        <w:rPr>
          <w:i/>
        </w:rPr>
        <w:t>Финансови гаранции</w:t>
      </w:r>
    </w:p>
    <w:p>
      <w:pPr>
        <w:pStyle w:val="DGTextstand-alone"/>
      </w:pPr>
      <w:r>
        <w:t>Гаранции със значителна стойност, издадени от финансови институции, се държат от Комисията във връзка с глобите, които тя налага на предприятията, нарушаващи правилата за конкуренция на ЕС — вж. бележка </w:t>
      </w:r>
      <w:r>
        <w:rPr>
          <w:b/>
        </w:rPr>
        <w:t>2.6.1.3</w:t>
      </w:r>
      <w:r>
        <w:t>. Тези гаранции се предоставят от глобените предприятия като алтернатива на условните плащания. Гаранциите се управляват в съответствие с вътрешната политика за управление на риска. Идентифицират се и се оценяват финансовият и оперативният риск и редовно се проверява съблюдаването на вътрешните политики и процедури.</w:t>
      </w:r>
    </w:p>
    <w:p>
      <w:pPr>
        <w:pStyle w:val="HEADER5"/>
        <w:rPr>
          <w:noProof/>
        </w:rPr>
      </w:pPr>
      <w:r>
        <w:rPr>
          <w:noProof/>
        </w:rPr>
        <w:t>Гаранционни фондове</w:t>
      </w:r>
    </w:p>
    <w:p>
      <w:pPr>
        <w:pStyle w:val="DGTextstand-alone"/>
      </w:pPr>
      <w:r>
        <w:t>Комисията предоставя все повече финансови гаранции на финансовите институции като средство за ефективно изпълнение на бюджета, като по този начин подпомага бенефициерите чрез ефекта на ливъридж. Това усвояване на бюджета на ЕС има за цел да се максимизира въздействието на наличните средства. Комисията създаде гаранционни фондове за покриване на предоставените бюджетни гаранции с цел да се осигури ликвиден резерв срещу потенциални загуби от гарантирани операции. Основните гаранционни фондове в края на годината са Гаранционният фонд за външни дейности, Гаранционният фонд на ЕФСИ и Гаранционният фонд на ЕФУР.</w:t>
      </w:r>
    </w:p>
    <w:p>
      <w:pPr>
        <w:pStyle w:val="HEADER5"/>
        <w:rPr>
          <w:i/>
          <w:noProof/>
        </w:rPr>
      </w:pPr>
      <w:r>
        <w:rPr>
          <w:i/>
          <w:noProof/>
        </w:rPr>
        <w:t>Гаранционен фонд за външни дейности</w:t>
      </w:r>
    </w:p>
    <w:p>
      <w:pPr>
        <w:pStyle w:val="DGTextstand-alone"/>
      </w:pPr>
      <w:r>
        <w:t>Правилата и принципите за управлението на активите на Гаранционния фонд са посочени в Конвенцията между Комисията и ЕИБ от 25 ноември 1994 г. и в нейните изменения. Този гаранционен фонд работи само в евро. Управлението на активите се основава на традиционните правила за предпазливост, съблюдавани при финансовите дейности. То трябва да обръща специално внимание на намаляването на рисковете и на това да се гарантира, че управляваните активи могат да бъдат продадени или прехвърлени без значително забавяне, отчитайки обхванатите поети задължения.</w:t>
      </w:r>
    </w:p>
    <w:p>
      <w:pPr>
        <w:pStyle w:val="HEADER5"/>
        <w:rPr>
          <w:i/>
          <w:noProof/>
        </w:rPr>
      </w:pPr>
      <w:r>
        <w:rPr>
          <w:i/>
          <w:noProof/>
        </w:rPr>
        <w:t>Гаранционен фонд на ЕФСИ</w:t>
      </w:r>
    </w:p>
    <w:p>
      <w:pPr>
        <w:pStyle w:val="DGTextstand-alone"/>
      </w:pPr>
      <w:r>
        <w:t>Гаранционният фонд на ЕФСИ бе създаден с Регламента за ЕФСИ (вж. бележка </w:t>
      </w:r>
      <w:r>
        <w:rPr>
          <w:b/>
        </w:rPr>
        <w:t>2.4.1</w:t>
      </w:r>
      <w:r>
        <w:t>). Правилата и принципите за управлението на активите на Фонда са посочени в Решение C(2016) 165 на Комисията от 21 януари 2016 г. Фондът се управлява от Комисията, която е оправомощена да инвестира активите на Гаранционния фонд на ЕФСИ на финансовите пазари в съответствие с принципа на добро финансово управление, като спазва подходящи пруденциални правила. Управляваните активи трябва да осигуряват достатъчна ликвидност по отношение на потенциалните задействания на гаранции, като същевременно имат за цел да се оптимизират възвръщаемостта и рискът, които са съвместими с поддържането на висока сигурност и стабилност.</w:t>
      </w:r>
    </w:p>
    <w:p>
      <w:pPr>
        <w:pStyle w:val="HEADER5"/>
        <w:rPr>
          <w:i/>
          <w:noProof/>
        </w:rPr>
      </w:pPr>
      <w:r>
        <w:rPr>
          <w:i/>
          <w:noProof/>
        </w:rPr>
        <w:t>Гаранционен фонд на ЕФУР</w:t>
      </w:r>
    </w:p>
    <w:p>
      <w:pPr>
        <w:pStyle w:val="DGTextstand-alone"/>
      </w:pPr>
      <w:r>
        <w:t>Гаранционният фонд на ЕФУР бе създаден съгласно Регламента за ЕФУР (вж. бележка </w:t>
      </w:r>
      <w:r>
        <w:rPr>
          <w:b/>
        </w:rPr>
        <w:t>2.4.1</w:t>
      </w:r>
      <w:r>
        <w:t>). Управлението на активите на Гаранционния фонд на ЕФУР се извършва от Комисията в съответствие с вътрешните насоки и насоките за управлението на активите, които са включени като приложение 1 към Решение C(2017) 7693 на Комисията от 22 ноември 2017 г. Комисията е оправомощена да инвестира активите на Гаранционния фонд на ЕФУР на финансовите пазари съобразно с принципа на добро финансово управление и с подходящи пруденциални правила. Активите се управляват така, че да се осигури достатъчна ликвидност по отношение на потенциалните задействания на гаранции, като същевременно се цели оптимизиране на възвръщаемостта и риска, които са съвместими с поддържането на висока сигурност и стабилност.</w:t>
      </w:r>
    </w:p>
    <w:p>
      <w:pPr>
        <w:pStyle w:val="HEADER5"/>
        <w:rPr>
          <w:noProof/>
        </w:rPr>
      </w:pPr>
      <w:r>
        <w:rPr>
          <w:noProof/>
        </w:rPr>
        <w:t>Програми за финансови инструменти</w:t>
      </w:r>
    </w:p>
    <w:p>
      <w:pPr>
        <w:pStyle w:val="DGTextstand-alone"/>
      </w:pPr>
      <w:r>
        <w:t>От много години за изпълнението на бюджета на ЕС се използват програми за финансови инструменти. За повече информация за съответните суми — вж. бележка </w:t>
      </w:r>
      <w:r>
        <w:rPr>
          <w:b/>
        </w:rPr>
        <w:t>2.4.1</w:t>
      </w:r>
      <w:r>
        <w:t>.</w:t>
      </w:r>
    </w:p>
    <w:p>
      <w:pPr>
        <w:pStyle w:val="DGTextstand-alone"/>
      </w:pPr>
      <w:r>
        <w:t>За повечето финансови инструменти важи фактът, че изпълнението се делегира или на групата на ЕИБ (включително ЕИФ), или на други финансови институции въз основа на споразумение между Комисията и финансовата институция. Споразуменията, подписани с тези финансови институции, включват строги условия и задължения за посредниците, за да се гарантира, че средствата на ЕС се управляват правилно и че за тях се докладва правилно. Когато бъде поето задължение за финансов принос в полза на някой от инструментите, средствата се прехвърлят в специално създадена за целта банкова сметка, открита от финансовата институция на нейно име, но от името на Комисията (т.е. доверителна сметка). Финансовата институция може, в зависимост от въпросния инструмент, да използва средствата по тази доверителна сметка, за да отпуска заеми, да емитира дългови инструменти, да инвестира в капиталови инструменти или да покрива задействаните гаранции. Приходите от финансовите инструменти по правило трябва да се връщат на бюджета на ЕС.</w:t>
      </w:r>
    </w:p>
    <w:p>
      <w:pPr>
        <w:pStyle w:val="DGTextstand-alone"/>
      </w:pPr>
      <w:r>
        <w:t>Рискът по отношение на тези финансови инструменти е ограничен до таван, посочен в съответните споразумения, който представлява предвидените в бюджета средства за инструмента. Тъй като Комисията често поема „първата загуба“ и тъй като инструментите са предназначени за финансиране на по-рискови бенефициери (които се изправят пред трудности при получаването на финансиране от търговски заемодатели), може да се очаква, че бюджетът на ЕС ще понесе известни загуби.</w:t>
      </w:r>
    </w:p>
    <w:p>
      <w:pPr>
        <w:pStyle w:val="HEADER2NOTES"/>
        <w:rPr>
          <w:noProof/>
        </w:rPr>
      </w:pPr>
      <w:r>
        <w:rPr>
          <w:noProof/>
        </w:rPr>
        <w:t>ВАЛУТЕН РИСК</w:t>
      </w:r>
    </w:p>
    <w:p>
      <w:pPr>
        <w:pStyle w:val="HEADER5"/>
        <w:rPr>
          <w:noProof/>
        </w:rPr>
      </w:pPr>
      <w:r>
        <w:rPr>
          <w:noProof/>
        </w:rPr>
        <w:t>Експозиция на ЕС, свързана с финансовите инструменти, по отношение на валутния риск към края на годината — нетна позиция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1011"/>
        <w:gridCol w:w="880"/>
        <w:gridCol w:w="815"/>
        <w:gridCol w:w="880"/>
        <w:gridCol w:w="1027"/>
        <w:gridCol w:w="880"/>
        <w:gridCol w:w="1076"/>
      </w:tblGrid>
      <w:tr>
        <w:trPr>
          <w:trHeight w:val="255"/>
        </w:trPr>
        <w:tc>
          <w:tcPr>
            <w:tcW w:w="3189" w:type="dxa"/>
            <w:tcBorders>
              <w:top w:val="nil"/>
              <w:left w:val="nil"/>
              <w:bottom w:val="nil"/>
              <w:right w:val="nil"/>
              <w:tl2br w:val="nil"/>
              <w:tr2bl w:val="nil"/>
            </w:tcBorders>
            <w:shd w:val="clear" w:color="auto" w:fill="auto"/>
            <w:tcMar>
              <w:left w:w="60" w:type="dxa"/>
              <w:right w:w="60" w:type="dxa"/>
            </w:tcMar>
            <w:vAlign w:val="bottom"/>
          </w:tcPr>
          <w:p>
            <w:pPr>
              <w:pStyle w:val="DMETW19868BIPCRCY"/>
              <w:rPr>
                <w:rFonts w:ascii="Arial" w:eastAsia="Arial" w:hAnsi="Arial" w:cs="Arial"/>
                <w:noProof/>
                <w:color w:val="000000"/>
              </w:rPr>
            </w:pPr>
            <w:bookmarkStart w:id="196" w:name="DOC_TBL00086_1_1"/>
            <w:bookmarkEnd w:id="196"/>
          </w:p>
        </w:tc>
        <w:tc>
          <w:tcPr>
            <w:tcW w:w="1011" w:type="dxa"/>
            <w:tcBorders>
              <w:top w:val="nil"/>
              <w:left w:val="nil"/>
              <w:bottom w:val="nil"/>
              <w:right w:val="nil"/>
              <w:tl2br w:val="nil"/>
              <w:tr2bl w:val="nil"/>
            </w:tcBorders>
            <w:shd w:val="clear" w:color="auto" w:fill="auto"/>
            <w:tcMar>
              <w:left w:w="60" w:type="dxa"/>
              <w:right w:w="60" w:type="dxa"/>
            </w:tcMar>
            <w:vAlign w:val="bottom"/>
          </w:tcPr>
          <w:p>
            <w:pPr>
              <w:pStyle w:val="DMETW19868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pPr>
              <w:pStyle w:val="DMETW19868BIPCRCY"/>
              <w:rPr>
                <w:rFonts w:ascii="Arial" w:eastAsia="Arial" w:hAnsi="Arial" w:cs="Arial"/>
                <w:noProof/>
                <w:color w:val="000000"/>
              </w:rPr>
            </w:pPr>
          </w:p>
        </w:tc>
        <w:tc>
          <w:tcPr>
            <w:tcW w:w="815" w:type="dxa"/>
            <w:tcBorders>
              <w:top w:val="nil"/>
              <w:left w:val="nil"/>
              <w:bottom w:val="nil"/>
              <w:right w:val="nil"/>
              <w:tl2br w:val="nil"/>
              <w:tr2bl w:val="nil"/>
            </w:tcBorders>
            <w:shd w:val="clear" w:color="auto" w:fill="auto"/>
            <w:tcMar>
              <w:left w:w="60" w:type="dxa"/>
              <w:right w:w="60" w:type="dxa"/>
            </w:tcMar>
            <w:vAlign w:val="bottom"/>
          </w:tcPr>
          <w:p>
            <w:pPr>
              <w:pStyle w:val="DMETW19868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pPr>
              <w:pStyle w:val="DMETW19868BIPCRC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bottom"/>
          </w:tcPr>
          <w:p>
            <w:pPr>
              <w:pStyle w:val="DMETW19868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pPr>
              <w:pStyle w:val="DMETW19868BIPCRCY"/>
              <w:rPr>
                <w:rFonts w:ascii="Arial" w:eastAsia="Arial" w:hAnsi="Arial" w:cs="Arial"/>
                <w:noProof/>
                <w:color w:val="000000"/>
              </w:rPr>
            </w:pPr>
          </w:p>
        </w:tc>
        <w:tc>
          <w:tcPr>
            <w:tcW w:w="1076" w:type="dxa"/>
            <w:tcBorders>
              <w:top w:val="nil"/>
              <w:left w:val="nil"/>
              <w:bottom w:val="nil"/>
              <w:right w:val="nil"/>
              <w:tl2br w:val="nil"/>
              <w:tr2bl w:val="nil"/>
            </w:tcBorders>
            <w:shd w:val="clear" w:color="auto" w:fill="auto"/>
            <w:tcMar>
              <w:left w:w="60" w:type="dxa"/>
              <w:right w:w="60" w:type="dxa"/>
            </w:tcMar>
            <w:vAlign w:val="bottom"/>
          </w:tcPr>
          <w:p>
            <w:pPr>
              <w:pStyle w:val="DMETW19868BIPCRCY"/>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189" w:type="dxa"/>
            <w:tcBorders>
              <w:top w:val="nil"/>
              <w:left w:val="nil"/>
              <w:bottom w:val="nil"/>
              <w:right w:val="nil"/>
              <w:tl2br w:val="nil"/>
              <w:tr2bl w:val="nil"/>
            </w:tcBorders>
            <w:shd w:val="solid" w:color="016794" w:fill="FFFFFF"/>
            <w:tcMar>
              <w:left w:w="60" w:type="dxa"/>
              <w:right w:w="60" w:type="dxa"/>
            </w:tcMar>
            <w:vAlign w:val="center"/>
          </w:tcPr>
          <w:p>
            <w:pPr>
              <w:pStyle w:val="DMETW19868BIPCRCY"/>
              <w:jc w:val="right"/>
              <w:rPr>
                <w:rFonts w:ascii="Verdana" w:eastAsia="Verdana" w:hAnsi="Verdana" w:cs="Verdana"/>
                <w:noProof/>
                <w:color w:val="FFFFFF"/>
              </w:rPr>
            </w:pPr>
          </w:p>
        </w:tc>
        <w:tc>
          <w:tcPr>
            <w:tcW w:w="1011" w:type="dxa"/>
            <w:gridSpan w:val="7"/>
            <w:tcBorders>
              <w:top w:val="nil"/>
              <w:left w:val="nil"/>
              <w:bottom w:val="nil"/>
              <w:right w:val="nil"/>
              <w:tl2br w:val="nil"/>
              <w:tr2bl w:val="nil"/>
            </w:tcBorders>
            <w:shd w:val="solid" w:color="016794" w:fill="FFFFFF"/>
            <w:tcMar>
              <w:left w:w="60" w:type="dxa"/>
              <w:right w:w="60" w:type="dxa"/>
            </w:tcMar>
            <w:vAlign w:val="center"/>
          </w:tcPr>
          <w:p>
            <w:pPr>
              <w:pStyle w:val="DMETW19868BIPCRCY"/>
              <w:jc w:val="center"/>
              <w:rPr>
                <w:rFonts w:ascii="Verdana" w:eastAsia="Verdana" w:hAnsi="Verdana" w:cs="Verdana"/>
                <w:noProof/>
                <w:color w:val="FFFFFF"/>
              </w:rPr>
            </w:pPr>
            <w:r>
              <w:rPr>
                <w:rFonts w:ascii="Verdana" w:hAnsi="Verdana"/>
                <w:noProof/>
                <w:color w:val="FFFFFF"/>
              </w:rPr>
              <w:t>31.12.2020 г.</w:t>
            </w:r>
          </w:p>
        </w:tc>
      </w:tr>
      <w:tr>
        <w:trPr>
          <w:trHeight w:val="255"/>
        </w:trPr>
        <w:tc>
          <w:tcPr>
            <w:tcW w:w="3189" w:type="dxa"/>
            <w:tcBorders>
              <w:top w:val="nil"/>
              <w:left w:val="nil"/>
              <w:bottom w:val="nil"/>
              <w:right w:val="nil"/>
              <w:tl2br w:val="nil"/>
              <w:tr2bl w:val="nil"/>
            </w:tcBorders>
            <w:shd w:val="solid" w:color="016794" w:fill="FFFFFF"/>
            <w:tcMar>
              <w:left w:w="60" w:type="dxa"/>
              <w:right w:w="60" w:type="dxa"/>
            </w:tcMar>
            <w:vAlign w:val="center"/>
          </w:tcPr>
          <w:p>
            <w:pPr>
              <w:pStyle w:val="DMETW19868BIPCRCY"/>
              <w:jc w:val="right"/>
              <w:rPr>
                <w:rFonts w:ascii="Verdana" w:eastAsia="Verdana" w:hAnsi="Verdana" w:cs="Verdana"/>
                <w:noProof/>
                <w:color w:val="FFFFFF"/>
              </w:rPr>
            </w:pPr>
          </w:p>
        </w:tc>
        <w:tc>
          <w:tcPr>
            <w:tcW w:w="1011" w:type="dxa"/>
            <w:tcBorders>
              <w:top w:val="nil"/>
              <w:left w:val="nil"/>
              <w:bottom w:val="nil"/>
              <w:right w:val="nil"/>
              <w:tl2br w:val="nil"/>
              <w:tr2bl w:val="nil"/>
            </w:tcBorders>
            <w:shd w:val="solid" w:color="016794" w:fill="FFFFFF"/>
            <w:tcMar>
              <w:left w:w="60" w:type="dxa"/>
              <w:right w:w="60" w:type="dxa"/>
            </w:tcMar>
            <w:vAlign w:val="center"/>
          </w:tcPr>
          <w:p>
            <w:pPr>
              <w:pStyle w:val="DMETW19868BIPCRCY"/>
              <w:jc w:val="right"/>
              <w:rPr>
                <w:rFonts w:ascii="Verdana" w:eastAsia="Verdana" w:hAnsi="Verdana" w:cs="Verdana"/>
                <w:noProof/>
                <w:color w:val="FFFFFF"/>
              </w:rPr>
            </w:pPr>
            <w:r>
              <w:rPr>
                <w:rFonts w:ascii="Verdana" w:hAnsi="Verdana"/>
                <w:noProof/>
                <w:color w:val="FFFFFF"/>
              </w:rPr>
              <w:t>USD</w:t>
            </w:r>
          </w:p>
        </w:tc>
        <w:tc>
          <w:tcPr>
            <w:tcW w:w="880" w:type="dxa"/>
            <w:tcBorders>
              <w:top w:val="nil"/>
              <w:left w:val="nil"/>
              <w:bottom w:val="nil"/>
              <w:right w:val="nil"/>
              <w:tl2br w:val="nil"/>
              <w:tr2bl w:val="nil"/>
            </w:tcBorders>
            <w:shd w:val="solid" w:color="016794" w:fill="FFFFFF"/>
            <w:tcMar>
              <w:left w:w="60" w:type="dxa"/>
              <w:right w:w="60" w:type="dxa"/>
            </w:tcMar>
            <w:vAlign w:val="center"/>
          </w:tcPr>
          <w:p>
            <w:pPr>
              <w:pStyle w:val="DMETW19868BIPCRCY"/>
              <w:jc w:val="right"/>
              <w:rPr>
                <w:rFonts w:ascii="Verdana" w:eastAsia="Verdana" w:hAnsi="Verdana" w:cs="Verdana"/>
                <w:noProof/>
                <w:color w:val="FFFFFF"/>
              </w:rPr>
            </w:pPr>
            <w:r>
              <w:rPr>
                <w:rFonts w:ascii="Verdana" w:hAnsi="Verdana"/>
                <w:noProof/>
                <w:color w:val="FFFFFF"/>
              </w:rPr>
              <w:t>GBP</w:t>
            </w:r>
          </w:p>
        </w:tc>
        <w:tc>
          <w:tcPr>
            <w:tcW w:w="815" w:type="dxa"/>
            <w:tcBorders>
              <w:top w:val="nil"/>
              <w:left w:val="nil"/>
              <w:bottom w:val="nil"/>
              <w:right w:val="nil"/>
              <w:tl2br w:val="nil"/>
              <w:tr2bl w:val="nil"/>
            </w:tcBorders>
            <w:shd w:val="solid" w:color="016794" w:fill="FFFFFF"/>
            <w:tcMar>
              <w:left w:w="60" w:type="dxa"/>
              <w:right w:w="60" w:type="dxa"/>
            </w:tcMar>
            <w:vAlign w:val="center"/>
          </w:tcPr>
          <w:p>
            <w:pPr>
              <w:pStyle w:val="DMETW19868BIPCRCY"/>
              <w:jc w:val="right"/>
              <w:rPr>
                <w:rFonts w:ascii="Verdana" w:eastAsia="Verdana" w:hAnsi="Verdana" w:cs="Verdana"/>
                <w:noProof/>
                <w:color w:val="FFFFFF"/>
              </w:rPr>
            </w:pPr>
            <w:r>
              <w:rPr>
                <w:rFonts w:ascii="Verdana" w:hAnsi="Verdana"/>
                <w:noProof/>
                <w:color w:val="FFFFFF"/>
              </w:rPr>
              <w:t>DKK</w:t>
            </w:r>
          </w:p>
        </w:tc>
        <w:tc>
          <w:tcPr>
            <w:tcW w:w="880" w:type="dxa"/>
            <w:tcBorders>
              <w:top w:val="nil"/>
              <w:left w:val="nil"/>
              <w:bottom w:val="nil"/>
              <w:right w:val="nil"/>
              <w:tl2br w:val="nil"/>
              <w:tr2bl w:val="nil"/>
            </w:tcBorders>
            <w:shd w:val="solid" w:color="016794" w:fill="FFFFFF"/>
            <w:tcMar>
              <w:left w:w="60" w:type="dxa"/>
              <w:right w:w="60" w:type="dxa"/>
            </w:tcMar>
            <w:vAlign w:val="center"/>
          </w:tcPr>
          <w:p>
            <w:pPr>
              <w:pStyle w:val="DMETW19868BIPCRCY"/>
              <w:jc w:val="right"/>
              <w:rPr>
                <w:rFonts w:ascii="Verdana" w:eastAsia="Verdana" w:hAnsi="Verdana" w:cs="Verdana"/>
                <w:noProof/>
                <w:color w:val="FFFFFF"/>
              </w:rPr>
            </w:pPr>
            <w:r>
              <w:rPr>
                <w:rFonts w:ascii="Verdana" w:hAnsi="Verdana"/>
                <w:noProof/>
                <w:color w:val="FFFFFF"/>
              </w:rPr>
              <w:t>SEK</w:t>
            </w:r>
          </w:p>
        </w:tc>
        <w:tc>
          <w:tcPr>
            <w:tcW w:w="1027" w:type="dxa"/>
            <w:tcBorders>
              <w:top w:val="nil"/>
              <w:left w:val="nil"/>
              <w:bottom w:val="nil"/>
              <w:right w:val="nil"/>
              <w:tl2br w:val="nil"/>
              <w:tr2bl w:val="nil"/>
            </w:tcBorders>
            <w:shd w:val="solid" w:color="016794" w:fill="FFFFFF"/>
            <w:tcMar>
              <w:left w:w="60" w:type="dxa"/>
              <w:right w:w="60" w:type="dxa"/>
            </w:tcMar>
            <w:vAlign w:val="center"/>
          </w:tcPr>
          <w:p>
            <w:pPr>
              <w:pStyle w:val="DMETW19868BIPCRCY"/>
              <w:jc w:val="right"/>
              <w:rPr>
                <w:rFonts w:ascii="Verdana" w:eastAsia="Verdana" w:hAnsi="Verdana" w:cs="Verdana"/>
                <w:noProof/>
                <w:color w:val="FFFFFF"/>
              </w:rPr>
            </w:pPr>
            <w:r>
              <w:rPr>
                <w:rFonts w:ascii="Verdana" w:hAnsi="Verdana"/>
                <w:noProof/>
                <w:color w:val="FFFFFF"/>
              </w:rPr>
              <w:t>EUR</w:t>
            </w:r>
          </w:p>
        </w:tc>
        <w:tc>
          <w:tcPr>
            <w:tcW w:w="880" w:type="dxa"/>
            <w:tcBorders>
              <w:top w:val="nil"/>
              <w:left w:val="nil"/>
              <w:bottom w:val="nil"/>
              <w:right w:val="nil"/>
              <w:tl2br w:val="nil"/>
              <w:tr2bl w:val="nil"/>
            </w:tcBorders>
            <w:shd w:val="solid" w:color="016794" w:fill="FFFFFF"/>
            <w:tcMar>
              <w:left w:w="60" w:type="dxa"/>
              <w:right w:w="60" w:type="dxa"/>
            </w:tcMar>
            <w:vAlign w:val="center"/>
          </w:tcPr>
          <w:p>
            <w:pPr>
              <w:pStyle w:val="DMETW19868BIPCRCY"/>
              <w:jc w:val="right"/>
              <w:rPr>
                <w:rFonts w:ascii="Verdana" w:eastAsia="Verdana" w:hAnsi="Verdana" w:cs="Verdana"/>
                <w:noProof/>
                <w:color w:val="FFFFFF"/>
              </w:rPr>
            </w:pPr>
            <w:r>
              <w:rPr>
                <w:rFonts w:ascii="Verdana" w:hAnsi="Verdana"/>
                <w:noProof/>
                <w:color w:val="FFFFFF"/>
              </w:rPr>
              <w:t>Други</w:t>
            </w:r>
          </w:p>
        </w:tc>
        <w:tc>
          <w:tcPr>
            <w:tcW w:w="1076" w:type="dxa"/>
            <w:tcBorders>
              <w:top w:val="nil"/>
              <w:left w:val="nil"/>
              <w:bottom w:val="nil"/>
              <w:right w:val="nil"/>
              <w:tl2br w:val="nil"/>
              <w:tr2bl w:val="nil"/>
            </w:tcBorders>
            <w:shd w:val="solid" w:color="016794" w:fill="FFFFFF"/>
            <w:tcMar>
              <w:left w:w="60" w:type="dxa"/>
              <w:right w:w="60" w:type="dxa"/>
            </w:tcMar>
            <w:vAlign w:val="center"/>
          </w:tcPr>
          <w:p>
            <w:pPr>
              <w:pStyle w:val="DMETW19868BIPCRCY"/>
              <w:jc w:val="right"/>
              <w:rPr>
                <w:rFonts w:ascii="Verdana" w:eastAsia="Verdana" w:hAnsi="Verdana" w:cs="Verdana"/>
                <w:noProof/>
                <w:color w:val="FFFFFF"/>
              </w:rPr>
            </w:pPr>
            <w:r>
              <w:rPr>
                <w:rFonts w:ascii="Verdana" w:hAnsi="Verdana"/>
                <w:noProof/>
                <w:color w:val="FFFFFF"/>
              </w:rPr>
              <w:t>Общо</w:t>
            </w:r>
          </w:p>
        </w:tc>
      </w:tr>
      <w:tr>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Verdana" w:eastAsia="Verdana" w:hAnsi="Verdana" w:cs="Verdana"/>
                <w:b/>
                <w:noProof/>
                <w:color w:val="000000"/>
                <w:sz w:val="18"/>
              </w:rPr>
            </w:pPr>
            <w:r>
              <w:rPr>
                <w:rFonts w:ascii="Verdana" w:hAnsi="Verdana"/>
                <w:b/>
                <w:noProof/>
                <w:color w:val="000000"/>
                <w:sz w:val="18"/>
              </w:rPr>
              <w:t>Финансови активи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815"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lang w:bidi="en-GB"/>
              </w:rPr>
            </w:pPr>
          </w:p>
        </w:tc>
      </w:tr>
      <w:tr>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Verdana" w:eastAsia="Verdana" w:hAnsi="Verdana" w:cs="Verdana"/>
                <w:i/>
                <w:noProof/>
                <w:color w:val="000000"/>
                <w:sz w:val="18"/>
              </w:rPr>
            </w:pPr>
            <w:r>
              <w:rPr>
                <w:rFonts w:ascii="Verdana" w:hAnsi="Verdana"/>
                <w:i/>
                <w:noProof/>
                <w:color w:val="000000"/>
                <w:sz w:val="18"/>
              </w:rPr>
              <w:t>Финансови активи, обявени за продажба</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593</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42</w:t>
            </w:r>
          </w:p>
        </w:tc>
        <w:tc>
          <w:tcPr>
            <w:tcW w:w="815"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15</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14</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18 904</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20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19 587</w:t>
            </w:r>
          </w:p>
        </w:tc>
      </w:tr>
      <w:tr>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(417)</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w:t>
            </w:r>
          </w:p>
        </w:tc>
        <w:tc>
          <w:tcPr>
            <w:tcW w:w="815"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616</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199</w:t>
            </w:r>
          </w:p>
        </w:tc>
      </w:tr>
      <w:tr>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Verdana" w:eastAsia="Verdana" w:hAnsi="Verdana" w:cs="Verdana"/>
                <w:i/>
                <w:noProof/>
                <w:color w:val="000000"/>
                <w:sz w:val="18"/>
              </w:rPr>
            </w:pPr>
            <w:r>
              <w:rPr>
                <w:rFonts w:ascii="Verdana" w:hAnsi="Verdana"/>
                <w:i/>
                <w:noProof/>
                <w:color w:val="000000"/>
                <w:sz w:val="18"/>
              </w:rPr>
              <w:t>Заеми*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21</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40</w:t>
            </w:r>
          </w:p>
        </w:tc>
        <w:tc>
          <w:tcPr>
            <w:tcW w:w="815"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46</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9</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116</w:t>
            </w:r>
          </w:p>
        </w:tc>
      </w:tr>
      <w:tr>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Verdana" w:eastAsia="Verdana" w:hAnsi="Verdana" w:cs="Verdana"/>
                <w:i/>
                <w:noProof/>
                <w:color w:val="000000"/>
                <w:sz w:val="18"/>
              </w:rPr>
            </w:pPr>
            <w:r>
              <w:rPr>
                <w:rFonts w:ascii="Verdana" w:hAnsi="Verdana"/>
                <w:i/>
                <w:noProof/>
                <w:color w:val="000000"/>
                <w:sz w:val="18"/>
              </w:rPr>
              <w:t>Вземания и средства, подлежащи на събиране</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22</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1 208</w:t>
            </w:r>
          </w:p>
        </w:tc>
        <w:tc>
          <w:tcPr>
            <w:tcW w:w="815"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116</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176</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72 233</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738</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74 493</w:t>
            </w:r>
          </w:p>
        </w:tc>
      </w:tr>
      <w:tr>
        <w:trPr>
          <w:trHeight w:val="255"/>
        </w:trPr>
        <w:tc>
          <w:tcPr>
            <w:tcW w:w="318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rPr>
                <w:rFonts w:ascii="Verdana" w:eastAsia="Verdana" w:hAnsi="Verdana" w:cs="Verdana"/>
                <w:i/>
                <w:noProof/>
                <w:color w:val="000000"/>
                <w:sz w:val="18"/>
              </w:rPr>
            </w:pPr>
            <w:r>
              <w:rPr>
                <w:rFonts w:ascii="Verdana" w:hAnsi="Verdana"/>
                <w:i/>
                <w:noProof/>
                <w:color w:val="000000"/>
                <w:sz w:val="18"/>
              </w:rPr>
              <w:t>Пари и парични еквиваленти</w:t>
            </w:r>
          </w:p>
        </w:tc>
        <w:tc>
          <w:tcPr>
            <w:tcW w:w="101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115</w:t>
            </w:r>
          </w:p>
        </w:tc>
        <w:tc>
          <w:tcPr>
            <w:tcW w:w="88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64</w:t>
            </w:r>
          </w:p>
        </w:tc>
        <w:tc>
          <w:tcPr>
            <w:tcW w:w="81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178</w:t>
            </w:r>
          </w:p>
        </w:tc>
        <w:tc>
          <w:tcPr>
            <w:tcW w:w="88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367</w:t>
            </w:r>
          </w:p>
        </w:tc>
        <w:tc>
          <w:tcPr>
            <w:tcW w:w="1027"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14 429</w:t>
            </w:r>
          </w:p>
        </w:tc>
        <w:tc>
          <w:tcPr>
            <w:tcW w:w="88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1 589</w:t>
            </w:r>
          </w:p>
        </w:tc>
        <w:tc>
          <w:tcPr>
            <w:tcW w:w="10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16 742</w:t>
            </w:r>
          </w:p>
        </w:tc>
      </w:tr>
      <w:tr>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 xml:space="preserve"> 334</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1 353</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 xml:space="preserve"> 310</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 xml:space="preserve"> 557</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106 228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2 356</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111 137</w:t>
            </w:r>
          </w:p>
        </w:tc>
      </w:tr>
      <w:tr>
        <w:trPr>
          <w:trHeight w:val="255"/>
        </w:trPr>
        <w:tc>
          <w:tcPr>
            <w:tcW w:w="318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CY"/>
              <w:rPr>
                <w:rFonts w:ascii="Verdana" w:eastAsia="Verdana" w:hAnsi="Verdana" w:cs="Verdana"/>
                <w:b/>
                <w:noProof/>
                <w:color w:val="000000"/>
                <w:sz w:val="18"/>
              </w:rPr>
            </w:pPr>
            <w:r>
              <w:rPr>
                <w:rFonts w:ascii="Verdana" w:hAnsi="Verdana"/>
                <w:b/>
                <w:noProof/>
                <w:color w:val="000000"/>
                <w:sz w:val="18"/>
              </w:rPr>
              <w:t>Финансови пасиви</w:t>
            </w:r>
          </w:p>
        </w:tc>
        <w:tc>
          <w:tcPr>
            <w:tcW w:w="1011"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88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815"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88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102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88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rPr>
            </w:pPr>
          </w:p>
        </w:tc>
        <w:tc>
          <w:tcPr>
            <w:tcW w:w="10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CY"/>
              <w:rPr>
                <w:rFonts w:ascii="Arial" w:eastAsia="Arial" w:hAnsi="Arial" w:cs="Arial"/>
                <w:noProof/>
                <w:color w:val="000000"/>
                <w:lang w:bidi="en-GB"/>
              </w:rPr>
            </w:pPr>
          </w:p>
        </w:tc>
      </w:tr>
      <w:tr>
        <w:trPr>
          <w:trHeight w:val="255"/>
        </w:trPr>
        <w:tc>
          <w:tcPr>
            <w:tcW w:w="3189" w:type="dxa"/>
            <w:tcBorders>
              <w:top w:val="nil"/>
              <w:left w:val="nil"/>
              <w:bottom w:val="nil"/>
              <w:right w:val="nil"/>
              <w:tl2br w:val="nil"/>
              <w:tr2bl w:val="nil"/>
            </w:tcBorders>
            <w:shd w:val="clear" w:color="auto" w:fill="auto"/>
            <w:tcMar>
              <w:left w:w="60" w:type="dxa"/>
              <w:right w:w="60" w:type="dxa"/>
            </w:tcMar>
            <w:vAlign w:val="center"/>
          </w:tcPr>
          <w:p>
            <w:pPr>
              <w:pStyle w:val="DMETW19868BIPCRCY"/>
              <w:rPr>
                <w:rFonts w:ascii="Verdana" w:eastAsia="Verdana" w:hAnsi="Verdana" w:cs="Verdana"/>
                <w:i/>
                <w:noProof/>
                <w:color w:val="000000"/>
                <w:sz w:val="18"/>
              </w:rPr>
            </w:pPr>
            <w:r>
              <w:rPr>
                <w:rFonts w:ascii="Verdana" w:hAnsi="Verdana"/>
                <w:i/>
                <w:noProof/>
                <w:color w:val="000000"/>
                <w:sz w:val="18"/>
              </w:rPr>
              <w:t>Финансови пасиви по справедлива стойност чрез излишъка или дефицита</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w:t>
            </w:r>
          </w:p>
        </w:tc>
        <w:tc>
          <w:tcPr>
            <w:tcW w:w="815"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(4)</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318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rPr>
                <w:rFonts w:ascii="Verdana" w:eastAsia="Verdana" w:hAnsi="Verdana" w:cs="Verdana"/>
                <w:i/>
                <w:noProof/>
                <w:color w:val="000000"/>
                <w:sz w:val="18"/>
              </w:rPr>
            </w:pPr>
            <w:r>
              <w:rPr>
                <w:rFonts w:ascii="Verdana" w:hAnsi="Verdana"/>
                <w:i/>
                <w:noProof/>
                <w:color w:val="000000"/>
                <w:sz w:val="18"/>
              </w:rPr>
              <w:t>Задължения</w:t>
            </w:r>
          </w:p>
        </w:tc>
        <w:tc>
          <w:tcPr>
            <w:tcW w:w="101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(3)</w:t>
            </w:r>
          </w:p>
        </w:tc>
        <w:tc>
          <w:tcPr>
            <w:tcW w:w="88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(0)</w:t>
            </w:r>
          </w:p>
        </w:tc>
        <w:tc>
          <w:tcPr>
            <w:tcW w:w="81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(19)</w:t>
            </w:r>
          </w:p>
        </w:tc>
        <w:tc>
          <w:tcPr>
            <w:tcW w:w="88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w:t>
            </w:r>
          </w:p>
        </w:tc>
        <w:tc>
          <w:tcPr>
            <w:tcW w:w="1027"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(32 366)</w:t>
            </w:r>
          </w:p>
        </w:tc>
        <w:tc>
          <w:tcPr>
            <w:tcW w:w="88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 xml:space="preserve"> (19)</w:t>
            </w:r>
          </w:p>
        </w:tc>
        <w:tc>
          <w:tcPr>
            <w:tcW w:w="10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i/>
                <w:noProof/>
                <w:color w:val="000000"/>
                <w:sz w:val="18"/>
              </w:rPr>
            </w:pPr>
            <w:r>
              <w:rPr>
                <w:rFonts w:ascii="Verdana" w:hAnsi="Verdana"/>
                <w:i/>
                <w:noProof/>
                <w:color w:val="000000"/>
                <w:sz w:val="18"/>
              </w:rPr>
              <w:t>(32 408)</w:t>
            </w:r>
          </w:p>
        </w:tc>
      </w:tr>
      <w:tr>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 xml:space="preserve"> (3)</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 xml:space="preserve"> (0)</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 xml:space="preserve"> (19)</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 xml:space="preserve"> (1)</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(32 367)</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 xml:space="preserve"> (22)</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(32 412)</w:t>
            </w:r>
          </w:p>
        </w:tc>
      </w:tr>
      <w:tr>
        <w:trPr>
          <w:trHeight w:val="255"/>
        </w:trPr>
        <w:tc>
          <w:tcPr>
            <w:tcW w:w="31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rPr>
                <w:rFonts w:ascii="Verdana" w:eastAsia="Verdana" w:hAnsi="Verdana" w:cs="Verdana"/>
                <w:b/>
                <w:noProof/>
                <w:color w:val="000000"/>
                <w:sz w:val="18"/>
              </w:rPr>
            </w:pPr>
            <w:r>
              <w:rPr>
                <w:rFonts w:ascii="Verdana" w:hAnsi="Verdana"/>
                <w:b/>
                <w:noProof/>
                <w:color w:val="000000"/>
                <w:sz w:val="18"/>
              </w:rPr>
              <w:t>Общо</w:t>
            </w:r>
          </w:p>
        </w:tc>
        <w:tc>
          <w:tcPr>
            <w:tcW w:w="10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 xml:space="preserve"> 331</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1 353</w:t>
            </w:r>
          </w:p>
        </w:tc>
        <w:tc>
          <w:tcPr>
            <w:tcW w:w="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 xml:space="preserve"> 291</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 xml:space="preserve"> 556</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73 861</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2 333</w:t>
            </w:r>
          </w:p>
        </w:tc>
        <w:tc>
          <w:tcPr>
            <w:tcW w:w="10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CY"/>
              <w:jc w:val="right"/>
              <w:rPr>
                <w:rFonts w:ascii="Verdana" w:eastAsia="Verdana" w:hAnsi="Verdana" w:cs="Verdana"/>
                <w:b/>
                <w:noProof/>
                <w:color w:val="000000"/>
                <w:sz w:val="18"/>
              </w:rPr>
            </w:pPr>
            <w:r>
              <w:rPr>
                <w:rFonts w:ascii="Verdana" w:hAnsi="Verdana"/>
                <w:b/>
                <w:noProof/>
                <w:color w:val="000000"/>
                <w:sz w:val="18"/>
              </w:rPr>
              <w:t>78 725</w:t>
            </w:r>
          </w:p>
        </w:tc>
      </w:tr>
    </w:tbl>
    <w:p>
      <w:pPr>
        <w:pStyle w:val="Textstand-alone"/>
        <w:spacing w:before="60" w:after="0"/>
        <w:rPr>
          <w:i/>
          <w:sz w:val="14"/>
        </w:rPr>
      </w:pPr>
      <w:r>
        <w:rPr>
          <w:i/>
          <w:sz w:val="14"/>
        </w:rPr>
        <w:t>* Без заемите „бек-ту-бек“ за финансова помощ.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009"/>
        <w:gridCol w:w="879"/>
        <w:gridCol w:w="817"/>
        <w:gridCol w:w="880"/>
        <w:gridCol w:w="1027"/>
        <w:gridCol w:w="880"/>
        <w:gridCol w:w="1078"/>
      </w:tblGrid>
      <w:tr>
        <w:trPr>
          <w:trHeight w:val="255"/>
        </w:trPr>
        <w:tc>
          <w:tcPr>
            <w:tcW w:w="3188" w:type="dxa"/>
            <w:tcBorders>
              <w:top w:val="nil"/>
              <w:left w:val="nil"/>
              <w:bottom w:val="nil"/>
              <w:right w:val="nil"/>
              <w:tl2br w:val="nil"/>
              <w:tr2bl w:val="nil"/>
            </w:tcBorders>
            <w:shd w:val="clear" w:color="auto" w:fill="auto"/>
            <w:tcMar>
              <w:left w:w="60" w:type="dxa"/>
              <w:right w:w="60" w:type="dxa"/>
            </w:tcMar>
            <w:vAlign w:val="bottom"/>
          </w:tcPr>
          <w:p>
            <w:pPr>
              <w:pStyle w:val="DMETW19868BIPCRPY"/>
              <w:rPr>
                <w:rFonts w:ascii="Arial" w:eastAsia="Arial" w:hAnsi="Arial" w:cs="Arial"/>
                <w:noProof/>
                <w:color w:val="000000"/>
              </w:rPr>
            </w:pPr>
            <w:bookmarkStart w:id="197" w:name="DOC_TBL00087_1_1"/>
            <w:bookmarkEnd w:id="197"/>
          </w:p>
        </w:tc>
        <w:tc>
          <w:tcPr>
            <w:tcW w:w="1009" w:type="dxa"/>
            <w:tcBorders>
              <w:top w:val="nil"/>
              <w:left w:val="nil"/>
              <w:bottom w:val="nil"/>
              <w:right w:val="nil"/>
              <w:tl2br w:val="nil"/>
              <w:tr2bl w:val="nil"/>
            </w:tcBorders>
            <w:shd w:val="clear" w:color="auto" w:fill="auto"/>
            <w:tcMar>
              <w:left w:w="60" w:type="dxa"/>
              <w:right w:w="60" w:type="dxa"/>
            </w:tcMar>
            <w:vAlign w:val="bottom"/>
          </w:tcPr>
          <w:p>
            <w:pPr>
              <w:pStyle w:val="DMETW19868BIPCRPY"/>
              <w:rPr>
                <w:rFonts w:ascii="Arial" w:eastAsia="Arial" w:hAnsi="Arial" w:cs="Arial"/>
                <w:noProof/>
                <w:color w:val="000000"/>
              </w:rPr>
            </w:pPr>
          </w:p>
        </w:tc>
        <w:tc>
          <w:tcPr>
            <w:tcW w:w="879" w:type="dxa"/>
            <w:tcBorders>
              <w:top w:val="nil"/>
              <w:left w:val="nil"/>
              <w:bottom w:val="nil"/>
              <w:right w:val="nil"/>
              <w:tl2br w:val="nil"/>
              <w:tr2bl w:val="nil"/>
            </w:tcBorders>
            <w:shd w:val="clear" w:color="auto" w:fill="auto"/>
            <w:tcMar>
              <w:left w:w="60" w:type="dxa"/>
              <w:right w:w="60" w:type="dxa"/>
            </w:tcMar>
            <w:vAlign w:val="bottom"/>
          </w:tcPr>
          <w:p>
            <w:pPr>
              <w:pStyle w:val="DMETW19868BIPCRPY"/>
              <w:rPr>
                <w:rFonts w:ascii="Arial" w:eastAsia="Arial" w:hAnsi="Arial" w:cs="Arial"/>
                <w:noProof/>
                <w:color w:val="000000"/>
              </w:rPr>
            </w:pPr>
          </w:p>
        </w:tc>
        <w:tc>
          <w:tcPr>
            <w:tcW w:w="817" w:type="dxa"/>
            <w:tcBorders>
              <w:top w:val="nil"/>
              <w:left w:val="nil"/>
              <w:bottom w:val="nil"/>
              <w:right w:val="nil"/>
              <w:tl2br w:val="nil"/>
              <w:tr2bl w:val="nil"/>
            </w:tcBorders>
            <w:shd w:val="clear" w:color="auto" w:fill="auto"/>
            <w:tcMar>
              <w:left w:w="60" w:type="dxa"/>
              <w:right w:w="60" w:type="dxa"/>
            </w:tcMar>
            <w:vAlign w:val="bottom"/>
          </w:tcPr>
          <w:p>
            <w:pPr>
              <w:pStyle w:val="DMETW19868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pPr>
              <w:pStyle w:val="DMETW19868BIPCRP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bottom"/>
          </w:tcPr>
          <w:p>
            <w:pPr>
              <w:pStyle w:val="DMETW19868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bottom"/>
          </w:tcPr>
          <w:p>
            <w:pPr>
              <w:pStyle w:val="DMETW19868BIPCRPY"/>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bottom"/>
          </w:tcPr>
          <w:p>
            <w:pPr>
              <w:pStyle w:val="DMETW19868BIPCRPY"/>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188" w:type="dxa"/>
            <w:tcBorders>
              <w:top w:val="nil"/>
              <w:left w:val="nil"/>
              <w:bottom w:val="nil"/>
              <w:right w:val="nil"/>
              <w:tl2br w:val="nil"/>
              <w:tr2bl w:val="nil"/>
            </w:tcBorders>
            <w:shd w:val="solid" w:color="016794" w:fill="FFFFFF"/>
            <w:tcMar>
              <w:left w:w="60" w:type="dxa"/>
              <w:right w:w="60" w:type="dxa"/>
            </w:tcMar>
            <w:vAlign w:val="center"/>
          </w:tcPr>
          <w:p>
            <w:pPr>
              <w:pStyle w:val="DMETW19868BIPCRPY"/>
              <w:jc w:val="right"/>
              <w:rPr>
                <w:rFonts w:ascii="Verdana" w:eastAsia="Verdana" w:hAnsi="Verdana" w:cs="Verdana"/>
                <w:noProof/>
                <w:color w:val="FFFFFF"/>
              </w:rPr>
            </w:pPr>
          </w:p>
        </w:tc>
        <w:tc>
          <w:tcPr>
            <w:tcW w:w="1009" w:type="dxa"/>
            <w:gridSpan w:val="7"/>
            <w:tcBorders>
              <w:top w:val="nil"/>
              <w:left w:val="nil"/>
              <w:bottom w:val="nil"/>
              <w:right w:val="nil"/>
              <w:tl2br w:val="nil"/>
              <w:tr2bl w:val="nil"/>
            </w:tcBorders>
            <w:shd w:val="solid" w:color="016794" w:fill="FFFFFF"/>
            <w:tcMar>
              <w:left w:w="60" w:type="dxa"/>
              <w:right w:w="60" w:type="dxa"/>
            </w:tcMar>
            <w:vAlign w:val="center"/>
          </w:tcPr>
          <w:p>
            <w:pPr>
              <w:pStyle w:val="DMETW19868BIPCRPY"/>
              <w:jc w:val="center"/>
              <w:rPr>
                <w:rFonts w:ascii="Verdana" w:eastAsia="Verdana" w:hAnsi="Verdana" w:cs="Verdana"/>
                <w:noProof/>
                <w:color w:val="FFFFFF"/>
              </w:rPr>
            </w:pPr>
            <w:r>
              <w:rPr>
                <w:rFonts w:ascii="Verdana" w:hAnsi="Verdana"/>
                <w:noProof/>
                <w:color w:val="FFFFFF"/>
              </w:rPr>
              <w:t>31.12.2019 г.</w:t>
            </w:r>
          </w:p>
        </w:tc>
      </w:tr>
      <w:tr>
        <w:trPr>
          <w:trHeight w:val="255"/>
        </w:trPr>
        <w:tc>
          <w:tcPr>
            <w:tcW w:w="3188" w:type="dxa"/>
            <w:tcBorders>
              <w:top w:val="nil"/>
              <w:left w:val="nil"/>
              <w:bottom w:val="nil"/>
              <w:right w:val="nil"/>
              <w:tl2br w:val="nil"/>
              <w:tr2bl w:val="nil"/>
            </w:tcBorders>
            <w:shd w:val="solid" w:color="016794" w:fill="FFFFFF"/>
            <w:tcMar>
              <w:left w:w="60" w:type="dxa"/>
              <w:right w:w="60" w:type="dxa"/>
            </w:tcMar>
            <w:vAlign w:val="center"/>
          </w:tcPr>
          <w:p>
            <w:pPr>
              <w:pStyle w:val="DMETW19868BIPCRPY"/>
              <w:jc w:val="right"/>
              <w:rPr>
                <w:rFonts w:ascii="Verdana" w:eastAsia="Verdana" w:hAnsi="Verdana" w:cs="Verdana"/>
                <w:noProof/>
                <w:color w:val="FFFFFF"/>
              </w:rPr>
            </w:pPr>
          </w:p>
        </w:tc>
        <w:tc>
          <w:tcPr>
            <w:tcW w:w="1009" w:type="dxa"/>
            <w:tcBorders>
              <w:top w:val="nil"/>
              <w:left w:val="nil"/>
              <w:bottom w:val="nil"/>
              <w:right w:val="nil"/>
              <w:tl2br w:val="nil"/>
              <w:tr2bl w:val="nil"/>
            </w:tcBorders>
            <w:shd w:val="solid" w:color="016794" w:fill="FFFFFF"/>
            <w:tcMar>
              <w:left w:w="60" w:type="dxa"/>
              <w:right w:w="60" w:type="dxa"/>
            </w:tcMar>
            <w:vAlign w:val="center"/>
          </w:tcPr>
          <w:p>
            <w:pPr>
              <w:pStyle w:val="DMETW19868BIPCRPY"/>
              <w:jc w:val="right"/>
              <w:rPr>
                <w:rFonts w:ascii="Verdana" w:eastAsia="Verdana" w:hAnsi="Verdana" w:cs="Verdana"/>
                <w:noProof/>
                <w:color w:val="FFFFFF"/>
              </w:rPr>
            </w:pPr>
            <w:r>
              <w:rPr>
                <w:rFonts w:ascii="Verdana" w:hAnsi="Verdana"/>
                <w:noProof/>
                <w:color w:val="FFFFFF"/>
              </w:rPr>
              <w:t>USD</w:t>
            </w:r>
          </w:p>
        </w:tc>
        <w:tc>
          <w:tcPr>
            <w:tcW w:w="879" w:type="dxa"/>
            <w:tcBorders>
              <w:top w:val="nil"/>
              <w:left w:val="nil"/>
              <w:bottom w:val="nil"/>
              <w:right w:val="nil"/>
              <w:tl2br w:val="nil"/>
              <w:tr2bl w:val="nil"/>
            </w:tcBorders>
            <w:shd w:val="solid" w:color="016794" w:fill="FFFFFF"/>
            <w:tcMar>
              <w:left w:w="60" w:type="dxa"/>
              <w:right w:w="60" w:type="dxa"/>
            </w:tcMar>
            <w:vAlign w:val="center"/>
          </w:tcPr>
          <w:p>
            <w:pPr>
              <w:pStyle w:val="DMETW19868BIPCRPY"/>
              <w:jc w:val="right"/>
              <w:rPr>
                <w:rFonts w:ascii="Verdana" w:eastAsia="Verdana" w:hAnsi="Verdana" w:cs="Verdana"/>
                <w:noProof/>
                <w:color w:val="FFFFFF"/>
              </w:rPr>
            </w:pPr>
            <w:r>
              <w:rPr>
                <w:rFonts w:ascii="Verdana" w:hAnsi="Verdana"/>
                <w:noProof/>
                <w:color w:val="FFFFFF"/>
              </w:rPr>
              <w:t>GBP</w:t>
            </w:r>
          </w:p>
        </w:tc>
        <w:tc>
          <w:tcPr>
            <w:tcW w:w="817" w:type="dxa"/>
            <w:tcBorders>
              <w:top w:val="nil"/>
              <w:left w:val="nil"/>
              <w:bottom w:val="nil"/>
              <w:right w:val="nil"/>
              <w:tl2br w:val="nil"/>
              <w:tr2bl w:val="nil"/>
            </w:tcBorders>
            <w:shd w:val="solid" w:color="016794" w:fill="FFFFFF"/>
            <w:tcMar>
              <w:left w:w="60" w:type="dxa"/>
              <w:right w:w="60" w:type="dxa"/>
            </w:tcMar>
            <w:vAlign w:val="center"/>
          </w:tcPr>
          <w:p>
            <w:pPr>
              <w:pStyle w:val="DMETW19868BIPCRPY"/>
              <w:jc w:val="right"/>
              <w:rPr>
                <w:rFonts w:ascii="Verdana" w:eastAsia="Verdana" w:hAnsi="Verdana" w:cs="Verdana"/>
                <w:noProof/>
                <w:color w:val="FFFFFF"/>
              </w:rPr>
            </w:pPr>
            <w:r>
              <w:rPr>
                <w:rFonts w:ascii="Verdana" w:hAnsi="Verdana"/>
                <w:noProof/>
                <w:color w:val="FFFFFF"/>
              </w:rPr>
              <w:t>DKK</w:t>
            </w:r>
          </w:p>
        </w:tc>
        <w:tc>
          <w:tcPr>
            <w:tcW w:w="880" w:type="dxa"/>
            <w:tcBorders>
              <w:top w:val="nil"/>
              <w:left w:val="nil"/>
              <w:bottom w:val="nil"/>
              <w:right w:val="nil"/>
              <w:tl2br w:val="nil"/>
              <w:tr2bl w:val="nil"/>
            </w:tcBorders>
            <w:shd w:val="solid" w:color="016794" w:fill="FFFFFF"/>
            <w:tcMar>
              <w:left w:w="60" w:type="dxa"/>
              <w:right w:w="60" w:type="dxa"/>
            </w:tcMar>
            <w:vAlign w:val="center"/>
          </w:tcPr>
          <w:p>
            <w:pPr>
              <w:pStyle w:val="DMETW19868BIPCRPY"/>
              <w:jc w:val="right"/>
              <w:rPr>
                <w:rFonts w:ascii="Verdana" w:eastAsia="Verdana" w:hAnsi="Verdana" w:cs="Verdana"/>
                <w:noProof/>
                <w:color w:val="FFFFFF"/>
              </w:rPr>
            </w:pPr>
            <w:r>
              <w:rPr>
                <w:rFonts w:ascii="Verdana" w:hAnsi="Verdana"/>
                <w:noProof/>
                <w:color w:val="FFFFFF"/>
              </w:rPr>
              <w:t>SEK</w:t>
            </w:r>
          </w:p>
        </w:tc>
        <w:tc>
          <w:tcPr>
            <w:tcW w:w="1027" w:type="dxa"/>
            <w:tcBorders>
              <w:top w:val="nil"/>
              <w:left w:val="nil"/>
              <w:bottom w:val="nil"/>
              <w:right w:val="nil"/>
              <w:tl2br w:val="nil"/>
              <w:tr2bl w:val="nil"/>
            </w:tcBorders>
            <w:shd w:val="solid" w:color="016794" w:fill="FFFFFF"/>
            <w:tcMar>
              <w:left w:w="60" w:type="dxa"/>
              <w:right w:w="60" w:type="dxa"/>
            </w:tcMar>
            <w:vAlign w:val="center"/>
          </w:tcPr>
          <w:p>
            <w:pPr>
              <w:pStyle w:val="DMETW19868BIPCRPY"/>
              <w:jc w:val="right"/>
              <w:rPr>
                <w:rFonts w:ascii="Verdana" w:eastAsia="Verdana" w:hAnsi="Verdana" w:cs="Verdana"/>
                <w:noProof/>
                <w:color w:val="FFFFFF"/>
              </w:rPr>
            </w:pPr>
            <w:r>
              <w:rPr>
                <w:rFonts w:ascii="Verdana" w:hAnsi="Verdana"/>
                <w:noProof/>
                <w:color w:val="FFFFFF"/>
              </w:rPr>
              <w:t>EUR</w:t>
            </w:r>
          </w:p>
        </w:tc>
        <w:tc>
          <w:tcPr>
            <w:tcW w:w="880" w:type="dxa"/>
            <w:tcBorders>
              <w:top w:val="nil"/>
              <w:left w:val="nil"/>
              <w:bottom w:val="nil"/>
              <w:right w:val="nil"/>
              <w:tl2br w:val="nil"/>
              <w:tr2bl w:val="nil"/>
            </w:tcBorders>
            <w:shd w:val="solid" w:color="016794" w:fill="FFFFFF"/>
            <w:tcMar>
              <w:left w:w="60" w:type="dxa"/>
              <w:right w:w="60" w:type="dxa"/>
            </w:tcMar>
            <w:vAlign w:val="center"/>
          </w:tcPr>
          <w:p>
            <w:pPr>
              <w:pStyle w:val="DMETW19868BIPCRPY"/>
              <w:jc w:val="right"/>
              <w:rPr>
                <w:rFonts w:ascii="Verdana" w:eastAsia="Verdana" w:hAnsi="Verdana" w:cs="Verdana"/>
                <w:noProof/>
                <w:color w:val="FFFFFF"/>
              </w:rPr>
            </w:pPr>
            <w:r>
              <w:rPr>
                <w:rFonts w:ascii="Verdana" w:hAnsi="Verdana"/>
                <w:noProof/>
                <w:color w:val="FFFFFF"/>
              </w:rPr>
              <w:t>Други</w:t>
            </w:r>
          </w:p>
        </w:tc>
        <w:tc>
          <w:tcPr>
            <w:tcW w:w="1078" w:type="dxa"/>
            <w:tcBorders>
              <w:top w:val="nil"/>
              <w:left w:val="nil"/>
              <w:bottom w:val="nil"/>
              <w:right w:val="nil"/>
              <w:tl2br w:val="nil"/>
              <w:tr2bl w:val="nil"/>
            </w:tcBorders>
            <w:shd w:val="solid" w:color="016794" w:fill="FFFFFF"/>
            <w:tcMar>
              <w:left w:w="60" w:type="dxa"/>
              <w:right w:w="60" w:type="dxa"/>
            </w:tcMar>
            <w:vAlign w:val="center"/>
          </w:tcPr>
          <w:p>
            <w:pPr>
              <w:pStyle w:val="DMETW19868BIPCRPY"/>
              <w:jc w:val="right"/>
              <w:rPr>
                <w:rFonts w:ascii="Verdana" w:eastAsia="Verdana" w:hAnsi="Verdana" w:cs="Verdana"/>
                <w:noProof/>
                <w:color w:val="FFFFFF"/>
              </w:rPr>
            </w:pPr>
            <w:r>
              <w:rPr>
                <w:rFonts w:ascii="Verdana" w:hAnsi="Verdana"/>
                <w:noProof/>
                <w:color w:val="FFFFFF"/>
              </w:rPr>
              <w:t>Общо</w:t>
            </w:r>
          </w:p>
        </w:tc>
      </w:tr>
      <w:tr>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Verdana" w:eastAsia="Verdana" w:hAnsi="Verdana" w:cs="Verdana"/>
                <w:b/>
                <w:noProof/>
                <w:color w:val="000000"/>
                <w:sz w:val="18"/>
              </w:rPr>
            </w:pPr>
            <w:r>
              <w:rPr>
                <w:rFonts w:ascii="Verdana" w:hAnsi="Verdana"/>
                <w:b/>
                <w:noProof/>
                <w:color w:val="000000"/>
                <w:sz w:val="18"/>
              </w:rPr>
              <w:t>Финансови активи</w:t>
            </w:r>
          </w:p>
        </w:tc>
        <w:tc>
          <w:tcPr>
            <w:tcW w:w="1009"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879"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817"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lang w:bidi="en-GB"/>
              </w:rPr>
            </w:pPr>
          </w:p>
        </w:tc>
      </w:tr>
      <w:tr>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Verdana" w:eastAsia="Verdana" w:hAnsi="Verdana" w:cs="Verdana"/>
                <w:i/>
                <w:noProof/>
                <w:color w:val="000000"/>
                <w:sz w:val="18"/>
              </w:rPr>
            </w:pPr>
            <w:r>
              <w:rPr>
                <w:rFonts w:ascii="Verdana" w:hAnsi="Verdana"/>
                <w:i/>
                <w:noProof/>
                <w:color w:val="000000"/>
                <w:sz w:val="18"/>
              </w:rPr>
              <w:t>Финансови активи, обявени за продажба</w:t>
            </w:r>
          </w:p>
        </w:tc>
        <w:tc>
          <w:tcPr>
            <w:tcW w:w="1009"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577</w:t>
            </w:r>
          </w:p>
        </w:tc>
        <w:tc>
          <w:tcPr>
            <w:tcW w:w="879"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62</w:t>
            </w:r>
          </w:p>
        </w:tc>
        <w:tc>
          <w:tcPr>
            <w:tcW w:w="817"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17</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9</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17 723</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21</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18 407</w:t>
            </w:r>
          </w:p>
        </w:tc>
      </w:tr>
      <w:tr>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009"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(393)</w:t>
            </w:r>
          </w:p>
        </w:tc>
        <w:tc>
          <w:tcPr>
            <w:tcW w:w="879"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w:t>
            </w:r>
          </w:p>
        </w:tc>
        <w:tc>
          <w:tcPr>
            <w:tcW w:w="817"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529</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137</w:t>
            </w:r>
          </w:p>
        </w:tc>
      </w:tr>
      <w:tr>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Verdana" w:eastAsia="Verdana" w:hAnsi="Verdana" w:cs="Verdana"/>
                <w:i/>
                <w:noProof/>
                <w:color w:val="000000"/>
                <w:sz w:val="18"/>
              </w:rPr>
            </w:pPr>
            <w:r>
              <w:rPr>
                <w:rFonts w:ascii="Verdana" w:hAnsi="Verdana"/>
                <w:i/>
                <w:noProof/>
                <w:color w:val="000000"/>
                <w:sz w:val="18"/>
              </w:rPr>
              <w:t>Заеми*</w:t>
            </w:r>
          </w:p>
        </w:tc>
        <w:tc>
          <w:tcPr>
            <w:tcW w:w="1009"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17</w:t>
            </w:r>
          </w:p>
        </w:tc>
        <w:tc>
          <w:tcPr>
            <w:tcW w:w="879"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32</w:t>
            </w:r>
          </w:p>
        </w:tc>
        <w:tc>
          <w:tcPr>
            <w:tcW w:w="817"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65</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7</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121</w:t>
            </w:r>
          </w:p>
        </w:tc>
      </w:tr>
      <w:tr>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Verdana" w:eastAsia="Verdana" w:hAnsi="Verdana" w:cs="Verdana"/>
                <w:i/>
                <w:noProof/>
                <w:color w:val="000000"/>
                <w:sz w:val="18"/>
              </w:rPr>
            </w:pPr>
            <w:r>
              <w:rPr>
                <w:rFonts w:ascii="Verdana" w:hAnsi="Verdana"/>
                <w:i/>
                <w:noProof/>
                <w:color w:val="000000"/>
                <w:sz w:val="18"/>
              </w:rPr>
              <w:t>Вземания и средства, подлежащи на събиране</w:t>
            </w:r>
          </w:p>
        </w:tc>
        <w:tc>
          <w:tcPr>
            <w:tcW w:w="1009"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30</w:t>
            </w:r>
          </w:p>
        </w:tc>
        <w:tc>
          <w:tcPr>
            <w:tcW w:w="879"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804</w:t>
            </w:r>
          </w:p>
        </w:tc>
        <w:tc>
          <w:tcPr>
            <w:tcW w:w="817"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62</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93</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22 751</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233</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23 974</w:t>
            </w:r>
          </w:p>
        </w:tc>
      </w:tr>
      <w:tr>
        <w:trPr>
          <w:trHeight w:val="255"/>
        </w:trPr>
        <w:tc>
          <w:tcPr>
            <w:tcW w:w="318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rPr>
                <w:rFonts w:ascii="Verdana" w:eastAsia="Verdana" w:hAnsi="Verdana" w:cs="Verdana"/>
                <w:i/>
                <w:noProof/>
                <w:color w:val="000000"/>
                <w:sz w:val="18"/>
              </w:rPr>
            </w:pPr>
            <w:r>
              <w:rPr>
                <w:rFonts w:ascii="Verdana" w:hAnsi="Verdana"/>
                <w:i/>
                <w:noProof/>
                <w:color w:val="000000"/>
                <w:sz w:val="18"/>
              </w:rPr>
              <w:t>Пари и парични еквиваленти</w:t>
            </w:r>
          </w:p>
        </w:tc>
        <w:tc>
          <w:tcPr>
            <w:tcW w:w="100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100</w:t>
            </w:r>
          </w:p>
        </w:tc>
        <w:tc>
          <w:tcPr>
            <w:tcW w:w="87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311</w:t>
            </w:r>
          </w:p>
        </w:tc>
        <w:tc>
          <w:tcPr>
            <w:tcW w:w="817"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319</w:t>
            </w:r>
          </w:p>
        </w:tc>
        <w:tc>
          <w:tcPr>
            <w:tcW w:w="88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432</w:t>
            </w:r>
          </w:p>
        </w:tc>
        <w:tc>
          <w:tcPr>
            <w:tcW w:w="1027"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16 910</w:t>
            </w:r>
          </w:p>
        </w:tc>
        <w:tc>
          <w:tcPr>
            <w:tcW w:w="88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1 673</w:t>
            </w:r>
          </w:p>
        </w:tc>
        <w:tc>
          <w:tcPr>
            <w:tcW w:w="107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19 745</w:t>
            </w:r>
          </w:p>
        </w:tc>
      </w:tr>
      <w:tr>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 xml:space="preserve"> 332</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1 209</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 xml:space="preserve"> 398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 xml:space="preserve"> 533</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57 979</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1 934</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62 384</w:t>
            </w:r>
          </w:p>
        </w:tc>
      </w:tr>
      <w:tr>
        <w:trPr>
          <w:trHeight w:val="255"/>
        </w:trPr>
        <w:tc>
          <w:tcPr>
            <w:tcW w:w="318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PY"/>
              <w:rPr>
                <w:rFonts w:ascii="Verdana" w:eastAsia="Verdana" w:hAnsi="Verdana" w:cs="Verdana"/>
                <w:b/>
                <w:noProof/>
                <w:color w:val="000000"/>
                <w:sz w:val="18"/>
              </w:rPr>
            </w:pPr>
            <w:r>
              <w:rPr>
                <w:rFonts w:ascii="Verdana" w:hAnsi="Verdana"/>
                <w:b/>
                <w:noProof/>
                <w:color w:val="000000"/>
                <w:sz w:val="18"/>
              </w:rPr>
              <w:t>Финансови пасиви</w:t>
            </w:r>
          </w:p>
        </w:tc>
        <w:tc>
          <w:tcPr>
            <w:tcW w:w="100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8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81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88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1027"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88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rPr>
            </w:pPr>
          </w:p>
        </w:tc>
        <w:tc>
          <w:tcPr>
            <w:tcW w:w="107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68BIPCRPY"/>
              <w:rPr>
                <w:rFonts w:ascii="Arial" w:eastAsia="Arial" w:hAnsi="Arial" w:cs="Arial"/>
                <w:noProof/>
                <w:color w:val="000000"/>
                <w:lang w:bidi="en-GB"/>
              </w:rPr>
            </w:pPr>
          </w:p>
        </w:tc>
      </w:tr>
      <w:tr>
        <w:trPr>
          <w:trHeight w:val="255"/>
        </w:trPr>
        <w:tc>
          <w:tcPr>
            <w:tcW w:w="3188" w:type="dxa"/>
            <w:tcBorders>
              <w:top w:val="nil"/>
              <w:left w:val="nil"/>
              <w:bottom w:val="nil"/>
              <w:right w:val="nil"/>
              <w:tl2br w:val="nil"/>
              <w:tr2bl w:val="nil"/>
            </w:tcBorders>
            <w:shd w:val="clear" w:color="auto" w:fill="auto"/>
            <w:tcMar>
              <w:left w:w="60" w:type="dxa"/>
              <w:right w:w="60" w:type="dxa"/>
            </w:tcMar>
            <w:vAlign w:val="center"/>
          </w:tcPr>
          <w:p>
            <w:pPr>
              <w:pStyle w:val="DMETW19868BIPCRPY"/>
              <w:rPr>
                <w:rFonts w:ascii="Verdana" w:eastAsia="Verdana" w:hAnsi="Verdana" w:cs="Verdana"/>
                <w:i/>
                <w:noProof/>
                <w:color w:val="000000"/>
                <w:sz w:val="18"/>
              </w:rPr>
            </w:pPr>
            <w:r>
              <w:rPr>
                <w:rFonts w:ascii="Verdana" w:hAnsi="Verdana"/>
                <w:i/>
                <w:noProof/>
                <w:color w:val="000000"/>
                <w:sz w:val="18"/>
              </w:rPr>
              <w:t>Финансови пасиви по справедлива стойност чрез излишъка или дефицита</w:t>
            </w:r>
          </w:p>
        </w:tc>
        <w:tc>
          <w:tcPr>
            <w:tcW w:w="1009"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(0)</w:t>
            </w:r>
          </w:p>
        </w:tc>
        <w:tc>
          <w:tcPr>
            <w:tcW w:w="879"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w:t>
            </w:r>
          </w:p>
        </w:tc>
        <w:tc>
          <w:tcPr>
            <w:tcW w:w="817"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(10)</w:t>
            </w:r>
          </w:p>
        </w:tc>
        <w:tc>
          <w:tcPr>
            <w:tcW w:w="880"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(2)</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(12)</w:t>
            </w:r>
          </w:p>
        </w:tc>
      </w:tr>
      <w:tr>
        <w:trPr>
          <w:trHeight w:val="255"/>
        </w:trPr>
        <w:tc>
          <w:tcPr>
            <w:tcW w:w="318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rPr>
                <w:rFonts w:ascii="Verdana" w:eastAsia="Verdana" w:hAnsi="Verdana" w:cs="Verdana"/>
                <w:i/>
                <w:noProof/>
                <w:color w:val="000000"/>
                <w:sz w:val="18"/>
              </w:rPr>
            </w:pPr>
            <w:r>
              <w:rPr>
                <w:rFonts w:ascii="Verdana" w:hAnsi="Verdana"/>
                <w:i/>
                <w:noProof/>
                <w:color w:val="000000"/>
                <w:sz w:val="18"/>
              </w:rPr>
              <w:t>Задължения</w:t>
            </w:r>
          </w:p>
        </w:tc>
        <w:tc>
          <w:tcPr>
            <w:tcW w:w="100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(5)</w:t>
            </w:r>
          </w:p>
        </w:tc>
        <w:tc>
          <w:tcPr>
            <w:tcW w:w="87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(1)</w:t>
            </w:r>
          </w:p>
        </w:tc>
        <w:tc>
          <w:tcPr>
            <w:tcW w:w="817"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(0)</w:t>
            </w:r>
          </w:p>
        </w:tc>
        <w:tc>
          <w:tcPr>
            <w:tcW w:w="88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(1)</w:t>
            </w:r>
          </w:p>
        </w:tc>
        <w:tc>
          <w:tcPr>
            <w:tcW w:w="1027"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(27 200)</w:t>
            </w:r>
          </w:p>
        </w:tc>
        <w:tc>
          <w:tcPr>
            <w:tcW w:w="88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 xml:space="preserve"> (33)</w:t>
            </w:r>
          </w:p>
        </w:tc>
        <w:tc>
          <w:tcPr>
            <w:tcW w:w="107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i/>
                <w:noProof/>
                <w:color w:val="000000"/>
                <w:sz w:val="18"/>
              </w:rPr>
            </w:pPr>
            <w:r>
              <w:rPr>
                <w:rFonts w:ascii="Verdana" w:hAnsi="Verdana"/>
                <w:i/>
                <w:noProof/>
                <w:color w:val="000000"/>
                <w:sz w:val="18"/>
              </w:rPr>
              <w:t>(27 241)</w:t>
            </w:r>
          </w:p>
        </w:tc>
      </w:tr>
      <w:tr>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 xml:space="preserve"> (5)</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 xml:space="preserve"> (1)</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 xml:space="preserve"> (0)</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 xml:space="preserve"> (1)</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(27 211)</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 xml:space="preserve"> (35)</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(27 254)</w:t>
            </w:r>
          </w:p>
        </w:tc>
      </w:tr>
      <w:tr>
        <w:trPr>
          <w:trHeight w:val="255"/>
        </w:trPr>
        <w:tc>
          <w:tcPr>
            <w:tcW w:w="3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rPr>
                <w:rFonts w:ascii="Verdana" w:eastAsia="Verdana" w:hAnsi="Verdana" w:cs="Verdana"/>
                <w:b/>
                <w:noProof/>
                <w:color w:val="000000"/>
                <w:sz w:val="18"/>
              </w:rPr>
            </w:pPr>
            <w:r>
              <w:rPr>
                <w:rFonts w:ascii="Verdana" w:hAnsi="Verdana"/>
                <w:b/>
                <w:noProof/>
                <w:color w:val="000000"/>
                <w:sz w:val="18"/>
              </w:rPr>
              <w:t>Общо</w:t>
            </w:r>
          </w:p>
        </w:tc>
        <w:tc>
          <w:tcPr>
            <w:tcW w:w="100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 xml:space="preserve"> 326</w:t>
            </w:r>
          </w:p>
        </w:tc>
        <w:tc>
          <w:tcPr>
            <w:tcW w:w="8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1 208</w:t>
            </w:r>
          </w:p>
        </w:tc>
        <w:tc>
          <w:tcPr>
            <w:tcW w:w="81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 xml:space="preserve"> 398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 xml:space="preserve"> 532</w:t>
            </w:r>
          </w:p>
        </w:tc>
        <w:tc>
          <w:tcPr>
            <w:tcW w:w="102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30 768</w:t>
            </w:r>
          </w:p>
        </w:tc>
        <w:tc>
          <w:tcPr>
            <w:tcW w:w="8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1 898</w:t>
            </w:r>
          </w:p>
        </w:tc>
        <w:tc>
          <w:tcPr>
            <w:tcW w:w="10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68BIPCRPY"/>
              <w:jc w:val="right"/>
              <w:rPr>
                <w:rFonts w:ascii="Verdana" w:eastAsia="Verdana" w:hAnsi="Verdana" w:cs="Verdana"/>
                <w:b/>
                <w:noProof/>
                <w:color w:val="000000"/>
                <w:sz w:val="18"/>
              </w:rPr>
            </w:pPr>
            <w:r>
              <w:rPr>
                <w:rFonts w:ascii="Verdana" w:hAnsi="Verdana"/>
                <w:b/>
                <w:noProof/>
                <w:color w:val="000000"/>
                <w:sz w:val="18"/>
              </w:rPr>
              <w:t>35 130</w:t>
            </w:r>
          </w:p>
        </w:tc>
      </w:tr>
    </w:tbl>
    <w:p>
      <w:pPr>
        <w:pStyle w:val="DGTextstand-alone"/>
        <w:spacing w:before="0"/>
      </w:pPr>
      <w:r>
        <w:rPr>
          <w:i/>
          <w:sz w:val="14"/>
        </w:rPr>
        <w:t>* Без заемите „бек-ту-бек“ за финансова помощ.</w:t>
      </w:r>
    </w:p>
    <w:p>
      <w:pPr>
        <w:pStyle w:val="DGTextstand-alone"/>
      </w:pPr>
      <w:r>
        <w:t>Ако еврото беше поскъпнало с 10 % спрямо другите валути, ефектът от това щеше да е следният: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1293"/>
        <w:gridCol w:w="1294"/>
        <w:gridCol w:w="1294"/>
        <w:gridCol w:w="1294"/>
      </w:tblGrid>
      <w:tr>
        <w:trPr>
          <w:trHeight w:val="255"/>
        </w:trPr>
        <w:tc>
          <w:tcPr>
            <w:tcW w:w="4583" w:type="dxa"/>
            <w:tcBorders>
              <w:top w:val="nil"/>
              <w:left w:val="nil"/>
              <w:bottom w:val="nil"/>
              <w:right w:val="nil"/>
              <w:tl2br w:val="nil"/>
              <w:tr2bl w:val="nil"/>
            </w:tcBorders>
            <w:shd w:val="clear" w:color="auto" w:fill="auto"/>
            <w:tcMar>
              <w:left w:w="60" w:type="dxa"/>
              <w:right w:w="60" w:type="dxa"/>
            </w:tcMar>
            <w:vAlign w:val="bottom"/>
          </w:tcPr>
          <w:p>
            <w:pPr>
              <w:pStyle w:val="DMETW19868BIPSDS"/>
              <w:rPr>
                <w:rFonts w:ascii="Arial" w:eastAsia="Arial" w:hAnsi="Arial" w:cs="Arial"/>
                <w:noProof/>
                <w:color w:val="000000"/>
              </w:rPr>
            </w:pPr>
            <w:bookmarkStart w:id="198" w:name="DOC_TBL00088_1_1"/>
            <w:bookmarkEnd w:id="198"/>
          </w:p>
        </w:tc>
        <w:tc>
          <w:tcPr>
            <w:tcW w:w="1293" w:type="dxa"/>
            <w:tcBorders>
              <w:top w:val="nil"/>
              <w:left w:val="nil"/>
              <w:bottom w:val="nil"/>
              <w:right w:val="nil"/>
              <w:tl2br w:val="nil"/>
              <w:tr2bl w:val="nil"/>
            </w:tcBorders>
            <w:shd w:val="clear" w:color="auto" w:fill="auto"/>
            <w:tcMar>
              <w:left w:w="60" w:type="dxa"/>
              <w:right w:w="60" w:type="dxa"/>
            </w:tcMar>
            <w:vAlign w:val="bottom"/>
          </w:tcPr>
          <w:p>
            <w:pPr>
              <w:pStyle w:val="DMETW19868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pPr>
              <w:pStyle w:val="DMETW19868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pPr>
              <w:pStyle w:val="DMETW19868BIPSDS"/>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pPr>
              <w:pStyle w:val="DMETW19868BIPSD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pPr>
              <w:pStyle w:val="DMETW19868BIPSDS"/>
              <w:jc w:val="right"/>
              <w:rPr>
                <w:rFonts w:ascii="Verdana" w:eastAsia="Verdana" w:hAnsi="Verdana" w:cs="Verdana"/>
                <w:noProof/>
                <w:color w:val="FFFFFF"/>
              </w:rPr>
            </w:pPr>
          </w:p>
        </w:tc>
        <w:tc>
          <w:tcPr>
            <w:tcW w:w="1293"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68BIPSDS"/>
              <w:jc w:val="center"/>
              <w:rPr>
                <w:rFonts w:ascii="Verdana" w:eastAsia="Verdana" w:hAnsi="Verdana" w:cs="Verdana"/>
                <w:noProof/>
                <w:color w:val="FFFFFF"/>
              </w:rPr>
            </w:pPr>
            <w:r>
              <w:rPr>
                <w:rFonts w:ascii="Verdana" w:hAnsi="Verdana"/>
                <w:noProof/>
                <w:color w:val="FFFFFF"/>
              </w:rPr>
              <w:t>Финансов резултат</w:t>
            </w:r>
          </w:p>
        </w:tc>
      </w:tr>
      <w:tr>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pPr>
              <w:pStyle w:val="DMETW19868BIPSDS"/>
              <w:jc w:val="right"/>
              <w:rPr>
                <w:rFonts w:ascii="Verdana" w:eastAsia="Verdana" w:hAnsi="Verdana" w:cs="Verdana"/>
                <w:noProof/>
                <w:color w:val="FFFFFF"/>
              </w:rPr>
            </w:pPr>
          </w:p>
        </w:tc>
        <w:tc>
          <w:tcPr>
            <w:tcW w:w="1293" w:type="dxa"/>
            <w:tcBorders>
              <w:top w:val="nil"/>
              <w:left w:val="nil"/>
              <w:bottom w:val="nil"/>
              <w:right w:val="nil"/>
              <w:tl2br w:val="nil"/>
              <w:tr2bl w:val="nil"/>
            </w:tcBorders>
            <w:shd w:val="solid" w:color="016794" w:fill="FFFFFF"/>
            <w:tcMar>
              <w:left w:w="60" w:type="dxa"/>
              <w:right w:w="60" w:type="dxa"/>
            </w:tcMar>
            <w:vAlign w:val="center"/>
          </w:tcPr>
          <w:p>
            <w:pPr>
              <w:pStyle w:val="DMETW19868BIPSDS"/>
              <w:jc w:val="right"/>
              <w:rPr>
                <w:rFonts w:ascii="Verdana" w:eastAsia="Verdana" w:hAnsi="Verdana" w:cs="Verdana"/>
                <w:noProof/>
                <w:color w:val="FFFFFF"/>
              </w:rPr>
            </w:pPr>
            <w:r>
              <w:rPr>
                <w:rFonts w:ascii="Verdana" w:hAnsi="Verdana"/>
                <w:noProof/>
                <w:color w:val="FFFFFF"/>
              </w:rPr>
              <w:t>USD</w:t>
            </w:r>
          </w:p>
        </w:tc>
        <w:tc>
          <w:tcPr>
            <w:tcW w:w="1294" w:type="dxa"/>
            <w:tcBorders>
              <w:top w:val="nil"/>
              <w:left w:val="nil"/>
              <w:bottom w:val="nil"/>
              <w:right w:val="nil"/>
              <w:tl2br w:val="nil"/>
              <w:tr2bl w:val="nil"/>
            </w:tcBorders>
            <w:shd w:val="solid" w:color="016794" w:fill="FFFFFF"/>
            <w:tcMar>
              <w:left w:w="60" w:type="dxa"/>
              <w:right w:w="60" w:type="dxa"/>
            </w:tcMar>
            <w:vAlign w:val="center"/>
          </w:tcPr>
          <w:p>
            <w:pPr>
              <w:pStyle w:val="DMETW19868BIPSDS"/>
              <w:jc w:val="right"/>
              <w:rPr>
                <w:rFonts w:ascii="Verdana" w:eastAsia="Verdana" w:hAnsi="Verdana" w:cs="Verdana"/>
                <w:noProof/>
                <w:color w:val="FFFFFF"/>
              </w:rPr>
            </w:pPr>
            <w:r>
              <w:rPr>
                <w:rFonts w:ascii="Verdana" w:hAnsi="Verdana"/>
                <w:noProof/>
                <w:color w:val="FFFFFF"/>
              </w:rPr>
              <w:t>GBP</w:t>
            </w:r>
          </w:p>
        </w:tc>
        <w:tc>
          <w:tcPr>
            <w:tcW w:w="1294" w:type="dxa"/>
            <w:tcBorders>
              <w:top w:val="nil"/>
              <w:left w:val="nil"/>
              <w:bottom w:val="nil"/>
              <w:right w:val="nil"/>
              <w:tl2br w:val="nil"/>
              <w:tr2bl w:val="nil"/>
            </w:tcBorders>
            <w:shd w:val="solid" w:color="016794" w:fill="FFFFFF"/>
            <w:tcMar>
              <w:left w:w="60" w:type="dxa"/>
              <w:right w:w="60" w:type="dxa"/>
            </w:tcMar>
            <w:vAlign w:val="center"/>
          </w:tcPr>
          <w:p>
            <w:pPr>
              <w:pStyle w:val="DMETW19868BIPSDS"/>
              <w:jc w:val="right"/>
              <w:rPr>
                <w:rFonts w:ascii="Verdana" w:eastAsia="Verdana" w:hAnsi="Verdana" w:cs="Verdana"/>
                <w:noProof/>
                <w:color w:val="FFFFFF"/>
              </w:rPr>
            </w:pPr>
            <w:r>
              <w:rPr>
                <w:rFonts w:ascii="Verdana" w:hAnsi="Verdana"/>
                <w:noProof/>
                <w:color w:val="FFFFFF"/>
              </w:rPr>
              <w:t>DKK</w:t>
            </w:r>
          </w:p>
        </w:tc>
        <w:tc>
          <w:tcPr>
            <w:tcW w:w="1294" w:type="dxa"/>
            <w:tcBorders>
              <w:top w:val="nil"/>
              <w:left w:val="nil"/>
              <w:bottom w:val="nil"/>
              <w:right w:val="nil"/>
              <w:tl2br w:val="nil"/>
              <w:tr2bl w:val="nil"/>
            </w:tcBorders>
            <w:shd w:val="solid" w:color="016794" w:fill="FFFFFF"/>
            <w:tcMar>
              <w:left w:w="60" w:type="dxa"/>
              <w:right w:w="60" w:type="dxa"/>
            </w:tcMar>
            <w:vAlign w:val="center"/>
          </w:tcPr>
          <w:p>
            <w:pPr>
              <w:pStyle w:val="DMETW19868BIPSDS"/>
              <w:jc w:val="right"/>
              <w:rPr>
                <w:rFonts w:ascii="Verdana" w:eastAsia="Verdana" w:hAnsi="Verdana" w:cs="Verdana"/>
                <w:noProof/>
                <w:color w:val="FFFFFF"/>
              </w:rPr>
            </w:pPr>
            <w:r>
              <w:rPr>
                <w:rFonts w:ascii="Verdana" w:hAnsi="Verdana"/>
                <w:noProof/>
                <w:color w:val="FFFFFF"/>
              </w:rPr>
              <w:t>SEK</w:t>
            </w:r>
          </w:p>
        </w:tc>
      </w:tr>
      <w:tr>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pPr>
              <w:pStyle w:val="DMETW19868BIPSDS"/>
              <w:rPr>
                <w:rFonts w:ascii="Verdana" w:eastAsia="Verdana" w:hAnsi="Verdana" w:cs="Verdana"/>
                <w:i/>
                <w:noProof/>
                <w:color w:val="000000"/>
                <w:sz w:val="18"/>
              </w:rPr>
            </w:pPr>
            <w:r>
              <w:rPr>
                <w:rFonts w:ascii="Verdana" w:hAnsi="Verdana"/>
                <w:i/>
                <w:noProof/>
                <w:color w:val="000000"/>
                <w:sz w:val="18"/>
              </w:rPr>
              <w:t>2020 г.</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9868BIPSDS"/>
              <w:jc w:val="right"/>
              <w:rPr>
                <w:rFonts w:ascii="Verdana" w:eastAsia="Verdana" w:hAnsi="Verdana" w:cs="Verdana"/>
                <w:i/>
                <w:noProof/>
                <w:color w:val="000000"/>
                <w:sz w:val="18"/>
              </w:rPr>
            </w:pPr>
            <w:r>
              <w:rPr>
                <w:rFonts w:ascii="Verdana" w:hAnsi="Verdana"/>
                <w:i/>
                <w:noProof/>
                <w:color w:val="000000"/>
                <w:sz w:val="18"/>
              </w:rPr>
              <w:t xml:space="preserve"> (13)</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S"/>
              <w:jc w:val="right"/>
              <w:rPr>
                <w:rFonts w:ascii="Verdana" w:eastAsia="Verdana" w:hAnsi="Verdana" w:cs="Verdana"/>
                <w:i/>
                <w:noProof/>
                <w:color w:val="000000"/>
                <w:sz w:val="18"/>
              </w:rPr>
            </w:pPr>
            <w:r>
              <w:rPr>
                <w:rFonts w:ascii="Verdana" w:hAnsi="Verdana"/>
                <w:i/>
                <w:noProof/>
                <w:color w:val="000000"/>
                <w:sz w:val="18"/>
              </w:rPr>
              <w:t xml:space="preserve"> (119)</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S"/>
              <w:jc w:val="right"/>
              <w:rPr>
                <w:rFonts w:ascii="Verdana" w:eastAsia="Verdana" w:hAnsi="Verdana" w:cs="Verdana"/>
                <w:i/>
                <w:noProof/>
                <w:color w:val="000000"/>
                <w:sz w:val="18"/>
              </w:rPr>
            </w:pPr>
            <w:r>
              <w:rPr>
                <w:rFonts w:ascii="Verdana" w:hAnsi="Verdana"/>
                <w:i/>
                <w:noProof/>
                <w:color w:val="000000"/>
                <w:sz w:val="18"/>
              </w:rPr>
              <w:t xml:space="preserve"> (27)</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S"/>
              <w:jc w:val="right"/>
              <w:rPr>
                <w:rFonts w:ascii="Verdana" w:eastAsia="Verdana" w:hAnsi="Verdana" w:cs="Verdana"/>
                <w:i/>
                <w:noProof/>
                <w:color w:val="000000"/>
                <w:sz w:val="18"/>
              </w:rPr>
            </w:pPr>
            <w:r>
              <w:rPr>
                <w:rFonts w:ascii="Verdana" w:hAnsi="Verdana"/>
                <w:i/>
                <w:noProof/>
                <w:color w:val="000000"/>
                <w:sz w:val="18"/>
              </w:rPr>
              <w:t xml:space="preserve"> (49)</w:t>
            </w:r>
          </w:p>
        </w:tc>
      </w:tr>
      <w:tr>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pPr>
              <w:pStyle w:val="DMETW19868BIPSDS"/>
              <w:rPr>
                <w:rFonts w:ascii="Verdana" w:eastAsia="Verdana" w:hAnsi="Verdana" w:cs="Verdana"/>
                <w:i/>
                <w:noProof/>
                <w:color w:val="000000"/>
                <w:sz w:val="18"/>
              </w:rPr>
            </w:pPr>
            <w:r>
              <w:rPr>
                <w:rFonts w:ascii="Verdana" w:hAnsi="Verdana"/>
                <w:i/>
                <w:noProof/>
                <w:color w:val="000000"/>
                <w:sz w:val="18"/>
              </w:rPr>
              <w:t>2019 г.</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9868BIPSDS"/>
              <w:jc w:val="right"/>
              <w:rPr>
                <w:rFonts w:ascii="Verdana" w:eastAsia="Verdana" w:hAnsi="Verdana" w:cs="Verdana"/>
                <w:i/>
                <w:noProof/>
                <w:color w:val="000000"/>
                <w:sz w:val="18"/>
              </w:rPr>
            </w:pPr>
            <w:r>
              <w:rPr>
                <w:rFonts w:ascii="Verdana" w:hAnsi="Verdana"/>
                <w:i/>
                <w:noProof/>
                <w:color w:val="000000"/>
                <w:sz w:val="18"/>
              </w:rPr>
              <w:t xml:space="preserve"> (14)</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S"/>
              <w:jc w:val="right"/>
              <w:rPr>
                <w:rFonts w:ascii="Verdana" w:eastAsia="Verdana" w:hAnsi="Verdana" w:cs="Verdana"/>
                <w:i/>
                <w:noProof/>
                <w:color w:val="000000"/>
                <w:sz w:val="18"/>
              </w:rPr>
            </w:pPr>
            <w:r>
              <w:rPr>
                <w:rFonts w:ascii="Verdana" w:hAnsi="Verdana"/>
                <w:i/>
                <w:noProof/>
                <w:color w:val="000000"/>
                <w:sz w:val="18"/>
              </w:rPr>
              <w:t xml:space="preserve"> (104)</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S"/>
              <w:jc w:val="right"/>
              <w:rPr>
                <w:rFonts w:ascii="Verdana" w:eastAsia="Verdana" w:hAnsi="Verdana" w:cs="Verdana"/>
                <w:i/>
                <w:noProof/>
                <w:color w:val="000000"/>
                <w:sz w:val="18"/>
              </w:rPr>
            </w:pPr>
            <w:r>
              <w:rPr>
                <w:rFonts w:ascii="Verdana" w:hAnsi="Verdana"/>
                <w:i/>
                <w:noProof/>
                <w:color w:val="000000"/>
                <w:sz w:val="18"/>
              </w:rPr>
              <w:t xml:space="preserve"> (35)</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S"/>
              <w:jc w:val="right"/>
              <w:rPr>
                <w:rFonts w:ascii="Verdana" w:eastAsia="Verdana" w:hAnsi="Verdana" w:cs="Verdana"/>
                <w:i/>
                <w:noProof/>
                <w:color w:val="000000"/>
                <w:sz w:val="18"/>
              </w:rPr>
            </w:pPr>
            <w:r>
              <w:rPr>
                <w:rFonts w:ascii="Verdana" w:hAnsi="Verdana"/>
                <w:i/>
                <w:noProof/>
                <w:color w:val="000000"/>
                <w:sz w:val="18"/>
              </w:rPr>
              <w:t xml:space="preserve"> (48)</w:t>
            </w:r>
          </w:p>
        </w:tc>
      </w:tr>
    </w:tbl>
    <w:p>
      <w:pPr>
        <w:pStyle w:val="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1399"/>
        <w:gridCol w:w="1352"/>
        <w:gridCol w:w="1246"/>
        <w:gridCol w:w="1210"/>
      </w:tblGrid>
      <w:tr>
        <w:trPr>
          <w:trHeight w:val="255"/>
        </w:trPr>
        <w:tc>
          <w:tcPr>
            <w:tcW w:w="4551" w:type="dxa"/>
            <w:tcBorders>
              <w:top w:val="nil"/>
              <w:left w:val="nil"/>
              <w:bottom w:val="nil"/>
              <w:right w:val="nil"/>
              <w:tl2br w:val="nil"/>
              <w:tr2bl w:val="nil"/>
            </w:tcBorders>
            <w:shd w:val="clear" w:color="auto" w:fill="auto"/>
            <w:tcMar>
              <w:left w:w="60" w:type="dxa"/>
              <w:right w:w="60" w:type="dxa"/>
            </w:tcMar>
            <w:vAlign w:val="bottom"/>
          </w:tcPr>
          <w:p>
            <w:pPr>
              <w:pStyle w:val="DMETW19868BIPNAS"/>
              <w:rPr>
                <w:rFonts w:ascii="Arial" w:eastAsia="Arial" w:hAnsi="Arial" w:cs="Arial"/>
                <w:noProof/>
                <w:color w:val="000000"/>
              </w:rPr>
            </w:pPr>
            <w:bookmarkStart w:id="199" w:name="DOC_TBL00089_1_1"/>
            <w:bookmarkEnd w:id="199"/>
          </w:p>
        </w:tc>
        <w:tc>
          <w:tcPr>
            <w:tcW w:w="1399" w:type="dxa"/>
            <w:tcBorders>
              <w:top w:val="nil"/>
              <w:left w:val="nil"/>
              <w:bottom w:val="nil"/>
              <w:right w:val="nil"/>
              <w:tl2br w:val="nil"/>
              <w:tr2bl w:val="nil"/>
            </w:tcBorders>
            <w:shd w:val="clear" w:color="auto" w:fill="auto"/>
            <w:tcMar>
              <w:left w:w="60" w:type="dxa"/>
              <w:right w:w="60" w:type="dxa"/>
            </w:tcMar>
            <w:vAlign w:val="bottom"/>
          </w:tcPr>
          <w:p>
            <w:pPr>
              <w:pStyle w:val="DMETW19868BIPNAS"/>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pPr>
              <w:pStyle w:val="DMETW19868BIPNAS"/>
              <w:rPr>
                <w:rFonts w:ascii="Arial" w:eastAsia="Arial" w:hAnsi="Arial" w:cs="Arial"/>
                <w:noProof/>
                <w:color w:val="000000"/>
              </w:rPr>
            </w:pPr>
          </w:p>
        </w:tc>
        <w:tc>
          <w:tcPr>
            <w:tcW w:w="1246" w:type="dxa"/>
            <w:tcBorders>
              <w:top w:val="nil"/>
              <w:left w:val="nil"/>
              <w:bottom w:val="nil"/>
              <w:right w:val="nil"/>
              <w:tl2br w:val="nil"/>
              <w:tr2bl w:val="nil"/>
            </w:tcBorders>
            <w:shd w:val="clear" w:color="auto" w:fill="auto"/>
            <w:tcMar>
              <w:left w:w="60" w:type="dxa"/>
              <w:right w:w="60" w:type="dxa"/>
            </w:tcMar>
            <w:vAlign w:val="bottom"/>
          </w:tcPr>
          <w:p>
            <w:pPr>
              <w:pStyle w:val="DMETW19868BIPNAS"/>
              <w:rPr>
                <w:rFonts w:ascii="Arial" w:eastAsia="Arial" w:hAnsi="Arial" w:cs="Arial"/>
                <w:noProof/>
                <w:color w:val="000000"/>
              </w:rPr>
            </w:pPr>
          </w:p>
        </w:tc>
        <w:tc>
          <w:tcPr>
            <w:tcW w:w="1210" w:type="dxa"/>
            <w:tcBorders>
              <w:top w:val="nil"/>
              <w:left w:val="nil"/>
              <w:bottom w:val="nil"/>
              <w:right w:val="nil"/>
              <w:tl2br w:val="nil"/>
              <w:tr2bl w:val="nil"/>
            </w:tcBorders>
            <w:shd w:val="clear" w:color="auto" w:fill="auto"/>
            <w:tcMar>
              <w:left w:w="60" w:type="dxa"/>
              <w:right w:w="60" w:type="dxa"/>
            </w:tcMar>
            <w:vAlign w:val="bottom"/>
          </w:tcPr>
          <w:p>
            <w:pPr>
              <w:pStyle w:val="DMETW19868BIPNA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pPr>
              <w:pStyle w:val="DMETW19868BIPNAS"/>
              <w:jc w:val="right"/>
              <w:rPr>
                <w:rFonts w:ascii="Verdana" w:eastAsia="Verdana" w:hAnsi="Verdana" w:cs="Verdana"/>
                <w:noProof/>
                <w:color w:val="FFFFFF"/>
              </w:rPr>
            </w:pPr>
          </w:p>
        </w:tc>
        <w:tc>
          <w:tcPr>
            <w:tcW w:w="1399"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68BIPNAS"/>
              <w:jc w:val="center"/>
              <w:rPr>
                <w:rFonts w:ascii="Verdana" w:eastAsia="Verdana" w:hAnsi="Verdana" w:cs="Verdana"/>
                <w:noProof/>
                <w:color w:val="FFFFFF"/>
              </w:rPr>
            </w:pPr>
            <w:r>
              <w:rPr>
                <w:rFonts w:ascii="Verdana" w:hAnsi="Verdana"/>
                <w:noProof/>
                <w:color w:val="FFFFFF"/>
              </w:rPr>
              <w:t>Нетни активи</w:t>
            </w:r>
          </w:p>
        </w:tc>
      </w:tr>
      <w:tr>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pPr>
              <w:pStyle w:val="DMETW19868BIPNAS"/>
              <w:jc w:val="right"/>
              <w:rPr>
                <w:rFonts w:ascii="Verdana" w:eastAsia="Verdana" w:hAnsi="Verdana" w:cs="Verdana"/>
                <w:noProof/>
                <w:color w:val="FFFFFF"/>
              </w:rPr>
            </w:pPr>
          </w:p>
        </w:tc>
        <w:tc>
          <w:tcPr>
            <w:tcW w:w="1399" w:type="dxa"/>
            <w:tcBorders>
              <w:top w:val="nil"/>
              <w:left w:val="nil"/>
              <w:bottom w:val="nil"/>
              <w:right w:val="nil"/>
              <w:tl2br w:val="nil"/>
              <w:tr2bl w:val="nil"/>
            </w:tcBorders>
            <w:shd w:val="solid" w:color="016794" w:fill="FFFFFF"/>
            <w:tcMar>
              <w:left w:w="60" w:type="dxa"/>
              <w:right w:w="60" w:type="dxa"/>
            </w:tcMar>
            <w:vAlign w:val="center"/>
          </w:tcPr>
          <w:p>
            <w:pPr>
              <w:pStyle w:val="DMETW19868BIPNAS"/>
              <w:jc w:val="right"/>
              <w:rPr>
                <w:rFonts w:ascii="Verdana" w:eastAsia="Verdana" w:hAnsi="Verdana" w:cs="Verdana"/>
                <w:noProof/>
                <w:color w:val="FFFFFF"/>
              </w:rPr>
            </w:pPr>
            <w:r>
              <w:rPr>
                <w:rFonts w:ascii="Verdana" w:hAnsi="Verdana"/>
                <w:noProof/>
                <w:color w:val="FFFFFF"/>
              </w:rPr>
              <w:t>USD</w:t>
            </w:r>
          </w:p>
        </w:tc>
        <w:tc>
          <w:tcPr>
            <w:tcW w:w="1352" w:type="dxa"/>
            <w:tcBorders>
              <w:top w:val="nil"/>
              <w:left w:val="nil"/>
              <w:bottom w:val="nil"/>
              <w:right w:val="nil"/>
              <w:tl2br w:val="nil"/>
              <w:tr2bl w:val="nil"/>
            </w:tcBorders>
            <w:shd w:val="solid" w:color="016794" w:fill="FFFFFF"/>
            <w:tcMar>
              <w:left w:w="60" w:type="dxa"/>
              <w:right w:w="60" w:type="dxa"/>
            </w:tcMar>
            <w:vAlign w:val="center"/>
          </w:tcPr>
          <w:p>
            <w:pPr>
              <w:pStyle w:val="DMETW19868BIPNAS"/>
              <w:jc w:val="right"/>
              <w:rPr>
                <w:rFonts w:ascii="Verdana" w:eastAsia="Verdana" w:hAnsi="Verdana" w:cs="Verdana"/>
                <w:noProof/>
                <w:color w:val="FFFFFF"/>
              </w:rPr>
            </w:pPr>
            <w:r>
              <w:rPr>
                <w:rFonts w:ascii="Verdana" w:hAnsi="Verdana"/>
                <w:noProof/>
                <w:color w:val="FFFFFF"/>
              </w:rPr>
              <w:t>GBP</w:t>
            </w:r>
          </w:p>
        </w:tc>
        <w:tc>
          <w:tcPr>
            <w:tcW w:w="1246" w:type="dxa"/>
            <w:tcBorders>
              <w:top w:val="nil"/>
              <w:left w:val="nil"/>
              <w:bottom w:val="nil"/>
              <w:right w:val="nil"/>
              <w:tl2br w:val="nil"/>
              <w:tr2bl w:val="nil"/>
            </w:tcBorders>
            <w:shd w:val="solid" w:color="016794" w:fill="FFFFFF"/>
            <w:tcMar>
              <w:left w:w="60" w:type="dxa"/>
              <w:right w:w="60" w:type="dxa"/>
            </w:tcMar>
            <w:vAlign w:val="center"/>
          </w:tcPr>
          <w:p>
            <w:pPr>
              <w:pStyle w:val="DMETW19868BIPNAS"/>
              <w:jc w:val="right"/>
              <w:rPr>
                <w:rFonts w:ascii="Verdana" w:eastAsia="Verdana" w:hAnsi="Verdana" w:cs="Verdana"/>
                <w:noProof/>
                <w:color w:val="FFFFFF"/>
              </w:rPr>
            </w:pPr>
            <w:r>
              <w:rPr>
                <w:rFonts w:ascii="Verdana" w:hAnsi="Verdana"/>
                <w:noProof/>
                <w:color w:val="FFFFFF"/>
              </w:rPr>
              <w:t>DKK</w:t>
            </w:r>
          </w:p>
        </w:tc>
        <w:tc>
          <w:tcPr>
            <w:tcW w:w="1210" w:type="dxa"/>
            <w:tcBorders>
              <w:top w:val="nil"/>
              <w:left w:val="nil"/>
              <w:bottom w:val="nil"/>
              <w:right w:val="nil"/>
              <w:tl2br w:val="nil"/>
              <w:tr2bl w:val="nil"/>
            </w:tcBorders>
            <w:shd w:val="solid" w:color="016794" w:fill="FFFFFF"/>
            <w:tcMar>
              <w:left w:w="60" w:type="dxa"/>
              <w:right w:w="60" w:type="dxa"/>
            </w:tcMar>
            <w:vAlign w:val="center"/>
          </w:tcPr>
          <w:p>
            <w:pPr>
              <w:pStyle w:val="DMETW19868BIPNAS"/>
              <w:jc w:val="right"/>
              <w:rPr>
                <w:rFonts w:ascii="Verdana" w:eastAsia="Verdana" w:hAnsi="Verdana" w:cs="Verdana"/>
                <w:noProof/>
                <w:color w:val="FFFFFF"/>
              </w:rPr>
            </w:pPr>
            <w:r>
              <w:rPr>
                <w:rFonts w:ascii="Verdana" w:hAnsi="Verdana"/>
                <w:noProof/>
                <w:color w:val="FFFFFF"/>
              </w:rPr>
              <w:t>SEK</w:t>
            </w:r>
          </w:p>
        </w:tc>
      </w:tr>
      <w:tr>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pPr>
              <w:pStyle w:val="DMETW19868BIPNAS"/>
              <w:rPr>
                <w:rFonts w:ascii="Verdana" w:eastAsia="Verdana" w:hAnsi="Verdana" w:cs="Verdana"/>
                <w:i/>
                <w:noProof/>
                <w:color w:val="000000"/>
                <w:sz w:val="18"/>
              </w:rPr>
            </w:pPr>
            <w:r>
              <w:rPr>
                <w:rFonts w:ascii="Verdana" w:hAnsi="Verdana"/>
                <w:i/>
                <w:noProof/>
                <w:color w:val="000000"/>
                <w:sz w:val="18"/>
              </w:rPr>
              <w:t>2020 г.</w:t>
            </w:r>
          </w:p>
        </w:tc>
        <w:tc>
          <w:tcPr>
            <w:tcW w:w="1399" w:type="dxa"/>
            <w:tcBorders>
              <w:top w:val="nil"/>
              <w:left w:val="nil"/>
              <w:bottom w:val="nil"/>
              <w:right w:val="nil"/>
              <w:tl2br w:val="nil"/>
              <w:tr2bl w:val="nil"/>
            </w:tcBorders>
            <w:shd w:val="clear" w:color="auto" w:fill="auto"/>
            <w:tcMar>
              <w:left w:w="60" w:type="dxa"/>
              <w:right w:w="60" w:type="dxa"/>
            </w:tcMar>
            <w:vAlign w:val="center"/>
          </w:tcPr>
          <w:p>
            <w:pPr>
              <w:pStyle w:val="DMETW19868BIPNAS"/>
              <w:jc w:val="right"/>
              <w:rPr>
                <w:rFonts w:ascii="Verdana" w:eastAsia="Verdana" w:hAnsi="Verdana" w:cs="Verdana"/>
                <w:i/>
                <w:noProof/>
                <w:color w:val="000000"/>
                <w:sz w:val="18"/>
              </w:rPr>
            </w:pPr>
            <w:r>
              <w:rPr>
                <w:rFonts w:ascii="Verdana" w:hAnsi="Verdana"/>
                <w:i/>
                <w:noProof/>
                <w:color w:val="000000"/>
                <w:sz w:val="18"/>
              </w:rPr>
              <w:t xml:space="preserve"> (17)</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68BIPNAS"/>
              <w:jc w:val="right"/>
              <w:rPr>
                <w:rFonts w:ascii="Verdana" w:eastAsia="Verdana" w:hAnsi="Verdana" w:cs="Verdana"/>
                <w:i/>
                <w:noProof/>
                <w:color w:val="000000"/>
                <w:sz w:val="18"/>
              </w:rPr>
            </w:pPr>
            <w:r>
              <w:rPr>
                <w:rFonts w:ascii="Verdana" w:hAnsi="Verdana"/>
                <w:i/>
                <w:noProof/>
                <w:color w:val="000000"/>
                <w:sz w:val="18"/>
              </w:rPr>
              <w:t xml:space="preserve"> (4)</w:t>
            </w:r>
          </w:p>
        </w:tc>
        <w:tc>
          <w:tcPr>
            <w:tcW w:w="1246" w:type="dxa"/>
            <w:tcBorders>
              <w:top w:val="nil"/>
              <w:left w:val="nil"/>
              <w:bottom w:val="nil"/>
              <w:right w:val="nil"/>
              <w:tl2br w:val="nil"/>
              <w:tr2bl w:val="nil"/>
            </w:tcBorders>
            <w:shd w:val="clear" w:color="auto" w:fill="auto"/>
            <w:tcMar>
              <w:left w:w="60" w:type="dxa"/>
              <w:right w:w="60" w:type="dxa"/>
            </w:tcMar>
            <w:vAlign w:val="center"/>
          </w:tcPr>
          <w:p>
            <w:pPr>
              <w:pStyle w:val="DMETW19868BIPNAS"/>
              <w:jc w:val="right"/>
              <w:rPr>
                <w:rFonts w:ascii="Verdana" w:eastAsia="Verdana" w:hAnsi="Verdana" w:cs="Verdana"/>
                <w:i/>
                <w:noProof/>
                <w:color w:val="000000"/>
                <w:sz w:val="18"/>
              </w:rPr>
            </w:pPr>
            <w:r>
              <w:rPr>
                <w:rFonts w:ascii="Verdana" w:hAnsi="Verdana"/>
                <w:i/>
                <w:noProof/>
                <w:color w:val="000000"/>
                <w:sz w:val="18"/>
              </w:rPr>
              <w:t xml:space="preserve"> (1)</w:t>
            </w:r>
          </w:p>
        </w:tc>
        <w:tc>
          <w:tcPr>
            <w:tcW w:w="1210" w:type="dxa"/>
            <w:tcBorders>
              <w:top w:val="nil"/>
              <w:left w:val="nil"/>
              <w:bottom w:val="nil"/>
              <w:right w:val="nil"/>
              <w:tl2br w:val="nil"/>
              <w:tr2bl w:val="nil"/>
            </w:tcBorders>
            <w:shd w:val="clear" w:color="auto" w:fill="auto"/>
            <w:tcMar>
              <w:left w:w="60" w:type="dxa"/>
              <w:right w:w="60" w:type="dxa"/>
            </w:tcMar>
            <w:vAlign w:val="center"/>
          </w:tcPr>
          <w:p>
            <w:pPr>
              <w:pStyle w:val="DMETW19868BIPNAS"/>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pPr>
              <w:pStyle w:val="DMETW19868BIPNAS"/>
              <w:rPr>
                <w:rFonts w:ascii="Verdana" w:eastAsia="Verdana" w:hAnsi="Verdana" w:cs="Verdana"/>
                <w:i/>
                <w:noProof/>
                <w:color w:val="000000"/>
                <w:sz w:val="18"/>
              </w:rPr>
            </w:pPr>
            <w:r>
              <w:rPr>
                <w:rFonts w:ascii="Verdana" w:hAnsi="Verdana"/>
                <w:i/>
                <w:noProof/>
                <w:color w:val="000000"/>
                <w:sz w:val="18"/>
              </w:rPr>
              <w:t>2019 г.</w:t>
            </w:r>
          </w:p>
        </w:tc>
        <w:tc>
          <w:tcPr>
            <w:tcW w:w="1399" w:type="dxa"/>
            <w:tcBorders>
              <w:top w:val="nil"/>
              <w:left w:val="nil"/>
              <w:bottom w:val="nil"/>
              <w:right w:val="nil"/>
              <w:tl2br w:val="nil"/>
              <w:tr2bl w:val="nil"/>
            </w:tcBorders>
            <w:shd w:val="clear" w:color="auto" w:fill="auto"/>
            <w:tcMar>
              <w:left w:w="60" w:type="dxa"/>
              <w:right w:w="60" w:type="dxa"/>
            </w:tcMar>
            <w:vAlign w:val="center"/>
          </w:tcPr>
          <w:p>
            <w:pPr>
              <w:pStyle w:val="DMETW19868BIPNAS"/>
              <w:jc w:val="right"/>
              <w:rPr>
                <w:rFonts w:ascii="Verdana" w:eastAsia="Verdana" w:hAnsi="Verdana" w:cs="Verdana"/>
                <w:i/>
                <w:noProof/>
                <w:color w:val="000000"/>
                <w:sz w:val="18"/>
              </w:rPr>
            </w:pPr>
            <w:r>
              <w:rPr>
                <w:rFonts w:ascii="Verdana" w:hAnsi="Verdana"/>
                <w:i/>
                <w:noProof/>
                <w:color w:val="000000"/>
                <w:sz w:val="18"/>
              </w:rPr>
              <w:t xml:space="preserve"> (17)</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68BIPNAS"/>
              <w:jc w:val="right"/>
              <w:rPr>
                <w:rFonts w:ascii="Verdana" w:eastAsia="Verdana" w:hAnsi="Verdana" w:cs="Verdana"/>
                <w:i/>
                <w:noProof/>
                <w:color w:val="000000"/>
                <w:sz w:val="18"/>
              </w:rPr>
            </w:pPr>
            <w:r>
              <w:rPr>
                <w:rFonts w:ascii="Verdana" w:hAnsi="Verdana"/>
                <w:i/>
                <w:noProof/>
                <w:color w:val="000000"/>
                <w:sz w:val="18"/>
              </w:rPr>
              <w:t xml:space="preserve"> (6)</w:t>
            </w:r>
          </w:p>
        </w:tc>
        <w:tc>
          <w:tcPr>
            <w:tcW w:w="1246" w:type="dxa"/>
            <w:tcBorders>
              <w:top w:val="nil"/>
              <w:left w:val="nil"/>
              <w:bottom w:val="nil"/>
              <w:right w:val="nil"/>
              <w:tl2br w:val="nil"/>
              <w:tr2bl w:val="nil"/>
            </w:tcBorders>
            <w:shd w:val="clear" w:color="auto" w:fill="auto"/>
            <w:tcMar>
              <w:left w:w="60" w:type="dxa"/>
              <w:right w:w="60" w:type="dxa"/>
            </w:tcMar>
            <w:vAlign w:val="center"/>
          </w:tcPr>
          <w:p>
            <w:pPr>
              <w:pStyle w:val="DMETW19868BIPNAS"/>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pPr>
              <w:pStyle w:val="DMETW19868BIPNAS"/>
              <w:jc w:val="right"/>
              <w:rPr>
                <w:rFonts w:ascii="Verdana" w:eastAsia="Verdana" w:hAnsi="Verdana" w:cs="Verdana"/>
                <w:i/>
                <w:noProof/>
                <w:color w:val="000000"/>
                <w:sz w:val="18"/>
              </w:rPr>
            </w:pPr>
            <w:r>
              <w:rPr>
                <w:rFonts w:ascii="Verdana" w:hAnsi="Verdana"/>
                <w:i/>
                <w:noProof/>
                <w:color w:val="000000"/>
                <w:sz w:val="18"/>
              </w:rPr>
              <w:t xml:space="preserve"> (1)</w:t>
            </w:r>
          </w:p>
        </w:tc>
      </w:tr>
    </w:tbl>
    <w:p>
      <w:pPr>
        <w:pStyle w:val="Textstand-alone"/>
      </w:pPr>
    </w:p>
    <w:p>
      <w:pPr>
        <w:pStyle w:val="Textstand-alone"/>
      </w:pPr>
      <w:r>
        <w:t>Ако еврото се беше обезценило с 10 % спрямо тези валути, ефектът от това щеше да е следният: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1293"/>
        <w:gridCol w:w="1294"/>
        <w:gridCol w:w="1294"/>
        <w:gridCol w:w="1294"/>
      </w:tblGrid>
      <w:tr>
        <w:trPr>
          <w:trHeight w:val="255"/>
        </w:trPr>
        <w:tc>
          <w:tcPr>
            <w:tcW w:w="4583" w:type="dxa"/>
            <w:tcBorders>
              <w:top w:val="nil"/>
              <w:left w:val="nil"/>
              <w:bottom w:val="nil"/>
              <w:right w:val="nil"/>
              <w:tl2br w:val="nil"/>
              <w:tr2bl w:val="nil"/>
            </w:tcBorders>
            <w:shd w:val="clear" w:color="auto" w:fill="auto"/>
            <w:tcMar>
              <w:left w:w="60" w:type="dxa"/>
              <w:right w:w="60" w:type="dxa"/>
            </w:tcMar>
            <w:vAlign w:val="bottom"/>
          </w:tcPr>
          <w:p>
            <w:pPr>
              <w:pStyle w:val="DMETW19868BIPSDW"/>
              <w:rPr>
                <w:rFonts w:ascii="Arial" w:eastAsia="Arial" w:hAnsi="Arial" w:cs="Arial"/>
                <w:noProof/>
                <w:color w:val="000000"/>
              </w:rPr>
            </w:pPr>
            <w:bookmarkStart w:id="200" w:name="DOC_TBL00090_1_1"/>
            <w:bookmarkEnd w:id="200"/>
          </w:p>
        </w:tc>
        <w:tc>
          <w:tcPr>
            <w:tcW w:w="1293" w:type="dxa"/>
            <w:tcBorders>
              <w:top w:val="nil"/>
              <w:left w:val="nil"/>
              <w:bottom w:val="nil"/>
              <w:right w:val="nil"/>
              <w:tl2br w:val="nil"/>
              <w:tr2bl w:val="nil"/>
            </w:tcBorders>
            <w:shd w:val="clear" w:color="auto" w:fill="auto"/>
            <w:tcMar>
              <w:left w:w="60" w:type="dxa"/>
              <w:right w:w="60" w:type="dxa"/>
            </w:tcMar>
            <w:vAlign w:val="bottom"/>
          </w:tcPr>
          <w:p>
            <w:pPr>
              <w:pStyle w:val="DMETW19868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pPr>
              <w:pStyle w:val="DMETW19868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pPr>
              <w:pStyle w:val="DMETW19868BIPSDW"/>
              <w:rPr>
                <w:rFonts w:ascii="Arial" w:eastAsia="Arial" w:hAnsi="Arial" w:cs="Arial"/>
                <w:noProof/>
                <w:color w:val="000000"/>
              </w:rPr>
            </w:pPr>
          </w:p>
        </w:tc>
        <w:tc>
          <w:tcPr>
            <w:tcW w:w="1294" w:type="dxa"/>
            <w:tcBorders>
              <w:top w:val="nil"/>
              <w:left w:val="nil"/>
              <w:bottom w:val="nil"/>
              <w:right w:val="nil"/>
              <w:tl2br w:val="nil"/>
              <w:tr2bl w:val="nil"/>
            </w:tcBorders>
            <w:shd w:val="clear" w:color="auto" w:fill="auto"/>
            <w:tcMar>
              <w:left w:w="60" w:type="dxa"/>
              <w:right w:w="60" w:type="dxa"/>
            </w:tcMar>
            <w:vAlign w:val="bottom"/>
          </w:tcPr>
          <w:p>
            <w:pPr>
              <w:pStyle w:val="DMETW19868BIPSDW"/>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pPr>
              <w:pStyle w:val="DMETW19868BIPSDW"/>
              <w:jc w:val="right"/>
              <w:rPr>
                <w:rFonts w:ascii="Verdana" w:eastAsia="Verdana" w:hAnsi="Verdana" w:cs="Verdana"/>
                <w:noProof/>
                <w:color w:val="FFFFFF"/>
              </w:rPr>
            </w:pPr>
          </w:p>
        </w:tc>
        <w:tc>
          <w:tcPr>
            <w:tcW w:w="1293"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68BIPSDW"/>
              <w:jc w:val="center"/>
              <w:rPr>
                <w:rFonts w:ascii="Verdana" w:eastAsia="Verdana" w:hAnsi="Verdana" w:cs="Verdana"/>
                <w:noProof/>
                <w:color w:val="FFFFFF"/>
              </w:rPr>
            </w:pPr>
            <w:r>
              <w:rPr>
                <w:rFonts w:ascii="Verdana" w:hAnsi="Verdana"/>
                <w:noProof/>
                <w:color w:val="FFFFFF"/>
              </w:rPr>
              <w:t>Финансов резултат</w:t>
            </w:r>
          </w:p>
        </w:tc>
      </w:tr>
      <w:tr>
        <w:trPr>
          <w:trHeight w:val="255"/>
        </w:trPr>
        <w:tc>
          <w:tcPr>
            <w:tcW w:w="4583" w:type="dxa"/>
            <w:tcBorders>
              <w:top w:val="nil"/>
              <w:left w:val="nil"/>
              <w:bottom w:val="nil"/>
              <w:right w:val="nil"/>
              <w:tl2br w:val="nil"/>
              <w:tr2bl w:val="nil"/>
            </w:tcBorders>
            <w:shd w:val="solid" w:color="016794" w:fill="FFFFFF"/>
            <w:tcMar>
              <w:left w:w="60" w:type="dxa"/>
              <w:right w:w="60" w:type="dxa"/>
            </w:tcMar>
            <w:vAlign w:val="center"/>
          </w:tcPr>
          <w:p>
            <w:pPr>
              <w:pStyle w:val="DMETW19868BIPSDW"/>
              <w:jc w:val="right"/>
              <w:rPr>
                <w:rFonts w:ascii="Verdana" w:eastAsia="Verdana" w:hAnsi="Verdana" w:cs="Verdana"/>
                <w:noProof/>
                <w:color w:val="FFFFFF"/>
              </w:rPr>
            </w:pPr>
          </w:p>
        </w:tc>
        <w:tc>
          <w:tcPr>
            <w:tcW w:w="1293" w:type="dxa"/>
            <w:tcBorders>
              <w:top w:val="nil"/>
              <w:left w:val="nil"/>
              <w:bottom w:val="nil"/>
              <w:right w:val="nil"/>
              <w:tl2br w:val="nil"/>
              <w:tr2bl w:val="nil"/>
            </w:tcBorders>
            <w:shd w:val="solid" w:color="016794" w:fill="FFFFFF"/>
            <w:tcMar>
              <w:left w:w="60" w:type="dxa"/>
              <w:right w:w="60" w:type="dxa"/>
            </w:tcMar>
            <w:vAlign w:val="center"/>
          </w:tcPr>
          <w:p>
            <w:pPr>
              <w:pStyle w:val="DMETW19868BIPSDW"/>
              <w:jc w:val="right"/>
              <w:rPr>
                <w:rFonts w:ascii="Verdana" w:eastAsia="Verdana" w:hAnsi="Verdana" w:cs="Verdana"/>
                <w:noProof/>
                <w:color w:val="FFFFFF"/>
              </w:rPr>
            </w:pPr>
            <w:r>
              <w:rPr>
                <w:rFonts w:ascii="Verdana" w:hAnsi="Verdana"/>
                <w:noProof/>
                <w:color w:val="FFFFFF"/>
              </w:rPr>
              <w:t>USD</w:t>
            </w:r>
          </w:p>
        </w:tc>
        <w:tc>
          <w:tcPr>
            <w:tcW w:w="1294" w:type="dxa"/>
            <w:tcBorders>
              <w:top w:val="nil"/>
              <w:left w:val="nil"/>
              <w:bottom w:val="nil"/>
              <w:right w:val="nil"/>
              <w:tl2br w:val="nil"/>
              <w:tr2bl w:val="nil"/>
            </w:tcBorders>
            <w:shd w:val="solid" w:color="016794" w:fill="FFFFFF"/>
            <w:tcMar>
              <w:left w:w="60" w:type="dxa"/>
              <w:right w:w="60" w:type="dxa"/>
            </w:tcMar>
            <w:vAlign w:val="center"/>
          </w:tcPr>
          <w:p>
            <w:pPr>
              <w:pStyle w:val="DMETW19868BIPSDW"/>
              <w:jc w:val="right"/>
              <w:rPr>
                <w:rFonts w:ascii="Verdana" w:eastAsia="Verdana" w:hAnsi="Verdana" w:cs="Verdana"/>
                <w:noProof/>
                <w:color w:val="FFFFFF"/>
              </w:rPr>
            </w:pPr>
            <w:r>
              <w:rPr>
                <w:rFonts w:ascii="Verdana" w:hAnsi="Verdana"/>
                <w:noProof/>
                <w:color w:val="FFFFFF"/>
              </w:rPr>
              <w:t>GBP</w:t>
            </w:r>
          </w:p>
        </w:tc>
        <w:tc>
          <w:tcPr>
            <w:tcW w:w="1294" w:type="dxa"/>
            <w:tcBorders>
              <w:top w:val="nil"/>
              <w:left w:val="nil"/>
              <w:bottom w:val="nil"/>
              <w:right w:val="nil"/>
              <w:tl2br w:val="nil"/>
              <w:tr2bl w:val="nil"/>
            </w:tcBorders>
            <w:shd w:val="solid" w:color="016794" w:fill="FFFFFF"/>
            <w:tcMar>
              <w:left w:w="60" w:type="dxa"/>
              <w:right w:w="60" w:type="dxa"/>
            </w:tcMar>
            <w:vAlign w:val="center"/>
          </w:tcPr>
          <w:p>
            <w:pPr>
              <w:pStyle w:val="DMETW19868BIPSDW"/>
              <w:jc w:val="right"/>
              <w:rPr>
                <w:rFonts w:ascii="Verdana" w:eastAsia="Verdana" w:hAnsi="Verdana" w:cs="Verdana"/>
                <w:noProof/>
                <w:color w:val="FFFFFF"/>
              </w:rPr>
            </w:pPr>
            <w:r>
              <w:rPr>
                <w:rFonts w:ascii="Verdana" w:hAnsi="Verdana"/>
                <w:noProof/>
                <w:color w:val="FFFFFF"/>
              </w:rPr>
              <w:t>DKK</w:t>
            </w:r>
          </w:p>
        </w:tc>
        <w:tc>
          <w:tcPr>
            <w:tcW w:w="1294" w:type="dxa"/>
            <w:tcBorders>
              <w:top w:val="nil"/>
              <w:left w:val="nil"/>
              <w:bottom w:val="nil"/>
              <w:right w:val="nil"/>
              <w:tl2br w:val="nil"/>
              <w:tr2bl w:val="nil"/>
            </w:tcBorders>
            <w:shd w:val="solid" w:color="016794" w:fill="FFFFFF"/>
            <w:tcMar>
              <w:left w:w="60" w:type="dxa"/>
              <w:right w:w="60" w:type="dxa"/>
            </w:tcMar>
            <w:vAlign w:val="center"/>
          </w:tcPr>
          <w:p>
            <w:pPr>
              <w:pStyle w:val="DMETW19868BIPSDW"/>
              <w:jc w:val="right"/>
              <w:rPr>
                <w:rFonts w:ascii="Verdana" w:eastAsia="Verdana" w:hAnsi="Verdana" w:cs="Verdana"/>
                <w:noProof/>
                <w:color w:val="FFFFFF"/>
              </w:rPr>
            </w:pPr>
            <w:r>
              <w:rPr>
                <w:rFonts w:ascii="Verdana" w:hAnsi="Verdana"/>
                <w:noProof/>
                <w:color w:val="FFFFFF"/>
              </w:rPr>
              <w:t>SEK</w:t>
            </w:r>
          </w:p>
        </w:tc>
      </w:tr>
      <w:tr>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pPr>
              <w:pStyle w:val="DMETW19868BIPSDW"/>
              <w:rPr>
                <w:rFonts w:ascii="Verdana" w:eastAsia="Verdana" w:hAnsi="Verdana" w:cs="Verdana"/>
                <w:i/>
                <w:noProof/>
                <w:color w:val="000000"/>
                <w:sz w:val="18"/>
              </w:rPr>
            </w:pPr>
            <w:r>
              <w:rPr>
                <w:rFonts w:ascii="Verdana" w:hAnsi="Verdana"/>
                <w:i/>
                <w:noProof/>
                <w:color w:val="000000"/>
                <w:sz w:val="18"/>
              </w:rPr>
              <w:t>2020 г.</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9868BIPSDW"/>
              <w:jc w:val="right"/>
              <w:rPr>
                <w:rFonts w:ascii="Verdana" w:eastAsia="Verdana" w:hAnsi="Verdana" w:cs="Verdana"/>
                <w:i/>
                <w:noProof/>
                <w:color w:val="000000"/>
                <w:sz w:val="18"/>
              </w:rPr>
            </w:pPr>
            <w:r>
              <w:rPr>
                <w:rFonts w:ascii="Verdana" w:hAnsi="Verdana"/>
                <w:i/>
                <w:noProof/>
                <w:color w:val="000000"/>
                <w:sz w:val="18"/>
              </w:rPr>
              <w:t xml:space="preserve"> 16</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W"/>
              <w:jc w:val="right"/>
              <w:rPr>
                <w:rFonts w:ascii="Verdana" w:eastAsia="Verdana" w:hAnsi="Verdana" w:cs="Verdana"/>
                <w:i/>
                <w:noProof/>
                <w:color w:val="000000"/>
                <w:sz w:val="18"/>
              </w:rPr>
            </w:pPr>
            <w:r>
              <w:rPr>
                <w:rFonts w:ascii="Verdana" w:hAnsi="Verdana"/>
                <w:i/>
                <w:noProof/>
                <w:color w:val="000000"/>
                <w:sz w:val="18"/>
              </w:rPr>
              <w:t xml:space="preserve"> 146</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W"/>
              <w:jc w:val="right"/>
              <w:rPr>
                <w:rFonts w:ascii="Verdana" w:eastAsia="Verdana" w:hAnsi="Verdana" w:cs="Verdana"/>
                <w:i/>
                <w:noProof/>
                <w:color w:val="000000"/>
                <w:sz w:val="18"/>
              </w:rPr>
            </w:pPr>
            <w:r>
              <w:rPr>
                <w:rFonts w:ascii="Verdana" w:hAnsi="Verdana"/>
                <w:i/>
                <w:noProof/>
                <w:color w:val="000000"/>
                <w:sz w:val="18"/>
              </w:rPr>
              <w:t xml:space="preserve"> 33</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W"/>
              <w:jc w:val="right"/>
              <w:rPr>
                <w:rFonts w:ascii="Verdana" w:eastAsia="Verdana" w:hAnsi="Verdana" w:cs="Verdana"/>
                <w:i/>
                <w:noProof/>
                <w:color w:val="000000"/>
                <w:sz w:val="18"/>
              </w:rPr>
            </w:pPr>
            <w:r>
              <w:rPr>
                <w:rFonts w:ascii="Verdana" w:hAnsi="Verdana"/>
                <w:i/>
                <w:noProof/>
                <w:color w:val="000000"/>
                <w:sz w:val="18"/>
              </w:rPr>
              <w:t xml:space="preserve"> 60</w:t>
            </w:r>
          </w:p>
        </w:tc>
      </w:tr>
      <w:tr>
        <w:trPr>
          <w:trHeight w:val="255"/>
        </w:trPr>
        <w:tc>
          <w:tcPr>
            <w:tcW w:w="4583" w:type="dxa"/>
            <w:tcBorders>
              <w:top w:val="nil"/>
              <w:left w:val="nil"/>
              <w:bottom w:val="nil"/>
              <w:right w:val="nil"/>
              <w:tl2br w:val="nil"/>
              <w:tr2bl w:val="nil"/>
            </w:tcBorders>
            <w:shd w:val="clear" w:color="auto" w:fill="auto"/>
            <w:tcMar>
              <w:left w:w="60" w:type="dxa"/>
              <w:right w:w="60" w:type="dxa"/>
            </w:tcMar>
            <w:vAlign w:val="center"/>
          </w:tcPr>
          <w:p>
            <w:pPr>
              <w:pStyle w:val="DMETW19868BIPSDW"/>
              <w:rPr>
                <w:rFonts w:ascii="Verdana" w:eastAsia="Verdana" w:hAnsi="Verdana" w:cs="Verdana"/>
                <w:i/>
                <w:noProof/>
                <w:color w:val="000000"/>
                <w:sz w:val="18"/>
              </w:rPr>
            </w:pPr>
            <w:r>
              <w:rPr>
                <w:rFonts w:ascii="Verdana" w:hAnsi="Verdana"/>
                <w:i/>
                <w:noProof/>
                <w:color w:val="000000"/>
                <w:sz w:val="18"/>
              </w:rPr>
              <w:t>2019 г.</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9868BIPSDW"/>
              <w:jc w:val="right"/>
              <w:rPr>
                <w:rFonts w:ascii="Verdana" w:eastAsia="Verdana" w:hAnsi="Verdana" w:cs="Verdana"/>
                <w:i/>
                <w:noProof/>
                <w:color w:val="000000"/>
                <w:sz w:val="18"/>
              </w:rPr>
            </w:pPr>
            <w:r>
              <w:rPr>
                <w:rFonts w:ascii="Verdana" w:hAnsi="Verdana"/>
                <w:i/>
                <w:noProof/>
                <w:color w:val="000000"/>
                <w:sz w:val="18"/>
              </w:rPr>
              <w:t xml:space="preserve"> 17</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W"/>
              <w:jc w:val="right"/>
              <w:rPr>
                <w:rFonts w:ascii="Verdana" w:eastAsia="Verdana" w:hAnsi="Verdana" w:cs="Verdana"/>
                <w:i/>
                <w:noProof/>
                <w:color w:val="000000"/>
                <w:sz w:val="18"/>
              </w:rPr>
            </w:pPr>
            <w:r>
              <w:rPr>
                <w:rFonts w:ascii="Verdana" w:hAnsi="Verdana"/>
                <w:i/>
                <w:noProof/>
                <w:color w:val="000000"/>
                <w:sz w:val="18"/>
              </w:rPr>
              <w:t xml:space="preserve"> 127</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W"/>
              <w:jc w:val="right"/>
              <w:rPr>
                <w:rFonts w:ascii="Verdana" w:eastAsia="Verdana" w:hAnsi="Verdana" w:cs="Verdana"/>
                <w:i/>
                <w:noProof/>
                <w:color w:val="000000"/>
                <w:sz w:val="18"/>
              </w:rPr>
            </w:pPr>
            <w:r>
              <w:rPr>
                <w:rFonts w:ascii="Verdana" w:hAnsi="Verdana"/>
                <w:i/>
                <w:noProof/>
                <w:color w:val="000000"/>
                <w:sz w:val="18"/>
              </w:rPr>
              <w:t xml:space="preserve"> 42</w:t>
            </w:r>
          </w:p>
        </w:tc>
        <w:tc>
          <w:tcPr>
            <w:tcW w:w="1294" w:type="dxa"/>
            <w:tcBorders>
              <w:top w:val="nil"/>
              <w:left w:val="nil"/>
              <w:bottom w:val="nil"/>
              <w:right w:val="nil"/>
              <w:tl2br w:val="nil"/>
              <w:tr2bl w:val="nil"/>
            </w:tcBorders>
            <w:shd w:val="clear" w:color="auto" w:fill="auto"/>
            <w:tcMar>
              <w:left w:w="60" w:type="dxa"/>
              <w:right w:w="60" w:type="dxa"/>
            </w:tcMar>
            <w:vAlign w:val="center"/>
          </w:tcPr>
          <w:p>
            <w:pPr>
              <w:pStyle w:val="DMETW19868BIPSDW"/>
              <w:jc w:val="right"/>
              <w:rPr>
                <w:rFonts w:ascii="Verdana" w:eastAsia="Verdana" w:hAnsi="Verdana" w:cs="Verdana"/>
                <w:i/>
                <w:noProof/>
                <w:color w:val="000000"/>
                <w:sz w:val="18"/>
              </w:rPr>
            </w:pPr>
            <w:r>
              <w:rPr>
                <w:rFonts w:ascii="Verdana" w:hAnsi="Verdana"/>
                <w:i/>
                <w:noProof/>
                <w:color w:val="000000"/>
                <w:sz w:val="18"/>
              </w:rPr>
              <w:t xml:space="preserve"> 58</w:t>
            </w:r>
          </w:p>
        </w:tc>
      </w:tr>
    </w:tbl>
    <w:p>
      <w:pPr>
        <w:pStyle w:val="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1399"/>
        <w:gridCol w:w="1352"/>
        <w:gridCol w:w="1246"/>
        <w:gridCol w:w="1210"/>
      </w:tblGrid>
      <w:tr>
        <w:trPr>
          <w:trHeight w:val="255"/>
        </w:trPr>
        <w:tc>
          <w:tcPr>
            <w:tcW w:w="4551" w:type="dxa"/>
            <w:tcBorders>
              <w:top w:val="nil"/>
              <w:left w:val="nil"/>
              <w:bottom w:val="nil"/>
              <w:right w:val="nil"/>
              <w:tl2br w:val="nil"/>
              <w:tr2bl w:val="nil"/>
            </w:tcBorders>
            <w:shd w:val="clear" w:color="auto" w:fill="auto"/>
            <w:tcMar>
              <w:left w:w="60" w:type="dxa"/>
              <w:right w:w="60" w:type="dxa"/>
            </w:tcMar>
            <w:vAlign w:val="bottom"/>
          </w:tcPr>
          <w:p>
            <w:pPr>
              <w:pStyle w:val="DMETW19868BIPNAW"/>
              <w:rPr>
                <w:rFonts w:ascii="Arial" w:eastAsia="Arial" w:hAnsi="Arial" w:cs="Arial"/>
                <w:noProof/>
                <w:color w:val="000000"/>
              </w:rPr>
            </w:pPr>
            <w:bookmarkStart w:id="201" w:name="DOC_TBL00091_1_1"/>
            <w:bookmarkEnd w:id="201"/>
          </w:p>
        </w:tc>
        <w:tc>
          <w:tcPr>
            <w:tcW w:w="1399" w:type="dxa"/>
            <w:tcBorders>
              <w:top w:val="nil"/>
              <w:left w:val="nil"/>
              <w:bottom w:val="nil"/>
              <w:right w:val="nil"/>
              <w:tl2br w:val="nil"/>
              <w:tr2bl w:val="nil"/>
            </w:tcBorders>
            <w:shd w:val="clear" w:color="auto" w:fill="auto"/>
            <w:tcMar>
              <w:left w:w="60" w:type="dxa"/>
              <w:right w:w="60" w:type="dxa"/>
            </w:tcMar>
            <w:vAlign w:val="bottom"/>
          </w:tcPr>
          <w:p>
            <w:pPr>
              <w:pStyle w:val="DMETW19868BIPNAW"/>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pPr>
              <w:pStyle w:val="DMETW19868BIPNAW"/>
              <w:rPr>
                <w:rFonts w:ascii="Arial" w:eastAsia="Arial" w:hAnsi="Arial" w:cs="Arial"/>
                <w:noProof/>
                <w:color w:val="000000"/>
              </w:rPr>
            </w:pPr>
          </w:p>
        </w:tc>
        <w:tc>
          <w:tcPr>
            <w:tcW w:w="1246" w:type="dxa"/>
            <w:tcBorders>
              <w:top w:val="nil"/>
              <w:left w:val="nil"/>
              <w:bottom w:val="nil"/>
              <w:right w:val="nil"/>
              <w:tl2br w:val="nil"/>
              <w:tr2bl w:val="nil"/>
            </w:tcBorders>
            <w:shd w:val="clear" w:color="auto" w:fill="auto"/>
            <w:tcMar>
              <w:left w:w="60" w:type="dxa"/>
              <w:right w:w="60" w:type="dxa"/>
            </w:tcMar>
            <w:vAlign w:val="bottom"/>
          </w:tcPr>
          <w:p>
            <w:pPr>
              <w:pStyle w:val="DMETW19868BIPNAW"/>
              <w:rPr>
                <w:rFonts w:ascii="Arial" w:eastAsia="Arial" w:hAnsi="Arial" w:cs="Arial"/>
                <w:noProof/>
                <w:color w:val="000000"/>
              </w:rPr>
            </w:pPr>
          </w:p>
        </w:tc>
        <w:tc>
          <w:tcPr>
            <w:tcW w:w="1210" w:type="dxa"/>
            <w:tcBorders>
              <w:top w:val="nil"/>
              <w:left w:val="nil"/>
              <w:bottom w:val="nil"/>
              <w:right w:val="nil"/>
              <w:tl2br w:val="nil"/>
              <w:tr2bl w:val="nil"/>
            </w:tcBorders>
            <w:shd w:val="clear" w:color="auto" w:fill="auto"/>
            <w:tcMar>
              <w:left w:w="60" w:type="dxa"/>
              <w:right w:w="60" w:type="dxa"/>
            </w:tcMar>
            <w:vAlign w:val="bottom"/>
          </w:tcPr>
          <w:p>
            <w:pPr>
              <w:pStyle w:val="DMETW19868BIPNAW"/>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pPr>
              <w:pStyle w:val="DMETW19868BIPNAW"/>
              <w:jc w:val="right"/>
              <w:rPr>
                <w:rFonts w:ascii="Verdana" w:eastAsia="Verdana" w:hAnsi="Verdana" w:cs="Verdana"/>
                <w:noProof/>
                <w:color w:val="FFFFFF"/>
              </w:rPr>
            </w:pPr>
          </w:p>
        </w:tc>
        <w:tc>
          <w:tcPr>
            <w:tcW w:w="1399"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68BIPNAW"/>
              <w:jc w:val="center"/>
              <w:rPr>
                <w:rFonts w:ascii="Verdana" w:eastAsia="Verdana" w:hAnsi="Verdana" w:cs="Verdana"/>
                <w:noProof/>
                <w:color w:val="FFFFFF"/>
              </w:rPr>
            </w:pPr>
            <w:r>
              <w:rPr>
                <w:rFonts w:ascii="Verdana" w:hAnsi="Verdana"/>
                <w:noProof/>
                <w:color w:val="FFFFFF"/>
              </w:rPr>
              <w:t>Нетни активи</w:t>
            </w:r>
          </w:p>
        </w:tc>
      </w:tr>
      <w:tr>
        <w:trPr>
          <w:trHeight w:val="255"/>
        </w:trPr>
        <w:tc>
          <w:tcPr>
            <w:tcW w:w="4551" w:type="dxa"/>
            <w:tcBorders>
              <w:top w:val="nil"/>
              <w:left w:val="nil"/>
              <w:bottom w:val="nil"/>
              <w:right w:val="nil"/>
              <w:tl2br w:val="nil"/>
              <w:tr2bl w:val="nil"/>
            </w:tcBorders>
            <w:shd w:val="solid" w:color="016794" w:fill="FFFFFF"/>
            <w:tcMar>
              <w:left w:w="60" w:type="dxa"/>
              <w:right w:w="60" w:type="dxa"/>
            </w:tcMar>
            <w:vAlign w:val="center"/>
          </w:tcPr>
          <w:p>
            <w:pPr>
              <w:pStyle w:val="DMETW19868BIPNAW"/>
              <w:jc w:val="right"/>
              <w:rPr>
                <w:rFonts w:ascii="Verdana" w:eastAsia="Verdana" w:hAnsi="Verdana" w:cs="Verdana"/>
                <w:noProof/>
                <w:color w:val="FFFFFF"/>
              </w:rPr>
            </w:pPr>
          </w:p>
        </w:tc>
        <w:tc>
          <w:tcPr>
            <w:tcW w:w="1399" w:type="dxa"/>
            <w:tcBorders>
              <w:top w:val="nil"/>
              <w:left w:val="nil"/>
              <w:bottom w:val="nil"/>
              <w:right w:val="nil"/>
              <w:tl2br w:val="nil"/>
              <w:tr2bl w:val="nil"/>
            </w:tcBorders>
            <w:shd w:val="solid" w:color="016794" w:fill="FFFFFF"/>
            <w:tcMar>
              <w:left w:w="60" w:type="dxa"/>
              <w:right w:w="60" w:type="dxa"/>
            </w:tcMar>
            <w:vAlign w:val="center"/>
          </w:tcPr>
          <w:p>
            <w:pPr>
              <w:pStyle w:val="DMETW19868BIPNAW"/>
              <w:jc w:val="right"/>
              <w:rPr>
                <w:rFonts w:ascii="Verdana" w:eastAsia="Verdana" w:hAnsi="Verdana" w:cs="Verdana"/>
                <w:noProof/>
                <w:color w:val="FFFFFF"/>
              </w:rPr>
            </w:pPr>
            <w:r>
              <w:rPr>
                <w:rFonts w:ascii="Verdana" w:hAnsi="Verdana"/>
                <w:noProof/>
                <w:color w:val="FFFFFF"/>
              </w:rPr>
              <w:t>USD</w:t>
            </w:r>
          </w:p>
        </w:tc>
        <w:tc>
          <w:tcPr>
            <w:tcW w:w="1352" w:type="dxa"/>
            <w:tcBorders>
              <w:top w:val="nil"/>
              <w:left w:val="nil"/>
              <w:bottom w:val="nil"/>
              <w:right w:val="nil"/>
              <w:tl2br w:val="nil"/>
              <w:tr2bl w:val="nil"/>
            </w:tcBorders>
            <w:shd w:val="solid" w:color="016794" w:fill="FFFFFF"/>
            <w:tcMar>
              <w:left w:w="60" w:type="dxa"/>
              <w:right w:w="60" w:type="dxa"/>
            </w:tcMar>
            <w:vAlign w:val="center"/>
          </w:tcPr>
          <w:p>
            <w:pPr>
              <w:pStyle w:val="DMETW19868BIPNAW"/>
              <w:jc w:val="right"/>
              <w:rPr>
                <w:rFonts w:ascii="Verdana" w:eastAsia="Verdana" w:hAnsi="Verdana" w:cs="Verdana"/>
                <w:noProof/>
                <w:color w:val="FFFFFF"/>
              </w:rPr>
            </w:pPr>
            <w:r>
              <w:rPr>
                <w:rFonts w:ascii="Verdana" w:hAnsi="Verdana"/>
                <w:noProof/>
                <w:color w:val="FFFFFF"/>
              </w:rPr>
              <w:t>GBP</w:t>
            </w:r>
          </w:p>
        </w:tc>
        <w:tc>
          <w:tcPr>
            <w:tcW w:w="1246" w:type="dxa"/>
            <w:tcBorders>
              <w:top w:val="nil"/>
              <w:left w:val="nil"/>
              <w:bottom w:val="nil"/>
              <w:right w:val="nil"/>
              <w:tl2br w:val="nil"/>
              <w:tr2bl w:val="nil"/>
            </w:tcBorders>
            <w:shd w:val="solid" w:color="016794" w:fill="FFFFFF"/>
            <w:tcMar>
              <w:left w:w="60" w:type="dxa"/>
              <w:right w:w="60" w:type="dxa"/>
            </w:tcMar>
            <w:vAlign w:val="center"/>
          </w:tcPr>
          <w:p>
            <w:pPr>
              <w:pStyle w:val="DMETW19868BIPNAW"/>
              <w:jc w:val="right"/>
              <w:rPr>
                <w:rFonts w:ascii="Verdana" w:eastAsia="Verdana" w:hAnsi="Verdana" w:cs="Verdana"/>
                <w:noProof/>
                <w:color w:val="FFFFFF"/>
              </w:rPr>
            </w:pPr>
            <w:r>
              <w:rPr>
                <w:rFonts w:ascii="Verdana" w:hAnsi="Verdana"/>
                <w:noProof/>
                <w:color w:val="FFFFFF"/>
              </w:rPr>
              <w:t>DKK</w:t>
            </w:r>
          </w:p>
        </w:tc>
        <w:tc>
          <w:tcPr>
            <w:tcW w:w="1210" w:type="dxa"/>
            <w:tcBorders>
              <w:top w:val="nil"/>
              <w:left w:val="nil"/>
              <w:bottom w:val="nil"/>
              <w:right w:val="nil"/>
              <w:tl2br w:val="nil"/>
              <w:tr2bl w:val="nil"/>
            </w:tcBorders>
            <w:shd w:val="solid" w:color="016794" w:fill="FFFFFF"/>
            <w:tcMar>
              <w:left w:w="60" w:type="dxa"/>
              <w:right w:w="60" w:type="dxa"/>
            </w:tcMar>
            <w:vAlign w:val="center"/>
          </w:tcPr>
          <w:p>
            <w:pPr>
              <w:pStyle w:val="DMETW19868BIPNAW"/>
              <w:jc w:val="right"/>
              <w:rPr>
                <w:rFonts w:ascii="Verdana" w:eastAsia="Verdana" w:hAnsi="Verdana" w:cs="Verdana"/>
                <w:noProof/>
                <w:color w:val="FFFFFF"/>
              </w:rPr>
            </w:pPr>
            <w:r>
              <w:rPr>
                <w:rFonts w:ascii="Verdana" w:hAnsi="Verdana"/>
                <w:noProof/>
                <w:color w:val="FFFFFF"/>
              </w:rPr>
              <w:t>SEK</w:t>
            </w:r>
          </w:p>
        </w:tc>
      </w:tr>
      <w:tr>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pPr>
              <w:pStyle w:val="DMETW19868BIPNAW"/>
              <w:rPr>
                <w:rFonts w:ascii="Verdana" w:eastAsia="Verdana" w:hAnsi="Verdana" w:cs="Verdana"/>
                <w:i/>
                <w:noProof/>
                <w:color w:val="000000"/>
                <w:sz w:val="18"/>
              </w:rPr>
            </w:pPr>
            <w:r>
              <w:rPr>
                <w:rFonts w:ascii="Verdana" w:hAnsi="Verdana"/>
                <w:i/>
                <w:noProof/>
                <w:color w:val="000000"/>
                <w:sz w:val="18"/>
              </w:rPr>
              <w:t>2020 г.</w:t>
            </w:r>
          </w:p>
        </w:tc>
        <w:tc>
          <w:tcPr>
            <w:tcW w:w="1399" w:type="dxa"/>
            <w:tcBorders>
              <w:top w:val="nil"/>
              <w:left w:val="nil"/>
              <w:bottom w:val="nil"/>
              <w:right w:val="nil"/>
              <w:tl2br w:val="nil"/>
              <w:tr2bl w:val="nil"/>
            </w:tcBorders>
            <w:shd w:val="clear" w:color="auto" w:fill="auto"/>
            <w:tcMar>
              <w:left w:w="60" w:type="dxa"/>
              <w:right w:w="60" w:type="dxa"/>
            </w:tcMar>
            <w:vAlign w:val="center"/>
          </w:tcPr>
          <w:p>
            <w:pPr>
              <w:pStyle w:val="DMETW19868BIPNAW"/>
              <w:jc w:val="right"/>
              <w:rPr>
                <w:rFonts w:ascii="Verdana" w:eastAsia="Verdana" w:hAnsi="Verdana" w:cs="Verdana"/>
                <w:i/>
                <w:noProof/>
                <w:color w:val="000000"/>
                <w:sz w:val="18"/>
              </w:rPr>
            </w:pPr>
            <w:r>
              <w:rPr>
                <w:rFonts w:ascii="Verdana" w:hAnsi="Verdana"/>
                <w:i/>
                <w:noProof/>
                <w:color w:val="000000"/>
                <w:sz w:val="18"/>
              </w:rPr>
              <w:t xml:space="preserve"> 21</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68BIPNAW"/>
              <w:jc w:val="right"/>
              <w:rPr>
                <w:rFonts w:ascii="Verdana" w:eastAsia="Verdana" w:hAnsi="Verdana" w:cs="Verdana"/>
                <w:i/>
                <w:noProof/>
                <w:color w:val="000000"/>
                <w:sz w:val="18"/>
              </w:rPr>
            </w:pPr>
            <w:r>
              <w:rPr>
                <w:rFonts w:ascii="Verdana" w:hAnsi="Verdana"/>
                <w:i/>
                <w:noProof/>
                <w:color w:val="000000"/>
                <w:sz w:val="18"/>
              </w:rPr>
              <w:t xml:space="preserve"> 5</w:t>
            </w:r>
          </w:p>
        </w:tc>
        <w:tc>
          <w:tcPr>
            <w:tcW w:w="1246" w:type="dxa"/>
            <w:tcBorders>
              <w:top w:val="nil"/>
              <w:left w:val="nil"/>
              <w:bottom w:val="nil"/>
              <w:right w:val="nil"/>
              <w:tl2br w:val="nil"/>
              <w:tr2bl w:val="nil"/>
            </w:tcBorders>
            <w:shd w:val="clear" w:color="auto" w:fill="auto"/>
            <w:tcMar>
              <w:left w:w="60" w:type="dxa"/>
              <w:right w:w="60" w:type="dxa"/>
            </w:tcMar>
            <w:vAlign w:val="center"/>
          </w:tcPr>
          <w:p>
            <w:pPr>
              <w:pStyle w:val="DMETW19868BIPNAW"/>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pPr>
              <w:pStyle w:val="DMETW19868BIPNAW"/>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4551" w:type="dxa"/>
            <w:tcBorders>
              <w:top w:val="nil"/>
              <w:left w:val="nil"/>
              <w:bottom w:val="nil"/>
              <w:right w:val="nil"/>
              <w:tl2br w:val="nil"/>
              <w:tr2bl w:val="nil"/>
            </w:tcBorders>
            <w:shd w:val="clear" w:color="auto" w:fill="auto"/>
            <w:tcMar>
              <w:left w:w="60" w:type="dxa"/>
              <w:right w:w="60" w:type="dxa"/>
            </w:tcMar>
            <w:vAlign w:val="center"/>
          </w:tcPr>
          <w:p>
            <w:pPr>
              <w:pStyle w:val="DMETW19868BIPNAW"/>
              <w:rPr>
                <w:rFonts w:ascii="Verdana" w:eastAsia="Verdana" w:hAnsi="Verdana" w:cs="Verdana"/>
                <w:i/>
                <w:noProof/>
                <w:color w:val="000000"/>
                <w:sz w:val="18"/>
              </w:rPr>
            </w:pPr>
            <w:r>
              <w:rPr>
                <w:rFonts w:ascii="Verdana" w:hAnsi="Verdana"/>
                <w:i/>
                <w:noProof/>
                <w:color w:val="000000"/>
                <w:sz w:val="18"/>
              </w:rPr>
              <w:t>2019 г.</w:t>
            </w:r>
          </w:p>
        </w:tc>
        <w:tc>
          <w:tcPr>
            <w:tcW w:w="1399" w:type="dxa"/>
            <w:tcBorders>
              <w:top w:val="nil"/>
              <w:left w:val="nil"/>
              <w:bottom w:val="nil"/>
              <w:right w:val="nil"/>
              <w:tl2br w:val="nil"/>
              <w:tr2bl w:val="nil"/>
            </w:tcBorders>
            <w:shd w:val="clear" w:color="auto" w:fill="auto"/>
            <w:tcMar>
              <w:left w:w="60" w:type="dxa"/>
              <w:right w:w="60" w:type="dxa"/>
            </w:tcMar>
            <w:vAlign w:val="center"/>
          </w:tcPr>
          <w:p>
            <w:pPr>
              <w:pStyle w:val="DMETW19868BIPNAW"/>
              <w:jc w:val="right"/>
              <w:rPr>
                <w:rFonts w:ascii="Verdana" w:eastAsia="Verdana" w:hAnsi="Verdana" w:cs="Verdana"/>
                <w:i/>
                <w:noProof/>
                <w:color w:val="000000"/>
                <w:sz w:val="18"/>
              </w:rPr>
            </w:pPr>
            <w:r>
              <w:rPr>
                <w:rFonts w:ascii="Verdana" w:hAnsi="Verdana"/>
                <w:i/>
                <w:noProof/>
                <w:color w:val="000000"/>
                <w:sz w:val="18"/>
              </w:rPr>
              <w:t xml:space="preserve"> 20</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68BIPNAW"/>
              <w:jc w:val="right"/>
              <w:rPr>
                <w:rFonts w:ascii="Verdana" w:eastAsia="Verdana" w:hAnsi="Verdana" w:cs="Verdana"/>
                <w:i/>
                <w:noProof/>
                <w:color w:val="000000"/>
                <w:sz w:val="18"/>
              </w:rPr>
            </w:pPr>
            <w:r>
              <w:rPr>
                <w:rFonts w:ascii="Verdana" w:hAnsi="Verdana"/>
                <w:i/>
                <w:noProof/>
                <w:color w:val="000000"/>
                <w:sz w:val="18"/>
              </w:rPr>
              <w:t xml:space="preserve"> 7</w:t>
            </w:r>
          </w:p>
        </w:tc>
        <w:tc>
          <w:tcPr>
            <w:tcW w:w="1246" w:type="dxa"/>
            <w:tcBorders>
              <w:top w:val="nil"/>
              <w:left w:val="nil"/>
              <w:bottom w:val="nil"/>
              <w:right w:val="nil"/>
              <w:tl2br w:val="nil"/>
              <w:tr2bl w:val="nil"/>
            </w:tcBorders>
            <w:shd w:val="clear" w:color="auto" w:fill="auto"/>
            <w:tcMar>
              <w:left w:w="60" w:type="dxa"/>
              <w:right w:w="60" w:type="dxa"/>
            </w:tcMar>
            <w:vAlign w:val="center"/>
          </w:tcPr>
          <w:p>
            <w:pPr>
              <w:pStyle w:val="DMETW19868BIPNAW"/>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l2br w:val="nil"/>
              <w:tr2bl w:val="nil"/>
            </w:tcBorders>
            <w:shd w:val="clear" w:color="auto" w:fill="auto"/>
            <w:tcMar>
              <w:left w:w="60" w:type="dxa"/>
              <w:right w:w="60" w:type="dxa"/>
            </w:tcMar>
            <w:vAlign w:val="center"/>
          </w:tcPr>
          <w:p>
            <w:pPr>
              <w:pStyle w:val="DMETW19868BIPNAW"/>
              <w:jc w:val="right"/>
              <w:rPr>
                <w:rFonts w:ascii="Verdana" w:eastAsia="Verdana" w:hAnsi="Verdana" w:cs="Verdana"/>
                <w:i/>
                <w:noProof/>
                <w:color w:val="000000"/>
                <w:sz w:val="18"/>
              </w:rPr>
            </w:pPr>
            <w:r>
              <w:rPr>
                <w:rFonts w:ascii="Verdana" w:hAnsi="Verdana"/>
                <w:i/>
                <w:noProof/>
                <w:color w:val="000000"/>
                <w:sz w:val="18"/>
              </w:rPr>
              <w:t xml:space="preserve"> 1</w:t>
            </w:r>
          </w:p>
        </w:tc>
      </w:tr>
    </w:tbl>
    <w:p>
      <w:pPr>
        <w:pStyle w:val="HEADER5"/>
        <w:spacing w:before="240"/>
        <w:rPr>
          <w:b/>
          <w:noProof/>
        </w:rPr>
      </w:pPr>
      <w:r>
        <w:rPr>
          <w:noProof/>
        </w:rPr>
        <w:t>Дейности по получаване и отпускане на заеми за финансова помощ</w:t>
      </w:r>
    </w:p>
    <w:p>
      <w:pPr>
        <w:pStyle w:val="Textstand-alone"/>
      </w:pPr>
      <w:r>
        <w:t>Финансовите активи и пасиви понастоящем са само в евро, поради което не съществува валутен риск за ЕС.</w:t>
      </w:r>
    </w:p>
    <w:p>
      <w:pPr>
        <w:pStyle w:val="HEADER5"/>
        <w:rPr>
          <w:b/>
          <w:noProof/>
        </w:rPr>
      </w:pPr>
      <w:r>
        <w:rPr>
          <w:noProof/>
        </w:rPr>
        <w:t>Каса</w:t>
      </w:r>
    </w:p>
    <w:p>
      <w:pPr>
        <w:pStyle w:val="Textstand-alone"/>
      </w:pPr>
      <w:r>
        <w:t>Собствените ресурси, плащани от държавите членки във валути, различни от еврото, се държат в сметките за собствени ресурси в съответствие с Регламент № 609/2014 на Съвета (изменен с Регламент 2016/804 на Съвета). Те се конвертират в евро, когато са необходими за извършване на плащания. Процедурите, които се прилагат за управлението на тези средства, са определени в гореупоменатия регламент. В неголям брой случаи тези средства се използват директно за плащания, които трябва да бъдат извършени в същите валути.</w:t>
      </w:r>
    </w:p>
    <w:p>
      <w:pPr>
        <w:pStyle w:val="Textstand-alone"/>
      </w:pPr>
      <w:r>
        <w:t>Комисията има в търговски банки няколко сметки във валути на ЕС, различни от еврото, и в щатски долари и швейцарски франкове с цел извършване на плащания в същите тези валути. Тези сметки се захранват в зависимост от размера на плащанията, които трябва да бъдат извършени, поради което наличностите по тях не водят до излагане на валутен риск.</w:t>
      </w:r>
    </w:p>
    <w:p>
      <w:pPr>
        <w:pStyle w:val="Textstand-alone"/>
      </w:pPr>
      <w:r>
        <w:t>При получаване на разните приходи (различни от собствените ресурси) във валути, различни от еврото, те се прехвърлят в сметки на Комисията в същите валути, ако са необходими за обезпечаване на плащания, или се конвертират в евро и се прехвърлят в сметки в евро. Сметките за авансови средства във валути, различни от еврото, се захранват в зависимост от очакваните краткосрочни местни нужди от плащания в същите валути. Наличностите по тези сметки се поддържат в рамките на съответните тавани.</w:t>
      </w:r>
    </w:p>
    <w:p>
      <w:pPr>
        <w:pStyle w:val="HEADER5"/>
        <w:rPr>
          <w:noProof/>
        </w:rPr>
      </w:pPr>
      <w:r>
        <w:rPr>
          <w:noProof/>
        </w:rPr>
        <w:t>Глоби</w:t>
      </w:r>
    </w:p>
    <w:p>
      <w:pPr>
        <w:pStyle w:val="Textstand-alone"/>
      </w:pPr>
      <w:r>
        <w:t>Всички глоби се налагат, плащат или покриват условно в евро и следователно не са свързани с валутен риск.</w:t>
      </w:r>
    </w:p>
    <w:p>
      <w:pPr>
        <w:pStyle w:val="HEADER5"/>
        <w:spacing w:after="240"/>
        <w:rPr>
          <w:b/>
          <w:noProof/>
        </w:rPr>
      </w:pPr>
      <w:r>
        <w:rPr>
          <w:noProof/>
        </w:rPr>
        <w:t>Гаранционни фондове</w:t>
      </w:r>
    </w:p>
    <w:p>
      <w:pPr>
        <w:pStyle w:val="HEADER5"/>
        <w:rPr>
          <w:b/>
          <w:i/>
          <w:noProof/>
        </w:rPr>
      </w:pPr>
      <w:r>
        <w:rPr>
          <w:i/>
          <w:noProof/>
        </w:rPr>
        <w:t>Гаранционен фонд за външни дейности</w:t>
      </w:r>
    </w:p>
    <w:p>
      <w:pPr>
        <w:pStyle w:val="Textstand-alone"/>
      </w:pPr>
      <w:r>
        <w:t>Финансовите активи на този фонд са в евро, поради което не съществува валутен риск. Заемите, суброгирани на ЕС в резултат на искове, предявени към Фонда поради просрочени от бенефициер на заем плащания, се извършват в първоначалната им валута, поради което излагат ЕС на валутен риск. Поради несигурността, свързана с графика за погасяване на заемите, не се извършват дейности за компенсиране на промените в чуждестранните валути (дейности по хеджиране).</w:t>
      </w:r>
    </w:p>
    <w:p>
      <w:pPr>
        <w:pStyle w:val="HEADER5"/>
        <w:rPr>
          <w:b/>
          <w:i/>
          <w:noProof/>
        </w:rPr>
      </w:pPr>
      <w:r>
        <w:rPr>
          <w:i/>
          <w:noProof/>
        </w:rPr>
        <w:t>Гаранционен фонд на ЕФСИ</w:t>
      </w:r>
    </w:p>
    <w:p>
      <w:pPr>
        <w:pStyle w:val="Textstand-alone"/>
      </w:pPr>
      <w:r>
        <w:t>Понастоящем Гаранционният фонд на ЕФСИ работи както в евро, така и в щатски долари. Валутният риск се управлява чрез сключване на деривативни договори (валутни форуърдни договори) за хеджиране на пазарната стойност на портфейла с инвестиции в щатски долари. Ограничението за максимална нехеджирана валутна експозиция е 1 % от общата стойност на портфейла в рамките на референтната стойност и годишните стратегически средства. По този начин движенията нагоре или надолу на пазарната стойност на инвестициите в щатски долари над или под пределната стойност от 1 % ще доведат до търговия за възстановяване на баланса (нов форуърден договор със същата или обратна посока), която ще коригира или ще обърне хеджираната позиция по съответния начин. Повторно коригиране на хеджинга може също да бъде предизвикано от движения на обменния курс евро/щатски долар.</w:t>
      </w:r>
    </w:p>
    <w:p>
      <w:pPr>
        <w:pStyle w:val="Textstand-alone"/>
      </w:pPr>
      <w:r>
        <w:t xml:space="preserve">Заемите, суброгирани на ЕС в резултат на искове, предявени към Фонда поради просрочени от бенефициер на заем плащания (вж. бележка </w:t>
      </w:r>
      <w:r>
        <w:rPr>
          <w:b/>
        </w:rPr>
        <w:t>2.4.3.2</w:t>
      </w:r>
      <w:r>
        <w:t>), се извършват в първоначалната им валута, поради което излагат ЕС на валутен риск. Що се отнася до суброгираните заеми, поради несигурността, свързана с графика за погасяване на заемите, не се извършват дейности за компенсиране на промените в чуждестранните валути (дейности по хеджиране).</w:t>
      </w:r>
    </w:p>
    <w:p>
      <w:pPr>
        <w:pStyle w:val="HEADER5"/>
        <w:rPr>
          <w:b/>
          <w:i/>
          <w:noProof/>
        </w:rPr>
      </w:pPr>
      <w:r>
        <w:rPr>
          <w:i/>
          <w:noProof/>
        </w:rPr>
        <w:t>Гаранционен фонд на ЕФУР</w:t>
      </w:r>
    </w:p>
    <w:p>
      <w:pPr>
        <w:pStyle w:val="Textstand-alone"/>
      </w:pPr>
      <w:r>
        <w:t>Понастоящем Гаранционният фонд на ЕФУР работи само в евро, но насоките за управление на активите за Гаранционния фонд на ЕФУР предоставят възможност за инвестиране в определени активи в други валути.</w:t>
      </w:r>
    </w:p>
    <w:p>
      <w:pPr>
        <w:pStyle w:val="HEADER2NOTES"/>
        <w:rPr>
          <w:noProof/>
        </w:rPr>
      </w:pPr>
      <w:r>
        <w:rPr>
          <w:noProof/>
        </w:rPr>
        <w:t>ЛИХВЕН РИСК</w:t>
      </w:r>
    </w:p>
    <w:p>
      <w:pPr>
        <w:pStyle w:val="DGTextstand-alone"/>
      </w:pPr>
      <w:r>
        <w:t>Следната таблица показва чувствителността на финансовите активи, обявени за продажба, по отношение на лихвения процент, като се допусне, че лихвените проценти се променят с приблизително 100 базисни пункта (1 %).</w:t>
      </w:r>
    </w:p>
    <w:p>
      <w:pPr>
        <w:pStyle w:val="DG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9"/>
        <w:gridCol w:w="2905"/>
        <w:gridCol w:w="2764"/>
      </w:tblGrid>
      <w:tr>
        <w:trPr>
          <w:trHeight w:val="255"/>
        </w:trPr>
        <w:tc>
          <w:tcPr>
            <w:tcW w:w="4089" w:type="dxa"/>
            <w:tcBorders>
              <w:top w:val="nil"/>
              <w:left w:val="nil"/>
              <w:bottom w:val="nil"/>
              <w:right w:val="nil"/>
              <w:tl2br w:val="nil"/>
              <w:tr2bl w:val="nil"/>
            </w:tcBorders>
            <w:shd w:val="clear" w:color="auto" w:fill="auto"/>
            <w:tcMar>
              <w:left w:w="60" w:type="dxa"/>
              <w:right w:w="60" w:type="dxa"/>
            </w:tcMar>
            <w:vAlign w:val="bottom"/>
          </w:tcPr>
          <w:p>
            <w:pPr>
              <w:pStyle w:val="DMETW19869BIPIRR"/>
              <w:rPr>
                <w:rFonts w:ascii="Arial" w:eastAsia="Arial" w:hAnsi="Arial" w:cs="Arial"/>
                <w:noProof/>
                <w:color w:val="000000"/>
              </w:rPr>
            </w:pPr>
            <w:bookmarkStart w:id="202" w:name="DOC_TBL00092_1_1"/>
            <w:bookmarkEnd w:id="202"/>
          </w:p>
        </w:tc>
        <w:tc>
          <w:tcPr>
            <w:tcW w:w="2905" w:type="dxa"/>
            <w:tcBorders>
              <w:top w:val="nil"/>
              <w:left w:val="nil"/>
              <w:bottom w:val="nil"/>
              <w:right w:val="nil"/>
              <w:tl2br w:val="nil"/>
              <w:tr2bl w:val="nil"/>
            </w:tcBorders>
            <w:shd w:val="clear" w:color="auto" w:fill="auto"/>
            <w:tcMar>
              <w:left w:w="60" w:type="dxa"/>
              <w:right w:w="60" w:type="dxa"/>
            </w:tcMar>
            <w:vAlign w:val="bottom"/>
          </w:tcPr>
          <w:p>
            <w:pPr>
              <w:pStyle w:val="DMETW19869BIPIRR"/>
              <w:rPr>
                <w:rFonts w:ascii="Arial" w:eastAsia="Arial" w:hAnsi="Arial" w:cs="Arial"/>
                <w:noProof/>
                <w:color w:val="000000"/>
              </w:rPr>
            </w:pPr>
          </w:p>
        </w:tc>
        <w:tc>
          <w:tcPr>
            <w:tcW w:w="2764" w:type="dxa"/>
            <w:tcBorders>
              <w:top w:val="nil"/>
              <w:left w:val="nil"/>
              <w:bottom w:val="nil"/>
              <w:right w:val="nil"/>
              <w:tl2br w:val="nil"/>
              <w:tr2bl w:val="nil"/>
            </w:tcBorders>
            <w:shd w:val="clear" w:color="auto" w:fill="auto"/>
            <w:tcMar>
              <w:left w:w="60" w:type="dxa"/>
              <w:right w:w="60" w:type="dxa"/>
            </w:tcMar>
            <w:vAlign w:val="bottom"/>
          </w:tcPr>
          <w:p>
            <w:pPr>
              <w:pStyle w:val="DMETW19869BIPIRR"/>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089" w:type="dxa"/>
            <w:tcBorders>
              <w:top w:val="nil"/>
              <w:left w:val="nil"/>
              <w:bottom w:val="nil"/>
              <w:right w:val="nil"/>
              <w:tl2br w:val="nil"/>
              <w:tr2bl w:val="nil"/>
            </w:tcBorders>
            <w:shd w:val="solid" w:color="016794" w:fill="FFFFFF"/>
            <w:tcMar>
              <w:left w:w="60" w:type="dxa"/>
              <w:right w:w="60" w:type="dxa"/>
            </w:tcMar>
            <w:vAlign w:val="center"/>
          </w:tcPr>
          <w:p>
            <w:pPr>
              <w:pStyle w:val="DMETW19869BIPIRR"/>
              <w:jc w:val="right"/>
              <w:rPr>
                <w:rFonts w:ascii="Verdana" w:eastAsia="Verdana" w:hAnsi="Verdana" w:cs="Verdana"/>
                <w:noProof/>
                <w:color w:val="FFFFFF"/>
              </w:rPr>
            </w:pPr>
          </w:p>
        </w:tc>
        <w:tc>
          <w:tcPr>
            <w:tcW w:w="2905" w:type="dxa"/>
            <w:tcBorders>
              <w:top w:val="nil"/>
              <w:left w:val="nil"/>
              <w:bottom w:val="nil"/>
              <w:right w:val="nil"/>
              <w:tl2br w:val="nil"/>
              <w:tr2bl w:val="nil"/>
            </w:tcBorders>
            <w:shd w:val="solid" w:color="016794" w:fill="FFFFFF"/>
            <w:tcMar>
              <w:left w:w="60" w:type="dxa"/>
              <w:right w:w="60" w:type="dxa"/>
            </w:tcMar>
            <w:vAlign w:val="center"/>
          </w:tcPr>
          <w:p>
            <w:pPr>
              <w:pStyle w:val="DMETW19869BIPIRR"/>
              <w:jc w:val="right"/>
              <w:rPr>
                <w:rFonts w:ascii="Verdana" w:eastAsia="Verdana" w:hAnsi="Verdana" w:cs="Verdana"/>
                <w:noProof/>
                <w:color w:val="FFFFFF"/>
              </w:rPr>
            </w:pPr>
            <w:r>
              <w:rPr>
                <w:rFonts w:ascii="Verdana" w:hAnsi="Verdana"/>
                <w:noProof/>
                <w:color w:val="FFFFFF"/>
              </w:rPr>
              <w:t>Увеличение (+)/намаление (-) в базисни пунктове</w:t>
            </w:r>
          </w:p>
        </w:tc>
        <w:tc>
          <w:tcPr>
            <w:tcW w:w="2764" w:type="dxa"/>
            <w:tcBorders>
              <w:top w:val="nil"/>
              <w:left w:val="nil"/>
              <w:bottom w:val="nil"/>
              <w:right w:val="nil"/>
              <w:tl2br w:val="nil"/>
              <w:tr2bl w:val="nil"/>
            </w:tcBorders>
            <w:shd w:val="solid" w:color="016794" w:fill="FFFFFF"/>
            <w:tcMar>
              <w:left w:w="60" w:type="dxa"/>
              <w:right w:w="60" w:type="dxa"/>
            </w:tcMar>
            <w:vAlign w:val="center"/>
          </w:tcPr>
          <w:p>
            <w:pPr>
              <w:pStyle w:val="DMETW19869BIPIRR"/>
              <w:jc w:val="right"/>
              <w:rPr>
                <w:rFonts w:ascii="Verdana" w:eastAsia="Verdana" w:hAnsi="Verdana" w:cs="Verdana"/>
                <w:noProof/>
                <w:color w:val="FFFFFF"/>
              </w:rPr>
            </w:pPr>
            <w:r>
              <w:rPr>
                <w:rFonts w:ascii="Verdana" w:hAnsi="Verdana"/>
                <w:noProof/>
                <w:color w:val="FFFFFF"/>
              </w:rPr>
              <w:t>Ефект върху нетните активи</w:t>
            </w:r>
          </w:p>
        </w:tc>
      </w:tr>
      <w:tr>
        <w:trPr>
          <w:trHeight w:val="255"/>
        </w:trPr>
        <w:tc>
          <w:tcPr>
            <w:tcW w:w="4089" w:type="dxa"/>
            <w:vMerge w:val="restart"/>
            <w:tcBorders>
              <w:top w:val="nil"/>
              <w:left w:val="nil"/>
              <w:bottom w:val="nil"/>
              <w:right w:val="nil"/>
              <w:tl2br w:val="nil"/>
              <w:tr2bl w:val="nil"/>
            </w:tcBorders>
            <w:shd w:val="clear" w:color="auto" w:fill="auto"/>
            <w:tcMar>
              <w:left w:w="60" w:type="dxa"/>
              <w:right w:w="60" w:type="dxa"/>
            </w:tcMar>
            <w:vAlign w:val="center"/>
          </w:tcPr>
          <w:p>
            <w:pPr>
              <w:pStyle w:val="DMETW19869BIPIRR"/>
              <w:rPr>
                <w:rFonts w:ascii="Verdana" w:eastAsia="Verdana" w:hAnsi="Verdana" w:cs="Verdana"/>
                <w:i/>
                <w:noProof/>
                <w:color w:val="000000"/>
                <w:sz w:val="18"/>
              </w:rPr>
            </w:pPr>
            <w:r>
              <w:rPr>
                <w:rFonts w:ascii="Verdana" w:hAnsi="Verdana"/>
                <w:i/>
                <w:noProof/>
                <w:color w:val="000000"/>
                <w:sz w:val="18"/>
              </w:rPr>
              <w:t>2020 г.: Финансови активи, обявени за продажба</w:t>
            </w:r>
          </w:p>
        </w:tc>
        <w:tc>
          <w:tcPr>
            <w:tcW w:w="2905" w:type="dxa"/>
            <w:tcBorders>
              <w:top w:val="nil"/>
              <w:left w:val="nil"/>
              <w:bottom w:val="nil"/>
              <w:right w:val="nil"/>
              <w:tl2br w:val="nil"/>
              <w:tr2bl w:val="nil"/>
            </w:tcBorders>
            <w:shd w:val="clear" w:color="auto" w:fill="auto"/>
            <w:tcMar>
              <w:left w:w="60" w:type="dxa"/>
              <w:right w:w="60" w:type="dxa"/>
            </w:tcMar>
            <w:vAlign w:val="center"/>
          </w:tcPr>
          <w:p>
            <w:pPr>
              <w:pStyle w:val="DMETW19869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pPr>
              <w:pStyle w:val="DMETW19869BIPIRR"/>
              <w:jc w:val="right"/>
              <w:rPr>
                <w:rFonts w:ascii="Verdana" w:eastAsia="Verdana" w:hAnsi="Verdana" w:cs="Verdana"/>
                <w:i/>
                <w:noProof/>
                <w:color w:val="000000"/>
                <w:sz w:val="18"/>
              </w:rPr>
            </w:pPr>
            <w:r>
              <w:rPr>
                <w:rFonts w:ascii="Verdana" w:hAnsi="Verdana"/>
                <w:i/>
                <w:noProof/>
                <w:color w:val="000000"/>
                <w:sz w:val="18"/>
              </w:rPr>
              <w:t xml:space="preserve"> (479)</w:t>
            </w:r>
          </w:p>
        </w:tc>
      </w:tr>
      <w:tr>
        <w:trPr>
          <w:trHeight w:val="255"/>
        </w:trPr>
        <w:tc>
          <w:tcPr>
            <w:tcW w:w="3930" w:type="dxa"/>
            <w:vMerge/>
            <w:tcBorders>
              <w:top w:val="nil"/>
              <w:left w:val="nil"/>
              <w:bottom w:val="nil"/>
              <w:right w:val="nil"/>
              <w:tl2br w:val="nil"/>
              <w:tr2bl w:val="nil"/>
            </w:tcBorders>
            <w:shd w:val="clear" w:color="auto" w:fill="auto"/>
            <w:tcMar>
              <w:left w:w="60" w:type="dxa"/>
              <w:right w:w="60" w:type="dxa"/>
            </w:tcMar>
            <w:vAlign w:val="center"/>
          </w:tcPr>
          <w:p>
            <w:pPr>
              <w:pStyle w:val="DMETW19869BIPIRR"/>
              <w:rPr>
                <w:rFonts w:ascii="Verdana" w:eastAsia="Verdana" w:hAnsi="Verdana" w:cs="Verdana"/>
                <w:i/>
                <w:noProof/>
                <w:color w:val="000000"/>
                <w:sz w:val="18"/>
              </w:rPr>
            </w:pPr>
          </w:p>
        </w:tc>
        <w:tc>
          <w:tcPr>
            <w:tcW w:w="2905" w:type="dxa"/>
            <w:tcBorders>
              <w:top w:val="nil"/>
              <w:left w:val="nil"/>
              <w:bottom w:val="nil"/>
              <w:right w:val="nil"/>
              <w:tl2br w:val="nil"/>
              <w:tr2bl w:val="nil"/>
            </w:tcBorders>
            <w:shd w:val="clear" w:color="auto" w:fill="auto"/>
            <w:tcMar>
              <w:left w:w="60" w:type="dxa"/>
              <w:right w:w="60" w:type="dxa"/>
            </w:tcMar>
            <w:vAlign w:val="center"/>
          </w:tcPr>
          <w:p>
            <w:pPr>
              <w:pStyle w:val="DMETW19869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pPr>
              <w:pStyle w:val="DMETW19869BIPIRR"/>
              <w:jc w:val="right"/>
              <w:rPr>
                <w:rFonts w:ascii="Verdana" w:eastAsia="Verdana" w:hAnsi="Verdana" w:cs="Verdana"/>
                <w:i/>
                <w:noProof/>
                <w:color w:val="000000"/>
                <w:sz w:val="18"/>
              </w:rPr>
            </w:pPr>
            <w:r>
              <w:rPr>
                <w:rFonts w:ascii="Verdana" w:hAnsi="Verdana"/>
                <w:i/>
                <w:noProof/>
                <w:color w:val="000000"/>
                <w:sz w:val="18"/>
              </w:rPr>
              <w:t xml:space="preserve"> 513</w:t>
            </w:r>
          </w:p>
        </w:tc>
      </w:tr>
      <w:tr>
        <w:trPr>
          <w:trHeight w:val="255"/>
        </w:trPr>
        <w:tc>
          <w:tcPr>
            <w:tcW w:w="4089" w:type="dxa"/>
            <w:vMerge w:val="restart"/>
            <w:tcBorders>
              <w:top w:val="nil"/>
              <w:left w:val="nil"/>
              <w:bottom w:val="nil"/>
              <w:right w:val="nil"/>
              <w:tl2br w:val="nil"/>
              <w:tr2bl w:val="nil"/>
            </w:tcBorders>
            <w:shd w:val="clear" w:color="auto" w:fill="auto"/>
            <w:tcMar>
              <w:left w:w="60" w:type="dxa"/>
              <w:right w:w="60" w:type="dxa"/>
            </w:tcMar>
            <w:vAlign w:val="center"/>
          </w:tcPr>
          <w:p>
            <w:pPr>
              <w:pStyle w:val="DMETW19869BIPIRR"/>
              <w:rPr>
                <w:rFonts w:ascii="Verdana" w:eastAsia="Verdana" w:hAnsi="Verdana" w:cs="Verdana"/>
                <w:i/>
                <w:noProof/>
                <w:color w:val="000000"/>
                <w:sz w:val="18"/>
              </w:rPr>
            </w:pPr>
            <w:r>
              <w:rPr>
                <w:rFonts w:ascii="Verdana" w:hAnsi="Verdana"/>
                <w:i/>
                <w:noProof/>
                <w:color w:val="000000"/>
                <w:sz w:val="18"/>
              </w:rPr>
              <w:t>2019 г.: Финансови активи, обявени за продажба</w:t>
            </w:r>
          </w:p>
        </w:tc>
        <w:tc>
          <w:tcPr>
            <w:tcW w:w="2905" w:type="dxa"/>
            <w:tcBorders>
              <w:top w:val="nil"/>
              <w:left w:val="nil"/>
              <w:bottom w:val="nil"/>
              <w:right w:val="nil"/>
              <w:tl2br w:val="nil"/>
              <w:tr2bl w:val="nil"/>
            </w:tcBorders>
            <w:shd w:val="clear" w:color="auto" w:fill="auto"/>
            <w:tcMar>
              <w:left w:w="60" w:type="dxa"/>
              <w:right w:w="60" w:type="dxa"/>
            </w:tcMar>
            <w:vAlign w:val="center"/>
          </w:tcPr>
          <w:p>
            <w:pPr>
              <w:pStyle w:val="DMETW19869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pPr>
              <w:pStyle w:val="DMETW19869BIPIRR"/>
              <w:jc w:val="right"/>
              <w:rPr>
                <w:rFonts w:ascii="Verdana" w:eastAsia="Verdana" w:hAnsi="Verdana" w:cs="Verdana"/>
                <w:i/>
                <w:noProof/>
                <w:color w:val="000000"/>
                <w:sz w:val="18"/>
              </w:rPr>
            </w:pPr>
            <w:r>
              <w:rPr>
                <w:rFonts w:ascii="Verdana" w:hAnsi="Verdana"/>
                <w:i/>
                <w:noProof/>
                <w:color w:val="000000"/>
                <w:sz w:val="18"/>
              </w:rPr>
              <w:t xml:space="preserve"> (447)</w:t>
            </w:r>
          </w:p>
        </w:tc>
      </w:tr>
      <w:tr>
        <w:trPr>
          <w:trHeight w:val="255"/>
        </w:trPr>
        <w:tc>
          <w:tcPr>
            <w:tcW w:w="3930" w:type="dxa"/>
            <w:vMerge/>
            <w:tcBorders>
              <w:top w:val="nil"/>
              <w:left w:val="nil"/>
              <w:bottom w:val="nil"/>
              <w:right w:val="nil"/>
              <w:tl2br w:val="nil"/>
              <w:tr2bl w:val="nil"/>
            </w:tcBorders>
            <w:shd w:val="clear" w:color="auto" w:fill="auto"/>
            <w:tcMar>
              <w:left w:w="60" w:type="dxa"/>
              <w:right w:w="60" w:type="dxa"/>
            </w:tcMar>
            <w:vAlign w:val="center"/>
          </w:tcPr>
          <w:p>
            <w:pPr>
              <w:pStyle w:val="DMETW19869BIPIRR"/>
              <w:rPr>
                <w:rFonts w:ascii="Verdana" w:eastAsia="Verdana" w:hAnsi="Verdana" w:cs="Verdana"/>
                <w:i/>
                <w:noProof/>
                <w:color w:val="000000"/>
                <w:sz w:val="18"/>
              </w:rPr>
            </w:pPr>
          </w:p>
        </w:tc>
        <w:tc>
          <w:tcPr>
            <w:tcW w:w="2905" w:type="dxa"/>
            <w:tcBorders>
              <w:top w:val="nil"/>
              <w:left w:val="nil"/>
              <w:bottom w:val="nil"/>
              <w:right w:val="nil"/>
              <w:tl2br w:val="nil"/>
              <w:tr2bl w:val="nil"/>
            </w:tcBorders>
            <w:shd w:val="clear" w:color="auto" w:fill="auto"/>
            <w:tcMar>
              <w:left w:w="60" w:type="dxa"/>
              <w:right w:w="60" w:type="dxa"/>
            </w:tcMar>
            <w:vAlign w:val="center"/>
          </w:tcPr>
          <w:p>
            <w:pPr>
              <w:pStyle w:val="DMETW19869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l2br w:val="nil"/>
              <w:tr2bl w:val="nil"/>
            </w:tcBorders>
            <w:shd w:val="clear" w:color="auto" w:fill="auto"/>
            <w:tcMar>
              <w:left w:w="60" w:type="dxa"/>
              <w:right w:w="60" w:type="dxa"/>
            </w:tcMar>
            <w:vAlign w:val="center"/>
          </w:tcPr>
          <w:p>
            <w:pPr>
              <w:pStyle w:val="DMETW19869BIPIRR"/>
              <w:jc w:val="right"/>
              <w:rPr>
                <w:rFonts w:ascii="Verdana" w:eastAsia="Verdana" w:hAnsi="Verdana" w:cs="Verdana"/>
                <w:i/>
                <w:noProof/>
                <w:color w:val="000000"/>
                <w:sz w:val="18"/>
              </w:rPr>
            </w:pPr>
            <w:r>
              <w:rPr>
                <w:rFonts w:ascii="Verdana" w:hAnsi="Verdana"/>
                <w:i/>
                <w:noProof/>
                <w:color w:val="000000"/>
                <w:sz w:val="18"/>
              </w:rPr>
              <w:t xml:space="preserve"> 483</w:t>
            </w:r>
          </w:p>
        </w:tc>
      </w:tr>
    </w:tbl>
    <w:p>
      <w:pPr>
        <w:pStyle w:val="HEADER5"/>
        <w:spacing w:before="240"/>
        <w:rPr>
          <w:rFonts w:eastAsia="Calibri"/>
          <w:noProof/>
          <w:color w:val="auto"/>
        </w:rPr>
      </w:pPr>
      <w:r>
        <w:rPr>
          <w:noProof/>
          <w:color w:val="auto"/>
        </w:rPr>
        <w:t>Чувствителността на портфейлите от инструменти на паричния пазар и облигации към промени в лихвените проценти се увеличава с техния срок. Сроковете на основните портфейли от активи, управлявани от Комисията, са посочени по-долу.</w:t>
      </w:r>
    </w:p>
    <w:p>
      <w:pPr>
        <w:pStyle w:val="HEADER5"/>
        <w:spacing w:before="240"/>
        <w:rPr>
          <w:noProof/>
        </w:rPr>
      </w:pPr>
      <w:r>
        <w:rPr>
          <w:noProof/>
        </w:rPr>
        <w:t>Дейности по получаване и отпускане на заеми за финансова помощ</w:t>
      </w:r>
    </w:p>
    <w:p>
      <w:pPr>
        <w:pStyle w:val="DGTextstand-alone"/>
      </w:pPr>
      <w:r>
        <w:t>Поради естеството на дейностите си по получаване и отпускане на заеми ЕС има значителни лихвоносни активи и пасиви. Лихвен риск обаче не съществува, тъй като получените заеми се компенсират от равностойни по размер заеми, отпуснати при същите срокове и условия („бек-ту-бек“).</w:t>
      </w:r>
    </w:p>
    <w:p>
      <w:pPr>
        <w:pStyle w:val="HEADER5"/>
        <w:rPr>
          <w:noProof/>
        </w:rPr>
      </w:pPr>
      <w:r>
        <w:rPr>
          <w:noProof/>
        </w:rPr>
        <w:t>Каса</w:t>
      </w:r>
    </w:p>
    <w:p>
      <w:pPr>
        <w:pStyle w:val="DGTextstand-alone"/>
      </w:pPr>
      <w:r>
        <w:t>Касата на Комисията не взема средства назаем. Поради това тя не е изложена на лихвен риск. Лихви обаче се начисляват върху наличностите в различните банкови сметки. Поради това Комисията е въвела мерки, с които да се гарантира, че лихвите, които се начисляват по нейните банкови сметки, редовно отразяват пазарните лихвени проценти, както и тяхното евентуално колебание.</w:t>
      </w:r>
    </w:p>
    <w:p>
      <w:pPr>
        <w:pStyle w:val="DGTextstand-alone"/>
      </w:pPr>
      <w:r>
        <w:t>Сметките, открити към министерствата на финансите на държавите членки за постъпленията от собствени ресурси, не носят лихва и по тях не се начисляват такси. Сметките в националните централни банки (за собствените ресурси и др.) могат да генерират доход по официалните ставки, прилагани от всяка институция. Тъй като някои от плащанията, които се прилагат по отношение на тези сметки, могат понастоящем да са отрицателни, са въведени процедури за управление на средствата с цел свеждане до минимум на наличностите по тези сметки. Сметките за собствените ресурси са защитени от последиците от отрицателни лихвени проценти в съответствие с Регламент № 609/2014 на Съвета (изменен с Регламент 2016/804 на Съвета).</w:t>
      </w:r>
    </w:p>
    <w:p>
      <w:pPr>
        <w:pStyle w:val="DGTextstand-alone"/>
      </w:pPr>
      <w:r>
        <w:t>Върху овърнайт наличностите в сметки в търговски банки лихва се начислява всеки ден. Тази лихва се основава на променливи пазарни лихвени проценти, за които се прилага договорен марж (положителен или отрицателен). Ставките, прилагани от търговските банки, по принцип са равни на нула за оперативните салда до определен таван.</w:t>
      </w:r>
    </w:p>
    <w:p>
      <w:pPr>
        <w:pStyle w:val="HEADER5"/>
        <w:rPr>
          <w:noProof/>
        </w:rPr>
      </w:pPr>
      <w:r>
        <w:rPr>
          <w:noProof/>
        </w:rPr>
        <w:t>Глоби</w:t>
      </w:r>
    </w:p>
    <w:p>
      <w:pPr>
        <w:pStyle w:val="DGTextstand-alone"/>
      </w:pPr>
      <w:r>
        <w:t xml:space="preserve">Условно платените глоби се инвестират в портфейл с инструменти на паричния пазар и дългосрочни облигации със среден срок на портфейла от 2,24 години. </w:t>
      </w:r>
    </w:p>
    <w:p>
      <w:pPr>
        <w:pStyle w:val="HEADER5"/>
        <w:rPr>
          <w:noProof/>
        </w:rPr>
      </w:pPr>
      <w:r>
        <w:rPr>
          <w:noProof/>
        </w:rPr>
        <w:t>Гаранционни фондове</w:t>
      </w:r>
    </w:p>
    <w:p>
      <w:pPr>
        <w:pStyle w:val="HEADER5"/>
        <w:rPr>
          <w:i/>
          <w:noProof/>
        </w:rPr>
      </w:pPr>
      <w:r>
        <w:rPr>
          <w:i/>
          <w:noProof/>
        </w:rPr>
        <w:t>Гаранционен фонд за външни дейности</w:t>
      </w:r>
    </w:p>
    <w:p>
      <w:pPr>
        <w:pStyle w:val="DGTextstand-alone"/>
      </w:pPr>
      <w:r>
        <w:t xml:space="preserve">Бюджетът, отпуснат на Гаранционния фонд, се инвестира в портфейл с инструменти на паричния пазар и дългосрочни облигации, като общият срок на портфейла е средно 3,04 години. </w:t>
      </w:r>
    </w:p>
    <w:p>
      <w:pPr>
        <w:pStyle w:val="HEADER5"/>
        <w:rPr>
          <w:i/>
          <w:noProof/>
        </w:rPr>
      </w:pPr>
      <w:r>
        <w:rPr>
          <w:i/>
          <w:noProof/>
        </w:rPr>
        <w:t>Гаранционен фонд на ЕФСИ</w:t>
      </w:r>
    </w:p>
    <w:p>
      <w:pPr>
        <w:pStyle w:val="DGTextstand-alone"/>
      </w:pPr>
      <w:r>
        <w:t>Бюджетът, отпуснат на Гаранционния фонд на ЕФСИ, се инвестира в портфейл с инструменти на паричния пазар и дългосрочни облигации, като общият срок на портфейла е средно 3,19 години.</w:t>
      </w:r>
    </w:p>
    <w:p>
      <w:pPr>
        <w:pStyle w:val="HEADER5"/>
        <w:rPr>
          <w:i/>
          <w:noProof/>
        </w:rPr>
      </w:pPr>
      <w:r>
        <w:rPr>
          <w:i/>
          <w:noProof/>
        </w:rPr>
        <w:t>Гаранционен фонд на ЕФУР</w:t>
      </w:r>
    </w:p>
    <w:p>
      <w:pPr>
        <w:pStyle w:val="DGTextstand-alone"/>
      </w:pPr>
      <w:r>
        <w:t>Бюджетът, отпуснат на Гаранционния фонд на ЕФУР, се инвестира в портфейл с инструменти на паричния пазар и дългосрочни облигации, като общият срок на портфейла е средно 2,41 години.</w:t>
      </w:r>
    </w:p>
    <w:p>
      <w:pPr>
        <w:pStyle w:val="HEADER2NOTES"/>
        <w:rPr>
          <w:noProof/>
        </w:rPr>
      </w:pPr>
      <w:r>
        <w:rPr>
          <w:noProof/>
        </w:rPr>
        <w:t>КРЕДИТЕН РИСК</w:t>
      </w:r>
    </w:p>
    <w:p>
      <w:pPr>
        <w:pStyle w:val="DGTextstand-alone"/>
      </w:pPr>
      <w:r>
        <w:t>Сумите, които представляват експозицията на ЕС на кредитен риск в края на отчетния период, са балансовите стойности на финансовите инструменти, оповестени в бележка </w:t>
      </w:r>
      <w:r>
        <w:rPr>
          <w:b/>
        </w:rPr>
        <w:t>2</w:t>
      </w:r>
      <w:r>
        <w:t>.</w:t>
      </w:r>
    </w:p>
    <w:p>
      <w:pPr>
        <w:pStyle w:val="HEADER5"/>
        <w:rPr>
          <w:noProof/>
        </w:rPr>
      </w:pPr>
      <w:r>
        <w:rPr>
          <w:noProof/>
        </w:rPr>
        <w:t>Анализ на възрастта на финансовите активи, които не са обезценени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8"/>
        <w:gridCol w:w="1376"/>
        <w:gridCol w:w="1376"/>
        <w:gridCol w:w="1376"/>
        <w:gridCol w:w="1376"/>
        <w:gridCol w:w="1376"/>
      </w:tblGrid>
      <w:tr>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bottom"/>
          </w:tcPr>
          <w:p>
            <w:pPr>
              <w:pStyle w:val="DMETW19870BIPCDTR"/>
              <w:rPr>
                <w:rFonts w:ascii="Arial" w:eastAsia="Arial" w:hAnsi="Arial" w:cs="Arial"/>
                <w:noProof/>
                <w:color w:val="000000"/>
              </w:rPr>
            </w:pPr>
            <w:bookmarkStart w:id="203" w:name="DOC_TBL00093_1_1"/>
            <w:bookmarkEnd w:id="203"/>
          </w:p>
        </w:tc>
        <w:tc>
          <w:tcPr>
            <w:tcW w:w="1376" w:type="dxa"/>
            <w:tcBorders>
              <w:top w:val="nil"/>
              <w:left w:val="nil"/>
              <w:bottom w:val="nil"/>
              <w:right w:val="nil"/>
              <w:tl2br w:val="nil"/>
              <w:tr2bl w:val="nil"/>
            </w:tcBorders>
            <w:shd w:val="clear" w:color="auto" w:fill="auto"/>
            <w:tcMar>
              <w:left w:w="60" w:type="dxa"/>
              <w:right w:w="60" w:type="dxa"/>
            </w:tcMar>
            <w:vAlign w:val="bottom"/>
          </w:tcPr>
          <w:p>
            <w:pPr>
              <w:pStyle w:val="DMETW19870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pPr>
              <w:pStyle w:val="DMETW19870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pPr>
              <w:pStyle w:val="DMETW19870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pPr>
              <w:pStyle w:val="DMETW19870BIPCDTR"/>
              <w:rPr>
                <w:rFonts w:ascii="Arial" w:eastAsia="Arial" w:hAnsi="Arial" w:cs="Arial"/>
                <w:noProof/>
                <w:color w:val="000000"/>
              </w:rPr>
            </w:pPr>
          </w:p>
        </w:tc>
        <w:tc>
          <w:tcPr>
            <w:tcW w:w="1376" w:type="dxa"/>
            <w:tcBorders>
              <w:top w:val="nil"/>
              <w:left w:val="nil"/>
              <w:bottom w:val="nil"/>
              <w:right w:val="nil"/>
              <w:tl2br w:val="nil"/>
              <w:tr2bl w:val="nil"/>
            </w:tcBorders>
            <w:shd w:val="clear" w:color="auto" w:fill="auto"/>
            <w:tcMar>
              <w:left w:w="60" w:type="dxa"/>
              <w:right w:w="60" w:type="dxa"/>
            </w:tcMar>
            <w:vAlign w:val="bottom"/>
          </w:tcPr>
          <w:p>
            <w:pPr>
              <w:pStyle w:val="DMETW19870BIPCDTR"/>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255"/>
        </w:trPr>
        <w:tc>
          <w:tcPr>
            <w:tcW w:w="2878"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70BIPCDTR"/>
              <w:jc w:val="center"/>
              <w:rPr>
                <w:rFonts w:ascii="Verdana" w:eastAsia="Verdana" w:hAnsi="Verdana" w:cs="Verdana"/>
                <w:noProof/>
                <w:color w:val="FFFFFF"/>
              </w:rPr>
            </w:pPr>
          </w:p>
        </w:tc>
        <w:tc>
          <w:tcPr>
            <w:tcW w:w="1376" w:type="dxa"/>
            <w:vMerge w:val="restart"/>
            <w:tcBorders>
              <w:top w:val="nil"/>
              <w:left w:val="nil"/>
              <w:bottom w:val="nil"/>
              <w:right w:val="nil"/>
              <w:tl2br w:val="nil"/>
              <w:tr2bl w:val="nil"/>
            </w:tcBorders>
            <w:shd w:val="solid" w:color="016794" w:fill="FFFFFF"/>
            <w:tcMar>
              <w:left w:w="60" w:type="dxa"/>
              <w:right w:w="60" w:type="dxa"/>
            </w:tcMar>
          </w:tcPr>
          <w:p>
            <w:pPr>
              <w:pStyle w:val="DMETW19870BIPCDTR"/>
              <w:jc w:val="right"/>
              <w:rPr>
                <w:rFonts w:ascii="Verdana" w:eastAsia="Verdana" w:hAnsi="Verdana" w:cs="Verdana"/>
                <w:noProof/>
                <w:color w:val="FFFFFF"/>
              </w:rPr>
            </w:pPr>
            <w:r>
              <w:rPr>
                <w:rFonts w:ascii="Verdana" w:hAnsi="Verdana"/>
                <w:noProof/>
                <w:color w:val="FFFFFF"/>
              </w:rPr>
              <w:t>Общо</w:t>
            </w:r>
          </w:p>
        </w:tc>
        <w:tc>
          <w:tcPr>
            <w:tcW w:w="1376" w:type="dxa"/>
            <w:vMerge w:val="restart"/>
            <w:tcBorders>
              <w:top w:val="nil"/>
              <w:left w:val="nil"/>
              <w:bottom w:val="nil"/>
              <w:right w:val="nil"/>
              <w:tl2br w:val="nil"/>
              <w:tr2bl w:val="nil"/>
            </w:tcBorders>
            <w:shd w:val="solid" w:color="016794" w:fill="FFFFFF"/>
            <w:tcMar>
              <w:left w:w="60" w:type="dxa"/>
              <w:right w:w="60" w:type="dxa"/>
            </w:tcMar>
          </w:tcPr>
          <w:p>
            <w:pPr>
              <w:pStyle w:val="DMETW19870BIPCDTR"/>
              <w:jc w:val="right"/>
              <w:rPr>
                <w:rFonts w:ascii="Verdana" w:eastAsia="Verdana" w:hAnsi="Verdana" w:cs="Verdana"/>
                <w:noProof/>
                <w:color w:val="FFFFFF"/>
              </w:rPr>
            </w:pPr>
            <w:r>
              <w:rPr>
                <w:rFonts w:ascii="Verdana" w:hAnsi="Verdana"/>
                <w:noProof/>
                <w:color w:val="FFFFFF"/>
              </w:rPr>
              <w:t>Непросрочени и необезценени</w:t>
            </w:r>
          </w:p>
        </w:tc>
        <w:tc>
          <w:tcPr>
            <w:tcW w:w="1376"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870BIPCDTR"/>
              <w:jc w:val="center"/>
              <w:rPr>
                <w:rFonts w:ascii="Verdana" w:eastAsia="Verdana" w:hAnsi="Verdana" w:cs="Verdana"/>
                <w:noProof/>
                <w:color w:val="FFFFFF"/>
              </w:rPr>
            </w:pPr>
            <w:r>
              <w:rPr>
                <w:rFonts w:ascii="Verdana" w:hAnsi="Verdana"/>
                <w:noProof/>
                <w:color w:val="FFFFFF"/>
              </w:rPr>
              <w:t>Просрочени, но необезценени</w:t>
            </w:r>
          </w:p>
        </w:tc>
      </w:tr>
      <w:tr>
        <w:trPr>
          <w:cantSplit/>
          <w:trHeight w:val="255"/>
        </w:trPr>
        <w:tc>
          <w:tcPr>
            <w:tcW w:w="4545" w:type="dxa"/>
            <w:vMerge/>
            <w:tcBorders>
              <w:top w:val="nil"/>
              <w:left w:val="nil"/>
              <w:bottom w:val="nil"/>
              <w:right w:val="nil"/>
              <w:tl2br w:val="nil"/>
              <w:tr2bl w:val="nil"/>
            </w:tcBorders>
            <w:shd w:val="solid" w:color="016794" w:fill="FFFFFF"/>
            <w:tcMar>
              <w:left w:w="60" w:type="dxa"/>
              <w:right w:w="60" w:type="dxa"/>
            </w:tcMar>
            <w:vAlign w:val="center"/>
          </w:tcPr>
          <w:p>
            <w:pPr>
              <w:pStyle w:val="DMETW19870BIPCDTR"/>
              <w:jc w:val="center"/>
              <w:rPr>
                <w:rFonts w:ascii="Verdana" w:eastAsia="Verdana" w:hAnsi="Verdana" w:cs="Verdana"/>
                <w:noProof/>
                <w:color w:val="FFFFFF"/>
              </w:rPr>
            </w:pPr>
          </w:p>
        </w:tc>
        <w:tc>
          <w:tcPr>
            <w:tcW w:w="1410" w:type="dxa"/>
            <w:vMerge/>
            <w:tcBorders>
              <w:top w:val="nil"/>
              <w:left w:val="nil"/>
              <w:bottom w:val="nil"/>
              <w:right w:val="nil"/>
              <w:tl2br w:val="nil"/>
              <w:tr2bl w:val="nil"/>
            </w:tcBorders>
            <w:shd w:val="solid" w:color="016794" w:fill="FFFFFF"/>
            <w:tcMar>
              <w:left w:w="60" w:type="dxa"/>
              <w:right w:w="60" w:type="dxa"/>
            </w:tcMar>
          </w:tcPr>
          <w:p>
            <w:pPr>
              <w:pStyle w:val="DMETW19870BIPCDTR"/>
              <w:jc w:val="right"/>
              <w:rPr>
                <w:rFonts w:ascii="Verdana" w:eastAsia="Verdana" w:hAnsi="Verdana" w:cs="Verdana"/>
                <w:noProof/>
                <w:color w:val="FFFFFF"/>
              </w:rPr>
            </w:pPr>
          </w:p>
        </w:tc>
        <w:tc>
          <w:tcPr>
            <w:tcW w:w="1410" w:type="dxa"/>
            <w:vMerge/>
            <w:tcBorders>
              <w:top w:val="nil"/>
              <w:left w:val="nil"/>
              <w:bottom w:val="nil"/>
              <w:right w:val="nil"/>
              <w:tl2br w:val="nil"/>
              <w:tr2bl w:val="nil"/>
            </w:tcBorders>
            <w:shd w:val="solid" w:color="016794" w:fill="FFFFFF"/>
            <w:tcMar>
              <w:left w:w="60" w:type="dxa"/>
              <w:right w:w="60" w:type="dxa"/>
            </w:tcMar>
          </w:tcPr>
          <w:p>
            <w:pPr>
              <w:pStyle w:val="DMETW19870BIPCDTR"/>
              <w:jc w:val="right"/>
              <w:rPr>
                <w:rFonts w:ascii="Verdana" w:eastAsia="Verdana" w:hAnsi="Verdana" w:cs="Verdana"/>
                <w:noProof/>
                <w:color w:val="FFFFFF"/>
              </w:rPr>
            </w:pPr>
          </w:p>
        </w:tc>
        <w:tc>
          <w:tcPr>
            <w:tcW w:w="1376" w:type="dxa"/>
            <w:tcBorders>
              <w:top w:val="nil"/>
              <w:left w:val="nil"/>
              <w:bottom w:val="nil"/>
              <w:right w:val="nil"/>
              <w:tl2br w:val="nil"/>
              <w:tr2bl w:val="nil"/>
            </w:tcBorders>
            <w:shd w:val="solid" w:color="3486A9" w:fill="FFFFFF"/>
            <w:tcMar>
              <w:left w:w="60" w:type="dxa"/>
              <w:right w:w="60" w:type="dxa"/>
            </w:tcMar>
            <w:vAlign w:val="center"/>
          </w:tcPr>
          <w:p>
            <w:pPr>
              <w:pStyle w:val="DMETW19870BIPCDTR"/>
              <w:jc w:val="right"/>
              <w:rPr>
                <w:rFonts w:ascii="Verdana" w:eastAsia="Verdana" w:hAnsi="Verdana" w:cs="Verdana"/>
                <w:noProof/>
                <w:color w:val="FFFFFF"/>
              </w:rPr>
            </w:pPr>
            <w:r>
              <w:rPr>
                <w:rFonts w:ascii="Verdana" w:hAnsi="Verdana"/>
                <w:noProof/>
                <w:color w:val="FFFFFF"/>
              </w:rPr>
              <w:t>&lt; 1 година</w:t>
            </w:r>
          </w:p>
        </w:tc>
        <w:tc>
          <w:tcPr>
            <w:tcW w:w="1376" w:type="dxa"/>
            <w:tcBorders>
              <w:top w:val="nil"/>
              <w:left w:val="nil"/>
              <w:bottom w:val="nil"/>
              <w:right w:val="nil"/>
              <w:tl2br w:val="nil"/>
              <w:tr2bl w:val="nil"/>
            </w:tcBorders>
            <w:shd w:val="solid" w:color="3486A9" w:fill="FFFFFF"/>
            <w:tcMar>
              <w:left w:w="60" w:type="dxa"/>
              <w:right w:w="60" w:type="dxa"/>
            </w:tcMar>
            <w:vAlign w:val="center"/>
          </w:tcPr>
          <w:p>
            <w:pPr>
              <w:pStyle w:val="DMETW19870BIPCDTR"/>
              <w:jc w:val="right"/>
              <w:rPr>
                <w:rFonts w:ascii="Verdana" w:eastAsia="Verdana" w:hAnsi="Verdana" w:cs="Verdana"/>
                <w:noProof/>
                <w:color w:val="FFFFFF"/>
              </w:rPr>
            </w:pPr>
            <w:r>
              <w:rPr>
                <w:rFonts w:ascii="Verdana" w:hAnsi="Verdana"/>
                <w:noProof/>
                <w:color w:val="FFFFFF"/>
              </w:rPr>
              <w:t>1—5 години</w:t>
            </w:r>
          </w:p>
        </w:tc>
        <w:tc>
          <w:tcPr>
            <w:tcW w:w="1376" w:type="dxa"/>
            <w:tcBorders>
              <w:top w:val="nil"/>
              <w:left w:val="nil"/>
              <w:bottom w:val="nil"/>
              <w:right w:val="nil"/>
              <w:tl2br w:val="nil"/>
              <w:tr2bl w:val="nil"/>
            </w:tcBorders>
            <w:shd w:val="solid" w:color="3486A9" w:fill="FFFFFF"/>
            <w:tcMar>
              <w:left w:w="60" w:type="dxa"/>
              <w:right w:w="60" w:type="dxa"/>
            </w:tcMar>
            <w:vAlign w:val="center"/>
          </w:tcPr>
          <w:p>
            <w:pPr>
              <w:pStyle w:val="DMETW19870BIPCDTR"/>
              <w:jc w:val="right"/>
              <w:rPr>
                <w:rFonts w:ascii="Verdana" w:eastAsia="Verdana" w:hAnsi="Verdana" w:cs="Verdana"/>
                <w:noProof/>
                <w:color w:val="FFFFFF"/>
              </w:rPr>
            </w:pPr>
            <w:r>
              <w:rPr>
                <w:rFonts w:ascii="Verdana" w:hAnsi="Verdana"/>
                <w:noProof/>
                <w:color w:val="FFFFFF"/>
              </w:rPr>
              <w:t>&gt; 5 години</w:t>
            </w:r>
          </w:p>
        </w:tc>
      </w:tr>
      <w:tr>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pPr>
              <w:pStyle w:val="DMETW19870BIPCDTR"/>
              <w:rPr>
                <w:rFonts w:ascii="Verdana" w:eastAsia="Verdana" w:hAnsi="Verdana" w:cs="Verdana"/>
                <w:i/>
                <w:noProof/>
                <w:color w:val="000000"/>
                <w:sz w:val="18"/>
              </w:rPr>
            </w:pPr>
            <w:r>
              <w:rPr>
                <w:rFonts w:ascii="Verdana" w:hAnsi="Verdana"/>
                <w:i/>
                <w:noProof/>
                <w:color w:val="000000"/>
                <w:sz w:val="18"/>
              </w:rPr>
              <w:t>Заеми</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93 309</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93 308</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 xml:space="preserve"> 0</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pPr>
              <w:pStyle w:val="DMETW19870BIPCDTR"/>
              <w:rPr>
                <w:rFonts w:ascii="Verdana" w:eastAsia="Verdana" w:hAnsi="Verdana" w:cs="Verdana"/>
                <w:i/>
                <w:noProof/>
                <w:color w:val="000000"/>
                <w:sz w:val="18"/>
              </w:rPr>
            </w:pPr>
            <w:r>
              <w:rPr>
                <w:rFonts w:ascii="Verdana" w:hAnsi="Verdana"/>
                <w:i/>
                <w:noProof/>
                <w:color w:val="000000"/>
                <w:sz w:val="18"/>
              </w:rPr>
              <w:t>Вземания и средства, подлежащи на събиране</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74 493</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59 702</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 xml:space="preserve"> 505</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14 030</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 xml:space="preserve"> 257</w:t>
            </w:r>
          </w:p>
        </w:tc>
      </w:tr>
      <w:tr>
        <w:trPr>
          <w:cantSplit/>
          <w:trHeight w:val="255"/>
        </w:trPr>
        <w:tc>
          <w:tcPr>
            <w:tcW w:w="287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 xml:space="preserve"> 199</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 xml:space="preserve"> 199</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2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rPr>
                <w:rFonts w:ascii="Verdana" w:eastAsia="Verdana" w:hAnsi="Verdana" w:cs="Verdana"/>
                <w:b/>
                <w:noProof/>
                <w:color w:val="000000"/>
                <w:sz w:val="18"/>
              </w:rPr>
            </w:pPr>
            <w:r>
              <w:rPr>
                <w:rFonts w:ascii="Verdana" w:hAnsi="Verdana"/>
                <w:b/>
                <w:noProof/>
                <w:color w:val="000000"/>
                <w:sz w:val="18"/>
              </w:rPr>
              <w:t>Общо към 31.12.2020 г.</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b/>
                <w:noProof/>
                <w:color w:val="000000"/>
                <w:sz w:val="18"/>
              </w:rPr>
            </w:pPr>
            <w:r>
              <w:rPr>
                <w:rFonts w:ascii="Verdana" w:hAnsi="Verdana"/>
                <w:b/>
                <w:noProof/>
                <w:color w:val="000000"/>
                <w:sz w:val="18"/>
              </w:rPr>
              <w:t>168 001</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b/>
                <w:noProof/>
                <w:color w:val="000000"/>
                <w:sz w:val="18"/>
              </w:rPr>
            </w:pPr>
            <w:r>
              <w:rPr>
                <w:rFonts w:ascii="Verdana" w:hAnsi="Verdana"/>
                <w:b/>
                <w:noProof/>
                <w:color w:val="000000"/>
                <w:sz w:val="18"/>
              </w:rPr>
              <w:t>153 209</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b/>
                <w:noProof/>
                <w:color w:val="000000"/>
                <w:sz w:val="18"/>
              </w:rPr>
            </w:pPr>
            <w:r>
              <w:rPr>
                <w:rFonts w:ascii="Verdana" w:hAnsi="Verdana"/>
                <w:b/>
                <w:noProof/>
                <w:color w:val="000000"/>
                <w:sz w:val="18"/>
              </w:rPr>
              <w:t xml:space="preserve"> 505</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b/>
                <w:noProof/>
                <w:color w:val="000000"/>
                <w:sz w:val="18"/>
              </w:rPr>
            </w:pPr>
            <w:r>
              <w:rPr>
                <w:rFonts w:ascii="Verdana" w:hAnsi="Verdana"/>
                <w:b/>
                <w:noProof/>
                <w:color w:val="000000"/>
                <w:sz w:val="18"/>
              </w:rPr>
              <w:t>14 030</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b/>
                <w:noProof/>
                <w:color w:val="000000"/>
                <w:sz w:val="18"/>
              </w:rPr>
            </w:pPr>
            <w:r>
              <w:rPr>
                <w:rFonts w:ascii="Verdana" w:hAnsi="Verdana"/>
                <w:b/>
                <w:noProof/>
                <w:color w:val="000000"/>
                <w:sz w:val="18"/>
              </w:rPr>
              <w:t xml:space="preserve"> 257</w:t>
            </w:r>
          </w:p>
        </w:tc>
      </w:tr>
      <w:tr>
        <w:trPr>
          <w:cantSplit/>
          <w:trHeight w:val="255"/>
        </w:trPr>
        <w:tc>
          <w:tcPr>
            <w:tcW w:w="287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CDTR"/>
              <w:rPr>
                <w:rFonts w:ascii="Verdana" w:eastAsia="Verdana" w:hAnsi="Verdana" w:cs="Verdana"/>
                <w:i/>
                <w:noProof/>
                <w:color w:val="000000"/>
                <w:sz w:val="18"/>
              </w:rPr>
            </w:pPr>
            <w:r>
              <w:rPr>
                <w:rFonts w:ascii="Verdana" w:hAnsi="Verdana"/>
                <w:i/>
                <w:noProof/>
                <w:color w:val="000000"/>
                <w:sz w:val="18"/>
              </w:rPr>
              <w:t>Заеми</w:t>
            </w: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52 684</w:t>
            </w: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52 683</w:t>
            </w: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 xml:space="preserve"> 1</w:t>
            </w: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2878" w:type="dxa"/>
            <w:tcBorders>
              <w:top w:val="nil"/>
              <w:left w:val="nil"/>
              <w:bottom w:val="nil"/>
              <w:right w:val="nil"/>
              <w:tl2br w:val="nil"/>
              <w:tr2bl w:val="nil"/>
            </w:tcBorders>
            <w:shd w:val="clear" w:color="auto" w:fill="auto"/>
            <w:tcMar>
              <w:left w:w="60" w:type="dxa"/>
              <w:right w:w="60" w:type="dxa"/>
            </w:tcMar>
            <w:vAlign w:val="center"/>
          </w:tcPr>
          <w:p>
            <w:pPr>
              <w:pStyle w:val="DMETW19870BIPCDTR"/>
              <w:rPr>
                <w:rFonts w:ascii="Verdana" w:eastAsia="Verdana" w:hAnsi="Verdana" w:cs="Verdana"/>
                <w:i/>
                <w:noProof/>
                <w:color w:val="000000"/>
                <w:sz w:val="18"/>
              </w:rPr>
            </w:pPr>
            <w:r>
              <w:rPr>
                <w:rFonts w:ascii="Verdana" w:hAnsi="Verdana"/>
                <w:i/>
                <w:noProof/>
                <w:color w:val="000000"/>
                <w:sz w:val="18"/>
              </w:rPr>
              <w:t>Вземания и средства, подлежащи на събиране</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23 974</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9 410</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2 726</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11 543</w:t>
            </w:r>
          </w:p>
        </w:tc>
        <w:tc>
          <w:tcPr>
            <w:tcW w:w="1376" w:type="dxa"/>
            <w:tcBorders>
              <w:top w:val="nil"/>
              <w:left w:val="nil"/>
              <w:bottom w:val="nil"/>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 xml:space="preserve"> 295</w:t>
            </w:r>
          </w:p>
        </w:tc>
      </w:tr>
      <w:tr>
        <w:trPr>
          <w:cantSplit/>
          <w:trHeight w:val="255"/>
        </w:trPr>
        <w:tc>
          <w:tcPr>
            <w:tcW w:w="287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 xml:space="preserve"> 137</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 xml:space="preserve"> 137</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2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rPr>
                <w:rFonts w:ascii="Verdana" w:eastAsia="Verdana" w:hAnsi="Verdana" w:cs="Verdana"/>
                <w:b/>
                <w:noProof/>
                <w:color w:val="000000"/>
                <w:sz w:val="18"/>
              </w:rPr>
            </w:pPr>
            <w:r>
              <w:rPr>
                <w:rFonts w:ascii="Verdana" w:hAnsi="Verdana"/>
                <w:b/>
                <w:noProof/>
                <w:color w:val="000000"/>
                <w:sz w:val="18"/>
              </w:rPr>
              <w:t>Общо към 31.12.2019 г.</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b/>
                <w:noProof/>
                <w:color w:val="000000"/>
                <w:sz w:val="18"/>
              </w:rPr>
            </w:pPr>
            <w:r>
              <w:rPr>
                <w:rFonts w:ascii="Verdana" w:hAnsi="Verdana"/>
                <w:b/>
                <w:noProof/>
                <w:color w:val="000000"/>
                <w:sz w:val="18"/>
              </w:rPr>
              <w:t>76 795</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b/>
                <w:noProof/>
                <w:color w:val="000000"/>
                <w:sz w:val="18"/>
              </w:rPr>
            </w:pPr>
            <w:r>
              <w:rPr>
                <w:rFonts w:ascii="Verdana" w:hAnsi="Verdana"/>
                <w:b/>
                <w:noProof/>
                <w:color w:val="000000"/>
                <w:sz w:val="18"/>
              </w:rPr>
              <w:t>62 231</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b/>
                <w:noProof/>
                <w:color w:val="000000"/>
                <w:sz w:val="18"/>
              </w:rPr>
            </w:pPr>
            <w:r>
              <w:rPr>
                <w:rFonts w:ascii="Verdana" w:hAnsi="Verdana"/>
                <w:b/>
                <w:noProof/>
                <w:color w:val="000000"/>
                <w:sz w:val="18"/>
              </w:rPr>
              <w:t>2 727</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b/>
                <w:noProof/>
                <w:color w:val="000000"/>
                <w:sz w:val="18"/>
              </w:rPr>
            </w:pPr>
            <w:r>
              <w:rPr>
                <w:rFonts w:ascii="Verdana" w:hAnsi="Verdana"/>
                <w:b/>
                <w:noProof/>
                <w:color w:val="000000"/>
                <w:sz w:val="18"/>
              </w:rPr>
              <w:t>11 543</w:t>
            </w:r>
          </w:p>
        </w:tc>
        <w:tc>
          <w:tcPr>
            <w:tcW w:w="13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CDTR"/>
              <w:jc w:val="right"/>
              <w:rPr>
                <w:rFonts w:ascii="Verdana" w:eastAsia="Verdana" w:hAnsi="Verdana" w:cs="Verdana"/>
                <w:b/>
                <w:noProof/>
                <w:color w:val="000000"/>
                <w:sz w:val="18"/>
              </w:rPr>
            </w:pPr>
            <w:r>
              <w:rPr>
                <w:rFonts w:ascii="Verdana" w:hAnsi="Verdana"/>
                <w:b/>
                <w:noProof/>
                <w:color w:val="000000"/>
                <w:sz w:val="18"/>
              </w:rPr>
              <w:t xml:space="preserve"> 295</w:t>
            </w:r>
          </w:p>
        </w:tc>
      </w:tr>
    </w:tbl>
    <w:p>
      <w:pPr>
        <w:pStyle w:val="HEADER5"/>
        <w:rPr>
          <w:rFonts w:eastAsia="Calibri"/>
          <w:noProof/>
          <w:color w:val="auto"/>
        </w:rPr>
      </w:pPr>
    </w:p>
    <w:p>
      <w:pPr>
        <w:pStyle w:val="DGTextstand-alone"/>
      </w:pPr>
      <w:r>
        <w:t>На 10 юли 2020 г. Комисията взе решение да измени вътрешните си разпоредби за събиране на вземания с цел да се намали въздействието на пандемията от COVID-19 върху длъжниците на Комисията. С решението бяха удължени временно сроковете за изплащане на нови задължения и бе предвидена възможността за предоставяне на допълнително време за изплащане на съществуващите по това време неуредени задължения.</w:t>
      </w:r>
    </w:p>
    <w:p>
      <w:pPr>
        <w:pStyle w:val="DGTextstand-alone"/>
      </w:pPr>
      <w:r>
        <w:t>Вземанията и подлежащите на събиране средства, които са просрочени, но не са обезценени, включват подлежащи на събиране средства, свързани с глоби в областта на конкуренцията на стойност 11 295 милиона евро (132 милиона евро са просрочени с по-малко от една година, 10</w:t>
      </w:r>
      <w:r>
        <w:rPr>
          <w:lang w:val="en-GB"/>
        </w:rPr>
        <w:t> </w:t>
      </w:r>
      <w:r>
        <w:t>931</w:t>
      </w:r>
      <w:r>
        <w:rPr>
          <w:lang w:val="en-GB"/>
        </w:rPr>
        <w:t> </w:t>
      </w:r>
      <w:r>
        <w:t xml:space="preserve">милиона евро — с между 1 и 5 години, а 231 милиона евро са дължими от над 5 години). Тези суми са до голяма степен обезпечени с банкови гаранции, поради което експозицията на Комисията на кредитния риск, е малка. Глобените предприятия предоставят тези гаранции като алтернатива на условните плащания. Освен това първите две категории вземания и подлежащи на събиране средства включват 1,2 милиарда евро вземания и 2,1 милиарда евро подлежащи на събиране средства, свързани с производството за нарушение, посочено в бележка </w:t>
      </w:r>
      <w:r>
        <w:rPr>
          <w:b/>
        </w:rPr>
        <w:t>2.6.1.1</w:t>
      </w:r>
      <w:r>
        <w:t>.</w:t>
      </w:r>
    </w:p>
    <w:p>
      <w:pPr>
        <w:pStyle w:val="HEADER5"/>
        <w:rPr>
          <w:noProof/>
        </w:rPr>
      </w:pPr>
      <w:r>
        <w:rPr>
          <w:noProof/>
        </w:rPr>
        <w:t>Кредитно качество на финансовите активи, които не са просрочени и не са обезценени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1148"/>
        <w:gridCol w:w="1148"/>
        <w:gridCol w:w="1211"/>
        <w:gridCol w:w="1422"/>
        <w:gridCol w:w="1001"/>
        <w:gridCol w:w="1352"/>
      </w:tblGrid>
      <w:tr>
        <w:trPr>
          <w:trHeight w:val="255"/>
        </w:trPr>
        <w:tc>
          <w:tcPr>
            <w:tcW w:w="2476" w:type="dxa"/>
            <w:tcBorders>
              <w:top w:val="nil"/>
              <w:left w:val="nil"/>
              <w:bottom w:val="nil"/>
              <w:right w:val="nil"/>
              <w:tl2br w:val="nil"/>
              <w:tr2bl w:val="nil"/>
            </w:tcBorders>
            <w:shd w:val="clear" w:color="auto" w:fill="auto"/>
            <w:tcMar>
              <w:left w:w="60" w:type="dxa"/>
              <w:right w:w="60" w:type="dxa"/>
            </w:tcMar>
            <w:vAlign w:val="bottom"/>
          </w:tcPr>
          <w:p>
            <w:pPr>
              <w:pStyle w:val="DMETW19870BIPFARCCY"/>
              <w:rPr>
                <w:rFonts w:ascii="Arial" w:eastAsia="Arial" w:hAnsi="Arial" w:cs="Arial"/>
                <w:noProof/>
                <w:color w:val="000000"/>
              </w:rPr>
            </w:pPr>
            <w:bookmarkStart w:id="204" w:name="DOC_TBL00094_1_1"/>
            <w:bookmarkEnd w:id="204"/>
          </w:p>
        </w:tc>
        <w:tc>
          <w:tcPr>
            <w:tcW w:w="1148" w:type="dxa"/>
            <w:tcBorders>
              <w:top w:val="nil"/>
              <w:left w:val="nil"/>
              <w:bottom w:val="nil"/>
              <w:right w:val="nil"/>
              <w:tl2br w:val="nil"/>
              <w:tr2bl w:val="nil"/>
            </w:tcBorders>
            <w:shd w:val="clear" w:color="auto" w:fill="auto"/>
            <w:tcMar>
              <w:left w:w="60" w:type="dxa"/>
              <w:right w:w="60" w:type="dxa"/>
            </w:tcMar>
            <w:vAlign w:val="bottom"/>
          </w:tcPr>
          <w:p>
            <w:pPr>
              <w:pStyle w:val="DMETW19870BIPFARCCY"/>
              <w:rPr>
                <w:rFonts w:ascii="Arial" w:eastAsia="Arial" w:hAnsi="Arial" w:cs="Arial"/>
                <w:noProof/>
                <w:color w:val="000000"/>
              </w:rPr>
            </w:pPr>
          </w:p>
        </w:tc>
        <w:tc>
          <w:tcPr>
            <w:tcW w:w="1148" w:type="dxa"/>
            <w:tcBorders>
              <w:top w:val="nil"/>
              <w:left w:val="nil"/>
              <w:bottom w:val="nil"/>
              <w:right w:val="nil"/>
              <w:tl2br w:val="nil"/>
              <w:tr2bl w:val="nil"/>
            </w:tcBorders>
            <w:shd w:val="clear" w:color="auto" w:fill="auto"/>
            <w:tcMar>
              <w:left w:w="60" w:type="dxa"/>
              <w:right w:w="60" w:type="dxa"/>
            </w:tcMar>
            <w:vAlign w:val="bottom"/>
          </w:tcPr>
          <w:p>
            <w:pPr>
              <w:pStyle w:val="DMETW19870BIPFARCCY"/>
              <w:rPr>
                <w:rFonts w:ascii="Arial" w:eastAsia="Arial" w:hAnsi="Arial" w:cs="Arial"/>
                <w:noProof/>
                <w:color w:val="000000"/>
              </w:rPr>
            </w:pPr>
          </w:p>
        </w:tc>
        <w:tc>
          <w:tcPr>
            <w:tcW w:w="1211" w:type="dxa"/>
            <w:tcBorders>
              <w:top w:val="nil"/>
              <w:left w:val="nil"/>
              <w:bottom w:val="nil"/>
              <w:right w:val="nil"/>
              <w:tl2br w:val="nil"/>
              <w:tr2bl w:val="nil"/>
            </w:tcBorders>
            <w:shd w:val="clear" w:color="auto" w:fill="auto"/>
            <w:tcMar>
              <w:left w:w="60" w:type="dxa"/>
              <w:right w:w="60" w:type="dxa"/>
            </w:tcMar>
            <w:vAlign w:val="bottom"/>
          </w:tcPr>
          <w:p>
            <w:pPr>
              <w:pStyle w:val="DMETW19870BIPFARCCY"/>
              <w:rPr>
                <w:rFonts w:ascii="Arial" w:eastAsia="Arial" w:hAnsi="Arial" w:cs="Arial"/>
                <w:noProof/>
                <w:color w:val="000000"/>
              </w:rPr>
            </w:pPr>
          </w:p>
        </w:tc>
        <w:tc>
          <w:tcPr>
            <w:tcW w:w="1422" w:type="dxa"/>
            <w:tcBorders>
              <w:top w:val="nil"/>
              <w:left w:val="nil"/>
              <w:bottom w:val="nil"/>
              <w:right w:val="nil"/>
              <w:tl2br w:val="nil"/>
              <w:tr2bl w:val="nil"/>
            </w:tcBorders>
            <w:shd w:val="clear" w:color="auto" w:fill="auto"/>
            <w:tcMar>
              <w:left w:w="60" w:type="dxa"/>
              <w:right w:w="60" w:type="dxa"/>
            </w:tcMar>
            <w:vAlign w:val="bottom"/>
          </w:tcPr>
          <w:p>
            <w:pPr>
              <w:pStyle w:val="DMETW19870BIPFARCCY"/>
              <w:rPr>
                <w:rFonts w:ascii="Arial" w:eastAsia="Arial" w:hAnsi="Arial" w:cs="Arial"/>
                <w:noProof/>
                <w:color w:val="000000"/>
              </w:rPr>
            </w:pPr>
          </w:p>
        </w:tc>
        <w:tc>
          <w:tcPr>
            <w:tcW w:w="1001" w:type="dxa"/>
            <w:tcBorders>
              <w:top w:val="nil"/>
              <w:left w:val="nil"/>
              <w:bottom w:val="nil"/>
              <w:right w:val="nil"/>
              <w:tl2br w:val="nil"/>
              <w:tr2bl w:val="nil"/>
            </w:tcBorders>
            <w:shd w:val="clear" w:color="auto" w:fill="auto"/>
            <w:tcMar>
              <w:left w:w="60" w:type="dxa"/>
              <w:right w:w="60" w:type="dxa"/>
            </w:tcMar>
            <w:vAlign w:val="bottom"/>
          </w:tcPr>
          <w:p>
            <w:pPr>
              <w:pStyle w:val="DMETW19870BIPFARCCY"/>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pPr>
              <w:pStyle w:val="DMETW19870BIPFARCCY"/>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476"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70BIPFARCCY"/>
              <w:jc w:val="center"/>
              <w:rPr>
                <w:rFonts w:ascii="Verdana" w:eastAsia="Verdana" w:hAnsi="Verdana" w:cs="Verdana"/>
                <w:noProof/>
                <w:color w:val="FFFFFF"/>
              </w:rPr>
            </w:pPr>
          </w:p>
        </w:tc>
        <w:tc>
          <w:tcPr>
            <w:tcW w:w="1148" w:type="dxa"/>
            <w:gridSpan w:val="6"/>
            <w:tcBorders>
              <w:top w:val="nil"/>
              <w:left w:val="nil"/>
              <w:bottom w:val="nil"/>
              <w:right w:val="nil"/>
              <w:tl2br w:val="nil"/>
              <w:tr2bl w:val="nil"/>
            </w:tcBorders>
            <w:shd w:val="solid" w:color="016794" w:fill="FFFFFF"/>
            <w:tcMar>
              <w:left w:w="60" w:type="dxa"/>
              <w:right w:w="60" w:type="dxa"/>
            </w:tcMar>
            <w:vAlign w:val="center"/>
          </w:tcPr>
          <w:p>
            <w:pPr>
              <w:pStyle w:val="DMETW19870BIPFARCCY"/>
              <w:jc w:val="center"/>
              <w:rPr>
                <w:rFonts w:ascii="Verdana" w:eastAsia="Verdana" w:hAnsi="Verdana" w:cs="Verdana"/>
                <w:noProof/>
                <w:color w:val="FFFFFF"/>
              </w:rPr>
            </w:pPr>
            <w:r>
              <w:rPr>
                <w:rFonts w:ascii="Verdana" w:hAnsi="Verdana"/>
                <w:noProof/>
                <w:color w:val="FFFFFF"/>
              </w:rPr>
              <w:t>31.12.2020 г.</w:t>
            </w:r>
          </w:p>
        </w:tc>
      </w:tr>
      <w:tr>
        <w:trPr>
          <w:trHeight w:val="255"/>
        </w:trPr>
        <w:tc>
          <w:tcPr>
            <w:tcW w:w="4545" w:type="dxa"/>
            <w:vMerge/>
            <w:tcBorders>
              <w:top w:val="nil"/>
              <w:left w:val="nil"/>
              <w:bottom w:val="nil"/>
              <w:right w:val="nil"/>
              <w:tl2br w:val="nil"/>
              <w:tr2bl w:val="nil"/>
            </w:tcBorders>
            <w:shd w:val="solid" w:color="016794" w:fill="FFFFFF"/>
            <w:tcMar>
              <w:left w:w="60" w:type="dxa"/>
              <w:right w:w="60" w:type="dxa"/>
            </w:tcMar>
            <w:vAlign w:val="center"/>
          </w:tcPr>
          <w:p>
            <w:pPr>
              <w:pStyle w:val="DMETW19870BIPFARCCY"/>
              <w:jc w:val="center"/>
              <w:rPr>
                <w:rFonts w:ascii="Verdana" w:eastAsia="Verdana" w:hAnsi="Verdana" w:cs="Verdana"/>
                <w:noProof/>
                <w:color w:val="FFFFFF"/>
              </w:rPr>
            </w:pPr>
          </w:p>
        </w:tc>
        <w:tc>
          <w:tcPr>
            <w:tcW w:w="1148" w:type="dxa"/>
            <w:tcBorders>
              <w:top w:val="nil"/>
              <w:left w:val="nil"/>
              <w:bottom w:val="nil"/>
              <w:right w:val="nil"/>
              <w:tl2br w:val="nil"/>
              <w:tr2bl w:val="nil"/>
            </w:tcBorders>
            <w:shd w:val="solid" w:color="016794" w:fill="FFFFFF"/>
            <w:tcMar>
              <w:left w:w="60" w:type="dxa"/>
              <w:right w:w="60" w:type="dxa"/>
            </w:tcMar>
          </w:tcPr>
          <w:p>
            <w:pPr>
              <w:pStyle w:val="DMETW19870BIPFARCCY"/>
              <w:jc w:val="right"/>
              <w:rPr>
                <w:rFonts w:ascii="Verdana" w:eastAsia="Verdana" w:hAnsi="Verdana" w:cs="Verdana"/>
                <w:noProof/>
                <w:color w:val="FFFFFF"/>
              </w:rPr>
            </w:pPr>
            <w:r>
              <w:rPr>
                <w:rFonts w:ascii="Verdana" w:hAnsi="Verdana"/>
                <w:noProof/>
                <w:color w:val="FFFFFF"/>
              </w:rPr>
              <w:t>ОЗП*</w:t>
            </w:r>
          </w:p>
        </w:tc>
        <w:tc>
          <w:tcPr>
            <w:tcW w:w="1148" w:type="dxa"/>
            <w:tcBorders>
              <w:top w:val="nil"/>
              <w:left w:val="nil"/>
              <w:bottom w:val="nil"/>
              <w:right w:val="nil"/>
              <w:tl2br w:val="nil"/>
              <w:tr2bl w:val="nil"/>
            </w:tcBorders>
            <w:shd w:val="solid" w:color="016794" w:fill="FFFFFF"/>
            <w:tcMar>
              <w:left w:w="60" w:type="dxa"/>
              <w:right w:w="60" w:type="dxa"/>
            </w:tcMar>
          </w:tcPr>
          <w:p>
            <w:pPr>
              <w:pStyle w:val="DMETW19870BIPFARCCY"/>
              <w:jc w:val="right"/>
              <w:rPr>
                <w:rFonts w:ascii="Verdana" w:eastAsia="Verdana" w:hAnsi="Verdana" w:cs="Verdana"/>
                <w:noProof/>
                <w:color w:val="FFFFFF"/>
              </w:rPr>
            </w:pPr>
            <w:r>
              <w:rPr>
                <w:rFonts w:ascii="Verdana" w:hAnsi="Verdana"/>
                <w:noProof/>
                <w:color w:val="FFFFFF"/>
              </w:rPr>
              <w:t>Фин. активи по справ. ст-ст чрез излишъка или дефицита**</w:t>
            </w:r>
          </w:p>
        </w:tc>
        <w:tc>
          <w:tcPr>
            <w:tcW w:w="1211" w:type="dxa"/>
            <w:tcBorders>
              <w:top w:val="nil"/>
              <w:left w:val="nil"/>
              <w:bottom w:val="nil"/>
              <w:right w:val="nil"/>
              <w:tl2br w:val="nil"/>
              <w:tr2bl w:val="nil"/>
            </w:tcBorders>
            <w:shd w:val="solid" w:color="016794" w:fill="FFFFFF"/>
            <w:tcMar>
              <w:left w:w="60" w:type="dxa"/>
              <w:right w:w="60" w:type="dxa"/>
            </w:tcMar>
          </w:tcPr>
          <w:p>
            <w:pPr>
              <w:pStyle w:val="DMETW19870BIPFARCCY"/>
              <w:jc w:val="right"/>
              <w:rPr>
                <w:rFonts w:ascii="Verdana" w:eastAsia="Verdana" w:hAnsi="Verdana" w:cs="Verdana"/>
                <w:noProof/>
                <w:color w:val="FFFFFF"/>
              </w:rPr>
            </w:pPr>
            <w:r>
              <w:rPr>
                <w:rFonts w:ascii="Verdana" w:hAnsi="Verdana"/>
                <w:noProof/>
                <w:color w:val="FFFFFF"/>
              </w:rPr>
              <w:t>Заеми</w:t>
            </w:r>
          </w:p>
        </w:tc>
        <w:tc>
          <w:tcPr>
            <w:tcW w:w="1422" w:type="dxa"/>
            <w:tcBorders>
              <w:top w:val="nil"/>
              <w:left w:val="nil"/>
              <w:bottom w:val="nil"/>
              <w:right w:val="nil"/>
              <w:tl2br w:val="nil"/>
              <w:tr2bl w:val="nil"/>
            </w:tcBorders>
            <w:shd w:val="solid" w:color="016794" w:fill="FFFFFF"/>
            <w:tcMar>
              <w:left w:w="60" w:type="dxa"/>
              <w:right w:w="60" w:type="dxa"/>
            </w:tcMar>
          </w:tcPr>
          <w:p>
            <w:pPr>
              <w:pStyle w:val="DMETW19870BIPFARCCY"/>
              <w:jc w:val="right"/>
              <w:rPr>
                <w:rFonts w:ascii="Verdana" w:eastAsia="Verdana" w:hAnsi="Verdana" w:cs="Verdana"/>
                <w:noProof/>
                <w:color w:val="FFFFFF"/>
              </w:rPr>
            </w:pPr>
            <w:r>
              <w:rPr>
                <w:rFonts w:ascii="Verdana" w:hAnsi="Verdana"/>
                <w:noProof/>
                <w:color w:val="FFFFFF"/>
              </w:rPr>
              <w:t>Вземания и средства, подлежащи на събиране</w:t>
            </w:r>
          </w:p>
        </w:tc>
        <w:tc>
          <w:tcPr>
            <w:tcW w:w="1001" w:type="dxa"/>
            <w:tcBorders>
              <w:top w:val="nil"/>
              <w:left w:val="nil"/>
              <w:bottom w:val="nil"/>
              <w:right w:val="nil"/>
              <w:tl2br w:val="nil"/>
              <w:tr2bl w:val="nil"/>
            </w:tcBorders>
            <w:shd w:val="solid" w:color="016794" w:fill="FFFFFF"/>
            <w:tcMar>
              <w:left w:w="60" w:type="dxa"/>
              <w:right w:w="60" w:type="dxa"/>
            </w:tcMar>
          </w:tcPr>
          <w:p>
            <w:pPr>
              <w:pStyle w:val="DMETW19870BIPFARCCY"/>
              <w:jc w:val="right"/>
              <w:rPr>
                <w:rFonts w:ascii="Verdana" w:eastAsia="Verdana" w:hAnsi="Verdana" w:cs="Verdana"/>
                <w:noProof/>
                <w:color w:val="FFFFFF"/>
              </w:rPr>
            </w:pPr>
            <w:r>
              <w:rPr>
                <w:rFonts w:ascii="Verdana" w:hAnsi="Verdana"/>
                <w:noProof/>
                <w:color w:val="FFFFFF"/>
              </w:rPr>
              <w:t>Пари в брой</w:t>
            </w:r>
          </w:p>
        </w:tc>
        <w:tc>
          <w:tcPr>
            <w:tcW w:w="1352" w:type="dxa"/>
            <w:tcBorders>
              <w:top w:val="nil"/>
              <w:left w:val="nil"/>
              <w:bottom w:val="nil"/>
              <w:right w:val="nil"/>
              <w:tl2br w:val="nil"/>
              <w:tr2bl w:val="nil"/>
            </w:tcBorders>
            <w:shd w:val="solid" w:color="016794" w:fill="FFFFFF"/>
            <w:tcMar>
              <w:left w:w="60" w:type="dxa"/>
              <w:right w:w="60" w:type="dxa"/>
            </w:tcMar>
          </w:tcPr>
          <w:p>
            <w:pPr>
              <w:pStyle w:val="DMETW19870BIPFARCCY"/>
              <w:jc w:val="right"/>
              <w:rPr>
                <w:rFonts w:ascii="Verdana" w:eastAsia="Verdana" w:hAnsi="Verdana" w:cs="Verdana"/>
                <w:noProof/>
                <w:color w:val="FFFFFF"/>
              </w:rPr>
            </w:pPr>
            <w:r>
              <w:rPr>
                <w:rFonts w:ascii="Verdana" w:hAnsi="Verdana"/>
                <w:noProof/>
                <w:color w:val="FFFFFF"/>
              </w:rPr>
              <w:t>Общо</w:t>
            </w:r>
          </w:p>
        </w:tc>
      </w:tr>
      <w:tr>
        <w:trPr>
          <w:trHeight w:val="255"/>
        </w:trPr>
        <w:tc>
          <w:tcPr>
            <w:tcW w:w="2476"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70BIPFARCCY"/>
              <w:rPr>
                <w:rFonts w:ascii="Verdana" w:eastAsia="Verdana" w:hAnsi="Verdana" w:cs="Verdana"/>
                <w:b/>
                <w:noProof/>
                <w:color w:val="000000"/>
                <w:sz w:val="18"/>
              </w:rPr>
            </w:pPr>
            <w:r>
              <w:rPr>
                <w:rFonts w:ascii="Verdana" w:hAnsi="Verdana"/>
                <w:b/>
                <w:noProof/>
                <w:color w:val="000000"/>
                <w:sz w:val="18"/>
              </w:rPr>
              <w:t>Контрагенти с външен кредитен рейтинг</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p>
        </w:tc>
        <w:tc>
          <w:tcPr>
            <w:tcW w:w="1211"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p>
        </w:tc>
        <w:tc>
          <w:tcPr>
            <w:tcW w:w="1422"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lang w:bidi="en-GB"/>
              </w:rPr>
            </w:pPr>
          </w:p>
        </w:tc>
      </w:tr>
      <w:tr>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pPr>
              <w:pStyle w:val="DMETW19870BIPFARCCY"/>
              <w:rPr>
                <w:rFonts w:ascii="Verdana" w:eastAsia="Verdana" w:hAnsi="Verdana" w:cs="Verdana"/>
                <w:i/>
                <w:noProof/>
                <w:color w:val="000000"/>
                <w:sz w:val="18"/>
              </w:rPr>
            </w:pPr>
            <w:r>
              <w:rPr>
                <w:rFonts w:ascii="Verdana" w:hAnsi="Verdana"/>
                <w:i/>
                <w:noProof/>
                <w:color w:val="000000"/>
                <w:sz w:val="18"/>
              </w:rPr>
              <w:t>Нискорисков и висок рейтинг</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9 005</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 xml:space="preserve"> 199</w:t>
            </w:r>
          </w:p>
        </w:tc>
        <w:tc>
          <w:tcPr>
            <w:tcW w:w="1211"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2 040</w:t>
            </w:r>
          </w:p>
        </w:tc>
        <w:tc>
          <w:tcPr>
            <w:tcW w:w="1422"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52 817</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13 896</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77 956</w:t>
            </w:r>
          </w:p>
        </w:tc>
      </w:tr>
      <w:tr>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pPr>
              <w:pStyle w:val="DMETW19870BIPFARCCY"/>
              <w:rPr>
                <w:rFonts w:ascii="Verdana" w:eastAsia="Verdana" w:hAnsi="Verdana" w:cs="Verdana"/>
                <w:i/>
                <w:noProof/>
                <w:color w:val="000000"/>
                <w:sz w:val="18"/>
              </w:rPr>
            </w:pPr>
            <w:r>
              <w:rPr>
                <w:rFonts w:ascii="Verdana" w:hAnsi="Verdana"/>
                <w:i/>
                <w:noProof/>
                <w:color w:val="000000"/>
                <w:sz w:val="18"/>
              </w:rPr>
              <w:t>Горен среден рейтинг</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3 415</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35 040</w:t>
            </w:r>
          </w:p>
        </w:tc>
        <w:tc>
          <w:tcPr>
            <w:tcW w:w="1422"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1 535</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1 011</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41 001</w:t>
            </w:r>
          </w:p>
        </w:tc>
      </w:tr>
      <w:tr>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pPr>
              <w:pStyle w:val="DMETW19870BIPFARCCY"/>
              <w:rPr>
                <w:rFonts w:ascii="Verdana" w:eastAsia="Verdana" w:hAnsi="Verdana" w:cs="Verdana"/>
                <w:i/>
                <w:noProof/>
                <w:color w:val="000000"/>
                <w:sz w:val="18"/>
              </w:rPr>
            </w:pPr>
            <w:r>
              <w:rPr>
                <w:rFonts w:ascii="Verdana" w:hAnsi="Verdana"/>
                <w:i/>
                <w:noProof/>
                <w:color w:val="000000"/>
                <w:sz w:val="18"/>
              </w:rPr>
              <w:t>Долен среден рейтинг</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2 133</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48 139</w:t>
            </w:r>
          </w:p>
        </w:tc>
        <w:tc>
          <w:tcPr>
            <w:tcW w:w="1422"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1 886</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1 651</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53 809</w:t>
            </w:r>
          </w:p>
        </w:tc>
      </w:tr>
      <w:tr>
        <w:trPr>
          <w:trHeight w:val="255"/>
        </w:trPr>
        <w:tc>
          <w:tcPr>
            <w:tcW w:w="24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rPr>
                <w:rFonts w:ascii="Verdana" w:eastAsia="Verdana" w:hAnsi="Verdana" w:cs="Verdana"/>
                <w:i/>
                <w:noProof/>
                <w:color w:val="000000"/>
                <w:sz w:val="18"/>
              </w:rPr>
            </w:pPr>
            <w:r>
              <w:rPr>
                <w:rFonts w:ascii="Verdana" w:hAnsi="Verdana"/>
                <w:i/>
                <w:noProof/>
                <w:color w:val="000000"/>
                <w:sz w:val="18"/>
              </w:rPr>
              <w:t>Неинвестиционен рейтинг</w:t>
            </w:r>
          </w:p>
        </w:tc>
        <w:tc>
          <w:tcPr>
            <w:tcW w:w="114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 xml:space="preserve"> 310</w:t>
            </w:r>
          </w:p>
        </w:tc>
        <w:tc>
          <w:tcPr>
            <w:tcW w:w="114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7 964</w:t>
            </w:r>
          </w:p>
        </w:tc>
        <w:tc>
          <w:tcPr>
            <w:tcW w:w="142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 xml:space="preserve"> 142</w:t>
            </w:r>
          </w:p>
        </w:tc>
        <w:tc>
          <w:tcPr>
            <w:tcW w:w="100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 xml:space="preserve"> 165</w:t>
            </w:r>
          </w:p>
        </w:tc>
        <w:tc>
          <w:tcPr>
            <w:tcW w:w="135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8 580</w:t>
            </w:r>
          </w:p>
        </w:tc>
      </w:tr>
      <w:tr>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14 862</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 xml:space="preserve"> 199</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93 182</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56 380</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16 723</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181 347</w:t>
            </w:r>
          </w:p>
        </w:tc>
      </w:tr>
      <w:tr>
        <w:trPr>
          <w:trHeight w:val="255"/>
        </w:trPr>
        <w:tc>
          <w:tcPr>
            <w:tcW w:w="2476"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CY"/>
              <w:rPr>
                <w:rFonts w:ascii="Verdana" w:eastAsia="Verdana" w:hAnsi="Verdana" w:cs="Verdana"/>
                <w:b/>
                <w:noProof/>
                <w:color w:val="000000"/>
                <w:sz w:val="18"/>
              </w:rPr>
            </w:pPr>
            <w:r>
              <w:rPr>
                <w:rFonts w:ascii="Verdana" w:hAnsi="Verdana"/>
                <w:b/>
                <w:noProof/>
                <w:color w:val="000000"/>
                <w:sz w:val="18"/>
              </w:rPr>
              <w:t>Контрагенти без външен кредитен рейтинг</w:t>
            </w:r>
          </w:p>
        </w:tc>
        <w:tc>
          <w:tcPr>
            <w:tcW w:w="114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p>
        </w:tc>
        <w:tc>
          <w:tcPr>
            <w:tcW w:w="1211"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p>
        </w:tc>
        <w:tc>
          <w:tcPr>
            <w:tcW w:w="142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p>
        </w:tc>
        <w:tc>
          <w:tcPr>
            <w:tcW w:w="1001"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p>
        </w:tc>
        <w:tc>
          <w:tcPr>
            <w:tcW w:w="135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lang w:bidi="en-GB"/>
              </w:rPr>
            </w:pPr>
          </w:p>
        </w:tc>
      </w:tr>
      <w:tr>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pPr>
              <w:pStyle w:val="DMETW19870BIPFARCCY"/>
              <w:rPr>
                <w:rFonts w:ascii="Verdana" w:eastAsia="Verdana" w:hAnsi="Verdana" w:cs="Verdana"/>
                <w:i/>
                <w:noProof/>
                <w:color w:val="000000"/>
                <w:sz w:val="18"/>
              </w:rPr>
            </w:pPr>
            <w:r>
              <w:rPr>
                <w:rFonts w:ascii="Verdana" w:hAnsi="Verdana"/>
                <w:i/>
                <w:noProof/>
                <w:color w:val="000000"/>
                <w:sz w:val="18"/>
              </w:rPr>
              <w:t>Група 1</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 xml:space="preserve"> 126</w:t>
            </w:r>
          </w:p>
        </w:tc>
        <w:tc>
          <w:tcPr>
            <w:tcW w:w="1422"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3 318</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 xml:space="preserve"> 19</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3 463</w:t>
            </w:r>
          </w:p>
        </w:tc>
      </w:tr>
      <w:tr>
        <w:trPr>
          <w:trHeight w:val="255"/>
        </w:trPr>
        <w:tc>
          <w:tcPr>
            <w:tcW w:w="24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rPr>
                <w:rFonts w:ascii="Verdana" w:eastAsia="Verdana" w:hAnsi="Verdana" w:cs="Verdana"/>
                <w:i/>
                <w:noProof/>
                <w:color w:val="000000"/>
                <w:sz w:val="18"/>
              </w:rPr>
            </w:pPr>
            <w:r>
              <w:rPr>
                <w:rFonts w:ascii="Verdana" w:hAnsi="Verdana"/>
                <w:i/>
                <w:noProof/>
                <w:color w:val="000000"/>
                <w:sz w:val="18"/>
              </w:rPr>
              <w:t>Група 2</w:t>
            </w:r>
          </w:p>
        </w:tc>
        <w:tc>
          <w:tcPr>
            <w:tcW w:w="114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w:t>
            </w:r>
          </w:p>
        </w:tc>
        <w:tc>
          <w:tcPr>
            <w:tcW w:w="142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 xml:space="preserve"> 4</w:t>
            </w:r>
          </w:p>
        </w:tc>
        <w:tc>
          <w:tcPr>
            <w:tcW w:w="100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w:t>
            </w:r>
          </w:p>
        </w:tc>
        <w:tc>
          <w:tcPr>
            <w:tcW w:w="135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 xml:space="preserve"> 126</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3 322</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 xml:space="preserve"> 19</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3 466</w:t>
            </w:r>
          </w:p>
        </w:tc>
      </w:tr>
      <w:tr>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rPr>
                <w:rFonts w:ascii="Verdana" w:eastAsia="Verdana" w:hAnsi="Verdana" w:cs="Verdana"/>
                <w:b/>
                <w:noProof/>
                <w:color w:val="000000"/>
                <w:sz w:val="18"/>
              </w:rPr>
            </w:pPr>
            <w:r>
              <w:rPr>
                <w:rFonts w:ascii="Verdana" w:hAnsi="Verdana"/>
                <w:b/>
                <w:noProof/>
                <w:color w:val="000000"/>
                <w:sz w:val="18"/>
              </w:rPr>
              <w:t>Общо</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14 862</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 xml:space="preserve"> 199</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93 309</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59 702</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16 742</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CY"/>
              <w:jc w:val="right"/>
              <w:rPr>
                <w:rFonts w:ascii="Verdana" w:eastAsia="Verdana" w:hAnsi="Verdana" w:cs="Verdana"/>
                <w:b/>
                <w:noProof/>
                <w:color w:val="000000"/>
                <w:sz w:val="18"/>
              </w:rPr>
            </w:pPr>
            <w:r>
              <w:rPr>
                <w:rFonts w:ascii="Verdana" w:hAnsi="Verdana"/>
                <w:b/>
                <w:noProof/>
                <w:color w:val="000000"/>
                <w:sz w:val="18"/>
              </w:rPr>
              <w:t>184 814</w:t>
            </w:r>
          </w:p>
        </w:tc>
      </w:tr>
    </w:tbl>
    <w:p>
      <w:pPr>
        <w:pStyle w:val="DG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1148"/>
        <w:gridCol w:w="1148"/>
        <w:gridCol w:w="1211"/>
        <w:gridCol w:w="1422"/>
        <w:gridCol w:w="1001"/>
        <w:gridCol w:w="1352"/>
      </w:tblGrid>
      <w:tr>
        <w:trPr>
          <w:trHeight w:val="255"/>
        </w:trPr>
        <w:tc>
          <w:tcPr>
            <w:tcW w:w="2476" w:type="dxa"/>
            <w:tcBorders>
              <w:top w:val="nil"/>
              <w:left w:val="nil"/>
              <w:bottom w:val="nil"/>
              <w:right w:val="nil"/>
              <w:tl2br w:val="nil"/>
              <w:tr2bl w:val="nil"/>
            </w:tcBorders>
            <w:shd w:val="clear" w:color="auto" w:fill="auto"/>
            <w:tcMar>
              <w:left w:w="60" w:type="dxa"/>
              <w:right w:w="60" w:type="dxa"/>
            </w:tcMar>
            <w:vAlign w:val="bottom"/>
          </w:tcPr>
          <w:p>
            <w:pPr>
              <w:pStyle w:val="DMETW19870BIPFARCPY"/>
              <w:rPr>
                <w:rFonts w:ascii="Arial" w:eastAsia="Arial" w:hAnsi="Arial" w:cs="Arial"/>
                <w:noProof/>
                <w:color w:val="000000"/>
              </w:rPr>
            </w:pPr>
            <w:bookmarkStart w:id="205" w:name="DOC_TBL00095_1_1"/>
            <w:bookmarkEnd w:id="205"/>
          </w:p>
        </w:tc>
        <w:tc>
          <w:tcPr>
            <w:tcW w:w="1148" w:type="dxa"/>
            <w:tcBorders>
              <w:top w:val="nil"/>
              <w:left w:val="nil"/>
              <w:bottom w:val="nil"/>
              <w:right w:val="nil"/>
              <w:tl2br w:val="nil"/>
              <w:tr2bl w:val="nil"/>
            </w:tcBorders>
            <w:shd w:val="clear" w:color="auto" w:fill="auto"/>
            <w:tcMar>
              <w:left w:w="60" w:type="dxa"/>
              <w:right w:w="60" w:type="dxa"/>
            </w:tcMar>
            <w:vAlign w:val="bottom"/>
          </w:tcPr>
          <w:p>
            <w:pPr>
              <w:pStyle w:val="DMETW19870BIPFARCPY"/>
              <w:rPr>
                <w:rFonts w:ascii="Arial" w:eastAsia="Arial" w:hAnsi="Arial" w:cs="Arial"/>
                <w:noProof/>
                <w:color w:val="000000"/>
              </w:rPr>
            </w:pPr>
          </w:p>
        </w:tc>
        <w:tc>
          <w:tcPr>
            <w:tcW w:w="1148" w:type="dxa"/>
            <w:tcBorders>
              <w:top w:val="nil"/>
              <w:left w:val="nil"/>
              <w:bottom w:val="nil"/>
              <w:right w:val="nil"/>
              <w:tl2br w:val="nil"/>
              <w:tr2bl w:val="nil"/>
            </w:tcBorders>
            <w:shd w:val="clear" w:color="auto" w:fill="auto"/>
            <w:tcMar>
              <w:left w:w="60" w:type="dxa"/>
              <w:right w:w="60" w:type="dxa"/>
            </w:tcMar>
            <w:vAlign w:val="bottom"/>
          </w:tcPr>
          <w:p>
            <w:pPr>
              <w:pStyle w:val="DMETW19870BIPFARCPY"/>
              <w:rPr>
                <w:rFonts w:ascii="Arial" w:eastAsia="Arial" w:hAnsi="Arial" w:cs="Arial"/>
                <w:noProof/>
                <w:color w:val="000000"/>
              </w:rPr>
            </w:pPr>
          </w:p>
        </w:tc>
        <w:tc>
          <w:tcPr>
            <w:tcW w:w="1211" w:type="dxa"/>
            <w:tcBorders>
              <w:top w:val="nil"/>
              <w:left w:val="nil"/>
              <w:bottom w:val="nil"/>
              <w:right w:val="nil"/>
              <w:tl2br w:val="nil"/>
              <w:tr2bl w:val="nil"/>
            </w:tcBorders>
            <w:shd w:val="clear" w:color="auto" w:fill="auto"/>
            <w:tcMar>
              <w:left w:w="60" w:type="dxa"/>
              <w:right w:w="60" w:type="dxa"/>
            </w:tcMar>
            <w:vAlign w:val="bottom"/>
          </w:tcPr>
          <w:p>
            <w:pPr>
              <w:pStyle w:val="DMETW19870BIPFARCPY"/>
              <w:rPr>
                <w:rFonts w:ascii="Arial" w:eastAsia="Arial" w:hAnsi="Arial" w:cs="Arial"/>
                <w:noProof/>
                <w:color w:val="000000"/>
              </w:rPr>
            </w:pPr>
          </w:p>
        </w:tc>
        <w:tc>
          <w:tcPr>
            <w:tcW w:w="1422" w:type="dxa"/>
            <w:tcBorders>
              <w:top w:val="nil"/>
              <w:left w:val="nil"/>
              <w:bottom w:val="nil"/>
              <w:right w:val="nil"/>
              <w:tl2br w:val="nil"/>
              <w:tr2bl w:val="nil"/>
            </w:tcBorders>
            <w:shd w:val="clear" w:color="auto" w:fill="auto"/>
            <w:tcMar>
              <w:left w:w="60" w:type="dxa"/>
              <w:right w:w="60" w:type="dxa"/>
            </w:tcMar>
            <w:vAlign w:val="bottom"/>
          </w:tcPr>
          <w:p>
            <w:pPr>
              <w:pStyle w:val="DMETW19870BIPFARCPY"/>
              <w:rPr>
                <w:rFonts w:ascii="Arial" w:eastAsia="Arial" w:hAnsi="Arial" w:cs="Arial"/>
                <w:noProof/>
                <w:color w:val="000000"/>
              </w:rPr>
            </w:pPr>
          </w:p>
        </w:tc>
        <w:tc>
          <w:tcPr>
            <w:tcW w:w="1001" w:type="dxa"/>
            <w:tcBorders>
              <w:top w:val="nil"/>
              <w:left w:val="nil"/>
              <w:bottom w:val="nil"/>
              <w:right w:val="nil"/>
              <w:tl2br w:val="nil"/>
              <w:tr2bl w:val="nil"/>
            </w:tcBorders>
            <w:shd w:val="clear" w:color="auto" w:fill="auto"/>
            <w:tcMar>
              <w:left w:w="60" w:type="dxa"/>
              <w:right w:w="60" w:type="dxa"/>
            </w:tcMar>
            <w:vAlign w:val="bottom"/>
          </w:tcPr>
          <w:p>
            <w:pPr>
              <w:pStyle w:val="DMETW19870BIPFARCPY"/>
              <w:rPr>
                <w:rFonts w:ascii="Arial" w:eastAsia="Arial" w:hAnsi="Arial" w:cs="Arial"/>
                <w:noProof/>
                <w:color w:val="000000"/>
              </w:rPr>
            </w:pPr>
          </w:p>
        </w:tc>
        <w:tc>
          <w:tcPr>
            <w:tcW w:w="1352" w:type="dxa"/>
            <w:tcBorders>
              <w:top w:val="nil"/>
              <w:left w:val="nil"/>
              <w:bottom w:val="nil"/>
              <w:right w:val="nil"/>
              <w:tl2br w:val="nil"/>
              <w:tr2bl w:val="nil"/>
            </w:tcBorders>
            <w:shd w:val="clear" w:color="auto" w:fill="auto"/>
            <w:tcMar>
              <w:left w:w="60" w:type="dxa"/>
              <w:right w:w="60" w:type="dxa"/>
            </w:tcMar>
            <w:vAlign w:val="bottom"/>
          </w:tcPr>
          <w:p>
            <w:pPr>
              <w:pStyle w:val="DMETW19870BIPFARCPY"/>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476"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70BIPFARCPY"/>
              <w:jc w:val="center"/>
              <w:rPr>
                <w:rFonts w:ascii="Verdana" w:eastAsia="Verdana" w:hAnsi="Verdana" w:cs="Verdana"/>
                <w:noProof/>
                <w:color w:val="FFFFFF"/>
              </w:rPr>
            </w:pPr>
          </w:p>
        </w:tc>
        <w:tc>
          <w:tcPr>
            <w:tcW w:w="1148" w:type="dxa"/>
            <w:gridSpan w:val="6"/>
            <w:tcBorders>
              <w:top w:val="nil"/>
              <w:left w:val="nil"/>
              <w:bottom w:val="nil"/>
              <w:right w:val="nil"/>
              <w:tl2br w:val="nil"/>
              <w:tr2bl w:val="nil"/>
            </w:tcBorders>
            <w:shd w:val="solid" w:color="016794" w:fill="FFFFFF"/>
            <w:tcMar>
              <w:left w:w="60" w:type="dxa"/>
              <w:right w:w="60" w:type="dxa"/>
            </w:tcMar>
            <w:vAlign w:val="center"/>
          </w:tcPr>
          <w:p>
            <w:pPr>
              <w:pStyle w:val="DMETW19870BIPFARCPY"/>
              <w:jc w:val="center"/>
              <w:rPr>
                <w:rFonts w:ascii="Verdana" w:eastAsia="Verdana" w:hAnsi="Verdana" w:cs="Verdana"/>
                <w:noProof/>
                <w:color w:val="FFFFFF"/>
              </w:rPr>
            </w:pPr>
            <w:r>
              <w:rPr>
                <w:rFonts w:ascii="Verdana" w:hAnsi="Verdana"/>
                <w:noProof/>
                <w:color w:val="FFFFFF"/>
              </w:rPr>
              <w:t>31.12.2019 г.</w:t>
            </w:r>
          </w:p>
        </w:tc>
      </w:tr>
      <w:tr>
        <w:trPr>
          <w:trHeight w:val="255"/>
        </w:trPr>
        <w:tc>
          <w:tcPr>
            <w:tcW w:w="3930" w:type="dxa"/>
            <w:vMerge/>
            <w:tcBorders>
              <w:top w:val="nil"/>
              <w:left w:val="nil"/>
              <w:bottom w:val="nil"/>
              <w:right w:val="nil"/>
              <w:tl2br w:val="nil"/>
              <w:tr2bl w:val="nil"/>
            </w:tcBorders>
            <w:shd w:val="solid" w:color="016794" w:fill="FFFFFF"/>
            <w:tcMar>
              <w:left w:w="60" w:type="dxa"/>
              <w:right w:w="60" w:type="dxa"/>
            </w:tcMar>
            <w:vAlign w:val="center"/>
          </w:tcPr>
          <w:p>
            <w:pPr>
              <w:pStyle w:val="DMETW19870BIPFARCPY"/>
              <w:jc w:val="center"/>
              <w:rPr>
                <w:rFonts w:ascii="Verdana" w:eastAsia="Verdana" w:hAnsi="Verdana" w:cs="Verdana"/>
                <w:noProof/>
                <w:color w:val="FFFFFF"/>
              </w:rPr>
            </w:pPr>
          </w:p>
        </w:tc>
        <w:tc>
          <w:tcPr>
            <w:tcW w:w="1148" w:type="dxa"/>
            <w:tcBorders>
              <w:top w:val="nil"/>
              <w:left w:val="nil"/>
              <w:bottom w:val="nil"/>
              <w:right w:val="nil"/>
              <w:tl2br w:val="nil"/>
              <w:tr2bl w:val="nil"/>
            </w:tcBorders>
            <w:shd w:val="solid" w:color="016794" w:fill="FFFFFF"/>
            <w:tcMar>
              <w:left w:w="60" w:type="dxa"/>
              <w:right w:w="60" w:type="dxa"/>
            </w:tcMar>
          </w:tcPr>
          <w:p>
            <w:pPr>
              <w:pStyle w:val="DMETW19870BIPFARCPY"/>
              <w:jc w:val="right"/>
              <w:rPr>
                <w:rFonts w:ascii="Verdana" w:eastAsia="Verdana" w:hAnsi="Verdana" w:cs="Verdana"/>
                <w:noProof/>
                <w:color w:val="FFFFFF"/>
              </w:rPr>
            </w:pPr>
            <w:r>
              <w:rPr>
                <w:rFonts w:ascii="Verdana" w:hAnsi="Verdana"/>
                <w:noProof/>
                <w:color w:val="FFFFFF"/>
              </w:rPr>
              <w:t>ОЗП*</w:t>
            </w:r>
          </w:p>
        </w:tc>
        <w:tc>
          <w:tcPr>
            <w:tcW w:w="1148" w:type="dxa"/>
            <w:tcBorders>
              <w:top w:val="nil"/>
              <w:left w:val="nil"/>
              <w:bottom w:val="nil"/>
              <w:right w:val="nil"/>
              <w:tl2br w:val="nil"/>
              <w:tr2bl w:val="nil"/>
            </w:tcBorders>
            <w:shd w:val="solid" w:color="016794" w:fill="FFFFFF"/>
            <w:tcMar>
              <w:left w:w="60" w:type="dxa"/>
              <w:right w:w="60" w:type="dxa"/>
            </w:tcMar>
          </w:tcPr>
          <w:p>
            <w:pPr>
              <w:pStyle w:val="DMETW19870BIPFARCPY"/>
              <w:jc w:val="right"/>
              <w:rPr>
                <w:rFonts w:ascii="Verdana" w:eastAsia="Verdana" w:hAnsi="Verdana" w:cs="Verdana"/>
                <w:noProof/>
                <w:color w:val="FFFFFF"/>
                <w:spacing w:val="-6"/>
              </w:rPr>
            </w:pPr>
            <w:r>
              <w:rPr>
                <w:rFonts w:ascii="Verdana" w:hAnsi="Verdana"/>
                <w:noProof/>
                <w:color w:val="FFFFFF"/>
                <w:spacing w:val="-6"/>
              </w:rPr>
              <w:t>Фин. активи по справ. ст-ст чрез излишъка или дефицита**</w:t>
            </w:r>
          </w:p>
        </w:tc>
        <w:tc>
          <w:tcPr>
            <w:tcW w:w="1211" w:type="dxa"/>
            <w:tcBorders>
              <w:top w:val="nil"/>
              <w:left w:val="nil"/>
              <w:bottom w:val="nil"/>
              <w:right w:val="nil"/>
              <w:tl2br w:val="nil"/>
              <w:tr2bl w:val="nil"/>
            </w:tcBorders>
            <w:shd w:val="solid" w:color="016794" w:fill="FFFFFF"/>
            <w:tcMar>
              <w:left w:w="60" w:type="dxa"/>
              <w:right w:w="60" w:type="dxa"/>
            </w:tcMar>
          </w:tcPr>
          <w:p>
            <w:pPr>
              <w:pStyle w:val="DMETW19870BIPFARCPY"/>
              <w:jc w:val="right"/>
              <w:rPr>
                <w:rFonts w:ascii="Verdana" w:eastAsia="Verdana" w:hAnsi="Verdana" w:cs="Verdana"/>
                <w:noProof/>
                <w:color w:val="FFFFFF"/>
              </w:rPr>
            </w:pPr>
            <w:r>
              <w:rPr>
                <w:rFonts w:ascii="Verdana" w:hAnsi="Verdana"/>
                <w:noProof/>
                <w:color w:val="FFFFFF"/>
              </w:rPr>
              <w:t>Заеми</w:t>
            </w:r>
          </w:p>
        </w:tc>
        <w:tc>
          <w:tcPr>
            <w:tcW w:w="1422" w:type="dxa"/>
            <w:tcBorders>
              <w:top w:val="nil"/>
              <w:left w:val="nil"/>
              <w:bottom w:val="nil"/>
              <w:right w:val="nil"/>
              <w:tl2br w:val="nil"/>
              <w:tr2bl w:val="nil"/>
            </w:tcBorders>
            <w:shd w:val="solid" w:color="016794" w:fill="FFFFFF"/>
            <w:tcMar>
              <w:left w:w="60" w:type="dxa"/>
              <w:right w:w="60" w:type="dxa"/>
            </w:tcMar>
          </w:tcPr>
          <w:p>
            <w:pPr>
              <w:pStyle w:val="DMETW19870BIPFARCPY"/>
              <w:jc w:val="right"/>
              <w:rPr>
                <w:rFonts w:ascii="Verdana" w:eastAsia="Verdana" w:hAnsi="Verdana" w:cs="Verdana"/>
                <w:noProof/>
                <w:color w:val="FFFFFF"/>
              </w:rPr>
            </w:pPr>
            <w:r>
              <w:rPr>
                <w:rFonts w:ascii="Verdana" w:hAnsi="Verdana"/>
                <w:noProof/>
                <w:color w:val="FFFFFF"/>
              </w:rPr>
              <w:t>Вземания и средства, подлежащи на събиране</w:t>
            </w:r>
          </w:p>
        </w:tc>
        <w:tc>
          <w:tcPr>
            <w:tcW w:w="1001" w:type="dxa"/>
            <w:tcBorders>
              <w:top w:val="nil"/>
              <w:left w:val="nil"/>
              <w:bottom w:val="nil"/>
              <w:right w:val="nil"/>
              <w:tl2br w:val="nil"/>
              <w:tr2bl w:val="nil"/>
            </w:tcBorders>
            <w:shd w:val="solid" w:color="016794" w:fill="FFFFFF"/>
            <w:tcMar>
              <w:left w:w="60" w:type="dxa"/>
              <w:right w:w="60" w:type="dxa"/>
            </w:tcMar>
          </w:tcPr>
          <w:p>
            <w:pPr>
              <w:pStyle w:val="DMETW19870BIPFARCPY"/>
              <w:jc w:val="right"/>
              <w:rPr>
                <w:rFonts w:ascii="Verdana" w:eastAsia="Verdana" w:hAnsi="Verdana" w:cs="Verdana"/>
                <w:noProof/>
                <w:color w:val="FFFFFF"/>
              </w:rPr>
            </w:pPr>
            <w:r>
              <w:rPr>
                <w:rFonts w:ascii="Verdana" w:hAnsi="Verdana"/>
                <w:noProof/>
                <w:color w:val="FFFFFF"/>
              </w:rPr>
              <w:t>Пари в брой</w:t>
            </w:r>
          </w:p>
        </w:tc>
        <w:tc>
          <w:tcPr>
            <w:tcW w:w="1352" w:type="dxa"/>
            <w:tcBorders>
              <w:top w:val="nil"/>
              <w:left w:val="nil"/>
              <w:bottom w:val="nil"/>
              <w:right w:val="nil"/>
              <w:tl2br w:val="nil"/>
              <w:tr2bl w:val="nil"/>
            </w:tcBorders>
            <w:shd w:val="solid" w:color="016794" w:fill="FFFFFF"/>
            <w:tcMar>
              <w:left w:w="60" w:type="dxa"/>
              <w:right w:w="60" w:type="dxa"/>
            </w:tcMar>
          </w:tcPr>
          <w:p>
            <w:pPr>
              <w:pStyle w:val="DMETW19870BIPFARCPY"/>
              <w:jc w:val="right"/>
              <w:rPr>
                <w:rFonts w:ascii="Verdana" w:eastAsia="Verdana" w:hAnsi="Verdana" w:cs="Verdana"/>
                <w:noProof/>
                <w:color w:val="FFFFFF"/>
              </w:rPr>
            </w:pPr>
            <w:r>
              <w:rPr>
                <w:rFonts w:ascii="Verdana" w:hAnsi="Verdana"/>
                <w:noProof/>
                <w:color w:val="FFFFFF"/>
              </w:rPr>
              <w:t>Общо</w:t>
            </w:r>
          </w:p>
        </w:tc>
      </w:tr>
      <w:tr>
        <w:trPr>
          <w:trHeight w:val="255"/>
        </w:trPr>
        <w:tc>
          <w:tcPr>
            <w:tcW w:w="2476"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70BIPFARCPY"/>
              <w:rPr>
                <w:rFonts w:ascii="Verdana" w:eastAsia="Verdana" w:hAnsi="Verdana" w:cs="Verdana"/>
                <w:b/>
                <w:noProof/>
                <w:color w:val="000000"/>
                <w:sz w:val="18"/>
              </w:rPr>
            </w:pPr>
            <w:r>
              <w:rPr>
                <w:rFonts w:ascii="Verdana" w:hAnsi="Verdana"/>
                <w:b/>
                <w:noProof/>
                <w:color w:val="000000"/>
                <w:sz w:val="18"/>
              </w:rPr>
              <w:t>Контрагенти с външен кредитен рейтинг</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p>
        </w:tc>
        <w:tc>
          <w:tcPr>
            <w:tcW w:w="1211"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p>
        </w:tc>
        <w:tc>
          <w:tcPr>
            <w:tcW w:w="1422"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lang w:bidi="en-GB"/>
              </w:rPr>
            </w:pPr>
          </w:p>
        </w:tc>
      </w:tr>
      <w:tr>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pPr>
              <w:pStyle w:val="DMETW19870BIPFARCPY"/>
              <w:rPr>
                <w:rFonts w:ascii="Verdana" w:eastAsia="Verdana" w:hAnsi="Verdana" w:cs="Verdana"/>
                <w:i/>
                <w:noProof/>
                <w:color w:val="000000"/>
                <w:sz w:val="18"/>
              </w:rPr>
            </w:pPr>
            <w:r>
              <w:rPr>
                <w:rFonts w:ascii="Verdana" w:hAnsi="Verdana"/>
                <w:i/>
                <w:noProof/>
                <w:color w:val="000000"/>
                <w:sz w:val="18"/>
              </w:rPr>
              <w:t>Нискорисков и висок рейтинг</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8 848</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 xml:space="preserve"> 137</w:t>
            </w:r>
          </w:p>
        </w:tc>
        <w:tc>
          <w:tcPr>
            <w:tcW w:w="1211"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 xml:space="preserve"> 32</w:t>
            </w:r>
          </w:p>
        </w:tc>
        <w:tc>
          <w:tcPr>
            <w:tcW w:w="1422"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3 632</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15 452</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28 101</w:t>
            </w:r>
          </w:p>
        </w:tc>
      </w:tr>
      <w:tr>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pPr>
              <w:pStyle w:val="DMETW19870BIPFARCPY"/>
              <w:rPr>
                <w:rFonts w:ascii="Verdana" w:eastAsia="Verdana" w:hAnsi="Verdana" w:cs="Verdana"/>
                <w:i/>
                <w:noProof/>
                <w:color w:val="000000"/>
                <w:sz w:val="18"/>
              </w:rPr>
            </w:pPr>
            <w:r>
              <w:rPr>
                <w:rFonts w:ascii="Verdana" w:hAnsi="Verdana"/>
                <w:i/>
                <w:noProof/>
                <w:color w:val="000000"/>
                <w:sz w:val="18"/>
              </w:rPr>
              <w:t>Горен среден рейтинг</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3 588</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23 013</w:t>
            </w:r>
          </w:p>
        </w:tc>
        <w:tc>
          <w:tcPr>
            <w:tcW w:w="1422"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1 444</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3 688</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31 734</w:t>
            </w:r>
          </w:p>
        </w:tc>
      </w:tr>
      <w:tr>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pPr>
              <w:pStyle w:val="DMETW19870BIPFARCPY"/>
              <w:rPr>
                <w:rFonts w:ascii="Verdana" w:eastAsia="Verdana" w:hAnsi="Verdana" w:cs="Verdana"/>
                <w:i/>
                <w:noProof/>
                <w:color w:val="000000"/>
                <w:sz w:val="18"/>
              </w:rPr>
            </w:pPr>
            <w:r>
              <w:rPr>
                <w:rFonts w:ascii="Verdana" w:hAnsi="Verdana"/>
                <w:i/>
                <w:noProof/>
                <w:color w:val="000000"/>
                <w:sz w:val="18"/>
              </w:rPr>
              <w:t>Долен среден рейтинг</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2 298</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24 711</w:t>
            </w:r>
          </w:p>
        </w:tc>
        <w:tc>
          <w:tcPr>
            <w:tcW w:w="1422"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1 867</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 xml:space="preserve"> 322</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29 198</w:t>
            </w:r>
          </w:p>
        </w:tc>
      </w:tr>
      <w:tr>
        <w:trPr>
          <w:trHeight w:val="255"/>
        </w:trPr>
        <w:tc>
          <w:tcPr>
            <w:tcW w:w="24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rPr>
                <w:rFonts w:ascii="Verdana" w:eastAsia="Verdana" w:hAnsi="Verdana" w:cs="Verdana"/>
                <w:i/>
                <w:noProof/>
                <w:color w:val="000000"/>
                <w:sz w:val="18"/>
              </w:rPr>
            </w:pPr>
            <w:r>
              <w:rPr>
                <w:rFonts w:ascii="Verdana" w:hAnsi="Verdana"/>
                <w:i/>
                <w:noProof/>
                <w:color w:val="000000"/>
                <w:sz w:val="18"/>
              </w:rPr>
              <w:t>Неинвестиционен рейтинг</w:t>
            </w:r>
          </w:p>
        </w:tc>
        <w:tc>
          <w:tcPr>
            <w:tcW w:w="114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 xml:space="preserve"> 264</w:t>
            </w:r>
          </w:p>
        </w:tc>
        <w:tc>
          <w:tcPr>
            <w:tcW w:w="114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4 855</w:t>
            </w:r>
          </w:p>
        </w:tc>
        <w:tc>
          <w:tcPr>
            <w:tcW w:w="142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 xml:space="preserve"> 478</w:t>
            </w:r>
          </w:p>
        </w:tc>
        <w:tc>
          <w:tcPr>
            <w:tcW w:w="100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 xml:space="preserve"> 262</w:t>
            </w:r>
          </w:p>
        </w:tc>
        <w:tc>
          <w:tcPr>
            <w:tcW w:w="135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5 858</w:t>
            </w:r>
          </w:p>
        </w:tc>
      </w:tr>
      <w:tr>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14 998</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 xml:space="preserve"> 137</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52 610</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7 422</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19 724</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94 891</w:t>
            </w:r>
          </w:p>
        </w:tc>
      </w:tr>
      <w:tr>
        <w:trPr>
          <w:trHeight w:val="255"/>
        </w:trPr>
        <w:tc>
          <w:tcPr>
            <w:tcW w:w="2476" w:type="dxa"/>
            <w:gridSpan w:val="2"/>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PY"/>
              <w:rPr>
                <w:rFonts w:ascii="Verdana" w:eastAsia="Verdana" w:hAnsi="Verdana" w:cs="Verdana"/>
                <w:b/>
                <w:noProof/>
                <w:color w:val="000000"/>
                <w:sz w:val="18"/>
              </w:rPr>
            </w:pPr>
            <w:r>
              <w:rPr>
                <w:rFonts w:ascii="Verdana" w:hAnsi="Verdana"/>
                <w:b/>
                <w:noProof/>
                <w:color w:val="000000"/>
                <w:sz w:val="18"/>
              </w:rPr>
              <w:t>Контрагенти без външен кредитен рейтинг</w:t>
            </w:r>
          </w:p>
        </w:tc>
        <w:tc>
          <w:tcPr>
            <w:tcW w:w="114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p>
        </w:tc>
        <w:tc>
          <w:tcPr>
            <w:tcW w:w="1211"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p>
        </w:tc>
        <w:tc>
          <w:tcPr>
            <w:tcW w:w="142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p>
        </w:tc>
        <w:tc>
          <w:tcPr>
            <w:tcW w:w="1001"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p>
        </w:tc>
        <w:tc>
          <w:tcPr>
            <w:tcW w:w="135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lang w:bidi="en-GB"/>
              </w:rPr>
            </w:pPr>
          </w:p>
        </w:tc>
      </w:tr>
      <w:tr>
        <w:trPr>
          <w:trHeight w:val="255"/>
        </w:trPr>
        <w:tc>
          <w:tcPr>
            <w:tcW w:w="2476" w:type="dxa"/>
            <w:tcBorders>
              <w:top w:val="nil"/>
              <w:left w:val="nil"/>
              <w:bottom w:val="nil"/>
              <w:right w:val="nil"/>
              <w:tl2br w:val="nil"/>
              <w:tr2bl w:val="nil"/>
            </w:tcBorders>
            <w:shd w:val="clear" w:color="auto" w:fill="auto"/>
            <w:tcMar>
              <w:left w:w="60" w:type="dxa"/>
              <w:right w:w="60" w:type="dxa"/>
            </w:tcMar>
            <w:vAlign w:val="center"/>
          </w:tcPr>
          <w:p>
            <w:pPr>
              <w:pStyle w:val="DMETW19870BIPFARCPY"/>
              <w:rPr>
                <w:rFonts w:ascii="Verdana" w:eastAsia="Verdana" w:hAnsi="Verdana" w:cs="Verdana"/>
                <w:i/>
                <w:noProof/>
                <w:color w:val="000000"/>
                <w:sz w:val="18"/>
              </w:rPr>
            </w:pPr>
            <w:r>
              <w:rPr>
                <w:rFonts w:ascii="Verdana" w:hAnsi="Verdana"/>
                <w:i/>
                <w:noProof/>
                <w:color w:val="000000"/>
                <w:sz w:val="18"/>
              </w:rPr>
              <w:t>Група 1</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 xml:space="preserve"> 73</w:t>
            </w:r>
          </w:p>
        </w:tc>
        <w:tc>
          <w:tcPr>
            <w:tcW w:w="1422"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1 987</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 xml:space="preserve"> 21</w:t>
            </w:r>
          </w:p>
        </w:tc>
        <w:tc>
          <w:tcPr>
            <w:tcW w:w="1352" w:type="dxa"/>
            <w:tcBorders>
              <w:top w:val="nil"/>
              <w:left w:val="nil"/>
              <w:bottom w:val="nil"/>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2 082</w:t>
            </w:r>
          </w:p>
        </w:tc>
      </w:tr>
      <w:tr>
        <w:trPr>
          <w:trHeight w:val="255"/>
        </w:trPr>
        <w:tc>
          <w:tcPr>
            <w:tcW w:w="247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rPr>
                <w:rFonts w:ascii="Verdana" w:eastAsia="Verdana" w:hAnsi="Verdana" w:cs="Verdana"/>
                <w:i/>
                <w:noProof/>
                <w:color w:val="000000"/>
                <w:sz w:val="18"/>
              </w:rPr>
            </w:pPr>
            <w:r>
              <w:rPr>
                <w:rFonts w:ascii="Verdana" w:hAnsi="Verdana"/>
                <w:i/>
                <w:noProof/>
                <w:color w:val="000000"/>
                <w:sz w:val="18"/>
              </w:rPr>
              <w:t>Група 2</w:t>
            </w:r>
          </w:p>
        </w:tc>
        <w:tc>
          <w:tcPr>
            <w:tcW w:w="114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w:t>
            </w:r>
          </w:p>
        </w:tc>
        <w:tc>
          <w:tcPr>
            <w:tcW w:w="142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 xml:space="preserve"> 2</w:t>
            </w:r>
          </w:p>
        </w:tc>
        <w:tc>
          <w:tcPr>
            <w:tcW w:w="100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w:t>
            </w:r>
          </w:p>
        </w:tc>
        <w:tc>
          <w:tcPr>
            <w:tcW w:w="135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 xml:space="preserve"> 73</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1 989</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 xml:space="preserve"> 21</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2 083</w:t>
            </w:r>
          </w:p>
        </w:tc>
      </w:tr>
      <w:tr>
        <w:trPr>
          <w:trHeight w:val="255"/>
        </w:trPr>
        <w:tc>
          <w:tcPr>
            <w:tcW w:w="247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rPr>
                <w:rFonts w:ascii="Verdana" w:eastAsia="Verdana" w:hAnsi="Verdana" w:cs="Verdana"/>
                <w:b/>
                <w:noProof/>
                <w:color w:val="000000"/>
                <w:sz w:val="18"/>
              </w:rPr>
            </w:pPr>
            <w:r>
              <w:rPr>
                <w:rFonts w:ascii="Verdana" w:hAnsi="Verdana"/>
                <w:b/>
                <w:noProof/>
                <w:color w:val="000000"/>
                <w:sz w:val="18"/>
              </w:rPr>
              <w:t>Общо</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14 998</w:t>
            </w:r>
          </w:p>
        </w:tc>
        <w:tc>
          <w:tcPr>
            <w:tcW w:w="114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 xml:space="preserve"> 137</w:t>
            </w:r>
          </w:p>
        </w:tc>
        <w:tc>
          <w:tcPr>
            <w:tcW w:w="121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52 683</w:t>
            </w:r>
          </w:p>
        </w:tc>
        <w:tc>
          <w:tcPr>
            <w:tcW w:w="142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9 410</w:t>
            </w:r>
          </w:p>
        </w:tc>
        <w:tc>
          <w:tcPr>
            <w:tcW w:w="100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19 745</w:t>
            </w:r>
          </w:p>
        </w:tc>
        <w:tc>
          <w:tcPr>
            <w:tcW w:w="13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0BIPFARCPY"/>
              <w:jc w:val="right"/>
              <w:rPr>
                <w:rFonts w:ascii="Verdana" w:eastAsia="Verdana" w:hAnsi="Verdana" w:cs="Verdana"/>
                <w:b/>
                <w:noProof/>
                <w:color w:val="000000"/>
                <w:sz w:val="18"/>
              </w:rPr>
            </w:pPr>
            <w:r>
              <w:rPr>
                <w:rFonts w:ascii="Verdana" w:hAnsi="Verdana"/>
                <w:b/>
                <w:noProof/>
                <w:color w:val="000000"/>
                <w:sz w:val="18"/>
              </w:rPr>
              <w:t>96 974</w:t>
            </w:r>
          </w:p>
        </w:tc>
      </w:tr>
    </w:tbl>
    <w:p>
      <w:pPr>
        <w:pStyle w:val="Textstand-alone"/>
        <w:tabs>
          <w:tab w:val="left" w:pos="284"/>
        </w:tabs>
        <w:spacing w:before="60" w:after="0"/>
        <w:rPr>
          <w:i/>
          <w:sz w:val="14"/>
        </w:rPr>
      </w:pPr>
      <w:r>
        <w:rPr>
          <w:i/>
          <w:sz w:val="14"/>
        </w:rPr>
        <w:t xml:space="preserve">* </w:t>
      </w:r>
      <w:r>
        <w:rPr>
          <w:i/>
          <w:sz w:val="14"/>
        </w:rPr>
        <w:tab/>
        <w:t>Финансови активи, обявени за продажба (без инвестициите във фондове на паричния пазар и капиталови инструменти).</w:t>
      </w:r>
    </w:p>
    <w:p>
      <w:pPr>
        <w:pStyle w:val="Textstand-alone"/>
        <w:tabs>
          <w:tab w:val="left" w:pos="284"/>
        </w:tabs>
        <w:spacing w:before="0" w:after="0"/>
        <w:rPr>
          <w:i/>
          <w:sz w:val="14"/>
        </w:rPr>
      </w:pPr>
      <w:r>
        <w:rPr>
          <w:i/>
          <w:sz w:val="14"/>
        </w:rPr>
        <w:t>**</w:t>
      </w:r>
      <w:r>
        <w:rPr>
          <w:i/>
          <w:sz w:val="14"/>
        </w:rPr>
        <w:tab/>
        <w:t>Финансови активи по справедлива стойност чрез излишъка или дефицита.</w:t>
      </w:r>
    </w:p>
    <w:p>
      <w:pPr>
        <w:pStyle w:val="DGTextstand-alone"/>
      </w:pPr>
      <w:r>
        <w:t>В таблицата по-горе не са включени финансовите активи, обявени за продажба, под формата на капиталови инструменти без външен кредитен рейтинг. Четирите рискови категории, посочени по-горе, по принцип се основават на рейтинговите категории на външни агенции за кредитен рейтинг и съответстват на:</w:t>
      </w:r>
    </w:p>
    <w:p>
      <w:pPr>
        <w:pStyle w:val="DGTextstand-alone"/>
        <w:numPr>
          <w:ilvl w:val="0"/>
          <w:numId w:val="35"/>
        </w:numPr>
        <w:pBdr>
          <w:top w:val="nil"/>
          <w:left w:val="nil"/>
          <w:bottom w:val="nil"/>
          <w:right w:val="nil"/>
          <w:between w:val="nil"/>
          <w:bar w:val="nil"/>
        </w:pBdr>
      </w:pPr>
      <w:r>
        <w:t>Нискорисков и висок рейтинг: Moody P-1, Aaa – Aa3; S&amp;P A-1+, A-1, AAA – AA -; Fitch F1+, F1, AAA – AA- и еквивалентен на него</w:t>
      </w:r>
    </w:p>
    <w:p>
      <w:pPr>
        <w:pStyle w:val="DGTextstand-alone"/>
        <w:numPr>
          <w:ilvl w:val="0"/>
          <w:numId w:val="35"/>
        </w:numPr>
        <w:pBdr>
          <w:top w:val="nil"/>
          <w:left w:val="nil"/>
          <w:bottom w:val="nil"/>
          <w:right w:val="nil"/>
          <w:between w:val="nil"/>
          <w:bar w:val="nil"/>
        </w:pBdr>
      </w:pPr>
      <w:r>
        <w:t>Горен среден рейтинг: Moody P-2, A1 – A3; S&amp;P A-2, A+ - A-; Fitch F2, A+ - A- и еквивалентен на него</w:t>
      </w:r>
    </w:p>
    <w:p>
      <w:pPr>
        <w:pStyle w:val="DGTextstand-alone"/>
        <w:numPr>
          <w:ilvl w:val="0"/>
          <w:numId w:val="35"/>
        </w:numPr>
        <w:pBdr>
          <w:top w:val="nil"/>
          <w:left w:val="nil"/>
          <w:bottom w:val="nil"/>
          <w:right w:val="nil"/>
          <w:between w:val="nil"/>
          <w:bar w:val="nil"/>
        </w:pBdr>
      </w:pPr>
      <w:r>
        <w:t>Долен среден рейтинг: Moody P-3, Baa1 – Baa3, S&amp;P A-3, BBB+ - BBB-; Fitch F-3, BBBB+ - BBB- и еквивалентен на него</w:t>
      </w:r>
    </w:p>
    <w:p>
      <w:pPr>
        <w:pStyle w:val="DGTextstand-alone"/>
        <w:numPr>
          <w:ilvl w:val="0"/>
          <w:numId w:val="35"/>
        </w:numPr>
        <w:pBdr>
          <w:top w:val="nil"/>
          <w:left w:val="nil"/>
          <w:bottom w:val="nil"/>
          <w:right w:val="nil"/>
          <w:between w:val="nil"/>
          <w:bar w:val="nil"/>
        </w:pBdr>
      </w:pPr>
      <w:r>
        <w:t>Неинвестиционен рейтинг: Moody не нискорисков, Ba1 – C; S&amp;P B, C, BB+ - D; Fitch B, C, BB+ - D и еквивалентен на него</w:t>
      </w:r>
    </w:p>
    <w:p>
      <w:pPr>
        <w:pStyle w:val="DGTextstand-alone"/>
      </w:pPr>
      <w:r>
        <w:t>ЕС използва тези рейтингови категории на външни агенции като отправна точка по-специално за финансовите инструменти и за търговските банки, но може, след като направи собствен анализ на отделните случаи, да държи средства в една от горепосочените рискови категории, въпреки че една или повече от горепосочените агенции за кредитен рейтинг може да са понижили кредитния рейтинг на съответния контрагент. Що се отнася до контрагентите без рейтинг, група 1 се отнася до длъжниците без неизпълнени задължения в миналото, а група 2 се отнася до длъжниците с неизпълнени задължения в миналото.</w:t>
      </w:r>
    </w:p>
    <w:p>
      <w:pPr>
        <w:pStyle w:val="DGTextstand-alone"/>
      </w:pPr>
      <w:r>
        <w:t>Сумите, посочени по-горе в позицията за заемите, получили неинвестиционен рейтинг, са свързани предимно със заеми за финансова помощ, предоставени от Комисията на партньорски държави, изпитващи финансови трудности. Сумата в позицията за вземанията и средствата, подлежащи на събиране, е свързана със средства, подлежащи на събиране от определени държави членки съгласно нормативната уредба в областта на собствените ресурси или друго правно основание. Сумата в позицията за парите в брой се отнася главно до банковите сметки за собствените ресурси, открити към министерството на финансите или в централните банки на някои държави членки с цел съхраняване в тях на вноските собствени ресурси съгласно предвиденото в нормативната уредба, посочена по-горе. Комисията може да тегли средства от тези сметки само за да покрие нуждите от парични средства за изпълнението на бюджета.</w:t>
      </w:r>
    </w:p>
    <w:p>
      <w:pPr>
        <w:pStyle w:val="HEADER5"/>
        <w:rPr>
          <w:noProof/>
        </w:rPr>
      </w:pPr>
      <w:r>
        <w:rPr>
          <w:noProof/>
        </w:rPr>
        <w:t>Дейности по получаване и отпускане на заеми за финансова помощ</w:t>
      </w:r>
    </w:p>
    <w:p>
      <w:pPr>
        <w:pStyle w:val="DGTextstand-alone"/>
      </w:pPr>
      <w:r>
        <w:t>Излагането на кредитен риск се управлява, първо, чрез получаване на държавни гаранции в случая на Евратом, на второ място, чрез Гаранционния фонд за външни дейности (МФП и Евратом), на трето място, чрез възможността за теглене на необходимите средства от сметките на Комисията за собствените ресурси в държавите членки и на последно място, чрез бюджета на ЕС.</w:t>
      </w:r>
    </w:p>
    <w:p>
      <w:pPr>
        <w:pStyle w:val="DGTextstand-alone"/>
      </w:pPr>
      <w:r>
        <w:t>Съгласно законодателството в областта на собствените ресурси таванът за плащанията на собствени ресурси възлиза на 1,20 % от БНД на държавите членки и през 2020 г. реално за покриване на бюджетните кредити за плащания бяха използвани 1,03 %. Това означава, че към 31 декември 2020 г. имаше наличен марж от 0,17 % за покриване на тези гаранции. Във връзка с това ЕС има право да поиска от държавите членки да направят необходимото за спазване на правното задължение на ЕС към неговите заемодатели.</w:t>
      </w:r>
    </w:p>
    <w:p>
      <w:pPr>
        <w:pStyle w:val="DGTextstand-alone"/>
      </w:pPr>
      <w:r>
        <w:t xml:space="preserve">Заемите, предоставени на държавите членки по линия на инструмента SURE, са подкрепени от система от доброволни гаранции от държавите членки в размер на 25 % от максималната сума, налична за съответната финансова помощ. Преди да поиска плащане по гаранции, предоставени от държавите членки, от Комисията се очаква да разгледа възможността за използване на съществуващия марж под тавана на собствените ресурси за бюджетни кредити за плащания, доколкото той се оценява като устойчив от Комисията, като се вземат предвид, </w:t>
      </w:r>
      <w:r>
        <w:rPr>
          <w:i/>
          <w:iCs/>
        </w:rPr>
        <w:t>inter alia</w:t>
      </w:r>
      <w:r>
        <w:t>, общите условни задължения на Съюза и устойчивостта на общия бюджет на Съюза. Това разглеждане не засяга неотменимия и безусловен характер на предоставените гаранции и плащането им при поискване.</w:t>
      </w:r>
    </w:p>
    <w:p>
      <w:pPr>
        <w:pStyle w:val="HEADER5"/>
        <w:rPr>
          <w:noProof/>
        </w:rPr>
      </w:pPr>
      <w:r>
        <w:rPr>
          <w:noProof/>
        </w:rPr>
        <w:t>Каса</w:t>
      </w:r>
    </w:p>
    <w:p>
      <w:pPr>
        <w:pStyle w:val="DGTextstand-alone"/>
      </w:pPr>
      <w:r>
        <w:t>В съответствие с Регламент № 609/2014 на Съвета за собствените ресурси (изменен с Регламент 2016/804 на Съвета) по-голямата част от касовите ресурси на Комисията се държат в сметките, открити от държавите членки за плащане на техните вноски (собствени ресурси). Всички такива сметки са към министерствата на финансите на държавите членки или в националните централни банки. Тези институции носят най-ниския кредитен риск (или риск на контрагента) за Комисията, тъй като рискът е поет от държавите членки. За частта от касовите ресурси на Комисията, които се държат в търговски банки с цел обезпечаване на плащанията, захранването на тези сметки се извършва съгласно принципа „точно навреме“ и се управлява автоматично от системата за управление на касата. Във всяка сметка се държат минимални наличности, съобразени със средния размер на ежедневните плащания, извършвани от нея. Вследствие на това общата наличност по тези сметки в края на деня остава постоянно малка (като цяло средно под 54 милиона евро, разпределени в над 25 сметки) и по този начин се гарантира, че рискът, на който е изложена Комисията, е ограничен. Тези суми следва да се разглеждат с оглед на дневните цялостни парични наличности, които през 2020 г. варираха между 2 милиарда евро и 37 милиарда евро, и с оглед на общия размер на плащанията, извършени през 2020 г. от сметките на Комисията, който надхвърли 163 милиарда евро.</w:t>
      </w:r>
    </w:p>
    <w:p>
      <w:pPr>
        <w:pStyle w:val="DGTextstand-alone"/>
      </w:pPr>
      <w:r>
        <w:t>Освен това за подбора на търговски банки се прилагат специални насоки с цел допълнително минимизиране на риска на контрагента, на който е изложена Комисията:</w:t>
      </w:r>
    </w:p>
    <w:p>
      <w:pPr>
        <w:pStyle w:val="DGTextstand-alone"/>
        <w:numPr>
          <w:ilvl w:val="0"/>
          <w:numId w:val="36"/>
        </w:numPr>
        <w:pBdr>
          <w:top w:val="nil"/>
          <w:left w:val="nil"/>
          <w:bottom w:val="nil"/>
          <w:right w:val="nil"/>
          <w:between w:val="nil"/>
          <w:bar w:val="nil"/>
        </w:pBdr>
      </w:pPr>
      <w:r>
        <w:t>Всички търговски банки се подбират чрез покана за участие в търг. Минималният дългосрочен кредитен рейтинг, който се изисква за допускане до тръжната процедура, е S&amp;P A- или негов еквивалент. При специални и надлежно обосновани обстоятелства може да бъде прието по-ниско равнище.</w:t>
      </w:r>
    </w:p>
    <w:p>
      <w:pPr>
        <w:pStyle w:val="DGTextstand-alone"/>
        <w:numPr>
          <w:ilvl w:val="0"/>
          <w:numId w:val="36"/>
        </w:numPr>
        <w:pBdr>
          <w:top w:val="nil"/>
          <w:left w:val="nil"/>
          <w:bottom w:val="nil"/>
          <w:right w:val="nil"/>
          <w:between w:val="nil"/>
          <w:bar w:val="nil"/>
        </w:pBdr>
      </w:pPr>
      <w:r>
        <w:t xml:space="preserve">Кредитните рейтинги на търговските банки, в които Комисията има сметки, се следят редовно. </w:t>
      </w:r>
    </w:p>
    <w:p>
      <w:pPr>
        <w:pStyle w:val="DGTextstand-alone"/>
        <w:numPr>
          <w:ilvl w:val="0"/>
          <w:numId w:val="36"/>
        </w:numPr>
        <w:pBdr>
          <w:top w:val="nil"/>
          <w:left w:val="nil"/>
          <w:bottom w:val="nil"/>
          <w:right w:val="nil"/>
          <w:between w:val="nil"/>
          <w:bar w:val="nil"/>
        </w:pBdr>
      </w:pPr>
      <w:r>
        <w:t>В делегациите извън ЕС сметките за авансови средства се държат в местни банки, подбрани чрез опростена тръжна процедура. Изискванията във връзка с рейтинга зависят от местната ситуация и могат да се различават значително между различните държави. За да се ограничи излагането на риск, наличностите по тези сметки са възможно най-малки (като се отчитат оперативните нужди). Сметките се захранват редовно, а прилаганите тавани се преразглеждат ежегодно.</w:t>
      </w:r>
    </w:p>
    <w:p>
      <w:pPr>
        <w:pStyle w:val="HEADER5"/>
        <w:rPr>
          <w:noProof/>
        </w:rPr>
      </w:pPr>
      <w:r>
        <w:rPr>
          <w:noProof/>
        </w:rPr>
        <w:t>Глоби</w:t>
      </w:r>
    </w:p>
    <w:p>
      <w:pPr>
        <w:pStyle w:val="Textstand-alone"/>
        <w:rPr>
          <w:i/>
        </w:rPr>
      </w:pPr>
      <w:r>
        <w:rPr>
          <w:i/>
        </w:rPr>
        <w:t>Условно платени глоби: депозити</w:t>
      </w:r>
    </w:p>
    <w:p>
      <w:pPr>
        <w:pStyle w:val="DGTextstand-alone"/>
      </w:pPr>
      <w:r>
        <w:t>Банките, които държат депозити за глобите, платени условно преди 2010 г., се подбират чрез тръжна процедура в съответствие с политиката за управление на риска, в която са определени изискванията по отношение на кредитния рейтинг и размерът на средствата, които могат да бъдат вложени, в зависимост от капитала на контрагента.</w:t>
      </w:r>
    </w:p>
    <w:p>
      <w:pPr>
        <w:pStyle w:val="DGTextstand-alone"/>
      </w:pPr>
      <w:r>
        <w:t>За търговските банки, избрани специално за депозиране на условно платени глоби, по правило се изисква минимален дългосрочен рейтинг А- (S&amp;P или негов еквивалент) от две агенции за кредитен рейтинг. Ако рейтингът на банките в тази група бъде понижен, се прилагат специални мерки. Освен това вложените във всяка банка средства са ограничени до определен процент от нейните собствени средства, който процент варира в зависимост от рейтинга на всяка институция. При изчисляването на тези граници се отчита и стойността на гаранциите с неизтекъл срок, предоставени на Комисията от същата институция. Редовно се проверява дали депозитите отговарят на приложимите изисквания на политиката.</w:t>
      </w:r>
    </w:p>
    <w:p>
      <w:pPr>
        <w:pStyle w:val="Textstand-alone"/>
        <w:rPr>
          <w:i/>
        </w:rPr>
      </w:pPr>
      <w:r>
        <w:rPr>
          <w:i/>
        </w:rPr>
        <w:t>Условно платени глоби: портфейл BUFI</w:t>
      </w:r>
    </w:p>
    <w:p>
      <w:pPr>
        <w:pStyle w:val="DGTextstand-alone"/>
      </w:pPr>
      <w:r>
        <w:t>Що се отнася до инвестициите в държавен дълг от условно платени глоби, наложени от 2010 г. насам, кредитният риск се носи от Комисията. Най-концентрираният риск е по отношение на Испания, която представлява 17 % от портфейла. Петте държави с най-висока експозиция (Испания, Франция, Италия, Германия и Белгия) представляват общо 45 % от инвестиционния портфейл. Среднопретегленият кредитен рейтинг на портфейла е А (S&amp;P или негов еквивалент).</w:t>
      </w:r>
    </w:p>
    <w:p>
      <w:pPr>
        <w:pStyle w:val="Textstand-alone"/>
        <w:rPr>
          <w:i/>
        </w:rPr>
      </w:pPr>
      <w:r>
        <w:rPr>
          <w:i/>
        </w:rPr>
        <w:t>Получени финансови гаранции</w:t>
      </w:r>
    </w:p>
    <w:p>
      <w:pPr>
        <w:pStyle w:val="DGTextstand-alone"/>
      </w:pPr>
      <w:r>
        <w:t>Политиката за управление на риска, която се прилага за приемането на такива гаранции, осигурява високо качество на кредитите за Комисията. Тази политика включва определяне на максимална кредитна експозиция към дадено предприятие от финансовия сектор въз основа на неговия кредитен рейтинг и размера на капитала на предприятието, отчетен в неговите финансови отчети съгласно международните стандарти за финансово отчитане (МСФО). Редовно се проверява дали получените гаранции са в съответствие с приложимите изисквания на политиката.</w:t>
      </w:r>
    </w:p>
    <w:p>
      <w:pPr>
        <w:pStyle w:val="HEADER5"/>
        <w:rPr>
          <w:noProof/>
        </w:rPr>
      </w:pPr>
      <w:r>
        <w:rPr>
          <w:noProof/>
        </w:rPr>
        <w:t>Гаранционни фондове</w:t>
      </w:r>
    </w:p>
    <w:p>
      <w:pPr>
        <w:pStyle w:val="HEADER5"/>
        <w:rPr>
          <w:i/>
          <w:noProof/>
        </w:rPr>
      </w:pPr>
      <w:r>
        <w:rPr>
          <w:i/>
          <w:noProof/>
        </w:rPr>
        <w:t>Гаранционен фонд за външни дейности</w:t>
      </w:r>
    </w:p>
    <w:p>
      <w:pPr>
        <w:pStyle w:val="DGTextstand-alone"/>
      </w:pPr>
      <w:r>
        <w:t>Насоките за управлението на активите и/или инвестиционната стратегия определят някои лимити и ограничения, чиято цел е да се ограничи излагането на портфейла на кредитен риск. Тези лимити и ограничения включват критерии за допустимост, абсолютни кредитни лимити в номинално изражение в зависимост от категорията на емитента, лимити на относителната концентрация в зависимост от категорията на емитента и лимити на концентрацията за всяка емисия. Всички инвестиции се оценяват като имащи поне инвестиционен рейтинг.</w:t>
      </w:r>
    </w:p>
    <w:p>
      <w:pPr>
        <w:pStyle w:val="HEADER5"/>
        <w:rPr>
          <w:i/>
          <w:noProof/>
        </w:rPr>
      </w:pPr>
      <w:r>
        <w:rPr>
          <w:i/>
          <w:noProof/>
        </w:rPr>
        <w:t>Гаранционен фонд на ЕФСИ</w:t>
      </w:r>
    </w:p>
    <w:p>
      <w:pPr>
        <w:pStyle w:val="DGTextstand-alone"/>
      </w:pPr>
      <w:r>
        <w:t>В насоките за управлението на активите, в стратегията за риска и в инвестиционната стратегия се определят някои лимити и ограничения, за да се ограничи излагането на кредитен риск на портфейла, който е ограничен до инвестиционен рейтинг, с изключение на експозицията на държавите — членки на ЕС. Среднопретегленият кредитен рейтинг на портфейла е BBB+ (S&amp;P или негов еквивалент).</w:t>
      </w:r>
    </w:p>
    <w:p>
      <w:pPr>
        <w:pStyle w:val="DGTextstand-alone"/>
      </w:pPr>
      <w:r>
        <w:t>Тъй като единственият контрагент за всички неприключени валутни форуърди към 31 декември 2020 г. е Banque de France, от тази дата не са използвани кредитни подобрения, като например обезпечения, споразумения за нетиране или гаранции. Максималното излагане на кредитен риск за валутните деривативи, които имат положителна справедлива стойност към края на отчетния период, е равно на сумата, посочена в счетоводния баланс.</w:t>
      </w:r>
    </w:p>
    <w:p>
      <w:pPr>
        <w:pStyle w:val="HEADER5"/>
        <w:rPr>
          <w:i/>
          <w:noProof/>
        </w:rPr>
      </w:pPr>
      <w:r>
        <w:rPr>
          <w:i/>
          <w:noProof/>
        </w:rPr>
        <w:t>Гаранционен фонд на ЕФУР</w:t>
      </w:r>
    </w:p>
    <w:p>
      <w:pPr>
        <w:pStyle w:val="DGTextstand-alone"/>
        <w:spacing w:after="0"/>
      </w:pPr>
      <w:r>
        <w:t>В насоките за управлението на активите, в стратегията за риска и в инвестиционната стратегия се определят някои лимити и ограничения, за да се ограничи излагането на кредитен риск на портфейла, който е ограничен до инвестиционен рейтинг, с изключение на експозицията на държавите — членки на ЕС. Среднопретегленият кредитен рейтинг на портфейла е BBB+ (S&amp;P или негов еквивалент).</w:t>
      </w:r>
    </w:p>
    <w:p>
      <w:pPr>
        <w:pStyle w:val="HEADER2NOTES"/>
        <w:rPr>
          <w:noProof/>
        </w:rPr>
      </w:pPr>
      <w:r>
        <w:rPr>
          <w:noProof/>
        </w:rPr>
        <w:t>ЛИКВИДЕН РИСК</w:t>
      </w:r>
    </w:p>
    <w:p>
      <w:pPr>
        <w:pStyle w:val="HEADER5"/>
        <w:rPr>
          <w:noProof/>
        </w:rPr>
      </w:pPr>
      <w:r>
        <w:rPr>
          <w:noProof/>
        </w:rPr>
        <w:t>Анализ на срока на финансовите пасиви по оставащия срок по договора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1589"/>
        <w:gridCol w:w="1590"/>
        <w:gridCol w:w="1590"/>
        <w:gridCol w:w="1590"/>
      </w:tblGrid>
      <w:tr>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bottom"/>
          </w:tcPr>
          <w:p>
            <w:pPr>
              <w:pStyle w:val="DMETW19871BIPLR"/>
              <w:rPr>
                <w:rFonts w:ascii="Arial" w:eastAsia="Arial" w:hAnsi="Arial" w:cs="Arial"/>
                <w:noProof/>
                <w:color w:val="000000"/>
              </w:rPr>
            </w:pPr>
            <w:bookmarkStart w:id="206" w:name="DOC_TBL00096_1_1"/>
            <w:bookmarkEnd w:id="206"/>
          </w:p>
        </w:tc>
        <w:tc>
          <w:tcPr>
            <w:tcW w:w="1589" w:type="dxa"/>
            <w:tcBorders>
              <w:top w:val="nil"/>
              <w:left w:val="nil"/>
              <w:bottom w:val="nil"/>
              <w:right w:val="nil"/>
              <w:tl2br w:val="nil"/>
              <w:tr2bl w:val="nil"/>
            </w:tcBorders>
            <w:shd w:val="clear" w:color="auto" w:fill="auto"/>
            <w:tcMar>
              <w:left w:w="60" w:type="dxa"/>
              <w:right w:w="60" w:type="dxa"/>
            </w:tcMar>
            <w:vAlign w:val="bottom"/>
          </w:tcPr>
          <w:p>
            <w:pPr>
              <w:pStyle w:val="DMETW19871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pPr>
              <w:pStyle w:val="DMETW19871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pPr>
              <w:pStyle w:val="DMETW19871BIPLR"/>
              <w:rPr>
                <w:rFonts w:ascii="Arial" w:eastAsia="Arial" w:hAnsi="Arial" w:cs="Arial"/>
                <w:noProof/>
                <w:color w:val="000000"/>
              </w:rPr>
            </w:pPr>
          </w:p>
        </w:tc>
        <w:tc>
          <w:tcPr>
            <w:tcW w:w="1590" w:type="dxa"/>
            <w:tcBorders>
              <w:top w:val="nil"/>
              <w:left w:val="nil"/>
              <w:bottom w:val="nil"/>
              <w:right w:val="nil"/>
              <w:tl2br w:val="nil"/>
              <w:tr2bl w:val="nil"/>
            </w:tcBorders>
            <w:shd w:val="clear" w:color="auto" w:fill="auto"/>
            <w:tcMar>
              <w:left w:w="60" w:type="dxa"/>
              <w:right w:w="60" w:type="dxa"/>
            </w:tcMar>
            <w:vAlign w:val="bottom"/>
          </w:tcPr>
          <w:p>
            <w:pPr>
              <w:pStyle w:val="DMETW19871BIPLR"/>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3399" w:type="dxa"/>
            <w:tcBorders>
              <w:top w:val="nil"/>
              <w:left w:val="nil"/>
              <w:bottom w:val="nil"/>
              <w:right w:val="nil"/>
              <w:tl2br w:val="nil"/>
              <w:tr2bl w:val="nil"/>
            </w:tcBorders>
            <w:shd w:val="solid" w:color="016794" w:fill="FFFFFF"/>
            <w:tcMar>
              <w:left w:w="60" w:type="dxa"/>
              <w:right w:w="60" w:type="dxa"/>
            </w:tcMar>
            <w:vAlign w:val="center"/>
          </w:tcPr>
          <w:p>
            <w:pPr>
              <w:pStyle w:val="DMETW19871BIPLR"/>
              <w:jc w:val="right"/>
              <w:rPr>
                <w:rFonts w:ascii="Verdana" w:eastAsia="Verdana" w:hAnsi="Verdana" w:cs="Verdana"/>
                <w:noProof/>
                <w:color w:val="FFFFFF"/>
              </w:rPr>
            </w:pPr>
          </w:p>
        </w:tc>
        <w:tc>
          <w:tcPr>
            <w:tcW w:w="1589" w:type="dxa"/>
            <w:tcBorders>
              <w:top w:val="nil"/>
              <w:left w:val="nil"/>
              <w:bottom w:val="nil"/>
              <w:right w:val="nil"/>
              <w:tl2br w:val="nil"/>
              <w:tr2bl w:val="nil"/>
            </w:tcBorders>
            <w:shd w:val="solid" w:color="016794" w:fill="FFFFFF"/>
            <w:tcMar>
              <w:left w:w="60" w:type="dxa"/>
              <w:right w:w="60" w:type="dxa"/>
            </w:tcMar>
            <w:vAlign w:val="center"/>
          </w:tcPr>
          <w:p>
            <w:pPr>
              <w:pStyle w:val="DMETW19871BIPLR"/>
              <w:jc w:val="right"/>
              <w:rPr>
                <w:rFonts w:ascii="Verdana" w:eastAsia="Verdana" w:hAnsi="Verdana" w:cs="Verdana"/>
                <w:noProof/>
                <w:color w:val="FFFFFF"/>
              </w:rPr>
            </w:pPr>
            <w:r>
              <w:rPr>
                <w:rFonts w:ascii="Verdana" w:hAnsi="Verdana"/>
                <w:noProof/>
                <w:color w:val="FFFFFF"/>
              </w:rPr>
              <w:t>&lt; 1 година</w:t>
            </w:r>
          </w:p>
        </w:tc>
        <w:tc>
          <w:tcPr>
            <w:tcW w:w="1590" w:type="dxa"/>
            <w:tcBorders>
              <w:top w:val="nil"/>
              <w:left w:val="nil"/>
              <w:bottom w:val="nil"/>
              <w:right w:val="nil"/>
              <w:tl2br w:val="nil"/>
              <w:tr2bl w:val="nil"/>
            </w:tcBorders>
            <w:shd w:val="solid" w:color="016794" w:fill="FFFFFF"/>
            <w:tcMar>
              <w:left w:w="60" w:type="dxa"/>
              <w:right w:w="60" w:type="dxa"/>
            </w:tcMar>
            <w:vAlign w:val="center"/>
          </w:tcPr>
          <w:p>
            <w:pPr>
              <w:pStyle w:val="DMETW19871BIPLR"/>
              <w:jc w:val="right"/>
              <w:rPr>
                <w:rFonts w:ascii="Verdana" w:eastAsia="Verdana" w:hAnsi="Verdana" w:cs="Verdana"/>
                <w:noProof/>
                <w:color w:val="FFFFFF"/>
              </w:rPr>
            </w:pPr>
            <w:r>
              <w:rPr>
                <w:rFonts w:ascii="Verdana" w:hAnsi="Verdana"/>
                <w:noProof/>
                <w:color w:val="FFFFFF"/>
              </w:rPr>
              <w:t>1—5 години</w:t>
            </w:r>
          </w:p>
        </w:tc>
        <w:tc>
          <w:tcPr>
            <w:tcW w:w="1590" w:type="dxa"/>
            <w:tcBorders>
              <w:top w:val="nil"/>
              <w:left w:val="nil"/>
              <w:bottom w:val="nil"/>
              <w:right w:val="nil"/>
              <w:tl2br w:val="nil"/>
              <w:tr2bl w:val="nil"/>
            </w:tcBorders>
            <w:shd w:val="solid" w:color="016794" w:fill="FFFFFF"/>
            <w:tcMar>
              <w:left w:w="60" w:type="dxa"/>
              <w:right w:w="60" w:type="dxa"/>
            </w:tcMar>
            <w:vAlign w:val="center"/>
          </w:tcPr>
          <w:p>
            <w:pPr>
              <w:pStyle w:val="DMETW19871BIPLR"/>
              <w:jc w:val="right"/>
              <w:rPr>
                <w:rFonts w:ascii="Verdana" w:eastAsia="Verdana" w:hAnsi="Verdana" w:cs="Verdana"/>
                <w:noProof/>
                <w:color w:val="FFFFFF"/>
              </w:rPr>
            </w:pPr>
            <w:r>
              <w:rPr>
                <w:rFonts w:ascii="Verdana" w:hAnsi="Verdana"/>
                <w:noProof/>
                <w:color w:val="FFFFFF"/>
              </w:rPr>
              <w:t>&gt; 5 години</w:t>
            </w:r>
          </w:p>
        </w:tc>
        <w:tc>
          <w:tcPr>
            <w:tcW w:w="1590" w:type="dxa"/>
            <w:tcBorders>
              <w:top w:val="nil"/>
              <w:left w:val="nil"/>
              <w:bottom w:val="nil"/>
              <w:right w:val="nil"/>
              <w:tl2br w:val="nil"/>
              <w:tr2bl w:val="nil"/>
            </w:tcBorders>
            <w:shd w:val="solid" w:color="016794" w:fill="FFFFFF"/>
            <w:tcMar>
              <w:left w:w="60" w:type="dxa"/>
              <w:right w:w="60" w:type="dxa"/>
            </w:tcMar>
            <w:vAlign w:val="center"/>
          </w:tcPr>
          <w:p>
            <w:pPr>
              <w:pStyle w:val="DMETW19871BIPLR"/>
              <w:jc w:val="center"/>
              <w:rPr>
                <w:rFonts w:ascii="Verdana" w:eastAsia="Verdana" w:hAnsi="Verdana" w:cs="Verdana"/>
                <w:noProof/>
                <w:color w:val="FFFFFF"/>
              </w:rPr>
            </w:pPr>
            <w:r>
              <w:rPr>
                <w:rFonts w:ascii="Verdana" w:hAnsi="Verdana"/>
                <w:noProof/>
                <w:color w:val="FFFFFF"/>
              </w:rPr>
              <w:t>Общо</w:t>
            </w:r>
          </w:p>
        </w:tc>
      </w:tr>
      <w:tr>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pPr>
              <w:pStyle w:val="DMETW19871BIPLR"/>
              <w:rPr>
                <w:rFonts w:ascii="Verdana" w:eastAsia="Verdana" w:hAnsi="Verdana" w:cs="Verdana"/>
                <w:i/>
                <w:noProof/>
                <w:color w:val="000000"/>
                <w:sz w:val="18"/>
              </w:rPr>
            </w:pPr>
            <w:r>
              <w:rPr>
                <w:rFonts w:ascii="Verdana" w:hAnsi="Verdana"/>
                <w:i/>
                <w:noProof/>
                <w:color w:val="000000"/>
                <w:sz w:val="18"/>
              </w:rPr>
              <w:t>Получени заеми</w:t>
            </w:r>
          </w:p>
        </w:tc>
        <w:tc>
          <w:tcPr>
            <w:tcW w:w="1589"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(10 410)</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(20 230)</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(62 553)</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(93 192)</w:t>
            </w:r>
          </w:p>
        </w:tc>
      </w:tr>
      <w:tr>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pPr>
              <w:pStyle w:val="DMETW19871BIPLR"/>
              <w:rPr>
                <w:rFonts w:ascii="Verdana" w:eastAsia="Verdana" w:hAnsi="Verdana" w:cs="Verdana"/>
                <w:i/>
                <w:noProof/>
                <w:color w:val="000000"/>
                <w:sz w:val="18"/>
              </w:rPr>
            </w:pPr>
            <w:r>
              <w:rPr>
                <w:rFonts w:ascii="Verdana" w:hAnsi="Verdana"/>
                <w:i/>
                <w:noProof/>
                <w:color w:val="000000"/>
                <w:sz w:val="18"/>
              </w:rPr>
              <w:t>Задължения</w:t>
            </w:r>
          </w:p>
        </w:tc>
        <w:tc>
          <w:tcPr>
            <w:tcW w:w="1589"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(32 408)</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(32 408)</w:t>
            </w:r>
          </w:p>
        </w:tc>
      </w:tr>
      <w:tr>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pPr>
              <w:pStyle w:val="DMETW19871BIPLR"/>
              <w:rPr>
                <w:rFonts w:ascii="Verdana" w:eastAsia="Verdana" w:hAnsi="Verdana" w:cs="Verdana"/>
                <w:i/>
                <w:noProof/>
                <w:color w:val="000000"/>
                <w:sz w:val="18"/>
              </w:rPr>
            </w:pPr>
            <w:r>
              <w:rPr>
                <w:rFonts w:ascii="Verdana" w:hAnsi="Verdana"/>
                <w:i/>
                <w:noProof/>
                <w:color w:val="000000"/>
                <w:sz w:val="18"/>
              </w:rPr>
              <w:t>Задължения по финансови гаранции</w:t>
            </w:r>
          </w:p>
        </w:tc>
        <w:tc>
          <w:tcPr>
            <w:tcW w:w="1589"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 xml:space="preserve"> (90)</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 xml:space="preserve"> (90)</w:t>
            </w:r>
          </w:p>
        </w:tc>
      </w:tr>
      <w:tr>
        <w:trPr>
          <w:trHeight w:hRule="exact" w:val="255"/>
        </w:trPr>
        <w:tc>
          <w:tcPr>
            <w:tcW w:w="339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1BIPLR"/>
              <w:rPr>
                <w:rFonts w:ascii="Verdana" w:eastAsia="Verdana" w:hAnsi="Verdana" w:cs="Verdana"/>
                <w:i/>
                <w:noProof/>
                <w:color w:val="000000"/>
                <w:sz w:val="18"/>
              </w:rPr>
            </w:pPr>
            <w:r>
              <w:rPr>
                <w:rFonts w:ascii="Verdana" w:hAnsi="Verdana"/>
                <w:i/>
                <w:noProof/>
                <w:color w:val="000000"/>
                <w:sz w:val="18"/>
              </w:rPr>
              <w:t>Други</w:t>
            </w:r>
          </w:p>
        </w:tc>
        <w:tc>
          <w:tcPr>
            <w:tcW w:w="158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 xml:space="preserve"> (149)</w:t>
            </w:r>
          </w:p>
        </w:tc>
        <w:tc>
          <w:tcPr>
            <w:tcW w:w="159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 xml:space="preserve"> (665)</w:t>
            </w:r>
          </w:p>
        </w:tc>
        <w:tc>
          <w:tcPr>
            <w:tcW w:w="159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 xml:space="preserve"> (947)</w:t>
            </w:r>
          </w:p>
        </w:tc>
        <w:tc>
          <w:tcPr>
            <w:tcW w:w="159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(1 761)</w:t>
            </w:r>
          </w:p>
        </w:tc>
      </w:tr>
      <w:tr>
        <w:trPr>
          <w:trHeight w:hRule="exact" w:val="255"/>
        </w:trPr>
        <w:tc>
          <w:tcPr>
            <w:tcW w:w="33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1BIPLR"/>
              <w:rPr>
                <w:rFonts w:ascii="Verdana" w:eastAsia="Verdana" w:hAnsi="Verdana" w:cs="Verdana"/>
                <w:b/>
                <w:noProof/>
                <w:color w:val="000000"/>
                <w:sz w:val="18"/>
              </w:rPr>
            </w:pPr>
            <w:r>
              <w:rPr>
                <w:rFonts w:ascii="Verdana" w:hAnsi="Verdana"/>
                <w:b/>
                <w:noProof/>
                <w:color w:val="000000"/>
                <w:sz w:val="18"/>
              </w:rPr>
              <w:t>Общо към 31.12.2020 г.</w:t>
            </w:r>
          </w:p>
        </w:tc>
        <w:tc>
          <w:tcPr>
            <w:tcW w:w="1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b/>
                <w:noProof/>
                <w:color w:val="000000"/>
                <w:sz w:val="18"/>
              </w:rPr>
            </w:pPr>
            <w:r>
              <w:rPr>
                <w:rFonts w:ascii="Verdana" w:hAnsi="Verdana"/>
                <w:b/>
                <w:noProof/>
                <w:color w:val="000000"/>
                <w:sz w:val="18"/>
              </w:rPr>
              <w:t>(43 057)</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b/>
                <w:noProof/>
                <w:color w:val="000000"/>
                <w:sz w:val="18"/>
              </w:rPr>
            </w:pPr>
            <w:r>
              <w:rPr>
                <w:rFonts w:ascii="Verdana" w:hAnsi="Verdana"/>
                <w:b/>
                <w:noProof/>
                <w:color w:val="000000"/>
                <w:sz w:val="18"/>
              </w:rPr>
              <w:t>(20 895)</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b/>
                <w:noProof/>
                <w:color w:val="000000"/>
                <w:sz w:val="18"/>
              </w:rPr>
            </w:pPr>
            <w:r>
              <w:rPr>
                <w:rFonts w:ascii="Verdana" w:hAnsi="Verdana"/>
                <w:b/>
                <w:noProof/>
                <w:color w:val="000000"/>
                <w:sz w:val="18"/>
              </w:rPr>
              <w:t>(63 500)</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b/>
                <w:noProof/>
                <w:color w:val="000000"/>
                <w:sz w:val="18"/>
              </w:rPr>
            </w:pPr>
            <w:r>
              <w:rPr>
                <w:rFonts w:ascii="Verdana" w:hAnsi="Verdana"/>
                <w:b/>
                <w:noProof/>
                <w:color w:val="000000"/>
                <w:sz w:val="18"/>
              </w:rPr>
              <w:t>(127 451)</w:t>
            </w:r>
          </w:p>
        </w:tc>
      </w:tr>
      <w:tr>
        <w:trPr>
          <w:trHeight w:hRule="exact" w:val="255"/>
        </w:trPr>
        <w:tc>
          <w:tcPr>
            <w:tcW w:w="339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1BIPLR"/>
              <w:rPr>
                <w:rFonts w:ascii="Verdana" w:eastAsia="Verdana" w:hAnsi="Verdana" w:cs="Verdana"/>
                <w:i/>
                <w:noProof/>
                <w:color w:val="000000"/>
                <w:sz w:val="18"/>
              </w:rPr>
            </w:pPr>
            <w:r>
              <w:rPr>
                <w:rFonts w:ascii="Verdana" w:hAnsi="Verdana"/>
                <w:i/>
                <w:noProof/>
                <w:color w:val="000000"/>
                <w:sz w:val="18"/>
              </w:rPr>
              <w:t>Получени заеми</w:t>
            </w:r>
          </w:p>
        </w:tc>
        <w:tc>
          <w:tcPr>
            <w:tcW w:w="158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(1 273)</w:t>
            </w:r>
          </w:p>
        </w:tc>
        <w:tc>
          <w:tcPr>
            <w:tcW w:w="159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(19 312)</w:t>
            </w:r>
          </w:p>
        </w:tc>
        <w:tc>
          <w:tcPr>
            <w:tcW w:w="159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(31 978)</w:t>
            </w:r>
          </w:p>
        </w:tc>
        <w:tc>
          <w:tcPr>
            <w:tcW w:w="159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(52 564)</w:t>
            </w:r>
          </w:p>
        </w:tc>
      </w:tr>
      <w:tr>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pPr>
              <w:pStyle w:val="DMETW19871BIPLR"/>
              <w:rPr>
                <w:rFonts w:ascii="Verdana" w:eastAsia="Verdana" w:hAnsi="Verdana" w:cs="Verdana"/>
                <w:i/>
                <w:noProof/>
                <w:color w:val="000000"/>
                <w:sz w:val="18"/>
              </w:rPr>
            </w:pPr>
            <w:r>
              <w:rPr>
                <w:rFonts w:ascii="Verdana" w:hAnsi="Verdana"/>
                <w:i/>
                <w:noProof/>
                <w:color w:val="000000"/>
                <w:sz w:val="18"/>
              </w:rPr>
              <w:t>Задължения</w:t>
            </w:r>
          </w:p>
        </w:tc>
        <w:tc>
          <w:tcPr>
            <w:tcW w:w="1589"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(27 241)</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(27 241)</w:t>
            </w:r>
          </w:p>
        </w:tc>
      </w:tr>
      <w:tr>
        <w:trPr>
          <w:trHeight w:hRule="exact" w:val="255"/>
        </w:trPr>
        <w:tc>
          <w:tcPr>
            <w:tcW w:w="3399" w:type="dxa"/>
            <w:tcBorders>
              <w:top w:val="nil"/>
              <w:left w:val="nil"/>
              <w:bottom w:val="nil"/>
              <w:right w:val="nil"/>
              <w:tl2br w:val="nil"/>
              <w:tr2bl w:val="nil"/>
            </w:tcBorders>
            <w:shd w:val="clear" w:color="auto" w:fill="auto"/>
            <w:tcMar>
              <w:left w:w="60" w:type="dxa"/>
              <w:right w:w="60" w:type="dxa"/>
            </w:tcMar>
            <w:vAlign w:val="center"/>
          </w:tcPr>
          <w:p>
            <w:pPr>
              <w:pStyle w:val="DMETW19871BIPLR"/>
              <w:rPr>
                <w:rFonts w:ascii="Verdana" w:eastAsia="Verdana" w:hAnsi="Verdana" w:cs="Verdana"/>
                <w:i/>
                <w:noProof/>
                <w:color w:val="000000"/>
                <w:sz w:val="18"/>
              </w:rPr>
            </w:pPr>
            <w:r>
              <w:rPr>
                <w:rFonts w:ascii="Verdana" w:hAnsi="Verdana"/>
                <w:i/>
                <w:noProof/>
                <w:color w:val="000000"/>
                <w:sz w:val="18"/>
              </w:rPr>
              <w:t>Задължения по финансови гаранции</w:t>
            </w:r>
          </w:p>
        </w:tc>
        <w:tc>
          <w:tcPr>
            <w:tcW w:w="1589"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 xml:space="preserve"> (20)</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 xml:space="preserve"> (20)</w:t>
            </w:r>
          </w:p>
        </w:tc>
      </w:tr>
      <w:tr>
        <w:trPr>
          <w:trHeight w:hRule="exact" w:val="255"/>
        </w:trPr>
        <w:tc>
          <w:tcPr>
            <w:tcW w:w="339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1BIPLR"/>
              <w:rPr>
                <w:rFonts w:ascii="Verdana" w:eastAsia="Verdana" w:hAnsi="Verdana" w:cs="Verdana"/>
                <w:i/>
                <w:noProof/>
                <w:color w:val="000000"/>
                <w:sz w:val="18"/>
              </w:rPr>
            </w:pPr>
            <w:r>
              <w:rPr>
                <w:rFonts w:ascii="Verdana" w:hAnsi="Verdana"/>
                <w:i/>
                <w:noProof/>
                <w:color w:val="000000"/>
                <w:sz w:val="18"/>
              </w:rPr>
              <w:t>Други</w:t>
            </w:r>
          </w:p>
        </w:tc>
        <w:tc>
          <w:tcPr>
            <w:tcW w:w="158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 xml:space="preserve"> (149)</w:t>
            </w:r>
          </w:p>
        </w:tc>
        <w:tc>
          <w:tcPr>
            <w:tcW w:w="159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 xml:space="preserve"> (640)</w:t>
            </w:r>
          </w:p>
        </w:tc>
        <w:tc>
          <w:tcPr>
            <w:tcW w:w="159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(1 132)</w:t>
            </w:r>
          </w:p>
        </w:tc>
        <w:tc>
          <w:tcPr>
            <w:tcW w:w="159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i/>
                <w:noProof/>
                <w:color w:val="000000"/>
                <w:sz w:val="18"/>
              </w:rPr>
            </w:pPr>
            <w:r>
              <w:rPr>
                <w:rFonts w:ascii="Verdana" w:hAnsi="Verdana"/>
                <w:i/>
                <w:noProof/>
                <w:color w:val="000000"/>
                <w:sz w:val="18"/>
              </w:rPr>
              <w:t>(1 921)</w:t>
            </w:r>
          </w:p>
        </w:tc>
      </w:tr>
      <w:tr>
        <w:trPr>
          <w:trHeight w:hRule="exact" w:val="255"/>
        </w:trPr>
        <w:tc>
          <w:tcPr>
            <w:tcW w:w="33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1BIPLR"/>
              <w:rPr>
                <w:rFonts w:ascii="Verdana" w:eastAsia="Verdana" w:hAnsi="Verdana" w:cs="Verdana"/>
                <w:b/>
                <w:noProof/>
                <w:color w:val="000000"/>
                <w:sz w:val="18"/>
              </w:rPr>
            </w:pPr>
            <w:r>
              <w:rPr>
                <w:rFonts w:ascii="Verdana" w:hAnsi="Verdana"/>
                <w:b/>
                <w:noProof/>
                <w:color w:val="000000"/>
                <w:sz w:val="18"/>
              </w:rPr>
              <w:t>Общо към 31.12.2019 г.</w:t>
            </w:r>
          </w:p>
        </w:tc>
        <w:tc>
          <w:tcPr>
            <w:tcW w:w="158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b/>
                <w:noProof/>
                <w:color w:val="000000"/>
                <w:sz w:val="18"/>
              </w:rPr>
            </w:pPr>
            <w:r>
              <w:rPr>
                <w:rFonts w:ascii="Verdana" w:hAnsi="Verdana"/>
                <w:b/>
                <w:noProof/>
                <w:color w:val="000000"/>
                <w:sz w:val="18"/>
              </w:rPr>
              <w:t>(28 684)</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b/>
                <w:noProof/>
                <w:color w:val="000000"/>
                <w:sz w:val="18"/>
              </w:rPr>
            </w:pPr>
            <w:r>
              <w:rPr>
                <w:rFonts w:ascii="Verdana" w:hAnsi="Verdana"/>
                <w:b/>
                <w:noProof/>
                <w:color w:val="000000"/>
                <w:sz w:val="18"/>
              </w:rPr>
              <w:t>(19 952)</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b/>
                <w:noProof/>
                <w:color w:val="000000"/>
                <w:sz w:val="18"/>
              </w:rPr>
            </w:pPr>
            <w:r>
              <w:rPr>
                <w:rFonts w:ascii="Verdana" w:hAnsi="Verdana"/>
                <w:b/>
                <w:noProof/>
                <w:color w:val="000000"/>
                <w:sz w:val="18"/>
              </w:rPr>
              <w:t>(33 110)</w:t>
            </w:r>
          </w:p>
        </w:tc>
        <w:tc>
          <w:tcPr>
            <w:tcW w:w="159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871BIPLR"/>
              <w:jc w:val="right"/>
              <w:rPr>
                <w:rFonts w:ascii="Verdana" w:eastAsia="Verdana" w:hAnsi="Verdana" w:cs="Verdana"/>
                <w:b/>
                <w:noProof/>
                <w:color w:val="000000"/>
                <w:sz w:val="18"/>
              </w:rPr>
            </w:pPr>
            <w:r>
              <w:rPr>
                <w:rFonts w:ascii="Verdana" w:hAnsi="Verdana"/>
                <w:b/>
                <w:noProof/>
                <w:color w:val="000000"/>
                <w:sz w:val="18"/>
              </w:rPr>
              <w:t>(81 746)</w:t>
            </w:r>
          </w:p>
        </w:tc>
      </w:tr>
    </w:tbl>
    <w:p>
      <w:pPr>
        <w:pStyle w:val="HEADER5"/>
        <w:spacing w:before="240"/>
        <w:rPr>
          <w:noProof/>
        </w:rPr>
      </w:pPr>
      <w:r>
        <w:rPr>
          <w:noProof/>
        </w:rPr>
        <w:t xml:space="preserve">Финансови инструменти по справедлива стойност чрез излишъка или дефицита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2"/>
        <w:gridCol w:w="1519"/>
        <w:gridCol w:w="1519"/>
        <w:gridCol w:w="1519"/>
        <w:gridCol w:w="1519"/>
      </w:tblGrid>
      <w:tr>
        <w:trPr>
          <w:trHeight w:val="255"/>
        </w:trPr>
        <w:tc>
          <w:tcPr>
            <w:tcW w:w="3682" w:type="dxa"/>
            <w:tcBorders>
              <w:top w:val="nil"/>
              <w:left w:val="nil"/>
              <w:bottom w:val="nil"/>
              <w:right w:val="nil"/>
              <w:tl2br w:val="nil"/>
              <w:tr2bl w:val="nil"/>
            </w:tcBorders>
            <w:shd w:val="clear" w:color="auto" w:fill="auto"/>
            <w:tcMar>
              <w:left w:w="60" w:type="dxa"/>
              <w:right w:w="60" w:type="dxa"/>
            </w:tcMar>
            <w:vAlign w:val="bottom"/>
          </w:tcPr>
          <w:p>
            <w:pPr>
              <w:pStyle w:val="DMETW19530BIPFLA"/>
              <w:rPr>
                <w:rFonts w:ascii="Arial" w:eastAsia="Arial" w:hAnsi="Arial" w:cs="Arial"/>
                <w:noProof/>
                <w:color w:val="000000"/>
              </w:rPr>
            </w:pPr>
            <w:bookmarkStart w:id="207" w:name="DOC_TBL00097_1_1"/>
            <w:bookmarkEnd w:id="207"/>
          </w:p>
        </w:tc>
        <w:tc>
          <w:tcPr>
            <w:tcW w:w="1519" w:type="dxa"/>
            <w:tcBorders>
              <w:top w:val="nil"/>
              <w:left w:val="nil"/>
              <w:bottom w:val="nil"/>
              <w:right w:val="nil"/>
              <w:tl2br w:val="nil"/>
              <w:tr2bl w:val="nil"/>
            </w:tcBorders>
            <w:shd w:val="clear" w:color="auto" w:fill="auto"/>
            <w:tcMar>
              <w:left w:w="60" w:type="dxa"/>
              <w:right w:w="60" w:type="dxa"/>
            </w:tcMar>
            <w:vAlign w:val="bottom"/>
          </w:tcPr>
          <w:p>
            <w:pPr>
              <w:pStyle w:val="DMETW19530BIPFLA"/>
              <w:rPr>
                <w:rFonts w:ascii="Arial" w:eastAsia="Arial" w:hAnsi="Arial" w:cs="Arial"/>
                <w:noProof/>
                <w:color w:val="000000"/>
              </w:rPr>
            </w:pPr>
          </w:p>
        </w:tc>
        <w:tc>
          <w:tcPr>
            <w:tcW w:w="1519" w:type="dxa"/>
            <w:tcBorders>
              <w:top w:val="nil"/>
              <w:left w:val="nil"/>
              <w:bottom w:val="nil"/>
              <w:right w:val="nil"/>
              <w:tl2br w:val="nil"/>
              <w:tr2bl w:val="nil"/>
            </w:tcBorders>
            <w:shd w:val="clear" w:color="auto" w:fill="auto"/>
            <w:tcMar>
              <w:left w:w="60" w:type="dxa"/>
              <w:right w:w="60" w:type="dxa"/>
            </w:tcMar>
            <w:vAlign w:val="bottom"/>
          </w:tcPr>
          <w:p>
            <w:pPr>
              <w:pStyle w:val="DMETW19530BIPFLA"/>
              <w:rPr>
                <w:rFonts w:ascii="Arial" w:eastAsia="Arial" w:hAnsi="Arial" w:cs="Arial"/>
                <w:noProof/>
                <w:color w:val="000000"/>
              </w:rPr>
            </w:pPr>
          </w:p>
        </w:tc>
        <w:tc>
          <w:tcPr>
            <w:tcW w:w="1519" w:type="dxa"/>
            <w:tcBorders>
              <w:top w:val="nil"/>
              <w:left w:val="nil"/>
              <w:bottom w:val="nil"/>
              <w:right w:val="nil"/>
              <w:tl2br w:val="nil"/>
              <w:tr2bl w:val="nil"/>
            </w:tcBorders>
            <w:shd w:val="clear" w:color="auto" w:fill="auto"/>
            <w:tcMar>
              <w:left w:w="60" w:type="dxa"/>
              <w:right w:w="60" w:type="dxa"/>
            </w:tcMar>
            <w:vAlign w:val="bottom"/>
          </w:tcPr>
          <w:p>
            <w:pPr>
              <w:pStyle w:val="DMETW19530BIPFLA"/>
              <w:rPr>
                <w:rFonts w:ascii="Arial" w:eastAsia="Arial" w:hAnsi="Arial" w:cs="Arial"/>
                <w:noProof/>
                <w:color w:val="000000"/>
              </w:rPr>
            </w:pPr>
          </w:p>
        </w:tc>
        <w:tc>
          <w:tcPr>
            <w:tcW w:w="1519" w:type="dxa"/>
            <w:tcBorders>
              <w:top w:val="nil"/>
              <w:left w:val="nil"/>
              <w:bottom w:val="nil"/>
              <w:right w:val="nil"/>
              <w:tl2br w:val="nil"/>
              <w:tr2bl w:val="nil"/>
            </w:tcBorders>
            <w:shd w:val="clear" w:color="auto" w:fill="auto"/>
            <w:tcMar>
              <w:left w:w="60" w:type="dxa"/>
              <w:right w:w="60" w:type="dxa"/>
            </w:tcMar>
            <w:vAlign w:val="bottom"/>
          </w:tcPr>
          <w:p>
            <w:pPr>
              <w:pStyle w:val="DMETW19530BIPFL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682" w:type="dxa"/>
            <w:tcBorders>
              <w:top w:val="nil"/>
              <w:left w:val="nil"/>
              <w:bottom w:val="nil"/>
              <w:right w:val="nil"/>
              <w:tl2br w:val="nil"/>
              <w:tr2bl w:val="nil"/>
            </w:tcBorders>
            <w:shd w:val="solid" w:color="016794" w:fill="FFFFFF"/>
            <w:tcMar>
              <w:left w:w="60" w:type="dxa"/>
              <w:right w:w="60" w:type="dxa"/>
            </w:tcMar>
            <w:vAlign w:val="center"/>
          </w:tcPr>
          <w:p>
            <w:pPr>
              <w:pStyle w:val="DMETW19530BIPFLA"/>
              <w:jc w:val="right"/>
              <w:rPr>
                <w:rFonts w:ascii="Verdana" w:eastAsia="Verdana" w:hAnsi="Verdana" w:cs="Verdana"/>
                <w:noProof/>
                <w:color w:val="FFFFFF"/>
              </w:rPr>
            </w:pPr>
          </w:p>
        </w:tc>
        <w:tc>
          <w:tcPr>
            <w:tcW w:w="1519" w:type="dxa"/>
            <w:tcBorders>
              <w:top w:val="nil"/>
              <w:left w:val="nil"/>
              <w:bottom w:val="nil"/>
              <w:right w:val="nil"/>
              <w:tl2br w:val="nil"/>
              <w:tr2bl w:val="nil"/>
            </w:tcBorders>
            <w:shd w:val="solid" w:color="016794" w:fill="FFFFFF"/>
            <w:tcMar>
              <w:left w:w="60" w:type="dxa"/>
              <w:right w:w="60" w:type="dxa"/>
            </w:tcMar>
            <w:vAlign w:val="center"/>
          </w:tcPr>
          <w:p>
            <w:pPr>
              <w:pStyle w:val="DMETW19530BIPFLA"/>
              <w:jc w:val="right"/>
              <w:rPr>
                <w:rFonts w:ascii="Verdana" w:eastAsia="Verdana" w:hAnsi="Verdana" w:cs="Verdana"/>
                <w:noProof/>
                <w:color w:val="FFFFFF"/>
              </w:rPr>
            </w:pPr>
            <w:r>
              <w:rPr>
                <w:rFonts w:ascii="Verdana" w:hAnsi="Verdana"/>
                <w:noProof/>
                <w:color w:val="FFFFFF"/>
              </w:rPr>
              <w:t>&lt; 1 година</w:t>
            </w:r>
          </w:p>
        </w:tc>
        <w:tc>
          <w:tcPr>
            <w:tcW w:w="1519" w:type="dxa"/>
            <w:tcBorders>
              <w:top w:val="nil"/>
              <w:left w:val="nil"/>
              <w:bottom w:val="nil"/>
              <w:right w:val="nil"/>
              <w:tl2br w:val="nil"/>
              <w:tr2bl w:val="nil"/>
            </w:tcBorders>
            <w:shd w:val="solid" w:color="016794" w:fill="FFFFFF"/>
            <w:tcMar>
              <w:left w:w="60" w:type="dxa"/>
              <w:right w:w="60" w:type="dxa"/>
            </w:tcMar>
            <w:vAlign w:val="center"/>
          </w:tcPr>
          <w:p>
            <w:pPr>
              <w:pStyle w:val="DMETW19530BIPFLA"/>
              <w:jc w:val="right"/>
              <w:rPr>
                <w:rFonts w:ascii="Verdana" w:eastAsia="Verdana" w:hAnsi="Verdana" w:cs="Verdana"/>
                <w:noProof/>
                <w:color w:val="FFFFFF"/>
              </w:rPr>
            </w:pPr>
            <w:r>
              <w:rPr>
                <w:rFonts w:ascii="Verdana" w:hAnsi="Verdana"/>
                <w:noProof/>
                <w:color w:val="FFFFFF"/>
              </w:rPr>
              <w:t>1—5 години</w:t>
            </w:r>
          </w:p>
        </w:tc>
        <w:tc>
          <w:tcPr>
            <w:tcW w:w="1519" w:type="dxa"/>
            <w:tcBorders>
              <w:top w:val="nil"/>
              <w:left w:val="nil"/>
              <w:bottom w:val="nil"/>
              <w:right w:val="nil"/>
              <w:tl2br w:val="nil"/>
              <w:tr2bl w:val="nil"/>
            </w:tcBorders>
            <w:shd w:val="solid" w:color="016794" w:fill="FFFFFF"/>
            <w:tcMar>
              <w:left w:w="60" w:type="dxa"/>
              <w:right w:w="60" w:type="dxa"/>
            </w:tcMar>
            <w:vAlign w:val="center"/>
          </w:tcPr>
          <w:p>
            <w:pPr>
              <w:pStyle w:val="DMETW19530BIPFLA"/>
              <w:jc w:val="right"/>
              <w:rPr>
                <w:rFonts w:ascii="Verdana" w:eastAsia="Verdana" w:hAnsi="Verdana" w:cs="Verdana"/>
                <w:noProof/>
                <w:color w:val="FFFFFF"/>
              </w:rPr>
            </w:pPr>
            <w:r>
              <w:rPr>
                <w:rFonts w:ascii="Verdana" w:hAnsi="Verdana"/>
                <w:noProof/>
                <w:color w:val="FFFFFF"/>
              </w:rPr>
              <w:t>&gt; 5 години</w:t>
            </w:r>
          </w:p>
        </w:tc>
        <w:tc>
          <w:tcPr>
            <w:tcW w:w="1519" w:type="dxa"/>
            <w:tcBorders>
              <w:top w:val="nil"/>
              <w:left w:val="nil"/>
              <w:bottom w:val="nil"/>
              <w:right w:val="nil"/>
              <w:tl2br w:val="nil"/>
              <w:tr2bl w:val="nil"/>
            </w:tcBorders>
            <w:shd w:val="solid" w:color="016794" w:fill="FFFFFF"/>
            <w:tcMar>
              <w:left w:w="60" w:type="dxa"/>
              <w:right w:w="60" w:type="dxa"/>
            </w:tcMar>
            <w:vAlign w:val="center"/>
          </w:tcPr>
          <w:p>
            <w:pPr>
              <w:pStyle w:val="DMETW19530BIPFLA"/>
              <w:jc w:val="right"/>
              <w:rPr>
                <w:rFonts w:ascii="Verdana" w:eastAsia="Verdana" w:hAnsi="Verdana" w:cs="Verdana"/>
                <w:noProof/>
                <w:color w:val="FFFFFF"/>
              </w:rPr>
            </w:pPr>
            <w:r>
              <w:rPr>
                <w:rFonts w:ascii="Verdana" w:hAnsi="Verdana"/>
                <w:noProof/>
                <w:color w:val="FFFFFF"/>
              </w:rPr>
              <w:t>Общо</w:t>
            </w:r>
          </w:p>
        </w:tc>
      </w:tr>
      <w:tr>
        <w:trPr>
          <w:trHeight w:val="255"/>
        </w:trPr>
        <w:tc>
          <w:tcPr>
            <w:tcW w:w="3682" w:type="dxa"/>
            <w:tcBorders>
              <w:top w:val="nil"/>
              <w:left w:val="nil"/>
              <w:bottom w:val="nil"/>
              <w:right w:val="nil"/>
              <w:tl2br w:val="nil"/>
              <w:tr2bl w:val="nil"/>
            </w:tcBorders>
            <w:shd w:val="clear" w:color="auto" w:fill="auto"/>
            <w:tcMar>
              <w:left w:w="60" w:type="dxa"/>
              <w:right w:w="60" w:type="dxa"/>
            </w:tcMar>
            <w:vAlign w:val="center"/>
          </w:tcPr>
          <w:p>
            <w:pPr>
              <w:pStyle w:val="DMETW19530BIPFLA"/>
              <w:rPr>
                <w:rFonts w:ascii="Verdana" w:eastAsia="Verdana" w:hAnsi="Verdana" w:cs="Verdana"/>
                <w:i/>
                <w:noProof/>
                <w:color w:val="000000"/>
                <w:sz w:val="18"/>
              </w:rPr>
            </w:pPr>
            <w:r>
              <w:rPr>
                <w:rFonts w:ascii="Verdana" w:hAnsi="Verdana"/>
                <w:i/>
                <w:noProof/>
                <w:color w:val="000000"/>
                <w:sz w:val="18"/>
              </w:rPr>
              <w:t>Деривативна операция за плащане</w:t>
            </w:r>
          </w:p>
        </w:tc>
        <w:tc>
          <w:tcPr>
            <w:tcW w:w="1519" w:type="dxa"/>
            <w:tcBorders>
              <w:top w:val="nil"/>
              <w:left w:val="nil"/>
              <w:bottom w:val="nil"/>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(417)</w:t>
            </w:r>
          </w:p>
        </w:tc>
        <w:tc>
          <w:tcPr>
            <w:tcW w:w="1519" w:type="dxa"/>
            <w:tcBorders>
              <w:top w:val="nil"/>
              <w:left w:val="nil"/>
              <w:bottom w:val="nil"/>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(4)</w:t>
            </w:r>
          </w:p>
        </w:tc>
        <w:tc>
          <w:tcPr>
            <w:tcW w:w="1519" w:type="dxa"/>
            <w:tcBorders>
              <w:top w:val="nil"/>
              <w:left w:val="nil"/>
              <w:bottom w:val="nil"/>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(1)</w:t>
            </w:r>
          </w:p>
        </w:tc>
        <w:tc>
          <w:tcPr>
            <w:tcW w:w="1519" w:type="dxa"/>
            <w:tcBorders>
              <w:top w:val="nil"/>
              <w:left w:val="nil"/>
              <w:bottom w:val="nil"/>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(421)</w:t>
            </w:r>
          </w:p>
        </w:tc>
      </w:tr>
      <w:tr>
        <w:trPr>
          <w:trHeight w:val="255"/>
        </w:trPr>
        <w:tc>
          <w:tcPr>
            <w:tcW w:w="368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30BIPFLA"/>
              <w:rPr>
                <w:rFonts w:ascii="Verdana" w:eastAsia="Verdana" w:hAnsi="Verdana" w:cs="Verdana"/>
                <w:i/>
                <w:noProof/>
                <w:color w:val="000000"/>
                <w:sz w:val="18"/>
              </w:rPr>
            </w:pPr>
            <w:r>
              <w:rPr>
                <w:rFonts w:ascii="Verdana" w:hAnsi="Verdana"/>
                <w:i/>
                <w:noProof/>
                <w:color w:val="000000"/>
                <w:sz w:val="18"/>
              </w:rPr>
              <w:t>Деривативна операция за получаване</w:t>
            </w:r>
          </w:p>
        </w:tc>
        <w:tc>
          <w:tcPr>
            <w:tcW w:w="15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423</w:t>
            </w:r>
          </w:p>
        </w:tc>
        <w:tc>
          <w:tcPr>
            <w:tcW w:w="15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w:t>
            </w:r>
          </w:p>
        </w:tc>
        <w:tc>
          <w:tcPr>
            <w:tcW w:w="15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w:t>
            </w:r>
          </w:p>
        </w:tc>
        <w:tc>
          <w:tcPr>
            <w:tcW w:w="15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423</w:t>
            </w:r>
          </w:p>
        </w:tc>
      </w:tr>
      <w:tr>
        <w:trPr>
          <w:trHeight w:val="255"/>
        </w:trPr>
        <w:tc>
          <w:tcPr>
            <w:tcW w:w="36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30BIPFLA"/>
              <w:rPr>
                <w:rFonts w:ascii="Verdana" w:eastAsia="Verdana" w:hAnsi="Verdana" w:cs="Verdana"/>
                <w:b/>
                <w:noProof/>
                <w:color w:val="000000"/>
                <w:sz w:val="18"/>
              </w:rPr>
            </w:pPr>
            <w:r>
              <w:rPr>
                <w:rFonts w:ascii="Verdana" w:hAnsi="Verdana"/>
                <w:b/>
                <w:noProof/>
                <w:color w:val="000000"/>
                <w:sz w:val="18"/>
              </w:rPr>
              <w:t>Нетни парични потоци към 31.12.2020 г.</w:t>
            </w:r>
          </w:p>
        </w:tc>
        <w:tc>
          <w:tcPr>
            <w:tcW w:w="15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b/>
                <w:noProof/>
                <w:color w:val="000000"/>
                <w:sz w:val="18"/>
              </w:rPr>
            </w:pPr>
            <w:r>
              <w:rPr>
                <w:rFonts w:ascii="Verdana" w:hAnsi="Verdana"/>
                <w:b/>
                <w:noProof/>
                <w:color w:val="000000"/>
                <w:sz w:val="18"/>
              </w:rPr>
              <w:t xml:space="preserve"> 5</w:t>
            </w:r>
          </w:p>
        </w:tc>
        <w:tc>
          <w:tcPr>
            <w:tcW w:w="15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b/>
                <w:noProof/>
                <w:color w:val="000000"/>
                <w:sz w:val="18"/>
              </w:rPr>
            </w:pPr>
            <w:r>
              <w:rPr>
                <w:rFonts w:ascii="Verdana" w:hAnsi="Verdana"/>
                <w:b/>
                <w:noProof/>
                <w:color w:val="000000"/>
                <w:sz w:val="18"/>
              </w:rPr>
              <w:t xml:space="preserve"> (4)</w:t>
            </w:r>
          </w:p>
        </w:tc>
        <w:tc>
          <w:tcPr>
            <w:tcW w:w="15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b/>
                <w:noProof/>
                <w:color w:val="000000"/>
                <w:sz w:val="18"/>
              </w:rPr>
            </w:pPr>
            <w:r>
              <w:rPr>
                <w:rFonts w:ascii="Verdana" w:hAnsi="Verdana"/>
                <w:b/>
                <w:noProof/>
                <w:color w:val="000000"/>
                <w:sz w:val="18"/>
              </w:rPr>
              <w:t xml:space="preserve"> (1)</w:t>
            </w:r>
          </w:p>
        </w:tc>
        <w:tc>
          <w:tcPr>
            <w:tcW w:w="15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b/>
                <w:noProof/>
                <w:color w:val="000000"/>
                <w:sz w:val="18"/>
              </w:rPr>
            </w:pPr>
            <w:r>
              <w:rPr>
                <w:rFonts w:ascii="Verdana" w:hAnsi="Verdana"/>
                <w:b/>
                <w:noProof/>
                <w:color w:val="000000"/>
                <w:sz w:val="18"/>
              </w:rPr>
              <w:t xml:space="preserve"> 1</w:t>
            </w:r>
          </w:p>
        </w:tc>
      </w:tr>
      <w:tr>
        <w:trPr>
          <w:trHeight w:val="255"/>
        </w:trPr>
        <w:tc>
          <w:tcPr>
            <w:tcW w:w="368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30BIPFLA"/>
              <w:rPr>
                <w:rFonts w:ascii="Verdana" w:eastAsia="Verdana" w:hAnsi="Verdana" w:cs="Verdana"/>
                <w:i/>
                <w:noProof/>
                <w:color w:val="000000"/>
                <w:sz w:val="18"/>
              </w:rPr>
            </w:pPr>
            <w:r>
              <w:rPr>
                <w:rFonts w:ascii="Verdana" w:hAnsi="Verdana"/>
                <w:i/>
                <w:noProof/>
                <w:color w:val="000000"/>
                <w:sz w:val="18"/>
              </w:rPr>
              <w:t>Деривативна операция за плащане</w:t>
            </w:r>
          </w:p>
        </w:tc>
        <w:tc>
          <w:tcPr>
            <w:tcW w:w="151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(397)</w:t>
            </w:r>
          </w:p>
        </w:tc>
        <w:tc>
          <w:tcPr>
            <w:tcW w:w="151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(2)</w:t>
            </w:r>
          </w:p>
        </w:tc>
        <w:tc>
          <w:tcPr>
            <w:tcW w:w="151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(7)</w:t>
            </w:r>
          </w:p>
        </w:tc>
        <w:tc>
          <w:tcPr>
            <w:tcW w:w="151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(406)</w:t>
            </w:r>
          </w:p>
        </w:tc>
      </w:tr>
      <w:tr>
        <w:trPr>
          <w:trHeight w:val="255"/>
        </w:trPr>
        <w:tc>
          <w:tcPr>
            <w:tcW w:w="368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30BIPFLA"/>
              <w:rPr>
                <w:rFonts w:ascii="Verdana" w:eastAsia="Verdana" w:hAnsi="Verdana" w:cs="Verdana"/>
                <w:i/>
                <w:noProof/>
                <w:color w:val="000000"/>
                <w:sz w:val="18"/>
              </w:rPr>
            </w:pPr>
            <w:r>
              <w:rPr>
                <w:rFonts w:ascii="Verdana" w:hAnsi="Verdana"/>
                <w:i/>
                <w:noProof/>
                <w:color w:val="000000"/>
                <w:sz w:val="18"/>
              </w:rPr>
              <w:t>Деривативна операция за получаване</w:t>
            </w:r>
          </w:p>
        </w:tc>
        <w:tc>
          <w:tcPr>
            <w:tcW w:w="15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395</w:t>
            </w:r>
          </w:p>
        </w:tc>
        <w:tc>
          <w:tcPr>
            <w:tcW w:w="15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w:t>
            </w:r>
          </w:p>
        </w:tc>
        <w:tc>
          <w:tcPr>
            <w:tcW w:w="15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w:t>
            </w:r>
          </w:p>
        </w:tc>
        <w:tc>
          <w:tcPr>
            <w:tcW w:w="15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i/>
                <w:noProof/>
                <w:color w:val="000000"/>
                <w:sz w:val="18"/>
              </w:rPr>
            </w:pPr>
            <w:r>
              <w:rPr>
                <w:rFonts w:ascii="Verdana" w:hAnsi="Verdana"/>
                <w:i/>
                <w:noProof/>
                <w:color w:val="000000"/>
                <w:sz w:val="18"/>
              </w:rPr>
              <w:t xml:space="preserve"> 395</w:t>
            </w:r>
          </w:p>
        </w:tc>
      </w:tr>
      <w:tr>
        <w:trPr>
          <w:trHeight w:val="255"/>
        </w:trPr>
        <w:tc>
          <w:tcPr>
            <w:tcW w:w="368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30BIPFLA"/>
              <w:rPr>
                <w:rFonts w:ascii="Verdana" w:eastAsia="Verdana" w:hAnsi="Verdana" w:cs="Verdana"/>
                <w:b/>
                <w:noProof/>
                <w:color w:val="000000"/>
                <w:sz w:val="18"/>
              </w:rPr>
            </w:pPr>
            <w:r>
              <w:rPr>
                <w:rFonts w:ascii="Verdana" w:hAnsi="Verdana"/>
                <w:b/>
                <w:noProof/>
                <w:color w:val="000000"/>
                <w:sz w:val="18"/>
              </w:rPr>
              <w:t>Нетни парични потоци към 31.12.2019 г.</w:t>
            </w:r>
          </w:p>
        </w:tc>
        <w:tc>
          <w:tcPr>
            <w:tcW w:w="15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b/>
                <w:noProof/>
                <w:color w:val="000000"/>
                <w:sz w:val="18"/>
              </w:rPr>
            </w:pPr>
            <w:r>
              <w:rPr>
                <w:rFonts w:ascii="Verdana" w:hAnsi="Verdana"/>
                <w:b/>
                <w:noProof/>
                <w:color w:val="000000"/>
                <w:sz w:val="18"/>
              </w:rPr>
              <w:t xml:space="preserve"> (2)</w:t>
            </w:r>
          </w:p>
        </w:tc>
        <w:tc>
          <w:tcPr>
            <w:tcW w:w="15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b/>
                <w:noProof/>
                <w:color w:val="000000"/>
                <w:sz w:val="18"/>
              </w:rPr>
            </w:pPr>
            <w:r>
              <w:rPr>
                <w:rFonts w:ascii="Verdana" w:hAnsi="Verdana"/>
                <w:b/>
                <w:noProof/>
                <w:color w:val="000000"/>
                <w:sz w:val="18"/>
              </w:rPr>
              <w:t xml:space="preserve"> (2)</w:t>
            </w:r>
          </w:p>
        </w:tc>
        <w:tc>
          <w:tcPr>
            <w:tcW w:w="15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b/>
                <w:noProof/>
                <w:color w:val="000000"/>
                <w:sz w:val="18"/>
              </w:rPr>
            </w:pPr>
            <w:r>
              <w:rPr>
                <w:rFonts w:ascii="Verdana" w:hAnsi="Verdana"/>
                <w:b/>
                <w:noProof/>
                <w:color w:val="000000"/>
                <w:sz w:val="18"/>
              </w:rPr>
              <w:t xml:space="preserve"> (7)</w:t>
            </w:r>
          </w:p>
        </w:tc>
        <w:tc>
          <w:tcPr>
            <w:tcW w:w="15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9530BIPFLA"/>
              <w:jc w:val="right"/>
              <w:rPr>
                <w:rFonts w:ascii="Verdana" w:eastAsia="Verdana" w:hAnsi="Verdana" w:cs="Verdana"/>
                <w:b/>
                <w:noProof/>
                <w:color w:val="000000"/>
                <w:sz w:val="18"/>
              </w:rPr>
            </w:pPr>
            <w:r>
              <w:rPr>
                <w:rFonts w:ascii="Verdana" w:hAnsi="Verdana"/>
                <w:b/>
                <w:noProof/>
                <w:color w:val="000000"/>
                <w:sz w:val="18"/>
              </w:rPr>
              <w:t xml:space="preserve"> (10)</w:t>
            </w:r>
          </w:p>
        </w:tc>
      </w:tr>
    </w:tbl>
    <w:p>
      <w:pPr>
        <w:pStyle w:val="HEADER5"/>
        <w:spacing w:before="240"/>
        <w:rPr>
          <w:noProof/>
        </w:rPr>
      </w:pPr>
      <w:r>
        <w:rPr>
          <w:noProof/>
        </w:rPr>
        <w:t>Дейности по получаване и отпускане на заеми за финансова помощ</w:t>
      </w:r>
    </w:p>
    <w:p>
      <w:pPr>
        <w:pStyle w:val="DGTextstand-alone"/>
      </w:pPr>
      <w:r>
        <w:t>Ликвидният риск, възникващ от получените заеми, обикновено се компенсира от заеми, отпуснати при еквивалентни срокове и условия (операции „бек-ту-бек“). По отношение на МФП и Евратом Гаранционният фонд за външни дейности служи за резерв за ликвидност (или „спасителна мрежа“) в случай на неизпълнение на задължение за плащане и на просрочени плащания на заемополучатели. За инструмента SURE отпуснатите заеми са гарантирани чрез система от предоставяни от държавите членки неотменими, безусловни и доброволни гаранции при поискване в размер на 25 % от максималната сума, налична за финансовата помощ. За ПБ в Регламент № 431/2009 на Съвета е предвидена процедура, предоставяща достатъчно време за мобилизиране на средства чрез сметките за собствените ресурси на Комисията в държавите членки. За ЕМФС в Регламент № 407/2010 на Съвета е предвидена сходна процедура.</w:t>
      </w:r>
    </w:p>
    <w:p>
      <w:pPr>
        <w:pStyle w:val="DGTextstand-alone"/>
        <w:rPr>
          <w:color w:val="016794"/>
        </w:rPr>
      </w:pPr>
      <w:r>
        <w:rPr>
          <w:color w:val="016794"/>
        </w:rPr>
        <w:t>Каса</w:t>
      </w:r>
    </w:p>
    <w:p>
      <w:pPr>
        <w:pStyle w:val="DGTextstand-alone"/>
      </w:pPr>
      <w:r>
        <w:t>Принципите на бюджета на ЕС гарантират, че общите парични наличности за дадена година са винаги достатъчни за извършването на всички плащания. Всъщност общият размер на вноските на държавите членки заедно с разните приходи е равен на размера на бюджетните кредити за плащания за бюджетната година. Вноските на държавите членки обаче се получават под формата на дванадесет месечни вноски през цялата година и въз основа на приетия бюджет, докато плащанията зависят от оперативните нужди. Освен това, в съответствие с Регламент № 609/2014 на Съвета (относно методите и процедурата за предоставяне на собствените ресурси, изменен с Регламент 2016/804 на Съвета), вноските на държавите членки, свързани с коригиращите бюджети, одобрени през даден месец (N), стават налични едва на първия работен ден на месец N+1 (ако одобряването се е състояло преди 16-то число на даден месец) или на първия работен ден на месец N+2 (ако одобряването се е състояло на 16-то число на този месец или по-късно през него), докато свързаните с тях бюджетни кредити за плащания са налични незабавно.</w:t>
      </w:r>
    </w:p>
    <w:p>
      <w:pPr>
        <w:pStyle w:val="DGTextstand-alone"/>
      </w:pPr>
      <w:r>
        <w:t>За да се гарантира, че наличните касови ресурси винаги са достатъчни за покриване на плащанията, които трябва да бъдат извършени през даден месец, са въведени процедури за редовно прогнозиране на паричните средства, и ако е необходимо, от държавите членки могат да бъдат изискани предварително собствени ресурси или допълнителни средства в определени граници и при определени условия. Оперативните нужди и общите бюджетни ограничения през последните години доведоха до необходимостта от по-силен мониторинг на ритъма на плащанията в хода на годината. Освен това в контекста на ежедневните касови операции на Комисията автоматизирани инструменти за управление на паричните средства ежедневно гарантират, че във всяка от банковите сметки на Комисията има достатъчни парични наличности.</w:t>
      </w:r>
    </w:p>
    <w:p>
      <w:pPr>
        <w:pStyle w:val="DGTextstand-alone"/>
        <w:rPr>
          <w:color w:val="016794"/>
        </w:rPr>
      </w:pPr>
      <w:r>
        <w:rPr>
          <w:color w:val="016794"/>
        </w:rPr>
        <w:t>Глоби</w:t>
      </w:r>
    </w:p>
    <w:p>
      <w:pPr>
        <w:pStyle w:val="DGTextstand-alone"/>
      </w:pPr>
      <w:r>
        <w:t>Фонд BUFI, в който се инвестират условно платените глоби, се управлява съгласно принципа, че активите трябва да имат достатъчна степен на ликвидност и на мобилизация във връзка със съответните задължения. Портфейлът е съставен предимно от високоликвидни ценни книжа, които могат да бъдат продадени с цел финансиране на краткосрочни изходящи парични потоци. Освен това делът на парите, паричните еквиваленти и ценните книжа, чийто падеж настъпва в рамките на една година, е 34 %.</w:t>
      </w:r>
    </w:p>
    <w:p>
      <w:pPr>
        <w:pStyle w:val="DGTextstand-alone"/>
        <w:rPr>
          <w:color w:val="016794"/>
        </w:rPr>
      </w:pPr>
      <w:r>
        <w:rPr>
          <w:color w:val="016794"/>
        </w:rPr>
        <w:t>Гаранционни фондове</w:t>
      </w:r>
    </w:p>
    <w:p>
      <w:pPr>
        <w:pStyle w:val="DGTextstand-alone"/>
        <w:rPr>
          <w:i/>
          <w:color w:val="016794"/>
        </w:rPr>
      </w:pPr>
      <w:r>
        <w:rPr>
          <w:i/>
          <w:color w:val="016794"/>
        </w:rPr>
        <w:t>Гаранционен фонд за външни дейности</w:t>
      </w:r>
    </w:p>
    <w:p>
      <w:pPr>
        <w:pStyle w:val="DGTextstand-alone"/>
      </w:pPr>
      <w:r>
        <w:t>Фондът се управлява съгласно принципа, че активите трябва да имат достатъчна степен на ликвидност и на мобилизация във връзка със съответните задължения. Поради това Фондът поддържа достатъчно парични активи, за да обезпечи изходящите парични потоци в краткосрочен план. Делът на парите, паричните еквиваленти и ценните книжа, чийто падеж настъпва в рамките на една година, е 15 %.</w:t>
      </w:r>
    </w:p>
    <w:p>
      <w:pPr>
        <w:pStyle w:val="DGTextstand-alone"/>
        <w:rPr>
          <w:i/>
          <w:color w:val="016794"/>
        </w:rPr>
      </w:pPr>
      <w:r>
        <w:rPr>
          <w:i/>
          <w:color w:val="016794"/>
        </w:rPr>
        <w:t>Гаранционен фонд на ЕФСИ</w:t>
      </w:r>
    </w:p>
    <w:p>
      <w:pPr>
        <w:pStyle w:val="DGTextstand-alone"/>
      </w:pPr>
      <w:r>
        <w:t>Гаранционният фонд на ЕФСИ се управлява съгласно принципа, че активите трябва да имат достатъчна степен на ликвидност и на мобилизация във връзка със съответните задължения. Портфейлът е съставен от ликвидни активи, които могат да бъдат продадени с цел финансиране на краткосрочни изходящи парични потоци, ако е необходимо. Освен това делът на парите, паричните еквиваленти и ценните книжа, чийто падеж настъпва в рамките на една година, е 30 %.</w:t>
      </w:r>
    </w:p>
    <w:p>
      <w:pPr>
        <w:pStyle w:val="DGTextstand-alone"/>
      </w:pPr>
      <w:r>
        <w:t>Сетълментът на деривативните договори е брутен и се базира на техния предвиден в договора срок. Задълженията се изпълняват чрез продажбата на активи в щатски долари и/или суапова сделка, при които е възможно да възникне изходящ паричен поток вследствие на валутни разлики.</w:t>
      </w:r>
    </w:p>
    <w:p>
      <w:pPr>
        <w:pStyle w:val="DGTextstand-alone"/>
      </w:pPr>
      <w:r>
        <w:t>Не е необходимо управление на ликвидността във връзка с изискванията за обезпечение/марж, тъй като настоящият хеджиращ контрагент приема да работи с Комисията без никакви изисквания по отношение на плащанията по линия на обезпечението/маржа).</w:t>
      </w:r>
    </w:p>
    <w:p>
      <w:pPr>
        <w:pStyle w:val="DGTextstand-alone"/>
        <w:rPr>
          <w:i/>
          <w:color w:val="016794"/>
        </w:rPr>
      </w:pPr>
      <w:r>
        <w:rPr>
          <w:i/>
          <w:color w:val="016794"/>
        </w:rPr>
        <w:t>Гаранционен фонд на ЕФУР</w:t>
      </w:r>
    </w:p>
    <w:p>
      <w:pPr>
        <w:pStyle w:val="DGTextstand-alone"/>
      </w:pPr>
      <w:r>
        <w:t>Гаранционният фонд на ЕФУР се управлява съгласно принципа, че активите трябва да имат достатъчна степен на ликвидност и на мобилизация във връзка със съответните задължения.</w:t>
      </w:r>
    </w:p>
    <w:p>
      <w:pPr>
        <w:pStyle w:val="DGTextstand-alone"/>
      </w:pPr>
      <w:r>
        <w:t>Портфейлът е съставен от ликвидни активи, които могат да бъдат продадени с цел финансиране на краткосрочни изходящи парични потоци, ако е необходимо. Освен това делът на парите, паричните еквиваленти и ценните книжа, чийто падеж настъпва в рамките на една година, е 46 %.</w:t>
      </w:r>
    </w:p>
    <w:p>
      <w:pPr>
        <w:pStyle w:val="DGTextstand-alone"/>
        <w:rPr>
          <w:color w:val="016794"/>
        </w:rPr>
      </w:pPr>
      <w:r>
        <w:rPr>
          <w:color w:val="016794"/>
        </w:rPr>
        <w:t>Други финансови инструменти — деривативни финансови пасиви</w:t>
      </w:r>
    </w:p>
    <w:p>
      <w:pPr>
        <w:pStyle w:val="DGTextstand-alone"/>
      </w:pPr>
      <w:r>
        <w:t>ЕС държи деривативен договор (валутна опция), покриващ обезценката на чуждестранната валута, свързана със заеми, отпуснати от финансови институции по линия на програмата за Механизма за финансиране на МСП в Източното партньорство — вж. бележка </w:t>
      </w:r>
      <w:r>
        <w:rPr>
          <w:b/>
        </w:rPr>
        <w:t>2.11.2</w:t>
      </w:r>
      <w:r>
        <w:t>. Освен това гаранцията на ЕС по капиталовите портфейли, държани от групата на ЕИБ, доведе до финансово задължение за покриване на промените в стойността или обезценките на съответните инвестиции. Що се отнася до другите финансови инструменти, финансирани от бюджета на ЕС, сумата, за която ЕС носи отговорност по тези инструменти, не може да надхвърля сумата, за която е поето задължение — така се намалява ликвидният риск.</w:t>
      </w:r>
    </w:p>
    <w:p>
      <w:pPr>
        <w:pStyle w:val="DGTextstand-alone"/>
        <w:sectPr>
          <w:headerReference w:type="even" r:id="rId272"/>
          <w:headerReference w:type="default" r:id="rId273"/>
          <w:footerReference w:type="even" r:id="rId274"/>
          <w:footerReference w:type="default" r:id="rId275"/>
          <w:headerReference w:type="first" r:id="rId276"/>
          <w:footerReference w:type="first" r:id="rId277"/>
          <w:pgSz w:w="11906" w:h="16838"/>
          <w:pgMar w:top="1134" w:right="1134" w:bottom="1134" w:left="1134" w:header="709" w:footer="709" w:gutter="0"/>
          <w:cols w:space="708"/>
          <w:docGrid w:linePitch="360"/>
        </w:sectPr>
      </w:pPr>
      <w:r>
        <w:t xml:space="preserve"> </w:t>
      </w:r>
      <w:bookmarkEnd w:id="195"/>
    </w:p>
    <w:p>
      <w:pPr>
        <w:pStyle w:val="HEADER1NOTES"/>
        <w:rPr>
          <w:noProof/>
        </w:rPr>
      </w:pPr>
      <w:bookmarkStart w:id="208" w:name="_Toc75518114"/>
      <w:bookmarkStart w:id="209" w:name="_DMBM_19822"/>
      <w:r>
        <w:rPr>
          <w:noProof/>
        </w:rPr>
        <w:t>ОПОВЕСТЯВАНЕ НА СВЪРЗАНИ ЛИЦА</w:t>
      </w:r>
      <w:bookmarkEnd w:id="208"/>
    </w:p>
    <w:p>
      <w:pPr>
        <w:pStyle w:val="HEADER2NOTES"/>
        <w:rPr>
          <w:noProof/>
        </w:rPr>
      </w:pPr>
      <w:r>
        <w:rPr>
          <w:noProof/>
        </w:rPr>
        <w:t>СВЪРЗАНИ ЛИЦА</w:t>
      </w:r>
    </w:p>
    <w:p>
      <w:pPr>
        <w:pStyle w:val="DGTextstand-alone"/>
      </w:pPr>
      <w:r>
        <w:t>Свързаните лица на ЕС са консолидираните субекти на ЕС, асоциираните предприятия и ключовият управленски персонал на тези субекти. Операциите между тези субекти се осъществяват като част от обичайните операции на ЕС и тъй като случаят е такъв, не са необходими специални изисквания от гледна точка на оповестяването за тези операции в съответствие със счетоводните правила на ЕС.</w:t>
      </w:r>
    </w:p>
    <w:p>
      <w:pPr>
        <w:pStyle w:val="HEADER2NOTES"/>
        <w:rPr>
          <w:noProof/>
        </w:rPr>
      </w:pPr>
      <w:r>
        <w:rPr>
          <w:noProof/>
        </w:rPr>
        <w:t>ФИНАНСОВИ ПРАВА НА СЛУЖИТЕЛИТЕ НА КЛЮЧОВА РЪКОВОДНА ДЛЪЖНОСТ</w:t>
      </w:r>
    </w:p>
    <w:p>
      <w:pPr>
        <w:pStyle w:val="DGTextstand-alone"/>
      </w:pPr>
      <w:r>
        <w:t>За целите на представянето на информация за операциите на свързани лица във връзка с ключовия ръководен персонал на ЕС, тук тези лица са представени в пет категории:</w:t>
      </w:r>
    </w:p>
    <w:p>
      <w:pPr>
        <w:pStyle w:val="Textstand-alone"/>
      </w:pPr>
      <w:r>
        <w:rPr>
          <w:color w:val="016794"/>
        </w:rPr>
        <w:t>Категория 1:</w:t>
      </w:r>
      <w:r>
        <w:t xml:space="preserve"> </w:t>
      </w:r>
      <w:r>
        <w:rPr>
          <w:rStyle w:val="DGTextstand-aloneChar"/>
        </w:rPr>
        <w:t>председателите на Европейския съвет, на Комисията и на Съда на Европейския съюз</w:t>
      </w:r>
    </w:p>
    <w:p>
      <w:pPr>
        <w:pStyle w:val="Textstand-alone"/>
      </w:pPr>
      <w:r>
        <w:rPr>
          <w:color w:val="016794"/>
        </w:rPr>
        <w:t>Категория 2:</w:t>
      </w:r>
      <w:r>
        <w:rPr>
          <w:rStyle w:val="DGTextstand-aloneChar"/>
        </w:rPr>
        <w:t xml:space="preserve"> заместник-председателят на Комисията и върховен представител на ЕС по въпросите на външните работи и политиката на сигурност и другите заместник-председатели на Комисията</w:t>
      </w:r>
    </w:p>
    <w:p>
      <w:pPr>
        <w:pStyle w:val="Textstand-alone"/>
      </w:pPr>
      <w:r>
        <w:rPr>
          <w:color w:val="016794"/>
        </w:rPr>
        <w:t>Категория 3:</w:t>
      </w:r>
      <w:r>
        <w:t xml:space="preserve"> </w:t>
      </w:r>
      <w:r>
        <w:rPr>
          <w:rStyle w:val="DGTextstand-aloneChar"/>
        </w:rPr>
        <w:t>генералният секретар на Съвета, членовете на Комисията, съдиите и генералните адвокати на Съда на Европейския съюз, председателят и членовете на Общия съд, Омбудсманът и Европейският надзорен орган по защита на данните</w:t>
      </w:r>
    </w:p>
    <w:p>
      <w:pPr>
        <w:pStyle w:val="DGTextstand-alone"/>
      </w:pPr>
      <w:r>
        <w:rPr>
          <w:color w:val="016794"/>
        </w:rPr>
        <w:t>Категория 4:</w:t>
      </w:r>
      <w:r>
        <w:t xml:space="preserve"> председателят и членовете на Европейската сметна палата</w:t>
      </w:r>
    </w:p>
    <w:p>
      <w:pPr>
        <w:pStyle w:val="DGTextstand-alone"/>
      </w:pPr>
      <w:r>
        <w:rPr>
          <w:color w:val="016794"/>
        </w:rPr>
        <w:t>Категория 5:</w:t>
      </w:r>
      <w:r>
        <w:t xml:space="preserve"> най-висшестоящите служители в институциите и агенциите</w:t>
      </w:r>
    </w:p>
    <w:p>
      <w:pPr>
        <w:pStyle w:val="DGTextstand-alone"/>
      </w:pPr>
      <w:r>
        <w:t>Техните финансови права са обобщени по-долу, а допълнителна информация може да бъде намерена в Правилника за персонала, публикуван на уебсайта Europa и представляващ официалният документ, в който са описани правата и задълженията на всички служители на ЕС. Служителите на ключова ръководна длъжност не са получавали никакви заеми при преференциални условия от ЕС.</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r>
        <w:rPr>
          <w:noProof/>
        </w:rPr>
        <w:t xml:space="preserve">ФИНАНСОВИ ПРАВА НА СЛУЖИТЕЛИТЕ НА КЛЮЧОВА РЪКОВОДНА ДЛЪЖНОСТ </w:t>
      </w:r>
    </w:p>
    <w:tbl>
      <w:tblPr>
        <w:tblW w:w="5000" w:type="pct"/>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1"/>
        <w:gridCol w:w="1335"/>
        <w:gridCol w:w="1338"/>
        <w:gridCol w:w="1338"/>
        <w:gridCol w:w="1338"/>
        <w:gridCol w:w="1338"/>
      </w:tblGrid>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rPr>
            </w:pPr>
            <w:bookmarkStart w:id="210" w:name="DOC_TBL00098_1_1"/>
            <w:bookmarkEnd w:id="210"/>
          </w:p>
        </w:tc>
        <w:tc>
          <w:tcPr>
            <w:tcW w:w="1335"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jc w:val="right"/>
              <w:rPr>
                <w:rFonts w:ascii="Verdana" w:eastAsia="Verdana" w:hAnsi="Verdana" w:cs="Verdana"/>
                <w:i/>
                <w:noProof/>
                <w:color w:val="000000"/>
                <w:sz w:val="16"/>
              </w:rPr>
            </w:pPr>
            <w:r>
              <w:rPr>
                <w:rFonts w:ascii="Verdana" w:hAnsi="Verdana"/>
                <w:i/>
                <w:noProof/>
                <w:color w:val="000000"/>
                <w:sz w:val="16"/>
              </w:rPr>
              <w:t>евро</w:t>
            </w:r>
          </w:p>
        </w:tc>
      </w:tr>
      <w:tr>
        <w:trPr>
          <w:trHeight w:val="255"/>
        </w:trPr>
        <w:tc>
          <w:tcPr>
            <w:tcW w:w="3071" w:type="dxa"/>
            <w:tcBorders>
              <w:top w:val="nil"/>
              <w:left w:val="nil"/>
              <w:bottom w:val="nil"/>
              <w:right w:val="nil"/>
              <w:tl2br w:val="nil"/>
              <w:tr2bl w:val="nil"/>
            </w:tcBorders>
            <w:shd w:val="solid" w:color="016794" w:fill="FFFFFF"/>
            <w:tcMar>
              <w:left w:w="60" w:type="dxa"/>
              <w:right w:w="60" w:type="dxa"/>
            </w:tcMar>
            <w:vAlign w:val="center"/>
          </w:tcPr>
          <w:p>
            <w:pPr>
              <w:pStyle w:val="DMETW19854BIPKM"/>
              <w:rPr>
                <w:rFonts w:ascii="Verdana" w:eastAsia="Verdana" w:hAnsi="Verdana" w:cs="Verdana"/>
                <w:b/>
                <w:noProof/>
                <w:color w:val="FFFFFF"/>
                <w:sz w:val="16"/>
              </w:rPr>
            </w:pPr>
            <w:r>
              <w:rPr>
                <w:rFonts w:ascii="Verdana" w:hAnsi="Verdana"/>
                <w:b/>
                <w:noProof/>
                <w:color w:val="FFFFFF"/>
                <w:sz w:val="16"/>
              </w:rPr>
              <w:t>Финансово право (на служител)</w:t>
            </w:r>
          </w:p>
        </w:tc>
        <w:tc>
          <w:tcPr>
            <w:tcW w:w="1335" w:type="dxa"/>
            <w:tcBorders>
              <w:top w:val="nil"/>
              <w:left w:val="nil"/>
              <w:bottom w:val="nil"/>
              <w:right w:val="nil"/>
              <w:tl2br w:val="nil"/>
              <w:tr2bl w:val="nil"/>
            </w:tcBorders>
            <w:shd w:val="solid" w:color="016794" w:fill="FFFFFF"/>
            <w:tcMar>
              <w:left w:w="60" w:type="dxa"/>
              <w:right w:w="60" w:type="dxa"/>
            </w:tcMar>
            <w:vAlign w:val="center"/>
          </w:tcPr>
          <w:p>
            <w:pPr>
              <w:pStyle w:val="DMETW19854BIPKM"/>
              <w:jc w:val="right"/>
              <w:rPr>
                <w:rFonts w:ascii="Verdana" w:eastAsia="Verdana" w:hAnsi="Verdana" w:cs="Verdana"/>
                <w:b/>
                <w:noProof/>
                <w:color w:val="FFFFFF"/>
                <w:sz w:val="16"/>
              </w:rPr>
            </w:pPr>
            <w:r>
              <w:rPr>
                <w:rFonts w:ascii="Verdana" w:hAnsi="Verdana"/>
                <w:b/>
                <w:noProof/>
                <w:color w:val="FFFFFF"/>
                <w:sz w:val="16"/>
              </w:rPr>
              <w:t>Категория 1</w:t>
            </w:r>
          </w:p>
        </w:tc>
        <w:tc>
          <w:tcPr>
            <w:tcW w:w="1338" w:type="dxa"/>
            <w:tcBorders>
              <w:top w:val="nil"/>
              <w:left w:val="nil"/>
              <w:bottom w:val="nil"/>
              <w:right w:val="nil"/>
              <w:tl2br w:val="nil"/>
              <w:tr2bl w:val="nil"/>
            </w:tcBorders>
            <w:shd w:val="solid" w:color="016794" w:fill="FFFFFF"/>
            <w:tcMar>
              <w:left w:w="60" w:type="dxa"/>
              <w:right w:w="60" w:type="dxa"/>
            </w:tcMar>
            <w:vAlign w:val="center"/>
          </w:tcPr>
          <w:p>
            <w:pPr>
              <w:pStyle w:val="DMETW19854BIPKM"/>
              <w:jc w:val="right"/>
              <w:rPr>
                <w:rFonts w:ascii="Verdana" w:eastAsia="Verdana" w:hAnsi="Verdana" w:cs="Verdana"/>
                <w:b/>
                <w:noProof/>
                <w:color w:val="FFFFFF"/>
                <w:sz w:val="16"/>
              </w:rPr>
            </w:pPr>
            <w:r>
              <w:rPr>
                <w:rFonts w:ascii="Verdana" w:hAnsi="Verdana"/>
                <w:b/>
                <w:noProof/>
                <w:color w:val="FFFFFF"/>
                <w:sz w:val="16"/>
              </w:rPr>
              <w:t>Категория 2</w:t>
            </w:r>
          </w:p>
        </w:tc>
        <w:tc>
          <w:tcPr>
            <w:tcW w:w="1338" w:type="dxa"/>
            <w:tcBorders>
              <w:top w:val="nil"/>
              <w:left w:val="nil"/>
              <w:bottom w:val="nil"/>
              <w:right w:val="nil"/>
              <w:tl2br w:val="nil"/>
              <w:tr2bl w:val="nil"/>
            </w:tcBorders>
            <w:shd w:val="solid" w:color="016794" w:fill="FFFFFF"/>
            <w:tcMar>
              <w:left w:w="60" w:type="dxa"/>
              <w:right w:w="60" w:type="dxa"/>
            </w:tcMar>
            <w:vAlign w:val="center"/>
          </w:tcPr>
          <w:p>
            <w:pPr>
              <w:pStyle w:val="DMETW19854BIPKM"/>
              <w:jc w:val="right"/>
              <w:rPr>
                <w:rFonts w:ascii="Verdana" w:eastAsia="Verdana" w:hAnsi="Verdana" w:cs="Verdana"/>
                <w:b/>
                <w:noProof/>
                <w:color w:val="FFFFFF"/>
                <w:sz w:val="16"/>
              </w:rPr>
            </w:pPr>
            <w:r>
              <w:rPr>
                <w:rFonts w:ascii="Verdana" w:hAnsi="Verdana"/>
                <w:b/>
                <w:noProof/>
                <w:color w:val="FFFFFF"/>
                <w:sz w:val="16"/>
              </w:rPr>
              <w:t>Категория 3</w:t>
            </w:r>
          </w:p>
        </w:tc>
        <w:tc>
          <w:tcPr>
            <w:tcW w:w="1338" w:type="dxa"/>
            <w:tcBorders>
              <w:top w:val="nil"/>
              <w:left w:val="nil"/>
              <w:bottom w:val="nil"/>
              <w:right w:val="nil"/>
              <w:tl2br w:val="nil"/>
              <w:tr2bl w:val="nil"/>
            </w:tcBorders>
            <w:shd w:val="solid" w:color="016794" w:fill="FFFFFF"/>
            <w:tcMar>
              <w:left w:w="60" w:type="dxa"/>
              <w:right w:w="60" w:type="dxa"/>
            </w:tcMar>
            <w:vAlign w:val="center"/>
          </w:tcPr>
          <w:p>
            <w:pPr>
              <w:pStyle w:val="DMETW19854BIPKM"/>
              <w:jc w:val="right"/>
              <w:rPr>
                <w:rFonts w:ascii="Verdana" w:eastAsia="Verdana" w:hAnsi="Verdana" w:cs="Verdana"/>
                <w:b/>
                <w:noProof/>
                <w:color w:val="FFFFFF"/>
                <w:sz w:val="16"/>
              </w:rPr>
            </w:pPr>
            <w:r>
              <w:rPr>
                <w:rFonts w:ascii="Verdana" w:hAnsi="Verdana"/>
                <w:b/>
                <w:noProof/>
                <w:color w:val="FFFFFF"/>
                <w:sz w:val="16"/>
              </w:rPr>
              <w:t>Категория 4</w:t>
            </w:r>
          </w:p>
        </w:tc>
        <w:tc>
          <w:tcPr>
            <w:tcW w:w="1338" w:type="dxa"/>
            <w:tcBorders>
              <w:top w:val="nil"/>
              <w:left w:val="nil"/>
              <w:bottom w:val="nil"/>
              <w:right w:val="nil"/>
              <w:tl2br w:val="nil"/>
              <w:tr2bl w:val="nil"/>
            </w:tcBorders>
            <w:shd w:val="solid" w:color="016794" w:fill="FFFFFF"/>
            <w:tcMar>
              <w:left w:w="60" w:type="dxa"/>
              <w:right w:w="60" w:type="dxa"/>
            </w:tcMar>
            <w:vAlign w:val="center"/>
          </w:tcPr>
          <w:p>
            <w:pPr>
              <w:pStyle w:val="DMETW19854BIPKM"/>
              <w:jc w:val="right"/>
              <w:rPr>
                <w:rFonts w:ascii="Verdana" w:eastAsia="Verdana" w:hAnsi="Verdana" w:cs="Verdana"/>
                <w:b/>
                <w:noProof/>
                <w:color w:val="FFFFFF"/>
                <w:sz w:val="16"/>
              </w:rPr>
            </w:pPr>
            <w:r>
              <w:rPr>
                <w:rFonts w:ascii="Verdana" w:hAnsi="Verdana"/>
                <w:b/>
                <w:noProof/>
                <w:color w:val="FFFFFF"/>
                <w:sz w:val="16"/>
              </w:rPr>
              <w:t>Категория 5</w:t>
            </w:r>
          </w:p>
        </w:tc>
      </w:tr>
      <w:tr>
        <w:trPr>
          <w:trHeight w:val="255"/>
        </w:trPr>
        <w:tc>
          <w:tcPr>
            <w:tcW w:w="3071" w:type="dxa"/>
            <w:vMerge w:val="restart"/>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Основна заплата (на месец)</w:t>
            </w:r>
          </w:p>
        </w:tc>
        <w:tc>
          <w:tcPr>
            <w:tcW w:w="1335" w:type="dxa"/>
            <w:vMerge w:val="restart"/>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28 660,63</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25 960,71 -</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20 768,57 -</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22 430,06 -</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13 205,77 -</w:t>
            </w:r>
          </w:p>
        </w:tc>
      </w:tr>
      <w:tr>
        <w:trPr>
          <w:trHeight w:val="255"/>
        </w:trPr>
        <w:tc>
          <w:tcPr>
            <w:tcW w:w="4920" w:type="dxa"/>
            <w:vMerge/>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p>
        </w:tc>
        <w:tc>
          <w:tcPr>
            <w:tcW w:w="1335" w:type="dxa"/>
            <w:vMerge/>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26 999,15</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23 364,64</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23 883,86</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20 768,57</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sz w:val="16"/>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jc w:val="right"/>
              <w:rPr>
                <w:rFonts w:ascii="Verdana" w:eastAsia="Verdana" w:hAnsi="Verdana" w:cs="Verdana"/>
                <w:i/>
                <w:noProof/>
                <w:color w:val="000000"/>
                <w:sz w:val="16"/>
                <w:lang w:bidi="en-GB"/>
              </w:rPr>
            </w:pP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 xml:space="preserve">Квартирна надбавка/надбавка за експатриране </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15 %</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15 %</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15 %</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15 %</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0—4 %—16 %</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sz w:val="16"/>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jc w:val="right"/>
              <w:rPr>
                <w:rFonts w:ascii="Verdana" w:eastAsia="Verdana" w:hAnsi="Verdana" w:cs="Verdana"/>
                <w:i/>
                <w:noProof/>
                <w:color w:val="000000"/>
                <w:sz w:val="16"/>
                <w:lang w:bidi="en-GB"/>
              </w:rPr>
            </w:pP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Семейни надбавки:</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lang w:bidi="en-GB"/>
              </w:rPr>
            </w:pP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Домакинство (% от заплатата)</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2 % + 192,78</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2 % + 192,78</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2 % + 192,78</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2 % + 192,78</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2 % + 192,78</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Дете на издръжка</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421,24</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421,24</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421,24</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421,24</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421,24</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Предучилищно образование</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102,90</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102,90</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102,90</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102,90</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102,90</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Образование или</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285,81</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285,81</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285,81</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285,81</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285,81</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образование извън мястото на работа</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571,62</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571,62</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571,62</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571,62</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571,62</w:t>
            </w: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Надбавка за председателстващи съдии</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655,76</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sz w:val="16"/>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jc w:val="right"/>
              <w:rPr>
                <w:rFonts w:ascii="Verdana" w:eastAsia="Verdana" w:hAnsi="Verdana" w:cs="Verdana"/>
                <w:i/>
                <w:noProof/>
                <w:color w:val="000000"/>
                <w:sz w:val="16"/>
                <w:lang w:bidi="en-GB"/>
              </w:rPr>
            </w:pP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Надбавка за представителство</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1 553,16</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998,20</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xml:space="preserve"> 655,76</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sz w:val="16"/>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jc w:val="right"/>
              <w:rPr>
                <w:rFonts w:ascii="Verdana" w:eastAsia="Verdana" w:hAnsi="Verdana" w:cs="Verdana"/>
                <w:i/>
                <w:noProof/>
                <w:color w:val="000000"/>
                <w:sz w:val="16"/>
                <w:lang w:bidi="en-GB"/>
              </w:rPr>
            </w:pP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Годишни пътни разноски</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sz w:val="16"/>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jc w:val="right"/>
              <w:rPr>
                <w:rFonts w:ascii="Verdana" w:eastAsia="Verdana" w:hAnsi="Verdana" w:cs="Verdana"/>
                <w:i/>
                <w:noProof/>
                <w:color w:val="000000"/>
                <w:sz w:val="16"/>
                <w:lang w:bidi="en-GB"/>
              </w:rPr>
            </w:pP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Трансфери към държава членка:</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lang w:bidi="en-GB"/>
              </w:rPr>
            </w:pP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Надбавка за образование*</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Да</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Да</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Да</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Да</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Да</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 от заплатата*</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5 %</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 от заплатата без кк</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Макс. 25 %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Макс. 25 %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Макс. 25 %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Макс. 25 %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Макс. 25 %</w:t>
            </w: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Представителни разходи</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sz w:val="16"/>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jc w:val="right"/>
              <w:rPr>
                <w:rFonts w:ascii="Verdana" w:eastAsia="Verdana" w:hAnsi="Verdana" w:cs="Verdana"/>
                <w:i/>
                <w:noProof/>
                <w:color w:val="000000"/>
                <w:sz w:val="16"/>
                <w:lang w:bidi="en-GB"/>
              </w:rPr>
            </w:pP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При встъпване в длъжност:</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lang w:bidi="en-GB"/>
              </w:rPr>
            </w:pPr>
          </w:p>
        </w:tc>
      </w:tr>
      <w:tr>
        <w:trPr>
          <w:trHeight w:val="255"/>
        </w:trPr>
        <w:tc>
          <w:tcPr>
            <w:tcW w:w="3071" w:type="dxa"/>
            <w:vMerge w:val="restart"/>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Разходи за настаняване</w:t>
            </w:r>
          </w:p>
        </w:tc>
        <w:tc>
          <w:tcPr>
            <w:tcW w:w="1335" w:type="dxa"/>
            <w:vMerge w:val="restart"/>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57 321,26</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51 921,41</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41 537,13</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44 860,11</w:t>
            </w:r>
          </w:p>
        </w:tc>
        <w:tc>
          <w:tcPr>
            <w:tcW w:w="1338" w:type="dxa"/>
            <w:vMerge w:val="restart"/>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4920" w:type="dxa"/>
            <w:vMerge/>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p>
        </w:tc>
        <w:tc>
          <w:tcPr>
            <w:tcW w:w="1335" w:type="dxa"/>
            <w:vMerge/>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- 53 998,29</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- 46 729,28</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- 47 767,72</w:t>
            </w:r>
          </w:p>
        </w:tc>
        <w:tc>
          <w:tcPr>
            <w:tcW w:w="2250" w:type="dxa"/>
            <w:vMerge/>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Семейни пътни разноски</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Разходи за преместване</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При напускане на длъжността:</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lang w:bidi="en-GB"/>
              </w:rPr>
            </w:pPr>
          </w:p>
        </w:tc>
      </w:tr>
      <w:tr>
        <w:trPr>
          <w:trHeight w:val="255"/>
        </w:trPr>
        <w:tc>
          <w:tcPr>
            <w:tcW w:w="3071" w:type="dxa"/>
            <w:vMerge w:val="restart"/>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Разходи за пренастаняване</w:t>
            </w:r>
          </w:p>
        </w:tc>
        <w:tc>
          <w:tcPr>
            <w:tcW w:w="1335" w:type="dxa"/>
            <w:vMerge w:val="restart"/>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28 660,63</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25 960,71 -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20 768,57 -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22 430,06 -</w:t>
            </w:r>
          </w:p>
        </w:tc>
        <w:tc>
          <w:tcPr>
            <w:tcW w:w="1338" w:type="dxa"/>
            <w:vMerge w:val="restart"/>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4920" w:type="dxa"/>
            <w:vMerge/>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p>
        </w:tc>
        <w:tc>
          <w:tcPr>
            <w:tcW w:w="1335" w:type="dxa"/>
            <w:vMerge/>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26 999,15</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23 364,64</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23 883,86</w:t>
            </w:r>
          </w:p>
        </w:tc>
        <w:tc>
          <w:tcPr>
            <w:tcW w:w="2250" w:type="dxa"/>
            <w:vMerge/>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Семейни пътни разноски</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Разходи за преместване</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Преход (% от заплатата)**</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40 % — 65 %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40 % — 65 %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40 % — 65 %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40 % — 65 %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Здравно осигуряване</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Покриват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Покриват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Покриват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Покриват се</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Покриват се</w:t>
            </w: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Пенсия (% от заплатата, преди облагане с данък)</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Макс. 70 %</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Макс. 70 %</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Макс. 70 %</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Макс. 70 %</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Макс. 70 %</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noProof/>
                <w:color w:val="000000"/>
                <w:sz w:val="16"/>
              </w:rPr>
            </w:pPr>
          </w:p>
        </w:tc>
        <w:tc>
          <w:tcPr>
            <w:tcW w:w="1335"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rPr>
                <w:rFonts w:ascii="Arial" w:eastAsia="Arial" w:hAnsi="Arial" w:cs="Arial"/>
                <w:i/>
                <w:noProof/>
                <w:color w:val="000000"/>
                <w:sz w:val="16"/>
              </w:rPr>
            </w:pPr>
          </w:p>
        </w:tc>
        <w:tc>
          <w:tcPr>
            <w:tcW w:w="1338" w:type="dxa"/>
            <w:tcBorders>
              <w:top w:val="nil"/>
              <w:left w:val="nil"/>
              <w:bottom w:val="nil"/>
              <w:right w:val="nil"/>
              <w:tl2br w:val="nil"/>
              <w:tr2bl w:val="nil"/>
            </w:tcBorders>
            <w:shd w:val="solid" w:color="FFFFFF" w:fill="FFFFFF"/>
            <w:tcMar>
              <w:left w:w="60" w:type="dxa"/>
              <w:right w:w="60" w:type="dxa"/>
            </w:tcMar>
            <w:vAlign w:val="bottom"/>
          </w:tcPr>
          <w:p>
            <w:pPr>
              <w:pStyle w:val="DMETW19854BIPKM"/>
              <w:jc w:val="right"/>
              <w:rPr>
                <w:rFonts w:ascii="Verdana" w:eastAsia="Verdana" w:hAnsi="Verdana" w:cs="Verdana"/>
                <w:i/>
                <w:noProof/>
                <w:color w:val="000000"/>
                <w:sz w:val="16"/>
                <w:lang w:bidi="en-GB"/>
              </w:rPr>
            </w:pP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Удръжки:</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rPr>
            </w:pP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i/>
                <w:noProof/>
                <w:color w:val="000000"/>
                <w:sz w:val="16"/>
                <w:lang w:bidi="en-GB"/>
              </w:rPr>
            </w:pP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Данък върху заплатата</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8 % — 45 %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8 % — 45 %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8 % — 45 %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8 % — 45 %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8 % — 45 %</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Здравно осигуряване (% от заплатата)</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1,7 %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1,7 %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1,7 %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1,7 %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1,7 %</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Специален налог върху заплатата</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7 %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7 %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7 %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7 %</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6—7 %</w:t>
            </w:r>
          </w:p>
        </w:tc>
      </w:tr>
      <w:tr>
        <w:trPr>
          <w:trHeight w:val="255"/>
        </w:trPr>
        <w:tc>
          <w:tcPr>
            <w:tcW w:w="3071" w:type="dxa"/>
            <w:tcBorders>
              <w:top w:val="nil"/>
              <w:left w:val="nil"/>
              <w:bottom w:val="nil"/>
              <w:right w:val="nil"/>
              <w:tl2br w:val="nil"/>
              <w:tr2bl w:val="nil"/>
            </w:tcBorders>
            <w:shd w:val="solid" w:color="FFFFFF" w:fill="FFFFFF"/>
            <w:tcMar>
              <w:left w:w="60" w:type="dxa"/>
              <w:right w:w="60" w:type="dxa"/>
            </w:tcMar>
            <w:vAlign w:val="center"/>
          </w:tcPr>
          <w:p>
            <w:pPr>
              <w:pStyle w:val="DMETW19854BIPKM"/>
              <w:rPr>
                <w:rFonts w:ascii="Verdana" w:eastAsia="Verdana" w:hAnsi="Verdana" w:cs="Verdana"/>
                <w:noProof/>
                <w:color w:val="000000"/>
                <w:sz w:val="16"/>
              </w:rPr>
            </w:pPr>
            <w:r>
              <w:rPr>
                <w:rFonts w:ascii="Verdana" w:hAnsi="Verdana"/>
                <w:noProof/>
                <w:color w:val="000000"/>
                <w:sz w:val="16"/>
              </w:rPr>
              <w:t>Удръжка за пенсия</w:t>
            </w:r>
          </w:p>
        </w:tc>
        <w:tc>
          <w:tcPr>
            <w:tcW w:w="1335"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N/A</w:t>
            </w:r>
          </w:p>
        </w:tc>
        <w:tc>
          <w:tcPr>
            <w:tcW w:w="1338" w:type="dxa"/>
            <w:tcBorders>
              <w:top w:val="nil"/>
              <w:left w:val="nil"/>
              <w:bottom w:val="nil"/>
              <w:right w:val="nil"/>
              <w:tl2br w:val="nil"/>
              <w:tr2bl w:val="nil"/>
            </w:tcBorders>
            <w:shd w:val="solid" w:color="FFFFFF" w:fill="FFFFFF"/>
            <w:tcMar>
              <w:left w:w="60" w:type="dxa"/>
              <w:right w:w="60" w:type="dxa"/>
            </w:tcMar>
            <w:vAlign w:val="center"/>
          </w:tcPr>
          <w:p>
            <w:pPr>
              <w:pStyle w:val="DMETW19854BIPKM"/>
              <w:jc w:val="right"/>
              <w:rPr>
                <w:rFonts w:ascii="Verdana" w:eastAsia="Verdana" w:hAnsi="Verdana" w:cs="Verdana"/>
                <w:i/>
                <w:noProof/>
                <w:color w:val="000000"/>
                <w:sz w:val="16"/>
              </w:rPr>
            </w:pPr>
            <w:r>
              <w:rPr>
                <w:rFonts w:ascii="Verdana" w:hAnsi="Verdana"/>
                <w:i/>
                <w:noProof/>
                <w:color w:val="000000"/>
                <w:sz w:val="16"/>
              </w:rPr>
              <w:t>10,1 %</w:t>
            </w:r>
          </w:p>
        </w:tc>
      </w:tr>
      <w:tr>
        <w:trPr>
          <w:trHeight w:val="255"/>
        </w:trPr>
        <w:tc>
          <w:tcPr>
            <w:tcW w:w="3071" w:type="dxa"/>
            <w:tcBorders>
              <w:top w:val="nil"/>
              <w:left w:val="nil"/>
              <w:bottom w:val="nil"/>
              <w:right w:val="nil"/>
              <w:tl2br w:val="nil"/>
              <w:tr2bl w:val="nil"/>
            </w:tcBorders>
            <w:shd w:val="solid" w:color="CCE1EA" w:fill="FFFFFF"/>
            <w:tcMar>
              <w:left w:w="60" w:type="dxa"/>
              <w:right w:w="60" w:type="dxa"/>
            </w:tcMar>
            <w:vAlign w:val="center"/>
          </w:tcPr>
          <w:p>
            <w:pPr>
              <w:pStyle w:val="DMETW19854BIPKM"/>
              <w:rPr>
                <w:rFonts w:ascii="Verdana" w:eastAsia="Verdana" w:hAnsi="Verdana" w:cs="Verdana"/>
                <w:b/>
                <w:noProof/>
                <w:color w:val="000000"/>
                <w:sz w:val="16"/>
              </w:rPr>
            </w:pPr>
            <w:r>
              <w:rPr>
                <w:rFonts w:ascii="Verdana" w:hAnsi="Verdana"/>
                <w:b/>
                <w:noProof/>
                <w:color w:val="000000"/>
                <w:sz w:val="16"/>
              </w:rPr>
              <w:t>Брой лица към края на годината</w:t>
            </w:r>
          </w:p>
        </w:tc>
        <w:tc>
          <w:tcPr>
            <w:tcW w:w="1335"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b/>
                <w:i/>
                <w:noProof/>
                <w:color w:val="000000"/>
                <w:sz w:val="16"/>
              </w:rPr>
            </w:pPr>
            <w:r>
              <w:rPr>
                <w:rFonts w:ascii="Verdana" w:hAnsi="Verdana"/>
                <w:b/>
                <w:i/>
                <w:noProof/>
                <w:color w:val="000000"/>
                <w:sz w:val="16"/>
              </w:rPr>
              <w:t>3</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b/>
                <w:i/>
                <w:noProof/>
                <w:color w:val="000000"/>
                <w:sz w:val="16"/>
              </w:rPr>
            </w:pPr>
            <w:r>
              <w:rPr>
                <w:rFonts w:ascii="Verdana" w:hAnsi="Verdana"/>
                <w:b/>
                <w:i/>
                <w:noProof/>
                <w:color w:val="000000"/>
                <w:sz w:val="16"/>
              </w:rPr>
              <w:t>8</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b/>
                <w:i/>
                <w:noProof/>
                <w:color w:val="000000"/>
                <w:sz w:val="16"/>
              </w:rPr>
            </w:pPr>
            <w:r>
              <w:rPr>
                <w:rFonts w:ascii="Verdana" w:hAnsi="Verdana"/>
                <w:b/>
                <w:i/>
                <w:noProof/>
                <w:color w:val="000000"/>
                <w:sz w:val="16"/>
              </w:rPr>
              <w:t>93</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b/>
                <w:i/>
                <w:noProof/>
                <w:color w:val="000000"/>
                <w:sz w:val="16"/>
              </w:rPr>
            </w:pPr>
            <w:r>
              <w:rPr>
                <w:rFonts w:ascii="Verdana" w:hAnsi="Verdana"/>
                <w:b/>
                <w:i/>
                <w:noProof/>
                <w:color w:val="000000"/>
                <w:sz w:val="16"/>
              </w:rPr>
              <w:t>28</w:t>
            </w:r>
          </w:p>
        </w:tc>
        <w:tc>
          <w:tcPr>
            <w:tcW w:w="1338" w:type="dxa"/>
            <w:tcBorders>
              <w:top w:val="nil"/>
              <w:left w:val="nil"/>
              <w:bottom w:val="nil"/>
              <w:right w:val="nil"/>
              <w:tl2br w:val="nil"/>
              <w:tr2bl w:val="nil"/>
            </w:tcBorders>
            <w:shd w:val="solid" w:color="CCE1EA" w:fill="FFFFFF"/>
            <w:tcMar>
              <w:left w:w="60" w:type="dxa"/>
              <w:right w:w="60" w:type="dxa"/>
            </w:tcMar>
            <w:vAlign w:val="center"/>
          </w:tcPr>
          <w:p>
            <w:pPr>
              <w:pStyle w:val="DMETW19854BIPKM"/>
              <w:jc w:val="right"/>
              <w:rPr>
                <w:rFonts w:ascii="Verdana" w:eastAsia="Verdana" w:hAnsi="Verdana" w:cs="Verdana"/>
                <w:b/>
                <w:i/>
                <w:noProof/>
                <w:color w:val="000000"/>
                <w:sz w:val="16"/>
              </w:rPr>
            </w:pPr>
            <w:r>
              <w:rPr>
                <w:rFonts w:ascii="Verdana" w:hAnsi="Verdana"/>
                <w:b/>
                <w:i/>
                <w:noProof/>
                <w:color w:val="000000"/>
                <w:sz w:val="16"/>
              </w:rPr>
              <w:t>112</w:t>
            </w:r>
          </w:p>
        </w:tc>
      </w:tr>
    </w:tbl>
    <w:p>
      <w:pPr>
        <w:pStyle w:val="Textstand-alone"/>
        <w:spacing w:before="60" w:after="0"/>
        <w:rPr>
          <w:i/>
          <w:sz w:val="14"/>
        </w:rPr>
      </w:pPr>
      <w:r>
        <w:rPr>
          <w:i/>
          <w:sz w:val="14"/>
        </w:rPr>
        <w:t>* С приложен корекционен коефициент (кк).</w:t>
      </w:r>
    </w:p>
    <w:p>
      <w:pPr>
        <w:pStyle w:val="Textstand-alone"/>
        <w:spacing w:before="60" w:after="0"/>
        <w:rPr>
          <w:i/>
          <w:sz w:val="14"/>
        </w:rPr>
      </w:pPr>
      <w:r>
        <w:rPr>
          <w:i/>
          <w:sz w:val="14"/>
        </w:rPr>
        <w:t>** Изплащат се в продължение на първите 3 години след напускане.</w:t>
      </w:r>
    </w:p>
    <w:bookmarkEnd w:id="209"/>
    <w:p>
      <w:pPr>
        <w:pStyle w:val="DGTextstand-alone"/>
        <w:sectPr>
          <w:headerReference w:type="even" r:id="rId278"/>
          <w:headerReference w:type="default" r:id="rId279"/>
          <w:footerReference w:type="even" r:id="rId280"/>
          <w:footerReference w:type="default" r:id="rId281"/>
          <w:headerReference w:type="first" r:id="rId282"/>
          <w:footerReference w:type="first" r:id="rId283"/>
          <w:pgSz w:w="11906" w:h="16838"/>
          <w:pgMar w:top="1134" w:right="1134" w:bottom="1134" w:left="1134" w:header="709" w:footer="709" w:gutter="0"/>
          <w:cols w:space="708"/>
          <w:docGrid w:linePitch="360"/>
        </w:sectPr>
      </w:pPr>
    </w:p>
    <w:p>
      <w:pPr>
        <w:pStyle w:val="HEADER1NOTES"/>
        <w:rPr>
          <w:rFonts w:eastAsia="Calibri"/>
          <w:noProof/>
        </w:rPr>
      </w:pPr>
      <w:bookmarkStart w:id="211" w:name="_Toc75518115"/>
      <w:bookmarkStart w:id="212" w:name="_DMBM_19844"/>
      <w:r>
        <w:rPr>
          <w:noProof/>
        </w:rPr>
        <w:t>СЪБИТИЯ СЛЕД ДАТАТА НА СЧЕТОВОДНИЯ БАЛАНС</w:t>
      </w:r>
      <w:bookmarkEnd w:id="211"/>
    </w:p>
    <w:p>
      <w:pPr>
        <w:pStyle w:val="DGTextstand-alone"/>
      </w:pPr>
      <w:r>
        <w:t>Счетоводителят на Комисията не е забелязал и не са му съобщени други съществени въпроси, които да се нуждаят от отделно оповестяване в този раздел. Годишните отчети и свързаните с тях бележки бяха изготвени въз основа на последната налична информация и това е отразено в представената по-горе информация.</w:t>
      </w:r>
    </w:p>
    <w:p>
      <w:pPr>
        <w:pStyle w:val="DGTextstand-alone"/>
        <w:sectPr>
          <w:headerReference w:type="even" r:id="rId284"/>
          <w:headerReference w:type="default" r:id="rId285"/>
          <w:footerReference w:type="even" r:id="rId286"/>
          <w:footerReference w:type="default" r:id="rId287"/>
          <w:headerReference w:type="first" r:id="rId288"/>
          <w:footerReference w:type="first" r:id="rId289"/>
          <w:pgSz w:w="11906" w:h="16838"/>
          <w:pgMar w:top="1134" w:right="1134" w:bottom="1134" w:left="1134" w:header="709" w:footer="709" w:gutter="0"/>
          <w:cols w:space="708"/>
          <w:docGrid w:linePitch="360"/>
        </w:sectPr>
      </w:pPr>
      <w:r>
        <w:t xml:space="preserve"> </w:t>
      </w:r>
      <w:bookmarkEnd w:id="212"/>
    </w:p>
    <w:p>
      <w:pPr>
        <w:pStyle w:val="HEADER1NOTES"/>
        <w:rPr>
          <w:noProof/>
        </w:rPr>
      </w:pPr>
      <w:bookmarkStart w:id="213" w:name="_Toc75518116"/>
      <w:bookmarkStart w:id="214" w:name="_DMBM_19787"/>
      <w:r>
        <w:rPr>
          <w:noProof/>
        </w:rPr>
        <w:t>ОБХВАТ НА КОНСОЛИДАЦИЯТА</w:t>
      </w:r>
      <w:bookmarkEnd w:id="21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9"/>
        <w:gridCol w:w="4879"/>
      </w:tblGrid>
      <w:tr>
        <w:trPr>
          <w:trHeight w:val="255"/>
        </w:trPr>
        <w:tc>
          <w:tcPr>
            <w:tcW w:w="4879"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55BIPCE"/>
              <w:rPr>
                <w:rFonts w:ascii="Verdana" w:eastAsia="Verdana" w:hAnsi="Verdana" w:cs="Verdana"/>
                <w:b/>
                <w:noProof/>
                <w:color w:val="FFFFFF"/>
              </w:rPr>
            </w:pPr>
            <w:bookmarkStart w:id="215" w:name="DOC_TBL00099_1_1"/>
            <w:bookmarkEnd w:id="215"/>
            <w:r>
              <w:rPr>
                <w:rFonts w:ascii="Verdana" w:hAnsi="Verdana"/>
                <w:b/>
                <w:noProof/>
                <w:color w:val="FFFFFF"/>
              </w:rPr>
              <w:t>А. КОНТРОЛИРАНИ СУБЕКТИ (52)</w:t>
            </w:r>
          </w:p>
        </w:tc>
      </w:tr>
      <w:tr>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pPr>
              <w:pStyle w:val="DMETW19855BIPCE"/>
              <w:rPr>
                <w:rFonts w:ascii="Verdana" w:eastAsia="Verdana" w:hAnsi="Verdana" w:cs="Verdana"/>
                <w:b/>
                <w:noProof/>
                <w:color w:val="000000"/>
                <w:sz w:val="18"/>
              </w:rPr>
            </w:pPr>
            <w:r>
              <w:rPr>
                <w:rFonts w:ascii="Verdana" w:hAnsi="Verdana"/>
                <w:b/>
                <w:noProof/>
                <w:color w:val="000000"/>
                <w:sz w:val="18"/>
              </w:rPr>
              <w:t>1. Институции и консултативни органи (11)</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парламент</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надзорен орган по защита на данните</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съвет</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икономически и социален комитет</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комисия</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омбудсман</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сметна палата</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комитет на регионите</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Съд на Европейския съюз</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Съвет на Европейския съюз</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служба за външна дейност</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lang w:bidi="en-GB"/>
              </w:rPr>
            </w:pP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noProof/>
                <w:color w:val="000000"/>
                <w:sz w:val="18"/>
                <w:lang w:bidi="en-GB"/>
              </w:rPr>
            </w:pPr>
          </w:p>
        </w:tc>
      </w:tr>
      <w:tr>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pPr>
              <w:pStyle w:val="DMETW19855BIPCE"/>
              <w:rPr>
                <w:rFonts w:ascii="Verdana" w:eastAsia="Verdana" w:hAnsi="Verdana" w:cs="Verdana"/>
                <w:b/>
                <w:noProof/>
                <w:color w:val="000000"/>
                <w:sz w:val="18"/>
              </w:rPr>
            </w:pPr>
            <w:r>
              <w:rPr>
                <w:rFonts w:ascii="Verdana" w:hAnsi="Verdana"/>
                <w:b/>
                <w:noProof/>
                <w:color w:val="000000"/>
                <w:sz w:val="18"/>
              </w:rPr>
              <w:t>2. Агенции на ЕС (39)</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b/>
                <w:i/>
                <w:noProof/>
                <w:color w:val="000000"/>
                <w:sz w:val="18"/>
              </w:rPr>
            </w:pPr>
            <w:r>
              <w:rPr>
                <w:rFonts w:ascii="Verdana" w:hAnsi="Verdana"/>
                <w:b/>
                <w:i/>
                <w:noProof/>
                <w:color w:val="000000"/>
                <w:sz w:val="18"/>
              </w:rPr>
              <w:t>2.1. Изпълнителни агенции (6)</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noProof/>
                <w:color w:val="000000"/>
                <w:sz w:val="18"/>
                <w:lang w:bidi="en-GB"/>
              </w:rPr>
            </w:pP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Изпълнителна агенция за образование, аудио-визия и култура (EACEA)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Изпълнителна агенция за малките и средните предприятия (EASME)</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Изпълнителна агенция за потребителите, здравеопазването, селското стопанство и храните (CHAFEA)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Изпълнителна агенция на Европейския научноизследователски съвет (ERCEA)</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Изпълнителна агенция за научни изследвания (REA)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Изпълнителна агенция за иновации и мрежи (INEA)</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lang w:bidi="en-GB"/>
              </w:rPr>
            </w:pP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b/>
                <w:i/>
                <w:noProof/>
                <w:color w:val="000000"/>
                <w:sz w:val="18"/>
              </w:rPr>
            </w:pPr>
            <w:r>
              <w:rPr>
                <w:rFonts w:ascii="Verdana" w:hAnsi="Verdana"/>
                <w:b/>
                <w:i/>
                <w:noProof/>
                <w:color w:val="000000"/>
                <w:sz w:val="18"/>
              </w:rPr>
              <w:t>2.2. Децентрализирани агенции (33)</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lang w:bidi="en-GB"/>
              </w:rPr>
            </w:pP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агенция по морска безопасност (EMSA)</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орган за безопасност на храните (EFSA)</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агенция по лекарствата (EMA)</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Агенция за железопътен транспорт на Европейския съюз (RAIL)</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агенция по химикали (ECHA)</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Служба на Общността за сортовете растения (CPVO)</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институт за равенство между половете (EIGE)</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агенция за контрол на рибарството (EFCA)</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агенция за околната среда (EEA)</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Служба на Европейския съюз за интелектуална собственост (EUIPO)</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банков орган (ЕБО)</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Агенция за авиационна безопасност на Европейския съюз (EASA)</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служба за подкрепа в областта на убежището (EASO)</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орган за ценни книжа и пазари (ESMA)</w:t>
            </w:r>
          </w:p>
        </w:tc>
      </w:tr>
      <w:tr>
        <w:trPr>
          <w:trHeight w:val="218"/>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агенция за гранична и брегова охрана (Frontex)</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фондация за обучение (ETF)</w:t>
            </w:r>
          </w:p>
        </w:tc>
      </w:tr>
      <w:tr>
        <w:trPr>
          <w:trHeight w:val="217"/>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Агенция на Европейския съюз за обучение в областта на правоприлагането (CEPOL)</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фондация за подобряване на условията на живот и труд (Eurofound)</w:t>
            </w:r>
          </w:p>
        </w:tc>
      </w:tr>
      <w:tr>
        <w:trPr>
          <w:trHeight w:val="217"/>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агенция за глобалната навигационна спътникова система (GSA)</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център за мониторинг на наркотици и наркомании (EMCDDA)</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Агенция на Европейския съюз за сътрудничество в областта на наказателното правосъдие (Евроюст)</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Агенция на Европейския съюз за сътрудничество в областта на правоприлагането (Европол)</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Европейска агенция за безопасност и здраве при работа (EU-OSHA)</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Агенция на Европейския съюз за основните права (FRA)</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център за профилактика и контрол върху заболяванията (ECDC)</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орган за застраховане и професионално пенсионно осигуряване (EIOPA)</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Европейски център за развитие на професионалното обучение (CEDEFOP)</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Център за преводи за органите на Европейския съюз (CdT)</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Агенция на Европейския съюз за сътрудничество между регулаторите на енергия (ACER)</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Европейско съвместно предприятие за ITER и развитие на термоядрената енергетика („Термоядрен синтез за енергия“)</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Агенция за подкрепа на Органа на европейските регулатори в областта на електронните съобщения (Служба на ОЕРЕС)</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Агенция на Европейския съюз за оперативното управление на широкомащабни информационни системи в пространството на свобода, сигурност и правосъдие (eu-LISA)</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r>
              <w:rPr>
                <w:rFonts w:ascii="Verdana" w:hAnsi="Verdana"/>
                <w:i/>
                <w:noProof/>
                <w:color w:val="000000"/>
                <w:sz w:val="18"/>
              </w:rPr>
              <w:t>Агенция на Европейския съюз за киберсигурност (ENISA)</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lang w:bidi="en-GB"/>
              </w:rPr>
            </w:pP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i/>
                <w:noProof/>
                <w:color w:val="000000"/>
                <w:sz w:val="18"/>
                <w:lang w:bidi="en-GB"/>
              </w:rPr>
            </w:pPr>
          </w:p>
        </w:tc>
      </w:tr>
      <w:tr>
        <w:trPr>
          <w:trHeight w:val="255"/>
        </w:trPr>
        <w:tc>
          <w:tcPr>
            <w:tcW w:w="4879" w:type="dxa"/>
            <w:gridSpan w:val="2"/>
            <w:tcBorders>
              <w:top w:val="nil"/>
              <w:left w:val="nil"/>
              <w:bottom w:val="nil"/>
              <w:right w:val="nil"/>
              <w:tl2br w:val="nil"/>
              <w:tr2bl w:val="nil"/>
            </w:tcBorders>
            <w:shd w:val="solid" w:color="CCE1EA" w:fill="FFFFFF"/>
            <w:tcMar>
              <w:left w:w="60" w:type="dxa"/>
              <w:right w:w="60" w:type="dxa"/>
            </w:tcMar>
            <w:vAlign w:val="center"/>
          </w:tcPr>
          <w:p>
            <w:pPr>
              <w:pStyle w:val="DMETW19855BIPCE"/>
              <w:rPr>
                <w:rFonts w:ascii="Verdana" w:eastAsia="Verdana" w:hAnsi="Verdana" w:cs="Verdana"/>
                <w:b/>
                <w:noProof/>
                <w:color w:val="000000"/>
                <w:sz w:val="18"/>
              </w:rPr>
            </w:pPr>
            <w:r>
              <w:rPr>
                <w:rFonts w:ascii="Verdana" w:hAnsi="Verdana"/>
                <w:b/>
                <w:noProof/>
                <w:color w:val="000000"/>
                <w:sz w:val="18"/>
              </w:rPr>
              <w:t>3. Други контролирани субекти (2)</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tcPr>
          <w:p>
            <w:pPr>
              <w:pStyle w:val="DMETW19855BIPCE"/>
              <w:rPr>
                <w:rFonts w:ascii="Verdana" w:eastAsia="Verdana" w:hAnsi="Verdana" w:cs="Verdana"/>
                <w:i/>
                <w:noProof/>
                <w:color w:val="000000"/>
                <w:sz w:val="18"/>
              </w:rPr>
            </w:pPr>
            <w:r>
              <w:rPr>
                <w:rFonts w:ascii="Verdana" w:hAnsi="Verdana"/>
                <w:i/>
                <w:noProof/>
                <w:color w:val="000000"/>
                <w:sz w:val="18"/>
              </w:rPr>
              <w:t>Европейска общност за въглища и стомана в ликвидация (ЕОВС в ликвидация)</w:t>
            </w:r>
          </w:p>
        </w:tc>
        <w:tc>
          <w:tcPr>
            <w:tcW w:w="4879" w:type="dxa"/>
            <w:tcBorders>
              <w:top w:val="nil"/>
              <w:left w:val="nil"/>
              <w:bottom w:val="nil"/>
              <w:right w:val="nil"/>
              <w:tl2br w:val="nil"/>
              <w:tr2bl w:val="nil"/>
            </w:tcBorders>
            <w:shd w:val="solid" w:color="FFFFFF" w:fill="FFFFFF"/>
            <w:tcMar>
              <w:left w:w="60" w:type="dxa"/>
              <w:right w:w="60" w:type="dxa"/>
            </w:tcMar>
          </w:tcPr>
          <w:p>
            <w:pPr>
              <w:pStyle w:val="DMETW19855BIPCE"/>
              <w:rPr>
                <w:rFonts w:ascii="Verdana" w:eastAsia="Verdana" w:hAnsi="Verdana" w:cs="Verdana"/>
                <w:i/>
                <w:noProof/>
                <w:color w:val="000000"/>
                <w:sz w:val="18"/>
              </w:rPr>
            </w:pPr>
            <w:r>
              <w:rPr>
                <w:rFonts w:ascii="Verdana" w:hAnsi="Verdana"/>
                <w:i/>
                <w:noProof/>
                <w:color w:val="000000"/>
                <w:sz w:val="18"/>
              </w:rPr>
              <w:t>Европейски институт за иновации и технологии (EIT)</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noProof/>
                <w:color w:val="000000"/>
                <w:sz w:val="18"/>
              </w:rPr>
            </w:pP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b/>
                <w:noProof/>
                <w:color w:val="000000"/>
                <w:sz w:val="18"/>
                <w:lang w:bidi="en-GB"/>
              </w:rPr>
            </w:pPr>
          </w:p>
        </w:tc>
      </w:tr>
      <w:tr>
        <w:trPr>
          <w:trHeight w:val="255"/>
        </w:trPr>
        <w:tc>
          <w:tcPr>
            <w:tcW w:w="4879"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55BIPCE"/>
              <w:rPr>
                <w:rFonts w:ascii="Verdana" w:eastAsia="Verdana" w:hAnsi="Verdana" w:cs="Verdana"/>
                <w:b/>
                <w:noProof/>
                <w:color w:val="FFFFFF"/>
              </w:rPr>
            </w:pPr>
            <w:r>
              <w:rPr>
                <w:rFonts w:ascii="Verdana" w:hAnsi="Verdana"/>
                <w:b/>
                <w:noProof/>
                <w:color w:val="FFFFFF"/>
              </w:rPr>
              <w:t>Б. АСОЦИИРАНИ ПРЕДПРИЯТИЯ (1)</w:t>
            </w:r>
          </w:p>
        </w:tc>
      </w:tr>
      <w:tr>
        <w:trPr>
          <w:trHeight w:val="255"/>
        </w:trPr>
        <w:tc>
          <w:tcPr>
            <w:tcW w:w="4879" w:type="dxa"/>
            <w:tcBorders>
              <w:top w:val="nil"/>
              <w:left w:val="nil"/>
              <w:bottom w:val="nil"/>
              <w:right w:val="nil"/>
              <w:tl2br w:val="nil"/>
              <w:tr2bl w:val="nil"/>
            </w:tcBorders>
            <w:shd w:val="solid" w:color="FFFFFF" w:fill="FFFFFF"/>
            <w:tcMar>
              <w:left w:w="60" w:type="dxa"/>
              <w:right w:w="60" w:type="dxa"/>
            </w:tcMar>
          </w:tcPr>
          <w:p>
            <w:pPr>
              <w:pStyle w:val="DMETW19855BIPCE"/>
              <w:rPr>
                <w:rFonts w:ascii="Verdana" w:eastAsia="Verdana" w:hAnsi="Verdana" w:cs="Verdana"/>
                <w:i/>
                <w:noProof/>
                <w:color w:val="000000"/>
                <w:sz w:val="18"/>
              </w:rPr>
            </w:pPr>
            <w:r>
              <w:rPr>
                <w:rFonts w:ascii="Verdana" w:hAnsi="Verdana"/>
                <w:i/>
                <w:noProof/>
                <w:color w:val="000000"/>
                <w:sz w:val="18"/>
              </w:rPr>
              <w:t>Европейски инвестиционен фонд (ЕИФ)</w:t>
            </w:r>
          </w:p>
        </w:tc>
        <w:tc>
          <w:tcPr>
            <w:tcW w:w="4879" w:type="dxa"/>
            <w:tcBorders>
              <w:top w:val="nil"/>
              <w:left w:val="nil"/>
              <w:bottom w:val="nil"/>
              <w:right w:val="nil"/>
              <w:tl2br w:val="nil"/>
              <w:tr2bl w:val="nil"/>
            </w:tcBorders>
            <w:shd w:val="solid" w:color="FFFFFF" w:fill="FFFFFF"/>
            <w:tcMar>
              <w:left w:w="60" w:type="dxa"/>
              <w:right w:w="60" w:type="dxa"/>
            </w:tcMar>
            <w:vAlign w:val="center"/>
          </w:tcPr>
          <w:p>
            <w:pPr>
              <w:pStyle w:val="DMETW19855BIPCE"/>
              <w:rPr>
                <w:rFonts w:ascii="Verdana" w:eastAsia="Verdana" w:hAnsi="Verdana" w:cs="Verdana"/>
                <w:noProof/>
                <w:color w:val="000000"/>
                <w:sz w:val="18"/>
              </w:rPr>
            </w:pPr>
          </w:p>
        </w:tc>
      </w:tr>
    </w:tbl>
    <w:p>
      <w:pPr>
        <w:pStyle w:val="DGTextstand-alone"/>
      </w:pPr>
    </w:p>
    <w:p>
      <w:pPr>
        <w:pStyle w:val="HEADER5"/>
        <w:rPr>
          <w:noProof/>
        </w:rPr>
      </w:pPr>
      <w:r>
        <w:rPr>
          <w:noProof/>
        </w:rPr>
        <w:t>НЕСЪЩЕСТВЕНИ СУБЕКТИ</w:t>
      </w:r>
    </w:p>
    <w:p>
      <w:pPr>
        <w:pStyle w:val="DGTextstand-alone"/>
      </w:pPr>
      <w:r>
        <w:t>Посочените по-долу субекти не са консолидирани посредством метода на собствения капитал в консолидираните финансови отчети на ЕС за 2020 г., тъй като са несъществени:</w:t>
      </w:r>
    </w:p>
    <w:p>
      <w:pPr>
        <w:pStyle w:val="HEADER5"/>
        <w:rPr>
          <w:noProof/>
        </w:rPr>
      </w:pPr>
      <w:r>
        <w:rPr>
          <w:noProof/>
        </w:rPr>
        <w:t>Съвместно предприятие „Биотехнологични производства“ (БП)</w:t>
      </w:r>
    </w:p>
    <w:p>
      <w:pPr>
        <w:pStyle w:val="DGTextstand-alone"/>
      </w:pPr>
      <w:r>
        <w:t>Съвместното предприятие „Биотехнологични производства“ е публично-частно партньорство (ПЧП) между ЕС и консорциума за биотехнологични производства (КБТП). Целите на БП са да допринесе за изграждането на по-устойчива нисковъглеродна икономика с по-ефективно използване на ресурсите и за увеличаването на икономическия растеж и на заетостта чрез развитието на устойчиви и конкурентоспособни биотехнологични производства в Европа.</w:t>
      </w:r>
    </w:p>
    <w:p>
      <w:pPr>
        <w:pStyle w:val="HEADER5"/>
        <w:rPr>
          <w:noProof/>
        </w:rPr>
      </w:pPr>
      <w:r>
        <w:rPr>
          <w:noProof/>
        </w:rPr>
        <w:t>Съвместно предприятие „Чисто небе“</w:t>
      </w:r>
    </w:p>
    <w:p>
      <w:pPr>
        <w:pStyle w:val="DGTextstand-alone"/>
      </w:pPr>
      <w:r>
        <w:t>„Чисто небе“ е най-голямата европейска научноизследователска програма за разработване на новаторски и авангардни технологии, имащи за цел намаляване на емисиите на CO2, на газовите емисии и на нивата на шум, произведен от въздухоплавателните средства. „Чисто небе“ се финансира от програмата „Хоризонт 2020“ на ЕС и допринася за укрепването на сътрудничеството в областта на въздухоплавателната промишленост, глобалното лидерство и конкурентоспособността на ЕС.</w:t>
      </w:r>
    </w:p>
    <w:p>
      <w:pPr>
        <w:pStyle w:val="HEADER5"/>
        <w:rPr>
          <w:noProof/>
        </w:rPr>
      </w:pPr>
      <w:r>
        <w:rPr>
          <w:noProof/>
        </w:rPr>
        <w:t>Съвместно предприятие на инициативата за иновативни лекарства (IMI)</w:t>
      </w:r>
    </w:p>
    <w:p>
      <w:pPr>
        <w:pStyle w:val="DGTextstand-alone"/>
      </w:pPr>
      <w:r>
        <w:t>IMI — партньорство между Европейския съюз и европейската фармацевтичната промишленост, е най-голямото публично-частно партньорство в сферата на науките за живота в света и дейността му има за цел да доведе до подобряване на здравето чрез ускоряване на разработването на иновационни лекарства и на достъпа на пациентите до тях, особено в области, в които има неудовлетворени медицински или социални потребности.</w:t>
      </w:r>
    </w:p>
    <w:p>
      <w:pPr>
        <w:pStyle w:val="HEADER5"/>
        <w:rPr>
          <w:noProof/>
        </w:rPr>
      </w:pPr>
      <w:r>
        <w:rPr>
          <w:noProof/>
        </w:rPr>
        <w:t>Съвместно предприятие „Електронни компоненти и системи за водещи позиции на Европа“ (ECSEL)</w:t>
      </w:r>
    </w:p>
    <w:p>
      <w:pPr>
        <w:pStyle w:val="DGTextstand-alone"/>
      </w:pPr>
      <w:r>
        <w:t>ECSEL — публично-частно партньорство в областта на електронните компоненти и системи, финансира научноизследователски, развойни и иновационни проекти, целящи да се изгради експертен капацитет на световно ниво в тази област, като по този начин допринася за развитието на силен и конкурентоспособен в световен мащаб сектор на електронните компоненти и системи в Европейския съюз.</w:t>
      </w:r>
    </w:p>
    <w:p>
      <w:pPr>
        <w:pStyle w:val="HEADER5"/>
        <w:rPr>
          <w:noProof/>
        </w:rPr>
      </w:pPr>
      <w:r>
        <w:rPr>
          <w:noProof/>
        </w:rPr>
        <w:t>Съвместно предприятие „Горивни клетки и водород“ (ГКВ)</w:t>
      </w:r>
    </w:p>
    <w:p>
      <w:pPr>
        <w:pStyle w:val="DGTextstand-alone"/>
      </w:pPr>
      <w:r>
        <w:t>ГКВ е ПЧП, което подкрепя научните изследвания, технологичното развитие и демонстрациите в сферата на технологиите за енергия от горивни клетки и водород в Европа. Целта му е да се ускори пускането на пазара на тези технологии и да се реализира техният потенциал като инструмент за постигане на енергийна система с ниски въглеродни емисии.</w:t>
      </w:r>
    </w:p>
    <w:p>
      <w:pPr>
        <w:pStyle w:val="HEADER5"/>
        <w:rPr>
          <w:noProof/>
        </w:rPr>
      </w:pPr>
      <w:r>
        <w:rPr>
          <w:noProof/>
        </w:rPr>
        <w:t>Съвместно предприятие за изследване на управлението на въздушното движение в единното европейско небе (SESAR)</w:t>
      </w:r>
    </w:p>
    <w:p>
      <w:pPr>
        <w:pStyle w:val="DGTextstand-alone"/>
      </w:pPr>
      <w:r>
        <w:t>SESAR е ПЧП, което отговаря за модернизирането на Европейската система за управление на въздушното движение (УВД) чрез координиране и концентриране в ЕС на всички научноизследователски и иновационни усилия, свързани с УВД.</w:t>
      </w:r>
    </w:p>
    <w:p>
      <w:pPr>
        <w:pStyle w:val="HEADER5"/>
        <w:rPr>
          <w:noProof/>
        </w:rPr>
      </w:pPr>
      <w:r>
        <w:rPr>
          <w:noProof/>
        </w:rPr>
        <w:t>Съвместно предприятие Shift2Rail</w:t>
      </w:r>
    </w:p>
    <w:p>
      <w:pPr>
        <w:pStyle w:val="DGTextstand-alone"/>
      </w:pPr>
      <w:r>
        <w:t>Shift2Rail е първата съвместна технологична инициатива за европейска железопътна система, която търси целенасочени научноизследователски, иновационни и пазарноориентирани решения, като ускорява интегрирането на нови и съвременни технологии в новаторски решения за железопътни продукти. </w:t>
      </w:r>
    </w:p>
    <w:p>
      <w:pPr>
        <w:pStyle w:val="DGTextstand-alone"/>
        <w:rPr>
          <w:color w:val="016794"/>
        </w:rPr>
      </w:pPr>
      <w:r>
        <w:rPr>
          <w:color w:val="016794"/>
        </w:rPr>
        <w:t>Съвместно предприятие за европейски високопроизводителни изчислителни технологии (EuroHPC)</w:t>
      </w:r>
    </w:p>
    <w:p>
      <w:pPr>
        <w:pStyle w:val="DGTextstand-alone"/>
      </w:pPr>
      <w:r>
        <w:t xml:space="preserve">Съвместното предприятие EuroHPC е съвместна инициатива на ЕС, европейски държави и частни партньори за изграждане на инфраструктура от суперкомпютри от световна класа и за превръщане на Европа в лидер във високопроизводителните изчислителни технологии. </w:t>
      </w:r>
    </w:p>
    <w:p>
      <w:pPr>
        <w:pStyle w:val="DGTextstand-alone"/>
      </w:pPr>
      <w:r>
        <w:t>Годишните отчети на горепосочените субекти са публично достъпни на техните уебсайтове.</w:t>
      </w:r>
    </w:p>
    <w:bookmarkEnd w:id="214"/>
    <w:p>
      <w:pPr>
        <w:pStyle w:val="DGTextstand-alone"/>
        <w:sectPr>
          <w:headerReference w:type="even" r:id="rId290"/>
          <w:headerReference w:type="default" r:id="rId291"/>
          <w:footerReference w:type="even" r:id="rId292"/>
          <w:footerReference w:type="default" r:id="rId293"/>
          <w:headerReference w:type="first" r:id="rId294"/>
          <w:footerReference w:type="first" r:id="rId295"/>
          <w:pgSz w:w="11906" w:h="16838"/>
          <w:pgMar w:top="1134" w:right="1134" w:bottom="1134" w:left="1134" w:header="709" w:footer="709" w:gutter="0"/>
          <w:cols w:space="708"/>
          <w:docGrid w:linePitch="360"/>
        </w:sectPr>
      </w:pPr>
    </w:p>
    <w:p>
      <w:pPr>
        <w:pStyle w:val="FinancialYear"/>
        <w:rPr>
          <w:noProof/>
        </w:rPr>
      </w:pPr>
      <w:bookmarkStart w:id="216" w:name="_DMBM_19859"/>
      <w:r>
        <w:rPr>
          <w:noProof/>
        </w:rPr>
        <w:t>ЕВРОПЕЙСКИ СЪЮЗ</w:t>
      </w:r>
    </w:p>
    <w:p>
      <w:pPr>
        <w:pStyle w:val="FinancialYear"/>
        <w:rPr>
          <w:noProof/>
        </w:rPr>
      </w:pPr>
      <w:r>
        <w:rPr>
          <w:noProof/>
        </w:rPr>
        <w:t>2020 ФИНАНСОВА ГОДИНА</w:t>
      </w:r>
    </w:p>
    <w:p>
      <w:pPr>
        <w:pStyle w:val="FIRSTCHAPTERPAGE2"/>
      </w:pPr>
    </w:p>
    <w:p>
      <w:pPr>
        <w:pStyle w:val="FIRSTCHAPTERPAGE2"/>
      </w:pPr>
    </w:p>
    <w:p>
      <w:pPr>
        <w:pStyle w:val="FIRSTCHAPTERPAGE2"/>
      </w:pPr>
    </w:p>
    <w:p>
      <w:pPr>
        <w:pStyle w:val="FIRSTCHAPTERPAGE2"/>
      </w:pPr>
    </w:p>
    <w:p>
      <w:pPr>
        <w:pStyle w:val="FIRSTCHAPTERPAGE"/>
        <w:rPr>
          <w:noProof/>
        </w:rPr>
      </w:pPr>
      <w:bookmarkStart w:id="217" w:name="_Toc390968562"/>
      <w:bookmarkStart w:id="218" w:name="_Toc75518072"/>
      <w:r>
        <w:rPr>
          <w:noProof/>
        </w:rPr>
        <w:t>ДОКЛАДИ ЗА ИЗПЪЛНЕНИЕТО НА БЮДЖЕТА И ОБЯСНИТЕЛНИ БЕЛЕЖКИ</w:t>
      </w:r>
      <w:bookmarkEnd w:id="217"/>
      <w:bookmarkEnd w:id="218"/>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sectPr>
          <w:headerReference w:type="even" r:id="rId296"/>
          <w:headerReference w:type="default" r:id="rId297"/>
          <w:footerReference w:type="even" r:id="rId298"/>
          <w:footerReference w:type="default" r:id="rId299"/>
          <w:headerReference w:type="first" r:id="rId300"/>
          <w:footerReference w:type="first" r:id="rId301"/>
          <w:pgSz w:w="11907" w:h="16840" w:code="9"/>
          <w:pgMar w:top="1134" w:right="1134" w:bottom="1134" w:left="1134" w:header="709" w:footer="709" w:gutter="0"/>
          <w:cols w:space="708"/>
          <w:docGrid w:linePitch="360"/>
        </w:sectPr>
      </w:pPr>
      <w:r>
        <w:rPr>
          <w:noProof/>
        </w:rPr>
        <w:t>Следва да се отбележи, че поради закръглянето на цифрите в милиони евро някои финансови данни в таблиците по-долу може да изглеждат грешни.</w:t>
      </w:r>
      <w:bookmarkEnd w:id="216"/>
    </w:p>
    <w:p>
      <w:pPr>
        <w:pStyle w:val="HEADERTABLE"/>
        <w:rPr>
          <w:noProof/>
        </w:rPr>
      </w:pPr>
      <w:bookmarkStart w:id="219" w:name="_DMBM_19851"/>
      <w:r>
        <w:rPr>
          <w:noProof/>
        </w:rPr>
        <w:t>СЪДЪРЖАНИЕ</w:t>
      </w:r>
    </w:p>
    <w:p>
      <w:pPr>
        <w:pStyle w:val="TOC1"/>
        <w:rPr>
          <w:rFonts w:ascii="Calibri" w:hAnsi="Calibri"/>
          <w:noProof/>
          <w:color w:val="auto"/>
          <w:szCs w:val="22"/>
        </w:rPr>
      </w:pPr>
      <w:r>
        <w:rPr>
          <w:caps/>
          <w:noProof/>
          <w:color w:val="016894"/>
          <w:sz w:val="20"/>
        </w:rPr>
        <w:fldChar w:fldCharType="begin"/>
      </w:r>
      <w:r>
        <w:rPr>
          <w:caps/>
          <w:noProof/>
          <w:color w:val="016894"/>
          <w:sz w:val="20"/>
        </w:rPr>
        <w:instrText xml:space="preserve"> TOC \o "1-3" \h \z \t "HEADER_TITLE_2;1;HEADER 1_Part BUDG;1;HEADER 2_Part BUDG;2" </w:instrText>
      </w:r>
      <w:r>
        <w:rPr>
          <w:caps/>
          <w:noProof/>
          <w:color w:val="016894"/>
          <w:sz w:val="20"/>
        </w:rPr>
        <w:fldChar w:fldCharType="separate"/>
      </w:r>
      <w:hyperlink w:anchor="_Toc75518122" w:history="1">
        <w:r>
          <w:rPr>
            <w:noProof/>
          </w:rPr>
          <w:t>РЕЗУЛТАТ ОТ ИЗПЪЛНЕНИЕТО НА БЮДЖЕТА НА ЕС</w:t>
        </w:r>
        <w:r>
          <w:rPr>
            <w:noProof/>
            <w:webHidden/>
          </w:rPr>
          <w:tab/>
        </w:r>
        <w:r>
          <w:rPr>
            <w:noProof/>
            <w:webHidden/>
          </w:rPr>
          <w:fldChar w:fldCharType="begin"/>
        </w:r>
        <w:r>
          <w:rPr>
            <w:noProof/>
            <w:webHidden/>
          </w:rPr>
          <w:instrText xml:space="preserve"> PAGEREF _Toc75518122 \h </w:instrText>
        </w:r>
        <w:r>
          <w:rPr>
            <w:noProof/>
            <w:webHidden/>
          </w:rPr>
        </w:r>
        <w:r>
          <w:rPr>
            <w:noProof/>
            <w:webHidden/>
          </w:rPr>
          <w:fldChar w:fldCharType="separate"/>
        </w:r>
        <w:r>
          <w:rPr>
            <w:noProof/>
            <w:webHidden/>
          </w:rPr>
          <w:t>145</w:t>
        </w:r>
        <w:r>
          <w:rPr>
            <w:noProof/>
            <w:webHidden/>
          </w:rPr>
          <w:fldChar w:fldCharType="end"/>
        </w:r>
      </w:hyperlink>
    </w:p>
    <w:p>
      <w:pPr>
        <w:pStyle w:val="TOC1"/>
        <w:rPr>
          <w:rFonts w:ascii="Calibri" w:hAnsi="Calibri"/>
          <w:noProof/>
          <w:color w:val="auto"/>
          <w:szCs w:val="22"/>
        </w:rPr>
      </w:pPr>
      <w:hyperlink w:anchor="_Toc75518123" w:history="1">
        <w:r>
          <w:rPr>
            <w:noProof/>
          </w:rPr>
          <w:t>СЪПОСТАВКИ НА БЮДЖЕТНИТЕ С РЕАЛНИТЕ СУМИ</w:t>
        </w:r>
        <w:r>
          <w:rPr>
            <w:noProof/>
            <w:webHidden/>
          </w:rPr>
          <w:tab/>
        </w:r>
        <w:r>
          <w:rPr>
            <w:noProof/>
            <w:webHidden/>
          </w:rPr>
          <w:fldChar w:fldCharType="begin"/>
        </w:r>
        <w:r>
          <w:rPr>
            <w:noProof/>
            <w:webHidden/>
          </w:rPr>
          <w:instrText xml:space="preserve"> PAGEREF _Toc75518123 \h </w:instrText>
        </w:r>
        <w:r>
          <w:rPr>
            <w:noProof/>
            <w:webHidden/>
          </w:rPr>
        </w:r>
        <w:r>
          <w:rPr>
            <w:noProof/>
            <w:webHidden/>
          </w:rPr>
          <w:fldChar w:fldCharType="separate"/>
        </w:r>
        <w:r>
          <w:rPr>
            <w:noProof/>
            <w:webHidden/>
          </w:rPr>
          <w:t>146</w:t>
        </w:r>
        <w:r>
          <w:rPr>
            <w:noProof/>
            <w:webHidden/>
          </w:rPr>
          <w:fldChar w:fldCharType="end"/>
        </w:r>
      </w:hyperlink>
    </w:p>
    <w:p>
      <w:pPr>
        <w:pStyle w:val="TOC1"/>
        <w:rPr>
          <w:rFonts w:ascii="Calibri" w:hAnsi="Calibri"/>
          <w:noProof/>
          <w:color w:val="auto"/>
          <w:szCs w:val="22"/>
        </w:rPr>
      </w:pPr>
      <w:hyperlink w:anchor="_Toc75518124" w:history="1">
        <w:r>
          <w:rPr>
            <w:noProof/>
          </w:rPr>
          <w:t>БЕЛЕЖКИ КЪМ ДОКЛАДИТЕ ЗА ИЗПЪЛНЕНИЕТО НА БЮДЖЕТА</w:t>
        </w:r>
        <w:r>
          <w:rPr>
            <w:noProof/>
            <w:webHidden/>
          </w:rPr>
          <w:tab/>
        </w:r>
        <w:r>
          <w:rPr>
            <w:noProof/>
            <w:webHidden/>
          </w:rPr>
          <w:fldChar w:fldCharType="begin"/>
        </w:r>
        <w:r>
          <w:rPr>
            <w:noProof/>
            <w:webHidden/>
          </w:rPr>
          <w:instrText xml:space="preserve"> PAGEREF _Toc75518124 \h </w:instrText>
        </w:r>
        <w:r>
          <w:rPr>
            <w:noProof/>
            <w:webHidden/>
          </w:rPr>
        </w:r>
        <w:r>
          <w:rPr>
            <w:noProof/>
            <w:webHidden/>
          </w:rPr>
          <w:fldChar w:fldCharType="separate"/>
        </w:r>
        <w:r>
          <w:rPr>
            <w:noProof/>
            <w:webHidden/>
          </w:rPr>
          <w:t>148</w:t>
        </w:r>
        <w:r>
          <w:rPr>
            <w:noProof/>
            <w:webHidden/>
          </w:rPr>
          <w:fldChar w:fldCharType="end"/>
        </w:r>
      </w:hyperlink>
    </w:p>
    <w:p>
      <w:pPr>
        <w:pStyle w:val="TOC1"/>
        <w:rPr>
          <w:rFonts w:ascii="Calibri" w:hAnsi="Calibri"/>
          <w:noProof/>
          <w:color w:val="auto"/>
          <w:szCs w:val="22"/>
        </w:rPr>
      </w:pPr>
      <w:hyperlink w:anchor="_Toc75518125" w:history="1">
        <w:r>
          <w:rPr>
            <w:rStyle w:val="Hyperlink"/>
            <w:noProof/>
          </w:rPr>
          <w:t>1.</w:t>
        </w:r>
        <w:r>
          <w:rPr>
            <w:noProof/>
          </w:rPr>
          <w:t xml:space="preserve"> </w:t>
        </w:r>
        <w:r>
          <w:rPr>
            <w:rStyle w:val="Hyperlink"/>
            <w:noProof/>
          </w:rPr>
          <w:t>РАМКА НА БЮДЖЕТА НА ЕС</w:t>
        </w:r>
        <w:r>
          <w:rPr>
            <w:rFonts w:ascii="Calibri" w:hAnsi="Calibri"/>
            <w:noProof/>
            <w:color w:val="auto"/>
            <w:szCs w:val="22"/>
          </w:rPr>
          <w:tab/>
        </w:r>
        <w:r>
          <w:rPr>
            <w:noProof/>
            <w:webHidden/>
          </w:rPr>
          <w:fldChar w:fldCharType="begin"/>
        </w:r>
        <w:r>
          <w:rPr>
            <w:noProof/>
            <w:webHidden/>
          </w:rPr>
          <w:instrText xml:space="preserve"> PAGEREF _Toc75518125 \h </w:instrText>
        </w:r>
        <w:r>
          <w:rPr>
            <w:noProof/>
            <w:webHidden/>
          </w:rPr>
        </w:r>
        <w:r>
          <w:rPr>
            <w:noProof/>
            <w:webHidden/>
          </w:rPr>
          <w:fldChar w:fldCharType="separate"/>
        </w:r>
        <w:r>
          <w:rPr>
            <w:noProof/>
            <w:webHidden/>
          </w:rPr>
          <w:t>148</w:t>
        </w:r>
        <w:r>
          <w:rPr>
            <w:noProof/>
            <w:webHidden/>
          </w:rPr>
          <w:fldChar w:fldCharType="end"/>
        </w:r>
      </w:hyperlink>
    </w:p>
    <w:p>
      <w:pPr>
        <w:pStyle w:val="TOC2"/>
        <w:rPr>
          <w:rFonts w:ascii="Calibri" w:hAnsi="Calibri"/>
          <w:noProof/>
          <w:color w:val="auto"/>
          <w:szCs w:val="22"/>
        </w:rPr>
      </w:pPr>
      <w:hyperlink w:anchor="_Toc75518126" w:history="1">
        <w:r>
          <w:rPr>
            <w:rStyle w:val="Hyperlink"/>
            <w:noProof/>
            <w:spacing w:val="0"/>
          </w:rPr>
          <w:t>1.1.</w:t>
        </w:r>
        <w:r>
          <w:rPr>
            <w:rFonts w:ascii="Calibri" w:hAnsi="Calibri"/>
            <w:noProof/>
            <w:color w:val="auto"/>
            <w:szCs w:val="22"/>
          </w:rPr>
          <w:tab/>
        </w:r>
        <w:r>
          <w:rPr>
            <w:noProof/>
          </w:rPr>
          <w:t>МНОГОГОДИШНА ФИНАНСОВА РАМКА ЗА 2014—2020 Г.</w:t>
        </w:r>
        <w:r>
          <w:rPr>
            <w:noProof/>
            <w:webHidden/>
          </w:rPr>
          <w:tab/>
        </w:r>
        <w:r>
          <w:rPr>
            <w:noProof/>
            <w:webHidden/>
          </w:rPr>
          <w:fldChar w:fldCharType="begin"/>
        </w:r>
        <w:r>
          <w:rPr>
            <w:noProof/>
            <w:webHidden/>
          </w:rPr>
          <w:instrText xml:space="preserve"> PAGEREF _Toc75518126 \h </w:instrText>
        </w:r>
        <w:r>
          <w:rPr>
            <w:noProof/>
            <w:webHidden/>
          </w:rPr>
        </w:r>
        <w:r>
          <w:rPr>
            <w:noProof/>
            <w:webHidden/>
          </w:rPr>
          <w:fldChar w:fldCharType="separate"/>
        </w:r>
        <w:r>
          <w:rPr>
            <w:noProof/>
            <w:webHidden/>
          </w:rPr>
          <w:t>148</w:t>
        </w:r>
        <w:r>
          <w:rPr>
            <w:noProof/>
            <w:webHidden/>
          </w:rPr>
          <w:fldChar w:fldCharType="end"/>
        </w:r>
      </w:hyperlink>
    </w:p>
    <w:p>
      <w:pPr>
        <w:pStyle w:val="TOC2"/>
        <w:rPr>
          <w:rFonts w:ascii="Calibri" w:hAnsi="Calibri"/>
          <w:noProof/>
          <w:color w:val="auto"/>
          <w:szCs w:val="22"/>
        </w:rPr>
      </w:pPr>
      <w:hyperlink w:anchor="_Toc75518127" w:history="1">
        <w:r>
          <w:rPr>
            <w:rStyle w:val="Hyperlink"/>
            <w:noProof/>
            <w:spacing w:val="0"/>
          </w:rPr>
          <w:t>1.2.</w:t>
        </w:r>
        <w:r>
          <w:rPr>
            <w:rFonts w:ascii="Calibri" w:hAnsi="Calibri"/>
            <w:noProof/>
            <w:color w:val="auto"/>
            <w:szCs w:val="22"/>
          </w:rPr>
          <w:tab/>
        </w:r>
        <w:r>
          <w:rPr>
            <w:noProof/>
          </w:rPr>
          <w:t>ПОДРОБНИ ФУНКЦИИ НА МФР (ПРОГРАМИ)</w:t>
        </w:r>
        <w:r>
          <w:rPr>
            <w:noProof/>
            <w:webHidden/>
          </w:rPr>
          <w:tab/>
        </w:r>
        <w:r>
          <w:rPr>
            <w:noProof/>
            <w:webHidden/>
          </w:rPr>
          <w:fldChar w:fldCharType="begin"/>
        </w:r>
        <w:r>
          <w:rPr>
            <w:noProof/>
            <w:webHidden/>
          </w:rPr>
          <w:instrText xml:space="preserve"> PAGEREF _Toc75518127 \h </w:instrText>
        </w:r>
        <w:r>
          <w:rPr>
            <w:noProof/>
            <w:webHidden/>
          </w:rPr>
        </w:r>
        <w:r>
          <w:rPr>
            <w:noProof/>
            <w:webHidden/>
          </w:rPr>
          <w:fldChar w:fldCharType="separate"/>
        </w:r>
        <w:r>
          <w:rPr>
            <w:noProof/>
            <w:webHidden/>
          </w:rPr>
          <w:t>149</w:t>
        </w:r>
        <w:r>
          <w:rPr>
            <w:noProof/>
            <w:webHidden/>
          </w:rPr>
          <w:fldChar w:fldCharType="end"/>
        </w:r>
      </w:hyperlink>
    </w:p>
    <w:p>
      <w:pPr>
        <w:pStyle w:val="TOC2"/>
        <w:rPr>
          <w:rFonts w:ascii="Calibri" w:hAnsi="Calibri"/>
          <w:noProof/>
          <w:color w:val="auto"/>
          <w:szCs w:val="22"/>
        </w:rPr>
      </w:pPr>
      <w:hyperlink w:anchor="_Toc75518128" w:history="1">
        <w:r>
          <w:rPr>
            <w:rStyle w:val="Hyperlink"/>
            <w:noProof/>
            <w:spacing w:val="0"/>
          </w:rPr>
          <w:t>1.3.</w:t>
        </w:r>
        <w:r>
          <w:rPr>
            <w:rFonts w:ascii="Calibri" w:hAnsi="Calibri"/>
            <w:noProof/>
            <w:color w:val="auto"/>
            <w:szCs w:val="22"/>
          </w:rPr>
          <w:tab/>
        </w:r>
        <w:r>
          <w:rPr>
            <w:noProof/>
          </w:rPr>
          <w:t>ГОДИШЕН БЮДЖЕТ</w:t>
        </w:r>
        <w:r>
          <w:rPr>
            <w:noProof/>
            <w:webHidden/>
          </w:rPr>
          <w:tab/>
        </w:r>
        <w:r>
          <w:rPr>
            <w:noProof/>
            <w:webHidden/>
          </w:rPr>
          <w:fldChar w:fldCharType="begin"/>
        </w:r>
        <w:r>
          <w:rPr>
            <w:noProof/>
            <w:webHidden/>
          </w:rPr>
          <w:instrText xml:space="preserve"> PAGEREF _Toc75518128 \h </w:instrText>
        </w:r>
        <w:r>
          <w:rPr>
            <w:noProof/>
            <w:webHidden/>
          </w:rPr>
        </w:r>
        <w:r>
          <w:rPr>
            <w:noProof/>
            <w:webHidden/>
          </w:rPr>
          <w:fldChar w:fldCharType="separate"/>
        </w:r>
        <w:r>
          <w:rPr>
            <w:noProof/>
            <w:webHidden/>
          </w:rPr>
          <w:t>150</w:t>
        </w:r>
        <w:r>
          <w:rPr>
            <w:noProof/>
            <w:webHidden/>
          </w:rPr>
          <w:fldChar w:fldCharType="end"/>
        </w:r>
      </w:hyperlink>
    </w:p>
    <w:p>
      <w:pPr>
        <w:pStyle w:val="TOC2"/>
        <w:rPr>
          <w:rFonts w:ascii="Calibri" w:hAnsi="Calibri"/>
          <w:noProof/>
          <w:color w:val="auto"/>
          <w:szCs w:val="22"/>
        </w:rPr>
      </w:pPr>
      <w:hyperlink w:anchor="_Toc75518129" w:history="1">
        <w:r>
          <w:rPr>
            <w:rStyle w:val="Hyperlink"/>
            <w:noProof/>
            <w:spacing w:val="0"/>
          </w:rPr>
          <w:t>1.4.</w:t>
        </w:r>
        <w:r>
          <w:rPr>
            <w:rFonts w:ascii="Calibri" w:hAnsi="Calibri"/>
            <w:noProof/>
            <w:color w:val="auto"/>
            <w:szCs w:val="22"/>
          </w:rPr>
          <w:tab/>
        </w:r>
        <w:r>
          <w:rPr>
            <w:noProof/>
          </w:rPr>
          <w:t>ПРИХОДИ</w:t>
        </w:r>
        <w:r>
          <w:rPr>
            <w:noProof/>
            <w:webHidden/>
          </w:rPr>
          <w:tab/>
        </w:r>
        <w:r>
          <w:rPr>
            <w:noProof/>
            <w:webHidden/>
          </w:rPr>
          <w:fldChar w:fldCharType="begin"/>
        </w:r>
        <w:r>
          <w:rPr>
            <w:noProof/>
            <w:webHidden/>
          </w:rPr>
          <w:instrText xml:space="preserve"> PAGEREF _Toc75518129 \h </w:instrText>
        </w:r>
        <w:r>
          <w:rPr>
            <w:noProof/>
            <w:webHidden/>
          </w:rPr>
        </w:r>
        <w:r>
          <w:rPr>
            <w:noProof/>
            <w:webHidden/>
          </w:rPr>
          <w:fldChar w:fldCharType="separate"/>
        </w:r>
        <w:r>
          <w:rPr>
            <w:noProof/>
            <w:webHidden/>
          </w:rPr>
          <w:t>152</w:t>
        </w:r>
        <w:r>
          <w:rPr>
            <w:noProof/>
            <w:webHidden/>
          </w:rPr>
          <w:fldChar w:fldCharType="end"/>
        </w:r>
      </w:hyperlink>
    </w:p>
    <w:p>
      <w:pPr>
        <w:pStyle w:val="TOC2"/>
        <w:rPr>
          <w:rFonts w:ascii="Calibri" w:hAnsi="Calibri"/>
          <w:noProof/>
          <w:color w:val="auto"/>
          <w:szCs w:val="22"/>
        </w:rPr>
      </w:pPr>
      <w:hyperlink w:anchor="_Toc75518130" w:history="1">
        <w:r>
          <w:rPr>
            <w:rStyle w:val="Hyperlink"/>
            <w:noProof/>
            <w:spacing w:val="0"/>
          </w:rPr>
          <w:t>1.5.</w:t>
        </w:r>
        <w:r>
          <w:rPr>
            <w:rFonts w:ascii="Calibri" w:hAnsi="Calibri"/>
            <w:noProof/>
            <w:color w:val="auto"/>
            <w:szCs w:val="22"/>
          </w:rPr>
          <w:tab/>
        </w:r>
        <w:r>
          <w:rPr>
            <w:noProof/>
          </w:rPr>
          <w:t>ИЗЧИСЛЯВАНЕ НА БЮДЖЕТНИЯ РЕЗУЛТАТ</w:t>
        </w:r>
        <w:r>
          <w:rPr>
            <w:noProof/>
            <w:webHidden/>
          </w:rPr>
          <w:tab/>
        </w:r>
        <w:r>
          <w:rPr>
            <w:noProof/>
            <w:webHidden/>
          </w:rPr>
          <w:fldChar w:fldCharType="begin"/>
        </w:r>
        <w:r>
          <w:rPr>
            <w:noProof/>
            <w:webHidden/>
          </w:rPr>
          <w:instrText xml:space="preserve"> PAGEREF _Toc75518130 \h </w:instrText>
        </w:r>
        <w:r>
          <w:rPr>
            <w:noProof/>
            <w:webHidden/>
          </w:rPr>
        </w:r>
        <w:r>
          <w:rPr>
            <w:noProof/>
            <w:webHidden/>
          </w:rPr>
          <w:fldChar w:fldCharType="separate"/>
        </w:r>
        <w:r>
          <w:rPr>
            <w:noProof/>
            <w:webHidden/>
          </w:rPr>
          <w:t>153</w:t>
        </w:r>
        <w:r>
          <w:rPr>
            <w:noProof/>
            <w:webHidden/>
          </w:rPr>
          <w:fldChar w:fldCharType="end"/>
        </w:r>
      </w:hyperlink>
    </w:p>
    <w:p>
      <w:pPr>
        <w:pStyle w:val="TOC2"/>
        <w:rPr>
          <w:rFonts w:ascii="Calibri" w:hAnsi="Calibri"/>
          <w:noProof/>
          <w:color w:val="auto"/>
          <w:szCs w:val="22"/>
        </w:rPr>
      </w:pPr>
      <w:hyperlink w:anchor="_Toc75518131" w:history="1">
        <w:r>
          <w:rPr>
            <w:rStyle w:val="Hyperlink"/>
            <w:noProof/>
            <w:spacing w:val="0"/>
          </w:rPr>
          <w:t>1.6.</w:t>
        </w:r>
        <w:r>
          <w:rPr>
            <w:rFonts w:ascii="Calibri" w:hAnsi="Calibri"/>
            <w:noProof/>
            <w:color w:val="auto"/>
            <w:szCs w:val="22"/>
          </w:rPr>
          <w:tab/>
        </w:r>
        <w:r>
          <w:rPr>
            <w:noProof/>
          </w:rPr>
          <w:t>РАВНЯВАНЕ НА ФИНАНСОВИЯ РЕЗУЛТАТ С БЮДЖЕТНИЯ РЕЗУЛТАТ</w:t>
        </w:r>
        <w:r>
          <w:rPr>
            <w:noProof/>
            <w:webHidden/>
          </w:rPr>
          <w:tab/>
        </w:r>
        <w:r>
          <w:rPr>
            <w:noProof/>
            <w:webHidden/>
          </w:rPr>
          <w:fldChar w:fldCharType="begin"/>
        </w:r>
        <w:r>
          <w:rPr>
            <w:noProof/>
            <w:webHidden/>
          </w:rPr>
          <w:instrText xml:space="preserve"> PAGEREF _Toc75518131 \h </w:instrText>
        </w:r>
        <w:r>
          <w:rPr>
            <w:noProof/>
            <w:webHidden/>
          </w:rPr>
        </w:r>
        <w:r>
          <w:rPr>
            <w:noProof/>
            <w:webHidden/>
          </w:rPr>
          <w:fldChar w:fldCharType="separate"/>
        </w:r>
        <w:r>
          <w:rPr>
            <w:noProof/>
            <w:webHidden/>
          </w:rPr>
          <w:t>155</w:t>
        </w:r>
        <w:r>
          <w:rPr>
            <w:noProof/>
            <w:webHidden/>
          </w:rPr>
          <w:fldChar w:fldCharType="end"/>
        </w:r>
      </w:hyperlink>
    </w:p>
    <w:p>
      <w:pPr>
        <w:pStyle w:val="TOC1"/>
        <w:rPr>
          <w:rFonts w:ascii="Calibri" w:hAnsi="Calibri"/>
          <w:noProof/>
          <w:color w:val="auto"/>
          <w:szCs w:val="22"/>
        </w:rPr>
      </w:pPr>
      <w:hyperlink w:anchor="_Toc75518132" w:history="1">
        <w:r>
          <w:rPr>
            <w:rStyle w:val="Hyperlink"/>
            <w:noProof/>
          </w:rPr>
          <w:t>2.</w:t>
        </w:r>
        <w:r>
          <w:rPr>
            <w:noProof/>
          </w:rPr>
          <w:t xml:space="preserve"> </w:t>
        </w:r>
        <w:r>
          <w:rPr>
            <w:rStyle w:val="Hyperlink"/>
            <w:noProof/>
          </w:rPr>
          <w:t>ИЗПЪЛНЕНИЕ НА БЮДЖЕТА НА ЕС ЗА 2020 Г.</w:t>
        </w:r>
        <w:r>
          <w:rPr>
            <w:rStyle w:val="Hyperlink"/>
            <w:noProof/>
            <w:webHidden/>
          </w:rPr>
          <w:tab/>
        </w:r>
        <w:r>
          <w:rPr>
            <w:noProof/>
            <w:webHidden/>
          </w:rPr>
          <w:fldChar w:fldCharType="begin"/>
        </w:r>
        <w:r>
          <w:rPr>
            <w:noProof/>
            <w:webHidden/>
          </w:rPr>
          <w:instrText xml:space="preserve"> PAGEREF _Toc75518132 \h </w:instrText>
        </w:r>
        <w:r>
          <w:rPr>
            <w:noProof/>
            <w:webHidden/>
          </w:rPr>
        </w:r>
        <w:r>
          <w:rPr>
            <w:noProof/>
            <w:webHidden/>
          </w:rPr>
          <w:fldChar w:fldCharType="separate"/>
        </w:r>
        <w:r>
          <w:rPr>
            <w:noProof/>
            <w:webHidden/>
          </w:rPr>
          <w:t>157</w:t>
        </w:r>
        <w:r>
          <w:rPr>
            <w:noProof/>
            <w:webHidden/>
          </w:rPr>
          <w:fldChar w:fldCharType="end"/>
        </w:r>
      </w:hyperlink>
    </w:p>
    <w:p>
      <w:pPr>
        <w:pStyle w:val="TOC2"/>
        <w:rPr>
          <w:rFonts w:ascii="Calibri" w:hAnsi="Calibri"/>
          <w:noProof/>
          <w:color w:val="auto"/>
          <w:szCs w:val="22"/>
        </w:rPr>
      </w:pPr>
      <w:hyperlink w:anchor="_Toc75518133" w:history="1">
        <w:r>
          <w:rPr>
            <w:rStyle w:val="Hyperlink"/>
            <w:noProof/>
            <w:spacing w:val="0"/>
          </w:rPr>
          <w:t>2.1.</w:t>
        </w:r>
        <w:r>
          <w:rPr>
            <w:rFonts w:ascii="Calibri" w:hAnsi="Calibri"/>
            <w:noProof/>
            <w:color w:val="auto"/>
            <w:szCs w:val="22"/>
          </w:rPr>
          <w:tab/>
        </w:r>
        <w:r>
          <w:rPr>
            <w:noProof/>
          </w:rPr>
          <w:t>ПРИХОДИ</w:t>
        </w:r>
        <w:r>
          <w:rPr>
            <w:noProof/>
            <w:webHidden/>
          </w:rPr>
          <w:tab/>
        </w:r>
        <w:r>
          <w:rPr>
            <w:noProof/>
            <w:webHidden/>
          </w:rPr>
          <w:fldChar w:fldCharType="begin"/>
        </w:r>
        <w:r>
          <w:rPr>
            <w:noProof/>
            <w:webHidden/>
          </w:rPr>
          <w:instrText xml:space="preserve"> PAGEREF _Toc75518133 \h </w:instrText>
        </w:r>
        <w:r>
          <w:rPr>
            <w:noProof/>
            <w:webHidden/>
          </w:rPr>
        </w:r>
        <w:r>
          <w:rPr>
            <w:noProof/>
            <w:webHidden/>
          </w:rPr>
          <w:fldChar w:fldCharType="separate"/>
        </w:r>
        <w:r>
          <w:rPr>
            <w:noProof/>
            <w:webHidden/>
          </w:rPr>
          <w:t>157</w:t>
        </w:r>
        <w:r>
          <w:rPr>
            <w:noProof/>
            <w:webHidden/>
          </w:rPr>
          <w:fldChar w:fldCharType="end"/>
        </w:r>
      </w:hyperlink>
    </w:p>
    <w:p>
      <w:pPr>
        <w:pStyle w:val="TOC2"/>
        <w:rPr>
          <w:rFonts w:ascii="Calibri" w:hAnsi="Calibri"/>
          <w:noProof/>
          <w:color w:val="auto"/>
          <w:szCs w:val="22"/>
        </w:rPr>
      </w:pPr>
      <w:hyperlink w:anchor="_Toc75518134" w:history="1">
        <w:r>
          <w:rPr>
            <w:rStyle w:val="Hyperlink"/>
            <w:noProof/>
            <w:spacing w:val="0"/>
          </w:rPr>
          <w:t>2.2.</w:t>
        </w:r>
        <w:r>
          <w:rPr>
            <w:rFonts w:ascii="Calibri" w:hAnsi="Calibri"/>
            <w:noProof/>
            <w:color w:val="auto"/>
            <w:szCs w:val="22"/>
          </w:rPr>
          <w:tab/>
        </w:r>
        <w:r>
          <w:rPr>
            <w:noProof/>
          </w:rPr>
          <w:t>РАЗХОДИ</w:t>
        </w:r>
        <w:r>
          <w:rPr>
            <w:noProof/>
            <w:webHidden/>
          </w:rPr>
          <w:tab/>
        </w:r>
        <w:r>
          <w:rPr>
            <w:noProof/>
            <w:webHidden/>
          </w:rPr>
          <w:fldChar w:fldCharType="begin"/>
        </w:r>
        <w:r>
          <w:rPr>
            <w:noProof/>
            <w:webHidden/>
          </w:rPr>
          <w:instrText xml:space="preserve"> PAGEREF _Toc75518134 \h </w:instrText>
        </w:r>
        <w:r>
          <w:rPr>
            <w:noProof/>
            <w:webHidden/>
          </w:rPr>
        </w:r>
        <w:r>
          <w:rPr>
            <w:noProof/>
            <w:webHidden/>
          </w:rPr>
          <w:fldChar w:fldCharType="separate"/>
        </w:r>
        <w:r>
          <w:rPr>
            <w:noProof/>
            <w:webHidden/>
          </w:rPr>
          <w:t>157</w:t>
        </w:r>
        <w:r>
          <w:rPr>
            <w:noProof/>
            <w:webHidden/>
          </w:rPr>
          <w:fldChar w:fldCharType="end"/>
        </w:r>
      </w:hyperlink>
    </w:p>
    <w:p>
      <w:pPr>
        <w:pStyle w:val="TOC1"/>
        <w:rPr>
          <w:rFonts w:ascii="Calibri" w:hAnsi="Calibri"/>
          <w:noProof/>
          <w:color w:val="auto"/>
          <w:szCs w:val="22"/>
        </w:rPr>
      </w:pPr>
      <w:hyperlink w:anchor="_Toc75518135" w:history="1">
        <w:r>
          <w:rPr>
            <w:rStyle w:val="Hyperlink"/>
            <w:noProof/>
          </w:rPr>
          <w:t>3.</w:t>
        </w:r>
        <w:r>
          <w:rPr>
            <w:noProof/>
          </w:rPr>
          <w:t xml:space="preserve"> </w:t>
        </w:r>
        <w:r>
          <w:rPr>
            <w:rStyle w:val="Hyperlink"/>
            <w:noProof/>
          </w:rPr>
          <w:t>ИЗПЪЛНЕНИЕ НА ПРИХОДИТЕ В БЮДЖЕТА НА ЕС</w:t>
        </w:r>
        <w:r>
          <w:rPr>
            <w:rFonts w:ascii="Calibri" w:hAnsi="Calibri"/>
            <w:noProof/>
            <w:color w:val="auto"/>
            <w:szCs w:val="22"/>
          </w:rPr>
          <w:tab/>
        </w:r>
        <w:r>
          <w:rPr>
            <w:noProof/>
            <w:webHidden/>
          </w:rPr>
          <w:fldChar w:fldCharType="begin"/>
        </w:r>
        <w:r>
          <w:rPr>
            <w:noProof/>
            <w:webHidden/>
          </w:rPr>
          <w:instrText xml:space="preserve"> PAGEREF _Toc75518135 \h </w:instrText>
        </w:r>
        <w:r>
          <w:rPr>
            <w:noProof/>
            <w:webHidden/>
          </w:rPr>
        </w:r>
        <w:r>
          <w:rPr>
            <w:noProof/>
            <w:webHidden/>
          </w:rPr>
          <w:fldChar w:fldCharType="separate"/>
        </w:r>
        <w:r>
          <w:rPr>
            <w:noProof/>
            <w:webHidden/>
          </w:rPr>
          <w:t>159</w:t>
        </w:r>
        <w:r>
          <w:rPr>
            <w:noProof/>
            <w:webHidden/>
          </w:rPr>
          <w:fldChar w:fldCharType="end"/>
        </w:r>
      </w:hyperlink>
    </w:p>
    <w:p>
      <w:pPr>
        <w:pStyle w:val="TOC2"/>
        <w:rPr>
          <w:rFonts w:ascii="Calibri" w:hAnsi="Calibri"/>
          <w:noProof/>
          <w:color w:val="auto"/>
          <w:szCs w:val="22"/>
        </w:rPr>
      </w:pPr>
      <w:hyperlink w:anchor="_Toc75518136" w:history="1">
        <w:r>
          <w:rPr>
            <w:rStyle w:val="Hyperlink"/>
            <w:noProof/>
            <w:spacing w:val="0"/>
          </w:rPr>
          <w:t>3.1.</w:t>
        </w:r>
        <w:r>
          <w:rPr>
            <w:rFonts w:ascii="Calibri" w:hAnsi="Calibri"/>
            <w:noProof/>
            <w:color w:val="auto"/>
            <w:szCs w:val="22"/>
          </w:rPr>
          <w:tab/>
        </w:r>
        <w:r>
          <w:rPr>
            <w:noProof/>
          </w:rPr>
          <w:t>ОБОБЩЕНИЕ НА ИЗПЪЛНЕНИЕТО НА ПРИХОДИТЕ В БЮДЖЕТА НА ЕС</w:t>
        </w:r>
        <w:r>
          <w:rPr>
            <w:noProof/>
            <w:webHidden/>
          </w:rPr>
          <w:tab/>
        </w:r>
        <w:r>
          <w:rPr>
            <w:noProof/>
            <w:webHidden/>
          </w:rPr>
          <w:fldChar w:fldCharType="begin"/>
        </w:r>
        <w:r>
          <w:rPr>
            <w:noProof/>
            <w:webHidden/>
          </w:rPr>
          <w:instrText xml:space="preserve"> PAGEREF _Toc75518136 \h </w:instrText>
        </w:r>
        <w:r>
          <w:rPr>
            <w:noProof/>
            <w:webHidden/>
          </w:rPr>
        </w:r>
        <w:r>
          <w:rPr>
            <w:noProof/>
            <w:webHidden/>
          </w:rPr>
          <w:fldChar w:fldCharType="separate"/>
        </w:r>
        <w:r>
          <w:rPr>
            <w:noProof/>
            <w:webHidden/>
          </w:rPr>
          <w:t>159</w:t>
        </w:r>
        <w:r>
          <w:rPr>
            <w:noProof/>
            <w:webHidden/>
          </w:rPr>
          <w:fldChar w:fldCharType="end"/>
        </w:r>
      </w:hyperlink>
    </w:p>
    <w:p>
      <w:pPr>
        <w:pStyle w:val="TOC1"/>
        <w:rPr>
          <w:rFonts w:ascii="Calibri" w:hAnsi="Calibri"/>
          <w:noProof/>
          <w:color w:val="auto"/>
          <w:szCs w:val="22"/>
        </w:rPr>
      </w:pPr>
      <w:hyperlink w:anchor="_Toc75518137" w:history="1">
        <w:r>
          <w:rPr>
            <w:rStyle w:val="Hyperlink"/>
            <w:noProof/>
          </w:rPr>
          <w:t>4.</w:t>
        </w:r>
        <w:r>
          <w:rPr>
            <w:noProof/>
          </w:rPr>
          <w:t xml:space="preserve"> </w:t>
        </w:r>
        <w:r>
          <w:rPr>
            <w:rStyle w:val="Hyperlink"/>
            <w:noProof/>
          </w:rPr>
          <w:t>ИЗПЪЛНЕНИЕ НА РАЗХОДИТЕ В БЮДЖЕТА НА ЕС</w:t>
        </w:r>
        <w:r>
          <w:rPr>
            <w:rFonts w:ascii="Calibri" w:hAnsi="Calibri"/>
            <w:noProof/>
            <w:color w:val="auto"/>
            <w:szCs w:val="22"/>
          </w:rPr>
          <w:tab/>
        </w:r>
        <w:r>
          <w:rPr>
            <w:noProof/>
            <w:webHidden/>
          </w:rPr>
          <w:fldChar w:fldCharType="begin"/>
        </w:r>
        <w:r>
          <w:rPr>
            <w:noProof/>
            <w:webHidden/>
          </w:rPr>
          <w:instrText xml:space="preserve"> PAGEREF _Toc75518137 \h </w:instrText>
        </w:r>
        <w:r>
          <w:rPr>
            <w:noProof/>
            <w:webHidden/>
          </w:rPr>
        </w:r>
        <w:r>
          <w:rPr>
            <w:noProof/>
            <w:webHidden/>
          </w:rPr>
          <w:fldChar w:fldCharType="separate"/>
        </w:r>
        <w:r>
          <w:rPr>
            <w:noProof/>
            <w:webHidden/>
          </w:rPr>
          <w:t>160</w:t>
        </w:r>
        <w:r>
          <w:rPr>
            <w:noProof/>
            <w:webHidden/>
          </w:rPr>
          <w:fldChar w:fldCharType="end"/>
        </w:r>
      </w:hyperlink>
    </w:p>
    <w:p>
      <w:pPr>
        <w:pStyle w:val="TOC2"/>
        <w:rPr>
          <w:rFonts w:ascii="Calibri" w:hAnsi="Calibri"/>
          <w:noProof/>
          <w:color w:val="auto"/>
          <w:szCs w:val="22"/>
        </w:rPr>
      </w:pPr>
      <w:hyperlink w:anchor="_Toc75518138" w:history="1">
        <w:r>
          <w:rPr>
            <w:rStyle w:val="Hyperlink"/>
            <w:noProof/>
            <w:spacing w:val="0"/>
          </w:rPr>
          <w:t>4.1.</w:t>
        </w:r>
        <w:r>
          <w:rPr>
            <w:rFonts w:ascii="Calibri" w:hAnsi="Calibri"/>
            <w:noProof/>
            <w:color w:val="auto"/>
            <w:szCs w:val="22"/>
          </w:rPr>
          <w:tab/>
        </w:r>
        <w:r>
          <w:rPr>
            <w:noProof/>
          </w:rPr>
          <w:t>МФР: РАЗБИВКА И ПРОМЕНИ НА БЮДЖЕТНИТЕ КРЕДИТИ ЗА ПОЕТИ ЗАДЪЛЖЕНИЯ И ЗА ПЛАЩАНИЯ</w:t>
        </w:r>
        <w:r>
          <w:rPr>
            <w:noProof/>
            <w:webHidden/>
          </w:rPr>
          <w:tab/>
        </w:r>
        <w:r>
          <w:rPr>
            <w:noProof/>
            <w:webHidden/>
          </w:rPr>
          <w:fldChar w:fldCharType="begin"/>
        </w:r>
        <w:r>
          <w:rPr>
            <w:noProof/>
            <w:webHidden/>
          </w:rPr>
          <w:instrText xml:space="preserve"> PAGEREF _Toc75518138 \h </w:instrText>
        </w:r>
        <w:r>
          <w:rPr>
            <w:noProof/>
            <w:webHidden/>
          </w:rPr>
        </w:r>
        <w:r>
          <w:rPr>
            <w:noProof/>
            <w:webHidden/>
          </w:rPr>
          <w:fldChar w:fldCharType="separate"/>
        </w:r>
        <w:r>
          <w:rPr>
            <w:noProof/>
            <w:webHidden/>
          </w:rPr>
          <w:t>160</w:t>
        </w:r>
        <w:r>
          <w:rPr>
            <w:noProof/>
            <w:webHidden/>
          </w:rPr>
          <w:fldChar w:fldCharType="end"/>
        </w:r>
      </w:hyperlink>
    </w:p>
    <w:p>
      <w:pPr>
        <w:pStyle w:val="TOC2"/>
        <w:rPr>
          <w:rFonts w:ascii="Calibri" w:hAnsi="Calibri"/>
          <w:noProof/>
          <w:color w:val="auto"/>
          <w:szCs w:val="22"/>
        </w:rPr>
      </w:pPr>
      <w:hyperlink w:anchor="_Toc75518139" w:history="1">
        <w:r>
          <w:rPr>
            <w:rStyle w:val="Hyperlink"/>
            <w:noProof/>
            <w:spacing w:val="0"/>
          </w:rPr>
          <w:t>4.2.</w:t>
        </w:r>
        <w:r>
          <w:rPr>
            <w:rFonts w:ascii="Calibri" w:hAnsi="Calibri"/>
            <w:noProof/>
            <w:color w:val="auto"/>
            <w:szCs w:val="22"/>
          </w:rPr>
          <w:tab/>
        </w:r>
        <w:r>
          <w:rPr>
            <w:noProof/>
          </w:rPr>
          <w:t>МФР: ИЗПЪЛНЕНИЕ НА БЮДЖЕТНИТЕ КРЕДИТИ ЗА ПОЕТИ ЗАДЪЛЖЕНИЯ</w:t>
        </w:r>
        <w:r>
          <w:rPr>
            <w:noProof/>
            <w:webHidden/>
          </w:rPr>
          <w:tab/>
        </w:r>
        <w:r>
          <w:rPr>
            <w:noProof/>
            <w:webHidden/>
          </w:rPr>
          <w:fldChar w:fldCharType="begin"/>
        </w:r>
        <w:r>
          <w:rPr>
            <w:noProof/>
            <w:webHidden/>
          </w:rPr>
          <w:instrText xml:space="preserve"> PAGEREF _Toc75518139 \h </w:instrText>
        </w:r>
        <w:r>
          <w:rPr>
            <w:noProof/>
            <w:webHidden/>
          </w:rPr>
        </w:r>
        <w:r>
          <w:rPr>
            <w:noProof/>
            <w:webHidden/>
          </w:rPr>
          <w:fldChar w:fldCharType="separate"/>
        </w:r>
        <w:r>
          <w:rPr>
            <w:noProof/>
            <w:webHidden/>
          </w:rPr>
          <w:t>161</w:t>
        </w:r>
        <w:r>
          <w:rPr>
            <w:noProof/>
            <w:webHidden/>
          </w:rPr>
          <w:fldChar w:fldCharType="end"/>
        </w:r>
      </w:hyperlink>
    </w:p>
    <w:p>
      <w:pPr>
        <w:pStyle w:val="TOC2"/>
        <w:rPr>
          <w:rFonts w:ascii="Calibri" w:hAnsi="Calibri"/>
          <w:noProof/>
          <w:color w:val="auto"/>
          <w:szCs w:val="22"/>
        </w:rPr>
      </w:pPr>
      <w:hyperlink w:anchor="_Toc75518140" w:history="1">
        <w:r>
          <w:rPr>
            <w:rStyle w:val="Hyperlink"/>
            <w:noProof/>
            <w:spacing w:val="0"/>
          </w:rPr>
          <w:t>4.3.</w:t>
        </w:r>
        <w:r>
          <w:rPr>
            <w:rFonts w:ascii="Calibri" w:hAnsi="Calibri"/>
            <w:noProof/>
            <w:color w:val="auto"/>
            <w:szCs w:val="22"/>
          </w:rPr>
          <w:tab/>
        </w:r>
        <w:r>
          <w:rPr>
            <w:noProof/>
          </w:rPr>
          <w:t>МФР: ИЗПЪЛНЕНИЕ НА БЮДЖЕТНИТЕ КРЕДИТИ ЗА ПЛАЩАНИЯ</w:t>
        </w:r>
        <w:r>
          <w:rPr>
            <w:noProof/>
            <w:webHidden/>
          </w:rPr>
          <w:tab/>
        </w:r>
        <w:r>
          <w:rPr>
            <w:noProof/>
            <w:webHidden/>
          </w:rPr>
          <w:fldChar w:fldCharType="begin"/>
        </w:r>
        <w:r>
          <w:rPr>
            <w:noProof/>
            <w:webHidden/>
          </w:rPr>
          <w:instrText xml:space="preserve"> PAGEREF _Toc75518140 \h </w:instrText>
        </w:r>
        <w:r>
          <w:rPr>
            <w:noProof/>
            <w:webHidden/>
          </w:rPr>
        </w:r>
        <w:r>
          <w:rPr>
            <w:noProof/>
            <w:webHidden/>
          </w:rPr>
          <w:fldChar w:fldCharType="separate"/>
        </w:r>
        <w:r>
          <w:rPr>
            <w:noProof/>
            <w:webHidden/>
          </w:rPr>
          <w:t>162</w:t>
        </w:r>
        <w:r>
          <w:rPr>
            <w:noProof/>
            <w:webHidden/>
          </w:rPr>
          <w:fldChar w:fldCharType="end"/>
        </w:r>
      </w:hyperlink>
    </w:p>
    <w:p>
      <w:pPr>
        <w:pStyle w:val="TOC2"/>
        <w:rPr>
          <w:rFonts w:ascii="Calibri" w:hAnsi="Calibri"/>
          <w:noProof/>
          <w:color w:val="auto"/>
          <w:szCs w:val="22"/>
        </w:rPr>
      </w:pPr>
      <w:hyperlink w:anchor="_Toc75518141" w:history="1">
        <w:r>
          <w:rPr>
            <w:rStyle w:val="Hyperlink"/>
            <w:noProof/>
            <w:spacing w:val="0"/>
          </w:rPr>
          <w:t>4.4.</w:t>
        </w:r>
        <w:r>
          <w:rPr>
            <w:rFonts w:ascii="Calibri" w:hAnsi="Calibri"/>
            <w:noProof/>
            <w:color w:val="auto"/>
            <w:szCs w:val="22"/>
          </w:rPr>
          <w:tab/>
        </w:r>
        <w:r>
          <w:rPr>
            <w:noProof/>
          </w:rPr>
          <w:t>МФР: ДВИЖЕНИЯ НА НЕИЗПЪЛНЕНИТЕ ПОЕТИ ЗАДЪЛЖЕНИЯ (RAL)</w:t>
        </w:r>
        <w:r>
          <w:rPr>
            <w:noProof/>
            <w:webHidden/>
          </w:rPr>
          <w:tab/>
        </w:r>
        <w:r>
          <w:rPr>
            <w:noProof/>
            <w:webHidden/>
          </w:rPr>
          <w:fldChar w:fldCharType="begin"/>
        </w:r>
        <w:r>
          <w:rPr>
            <w:noProof/>
            <w:webHidden/>
          </w:rPr>
          <w:instrText xml:space="preserve"> PAGEREF _Toc75518141 \h </w:instrText>
        </w:r>
        <w:r>
          <w:rPr>
            <w:noProof/>
            <w:webHidden/>
          </w:rPr>
        </w:r>
        <w:r>
          <w:rPr>
            <w:noProof/>
            <w:webHidden/>
          </w:rPr>
          <w:fldChar w:fldCharType="separate"/>
        </w:r>
        <w:r>
          <w:rPr>
            <w:noProof/>
            <w:webHidden/>
          </w:rPr>
          <w:t>163</w:t>
        </w:r>
        <w:r>
          <w:rPr>
            <w:noProof/>
            <w:webHidden/>
          </w:rPr>
          <w:fldChar w:fldCharType="end"/>
        </w:r>
      </w:hyperlink>
    </w:p>
    <w:p>
      <w:pPr>
        <w:pStyle w:val="TOC2"/>
        <w:rPr>
          <w:rFonts w:ascii="Calibri" w:hAnsi="Calibri"/>
          <w:noProof/>
          <w:color w:val="auto"/>
          <w:szCs w:val="22"/>
        </w:rPr>
      </w:pPr>
      <w:hyperlink w:anchor="_Toc75518142" w:history="1">
        <w:r>
          <w:rPr>
            <w:rStyle w:val="Hyperlink"/>
            <w:noProof/>
            <w:spacing w:val="0"/>
          </w:rPr>
          <w:t>4.5.</w:t>
        </w:r>
        <w:r>
          <w:rPr>
            <w:rFonts w:ascii="Calibri" w:hAnsi="Calibri"/>
            <w:noProof/>
            <w:color w:val="auto"/>
            <w:szCs w:val="22"/>
          </w:rPr>
          <w:tab/>
        </w:r>
        <w:r>
          <w:rPr>
            <w:noProof/>
          </w:rPr>
          <w:t>МФР: НЕИЗПЪЛНЕНИ ПОЕТИ ЗАДЪЛЖЕНИЯ ПО ГОДИНИ НА ВЪЗНИКВАНЕ</w:t>
        </w:r>
        <w:r>
          <w:rPr>
            <w:noProof/>
            <w:webHidden/>
          </w:rPr>
          <w:tab/>
        </w:r>
        <w:r>
          <w:rPr>
            <w:noProof/>
            <w:webHidden/>
          </w:rPr>
          <w:fldChar w:fldCharType="begin"/>
        </w:r>
        <w:r>
          <w:rPr>
            <w:noProof/>
            <w:webHidden/>
          </w:rPr>
          <w:instrText xml:space="preserve"> PAGEREF _Toc75518142 \h </w:instrText>
        </w:r>
        <w:r>
          <w:rPr>
            <w:noProof/>
            <w:webHidden/>
          </w:rPr>
        </w:r>
        <w:r>
          <w:rPr>
            <w:noProof/>
            <w:webHidden/>
          </w:rPr>
          <w:fldChar w:fldCharType="separate"/>
        </w:r>
        <w:r>
          <w:rPr>
            <w:noProof/>
            <w:webHidden/>
          </w:rPr>
          <w:t>164</w:t>
        </w:r>
        <w:r>
          <w:rPr>
            <w:noProof/>
            <w:webHidden/>
          </w:rPr>
          <w:fldChar w:fldCharType="end"/>
        </w:r>
      </w:hyperlink>
    </w:p>
    <w:p>
      <w:pPr>
        <w:pStyle w:val="TOC2"/>
        <w:rPr>
          <w:rFonts w:ascii="Calibri" w:hAnsi="Calibri"/>
          <w:noProof/>
          <w:color w:val="auto"/>
          <w:szCs w:val="22"/>
        </w:rPr>
      </w:pPr>
      <w:hyperlink w:anchor="_Toc75518143" w:history="1">
        <w:r>
          <w:rPr>
            <w:rStyle w:val="Hyperlink"/>
            <w:noProof/>
            <w:spacing w:val="0"/>
          </w:rPr>
          <w:t>4.6.</w:t>
        </w:r>
        <w:r>
          <w:rPr>
            <w:rFonts w:ascii="Calibri" w:hAnsi="Calibri"/>
            <w:noProof/>
            <w:color w:val="auto"/>
            <w:szCs w:val="22"/>
          </w:rPr>
          <w:tab/>
        </w:r>
        <w:r>
          <w:rPr>
            <w:noProof/>
          </w:rPr>
          <w:t>МФР: НЕИЗПЪЛНЕНИ ПОЕТИ ЗАДЪЛЖЕНИЯ ПО ВИДОВЕ БЮДЖЕТНИ КРЕДИТИ</w:t>
        </w:r>
        <w:r>
          <w:rPr>
            <w:noProof/>
            <w:webHidden/>
          </w:rPr>
          <w:tab/>
        </w:r>
        <w:r>
          <w:rPr>
            <w:noProof/>
            <w:webHidden/>
          </w:rPr>
          <w:tab/>
        </w:r>
        <w:r>
          <w:rPr>
            <w:noProof/>
            <w:webHidden/>
          </w:rPr>
          <w:tab/>
        </w:r>
        <w:r>
          <w:rPr>
            <w:noProof/>
            <w:webHidden/>
          </w:rPr>
          <w:fldChar w:fldCharType="begin"/>
        </w:r>
        <w:r>
          <w:rPr>
            <w:noProof/>
            <w:webHidden/>
          </w:rPr>
          <w:instrText xml:space="preserve"> PAGEREF _Toc75518143 \h </w:instrText>
        </w:r>
        <w:r>
          <w:rPr>
            <w:noProof/>
            <w:webHidden/>
          </w:rPr>
        </w:r>
        <w:r>
          <w:rPr>
            <w:noProof/>
            <w:webHidden/>
          </w:rPr>
          <w:fldChar w:fldCharType="separate"/>
        </w:r>
        <w:r>
          <w:rPr>
            <w:noProof/>
            <w:webHidden/>
          </w:rPr>
          <w:t>165</w:t>
        </w:r>
        <w:r>
          <w:rPr>
            <w:noProof/>
            <w:webHidden/>
          </w:rPr>
          <w:fldChar w:fldCharType="end"/>
        </w:r>
      </w:hyperlink>
    </w:p>
    <w:p>
      <w:pPr>
        <w:pStyle w:val="TOC2"/>
        <w:rPr>
          <w:rFonts w:ascii="Calibri" w:hAnsi="Calibri"/>
          <w:noProof/>
          <w:color w:val="auto"/>
          <w:szCs w:val="22"/>
        </w:rPr>
      </w:pPr>
      <w:hyperlink w:anchor="_Toc75518144" w:history="1">
        <w:r>
          <w:rPr>
            <w:rStyle w:val="Hyperlink"/>
            <w:noProof/>
            <w:spacing w:val="0"/>
          </w:rPr>
          <w:t>4.7.</w:t>
        </w:r>
        <w:r>
          <w:rPr>
            <w:rFonts w:ascii="Calibri" w:hAnsi="Calibri"/>
            <w:noProof/>
            <w:color w:val="auto"/>
            <w:szCs w:val="22"/>
          </w:rPr>
          <w:tab/>
        </w:r>
        <w:r>
          <w:rPr>
            <w:noProof/>
          </w:rPr>
          <w:t>ПОДРОБНА МФР: РАЗБИВКА И ПРОМЕНИ НА БЮДЖЕТНИТЕ КРЕДИТИ ЗА ПОЕТИ ЗАДЪЛЖЕНИЯ И ЗА ПЛАЩАНИЯ</w:t>
        </w:r>
        <w:r>
          <w:rPr>
            <w:noProof/>
            <w:webHidden/>
          </w:rPr>
          <w:tab/>
        </w:r>
        <w:r>
          <w:rPr>
            <w:noProof/>
            <w:webHidden/>
          </w:rPr>
          <w:fldChar w:fldCharType="begin"/>
        </w:r>
        <w:r>
          <w:rPr>
            <w:noProof/>
            <w:webHidden/>
          </w:rPr>
          <w:instrText xml:space="preserve"> PAGEREF _Toc75518144 \h </w:instrText>
        </w:r>
        <w:r>
          <w:rPr>
            <w:noProof/>
            <w:webHidden/>
          </w:rPr>
        </w:r>
        <w:r>
          <w:rPr>
            <w:noProof/>
            <w:webHidden/>
          </w:rPr>
          <w:fldChar w:fldCharType="separate"/>
        </w:r>
        <w:r>
          <w:rPr>
            <w:noProof/>
            <w:webHidden/>
          </w:rPr>
          <w:t>166</w:t>
        </w:r>
        <w:r>
          <w:rPr>
            <w:noProof/>
            <w:webHidden/>
          </w:rPr>
          <w:fldChar w:fldCharType="end"/>
        </w:r>
      </w:hyperlink>
    </w:p>
    <w:p>
      <w:pPr>
        <w:pStyle w:val="TOC2"/>
        <w:rPr>
          <w:rFonts w:ascii="Calibri" w:hAnsi="Calibri"/>
          <w:noProof/>
          <w:color w:val="auto"/>
          <w:szCs w:val="22"/>
        </w:rPr>
      </w:pPr>
      <w:hyperlink w:anchor="_Toc75518145" w:history="1">
        <w:r>
          <w:rPr>
            <w:rStyle w:val="Hyperlink"/>
            <w:noProof/>
            <w:spacing w:val="0"/>
          </w:rPr>
          <w:t>4.8.</w:t>
        </w:r>
        <w:r>
          <w:rPr>
            <w:rFonts w:ascii="Calibri" w:hAnsi="Calibri"/>
            <w:noProof/>
            <w:color w:val="auto"/>
            <w:szCs w:val="22"/>
          </w:rPr>
          <w:tab/>
        </w:r>
        <w:r>
          <w:rPr>
            <w:noProof/>
          </w:rPr>
          <w:t>ПОДРОБНА МФР: ИЗПЪЛНЕНИЕ НА БЮДЖЕТНИТЕ КРЕДИТИ ЗА ПОЕТИ ЗАДЪЛЖЕНИЯ</w:t>
        </w:r>
        <w:r>
          <w:rPr>
            <w:noProof/>
            <w:webHidden/>
          </w:rPr>
          <w:tab/>
        </w:r>
        <w:r>
          <w:rPr>
            <w:noProof/>
            <w:webHidden/>
          </w:rPr>
          <w:fldChar w:fldCharType="begin"/>
        </w:r>
        <w:r>
          <w:rPr>
            <w:noProof/>
            <w:webHidden/>
          </w:rPr>
          <w:instrText xml:space="preserve"> PAGEREF _Toc75518145 \h </w:instrText>
        </w:r>
        <w:r>
          <w:rPr>
            <w:noProof/>
            <w:webHidden/>
          </w:rPr>
        </w:r>
        <w:r>
          <w:rPr>
            <w:noProof/>
            <w:webHidden/>
          </w:rPr>
          <w:fldChar w:fldCharType="separate"/>
        </w:r>
        <w:r>
          <w:rPr>
            <w:noProof/>
            <w:webHidden/>
          </w:rPr>
          <w:t>172</w:t>
        </w:r>
        <w:r>
          <w:rPr>
            <w:noProof/>
            <w:webHidden/>
          </w:rPr>
          <w:fldChar w:fldCharType="end"/>
        </w:r>
      </w:hyperlink>
    </w:p>
    <w:p>
      <w:pPr>
        <w:pStyle w:val="TOC2"/>
        <w:rPr>
          <w:rFonts w:ascii="Calibri" w:hAnsi="Calibri"/>
          <w:noProof/>
          <w:color w:val="auto"/>
          <w:szCs w:val="22"/>
        </w:rPr>
      </w:pPr>
      <w:hyperlink w:anchor="_Toc75518146" w:history="1">
        <w:r>
          <w:rPr>
            <w:rStyle w:val="Hyperlink"/>
            <w:noProof/>
            <w:spacing w:val="0"/>
          </w:rPr>
          <w:t>4.9.</w:t>
        </w:r>
        <w:r>
          <w:rPr>
            <w:rFonts w:ascii="Calibri" w:hAnsi="Calibri"/>
            <w:noProof/>
            <w:color w:val="auto"/>
            <w:szCs w:val="22"/>
          </w:rPr>
          <w:tab/>
        </w:r>
        <w:r>
          <w:rPr>
            <w:noProof/>
          </w:rPr>
          <w:t>ПОДРОБНА МФР: ИЗПЪЛНЕНИЕ НА БЮДЖЕТНИТЕ КРЕДИТИ ЗА ПЛАЩАНИЯ</w:t>
        </w:r>
        <w:r>
          <w:rPr>
            <w:noProof/>
            <w:webHidden/>
          </w:rPr>
          <w:tab/>
        </w:r>
        <w:r>
          <w:rPr>
            <w:noProof/>
            <w:webHidden/>
          </w:rPr>
          <w:fldChar w:fldCharType="begin"/>
        </w:r>
        <w:r>
          <w:rPr>
            <w:noProof/>
            <w:webHidden/>
          </w:rPr>
          <w:instrText xml:space="preserve"> PAGEREF _Toc75518146 \h </w:instrText>
        </w:r>
        <w:r>
          <w:rPr>
            <w:noProof/>
            <w:webHidden/>
          </w:rPr>
        </w:r>
        <w:r>
          <w:rPr>
            <w:noProof/>
            <w:webHidden/>
          </w:rPr>
          <w:fldChar w:fldCharType="separate"/>
        </w:r>
        <w:r>
          <w:rPr>
            <w:noProof/>
            <w:webHidden/>
          </w:rPr>
          <w:t>178</w:t>
        </w:r>
        <w:r>
          <w:rPr>
            <w:noProof/>
            <w:webHidden/>
          </w:rPr>
          <w:fldChar w:fldCharType="end"/>
        </w:r>
      </w:hyperlink>
    </w:p>
    <w:p>
      <w:pPr>
        <w:pStyle w:val="TOC2"/>
        <w:rPr>
          <w:rFonts w:ascii="Calibri" w:hAnsi="Calibri"/>
          <w:noProof/>
          <w:color w:val="auto"/>
          <w:szCs w:val="22"/>
        </w:rPr>
      </w:pPr>
      <w:hyperlink w:anchor="_Toc75518147" w:history="1">
        <w:r>
          <w:rPr>
            <w:rStyle w:val="Hyperlink"/>
            <w:noProof/>
            <w:spacing w:val="0"/>
          </w:rPr>
          <w:t>4.10.</w:t>
        </w:r>
        <w:r>
          <w:rPr>
            <w:rFonts w:ascii="Calibri" w:hAnsi="Calibri"/>
            <w:noProof/>
            <w:color w:val="auto"/>
            <w:szCs w:val="22"/>
          </w:rPr>
          <w:tab/>
        </w:r>
        <w:r>
          <w:rPr>
            <w:noProof/>
          </w:rPr>
          <w:t>ПОДРОБНА МФР: ДВИЖЕНИЯ НА НЕИЗПЪЛНЕНИТЕ ПОЕТИ ЗАДЪЛЖЕНИЯ (RAL)</w:t>
        </w:r>
        <w:r>
          <w:rPr>
            <w:noProof/>
            <w:webHidden/>
          </w:rPr>
          <w:tab/>
        </w:r>
        <w:r>
          <w:rPr>
            <w:noProof/>
            <w:webHidden/>
          </w:rPr>
          <w:tab/>
        </w:r>
        <w:r>
          <w:rPr>
            <w:noProof/>
            <w:webHidden/>
          </w:rPr>
          <w:tab/>
        </w:r>
        <w:r>
          <w:rPr>
            <w:noProof/>
            <w:webHidden/>
          </w:rPr>
          <w:fldChar w:fldCharType="begin"/>
        </w:r>
        <w:r>
          <w:rPr>
            <w:noProof/>
            <w:webHidden/>
          </w:rPr>
          <w:instrText xml:space="preserve"> PAGEREF _Toc75518147 \h </w:instrText>
        </w:r>
        <w:r>
          <w:rPr>
            <w:noProof/>
            <w:webHidden/>
          </w:rPr>
        </w:r>
        <w:r>
          <w:rPr>
            <w:noProof/>
            <w:webHidden/>
          </w:rPr>
          <w:fldChar w:fldCharType="separate"/>
        </w:r>
        <w:r>
          <w:rPr>
            <w:noProof/>
            <w:webHidden/>
          </w:rPr>
          <w:t>185</w:t>
        </w:r>
        <w:r>
          <w:rPr>
            <w:noProof/>
            <w:webHidden/>
          </w:rPr>
          <w:fldChar w:fldCharType="end"/>
        </w:r>
      </w:hyperlink>
    </w:p>
    <w:p>
      <w:pPr>
        <w:pStyle w:val="TOC2"/>
        <w:rPr>
          <w:rFonts w:ascii="Calibri" w:hAnsi="Calibri"/>
          <w:noProof/>
          <w:color w:val="auto"/>
          <w:szCs w:val="22"/>
        </w:rPr>
      </w:pPr>
      <w:hyperlink w:anchor="_Toc75518148" w:history="1">
        <w:r>
          <w:rPr>
            <w:rStyle w:val="Hyperlink"/>
            <w:noProof/>
            <w:spacing w:val="0"/>
          </w:rPr>
          <w:t>4.11.</w:t>
        </w:r>
        <w:r>
          <w:rPr>
            <w:rFonts w:ascii="Calibri" w:hAnsi="Calibri"/>
            <w:noProof/>
            <w:color w:val="auto"/>
            <w:szCs w:val="22"/>
          </w:rPr>
          <w:tab/>
        </w:r>
        <w:r>
          <w:rPr>
            <w:noProof/>
          </w:rPr>
          <w:t>ПОДРОБНА МФР: НЕИЗПЪЛНЕНИ ПОЕТИ ЗАДЪЛЖЕНИЯ ПО ГОДИНИ НА ВЪЗНИКВАНЕ</w:t>
        </w:r>
        <w:r>
          <w:rPr>
            <w:noProof/>
            <w:webHidden/>
          </w:rPr>
          <w:tab/>
        </w:r>
        <w:r>
          <w:rPr>
            <w:noProof/>
            <w:webHidden/>
          </w:rPr>
          <w:fldChar w:fldCharType="begin"/>
        </w:r>
        <w:r>
          <w:rPr>
            <w:noProof/>
            <w:webHidden/>
          </w:rPr>
          <w:instrText xml:space="preserve"> PAGEREF _Toc75518148 \h </w:instrText>
        </w:r>
        <w:r>
          <w:rPr>
            <w:noProof/>
            <w:webHidden/>
          </w:rPr>
        </w:r>
        <w:r>
          <w:rPr>
            <w:noProof/>
            <w:webHidden/>
          </w:rPr>
          <w:fldChar w:fldCharType="separate"/>
        </w:r>
        <w:r>
          <w:rPr>
            <w:noProof/>
            <w:webHidden/>
          </w:rPr>
          <w:t>191</w:t>
        </w:r>
        <w:r>
          <w:rPr>
            <w:noProof/>
            <w:webHidden/>
          </w:rPr>
          <w:fldChar w:fldCharType="end"/>
        </w:r>
      </w:hyperlink>
    </w:p>
    <w:p>
      <w:pPr>
        <w:pStyle w:val="TOC2"/>
        <w:rPr>
          <w:rFonts w:ascii="Calibri" w:hAnsi="Calibri"/>
          <w:noProof/>
          <w:color w:val="auto"/>
          <w:szCs w:val="22"/>
        </w:rPr>
      </w:pPr>
      <w:hyperlink w:anchor="_Toc75518149" w:history="1">
        <w:r>
          <w:rPr>
            <w:rStyle w:val="Hyperlink"/>
            <w:noProof/>
            <w:spacing w:val="0"/>
          </w:rPr>
          <w:t>4.12.</w:t>
        </w:r>
        <w:r>
          <w:rPr>
            <w:rFonts w:ascii="Calibri" w:hAnsi="Calibri"/>
            <w:noProof/>
            <w:color w:val="auto"/>
            <w:szCs w:val="22"/>
          </w:rPr>
          <w:tab/>
        </w:r>
        <w:r>
          <w:rPr>
            <w:noProof/>
          </w:rPr>
          <w:t>ПОДРОБНА МФР: НЕИЗПЪЛНЕНИ ПОЕТИ ЗАДЪЛЖЕНИЯ ПО ВИДОВЕ БЮДЖЕТНИ КРЕДИТИ</w:t>
        </w:r>
        <w:r>
          <w:rPr>
            <w:noProof/>
            <w:webHidden/>
          </w:rPr>
          <w:tab/>
        </w:r>
        <w:r>
          <w:rPr>
            <w:noProof/>
            <w:webHidden/>
          </w:rPr>
          <w:fldChar w:fldCharType="begin"/>
        </w:r>
        <w:r>
          <w:rPr>
            <w:noProof/>
            <w:webHidden/>
          </w:rPr>
          <w:instrText xml:space="preserve"> PAGEREF _Toc75518149 \h </w:instrText>
        </w:r>
        <w:r>
          <w:rPr>
            <w:noProof/>
            <w:webHidden/>
          </w:rPr>
        </w:r>
        <w:r>
          <w:rPr>
            <w:noProof/>
            <w:webHidden/>
          </w:rPr>
          <w:fldChar w:fldCharType="separate"/>
        </w:r>
        <w:r>
          <w:rPr>
            <w:noProof/>
            <w:webHidden/>
          </w:rPr>
          <w:t>195</w:t>
        </w:r>
        <w:r>
          <w:rPr>
            <w:noProof/>
            <w:webHidden/>
          </w:rPr>
          <w:fldChar w:fldCharType="end"/>
        </w:r>
      </w:hyperlink>
    </w:p>
    <w:p>
      <w:pPr>
        <w:pStyle w:val="TOC1"/>
        <w:rPr>
          <w:rFonts w:ascii="Calibri" w:hAnsi="Calibri"/>
          <w:noProof/>
          <w:color w:val="auto"/>
          <w:szCs w:val="22"/>
        </w:rPr>
      </w:pPr>
      <w:hyperlink w:anchor="_Toc75518150" w:history="1">
        <w:r>
          <w:rPr>
            <w:rStyle w:val="Hyperlink"/>
            <w:noProof/>
          </w:rPr>
          <w:t>5.</w:t>
        </w:r>
        <w:r>
          <w:rPr>
            <w:noProof/>
          </w:rPr>
          <w:t xml:space="preserve"> </w:t>
        </w:r>
        <w:r>
          <w:rPr>
            <w:rStyle w:val="Hyperlink"/>
            <w:noProof/>
          </w:rPr>
          <w:t>ИЗПЪЛНЕНИЕ НА БЮДЖЕТА ПО ИНСТИТУЦИИ</w:t>
        </w:r>
        <w:r>
          <w:rPr>
            <w:rFonts w:ascii="Calibri" w:hAnsi="Calibri"/>
            <w:noProof/>
            <w:color w:val="auto"/>
            <w:szCs w:val="22"/>
          </w:rPr>
          <w:tab/>
        </w:r>
        <w:r>
          <w:rPr>
            <w:noProof/>
            <w:webHidden/>
          </w:rPr>
          <w:fldChar w:fldCharType="begin"/>
        </w:r>
        <w:r>
          <w:rPr>
            <w:noProof/>
            <w:webHidden/>
          </w:rPr>
          <w:instrText xml:space="preserve"> PAGEREF _Toc75518150 \h </w:instrText>
        </w:r>
        <w:r>
          <w:rPr>
            <w:noProof/>
            <w:webHidden/>
          </w:rPr>
        </w:r>
        <w:r>
          <w:rPr>
            <w:noProof/>
            <w:webHidden/>
          </w:rPr>
          <w:fldChar w:fldCharType="separate"/>
        </w:r>
        <w:r>
          <w:rPr>
            <w:noProof/>
            <w:webHidden/>
          </w:rPr>
          <w:t>201</w:t>
        </w:r>
        <w:r>
          <w:rPr>
            <w:noProof/>
            <w:webHidden/>
          </w:rPr>
          <w:fldChar w:fldCharType="end"/>
        </w:r>
      </w:hyperlink>
    </w:p>
    <w:p>
      <w:pPr>
        <w:pStyle w:val="TOC2"/>
        <w:rPr>
          <w:rFonts w:ascii="Calibri" w:hAnsi="Calibri"/>
          <w:noProof/>
          <w:color w:val="auto"/>
          <w:szCs w:val="22"/>
        </w:rPr>
      </w:pPr>
      <w:hyperlink w:anchor="_Toc75518151" w:history="1">
        <w:r>
          <w:rPr>
            <w:rStyle w:val="Hyperlink"/>
            <w:noProof/>
            <w:spacing w:val="0"/>
          </w:rPr>
          <w:t>5.1.</w:t>
        </w:r>
        <w:r>
          <w:rPr>
            <w:rFonts w:ascii="Calibri" w:hAnsi="Calibri"/>
            <w:noProof/>
            <w:color w:val="auto"/>
            <w:szCs w:val="22"/>
          </w:rPr>
          <w:tab/>
        </w:r>
        <w:r>
          <w:rPr>
            <w:noProof/>
          </w:rPr>
          <w:t>ИЗПЪЛНЕНИЕ НА БЮДЖЕТНИТЕ ПРИХОДИ</w:t>
        </w:r>
        <w:r>
          <w:rPr>
            <w:noProof/>
            <w:webHidden/>
          </w:rPr>
          <w:tab/>
        </w:r>
        <w:r>
          <w:rPr>
            <w:noProof/>
            <w:webHidden/>
          </w:rPr>
          <w:fldChar w:fldCharType="begin"/>
        </w:r>
        <w:r>
          <w:rPr>
            <w:noProof/>
            <w:webHidden/>
          </w:rPr>
          <w:instrText xml:space="preserve"> PAGEREF _Toc75518151 \h </w:instrText>
        </w:r>
        <w:r>
          <w:rPr>
            <w:noProof/>
            <w:webHidden/>
          </w:rPr>
        </w:r>
        <w:r>
          <w:rPr>
            <w:noProof/>
            <w:webHidden/>
          </w:rPr>
          <w:fldChar w:fldCharType="separate"/>
        </w:r>
        <w:r>
          <w:rPr>
            <w:noProof/>
            <w:webHidden/>
          </w:rPr>
          <w:t>201</w:t>
        </w:r>
        <w:r>
          <w:rPr>
            <w:noProof/>
            <w:webHidden/>
          </w:rPr>
          <w:fldChar w:fldCharType="end"/>
        </w:r>
      </w:hyperlink>
    </w:p>
    <w:p>
      <w:pPr>
        <w:pStyle w:val="TOC2"/>
        <w:rPr>
          <w:rFonts w:ascii="Calibri" w:hAnsi="Calibri"/>
          <w:noProof/>
          <w:color w:val="auto"/>
          <w:szCs w:val="22"/>
        </w:rPr>
      </w:pPr>
      <w:hyperlink w:anchor="_Toc75518152" w:history="1">
        <w:r>
          <w:rPr>
            <w:rStyle w:val="Hyperlink"/>
            <w:noProof/>
            <w:spacing w:val="0"/>
          </w:rPr>
          <w:t>5.2.</w:t>
        </w:r>
        <w:r>
          <w:rPr>
            <w:rFonts w:ascii="Calibri" w:hAnsi="Calibri"/>
            <w:noProof/>
            <w:color w:val="auto"/>
            <w:szCs w:val="22"/>
          </w:rPr>
          <w:tab/>
        </w:r>
        <w:r>
          <w:rPr>
            <w:noProof/>
          </w:rPr>
          <w:t>ИЗПЪЛНЕНИЕ НА БЮДЖЕТНИТЕ КРЕДИТИ ЗА ПОЕТИ ЗАДЪЛЖЕНИЯ</w:t>
        </w:r>
        <w:r>
          <w:rPr>
            <w:noProof/>
            <w:webHidden/>
          </w:rPr>
          <w:tab/>
        </w:r>
        <w:r>
          <w:rPr>
            <w:noProof/>
            <w:webHidden/>
          </w:rPr>
          <w:fldChar w:fldCharType="begin"/>
        </w:r>
        <w:r>
          <w:rPr>
            <w:noProof/>
            <w:webHidden/>
          </w:rPr>
          <w:instrText xml:space="preserve"> PAGEREF _Toc75518152 \h </w:instrText>
        </w:r>
        <w:r>
          <w:rPr>
            <w:noProof/>
            <w:webHidden/>
          </w:rPr>
        </w:r>
        <w:r>
          <w:rPr>
            <w:noProof/>
            <w:webHidden/>
          </w:rPr>
          <w:fldChar w:fldCharType="separate"/>
        </w:r>
        <w:r>
          <w:rPr>
            <w:noProof/>
            <w:webHidden/>
          </w:rPr>
          <w:t>202</w:t>
        </w:r>
        <w:r>
          <w:rPr>
            <w:noProof/>
            <w:webHidden/>
          </w:rPr>
          <w:fldChar w:fldCharType="end"/>
        </w:r>
      </w:hyperlink>
    </w:p>
    <w:p>
      <w:pPr>
        <w:pStyle w:val="TOC2"/>
        <w:rPr>
          <w:rFonts w:ascii="Calibri" w:hAnsi="Calibri"/>
          <w:noProof/>
          <w:color w:val="auto"/>
          <w:szCs w:val="22"/>
        </w:rPr>
      </w:pPr>
      <w:hyperlink w:anchor="_Toc75518153" w:history="1">
        <w:r>
          <w:rPr>
            <w:rStyle w:val="Hyperlink"/>
            <w:noProof/>
            <w:spacing w:val="0"/>
          </w:rPr>
          <w:t>5.3.</w:t>
        </w:r>
        <w:r>
          <w:rPr>
            <w:rFonts w:ascii="Calibri" w:hAnsi="Calibri"/>
            <w:noProof/>
            <w:color w:val="auto"/>
            <w:szCs w:val="22"/>
          </w:rPr>
          <w:tab/>
        </w:r>
        <w:r>
          <w:rPr>
            <w:noProof/>
          </w:rPr>
          <w:t>ИЗПЪЛНЕНИЕ НА БЮДЖЕТНИТЕ КРЕДИТИ ЗА ПЛАЩАНИЯ</w:t>
        </w:r>
        <w:r>
          <w:rPr>
            <w:noProof/>
            <w:webHidden/>
          </w:rPr>
          <w:tab/>
        </w:r>
        <w:r>
          <w:rPr>
            <w:noProof/>
            <w:webHidden/>
          </w:rPr>
          <w:fldChar w:fldCharType="begin"/>
        </w:r>
        <w:r>
          <w:rPr>
            <w:noProof/>
            <w:webHidden/>
          </w:rPr>
          <w:instrText xml:space="preserve"> PAGEREF _Toc75518153 \h </w:instrText>
        </w:r>
        <w:r>
          <w:rPr>
            <w:noProof/>
            <w:webHidden/>
          </w:rPr>
        </w:r>
        <w:r>
          <w:rPr>
            <w:noProof/>
            <w:webHidden/>
          </w:rPr>
          <w:fldChar w:fldCharType="separate"/>
        </w:r>
        <w:r>
          <w:rPr>
            <w:noProof/>
            <w:webHidden/>
          </w:rPr>
          <w:t>203</w:t>
        </w:r>
        <w:r>
          <w:rPr>
            <w:noProof/>
            <w:webHidden/>
          </w:rPr>
          <w:fldChar w:fldCharType="end"/>
        </w:r>
      </w:hyperlink>
    </w:p>
    <w:p>
      <w:pPr>
        <w:pStyle w:val="TOC1"/>
        <w:rPr>
          <w:rFonts w:ascii="Calibri" w:hAnsi="Calibri"/>
          <w:noProof/>
          <w:color w:val="auto"/>
          <w:szCs w:val="22"/>
        </w:rPr>
      </w:pPr>
      <w:hyperlink w:anchor="_Toc75518154" w:history="1">
        <w:r>
          <w:rPr>
            <w:rStyle w:val="Hyperlink"/>
            <w:noProof/>
          </w:rPr>
          <w:t>6.</w:t>
        </w:r>
        <w:r>
          <w:rPr>
            <w:noProof/>
          </w:rPr>
          <w:t xml:space="preserve"> </w:t>
        </w:r>
        <w:r>
          <w:rPr>
            <w:rStyle w:val="Hyperlink"/>
            <w:noProof/>
          </w:rPr>
          <w:t>ИЗПЪЛНЕНИЕ НА БЮДЖЕТА НА АГЕНЦИИТЕ</w:t>
        </w:r>
        <w:r>
          <w:rPr>
            <w:rFonts w:ascii="Calibri" w:hAnsi="Calibri"/>
            <w:noProof/>
            <w:color w:val="auto"/>
            <w:szCs w:val="22"/>
          </w:rPr>
          <w:tab/>
        </w:r>
        <w:r>
          <w:rPr>
            <w:noProof/>
            <w:webHidden/>
          </w:rPr>
          <w:fldChar w:fldCharType="begin"/>
        </w:r>
        <w:r>
          <w:rPr>
            <w:noProof/>
            <w:webHidden/>
          </w:rPr>
          <w:instrText xml:space="preserve"> PAGEREF _Toc75518154 \h </w:instrText>
        </w:r>
        <w:r>
          <w:rPr>
            <w:noProof/>
            <w:webHidden/>
          </w:rPr>
        </w:r>
        <w:r>
          <w:rPr>
            <w:noProof/>
            <w:webHidden/>
          </w:rPr>
          <w:fldChar w:fldCharType="separate"/>
        </w:r>
        <w:r>
          <w:rPr>
            <w:noProof/>
            <w:webHidden/>
          </w:rPr>
          <w:t>204</w:t>
        </w:r>
        <w:r>
          <w:rPr>
            <w:noProof/>
            <w:webHidden/>
          </w:rPr>
          <w:fldChar w:fldCharType="end"/>
        </w:r>
      </w:hyperlink>
    </w:p>
    <w:p>
      <w:pPr>
        <w:pStyle w:val="TOC2"/>
        <w:rPr>
          <w:rFonts w:ascii="Calibri" w:hAnsi="Calibri"/>
          <w:noProof/>
          <w:color w:val="auto"/>
          <w:szCs w:val="22"/>
        </w:rPr>
      </w:pPr>
      <w:hyperlink w:anchor="_Toc75518155" w:history="1">
        <w:r>
          <w:rPr>
            <w:rStyle w:val="Hyperlink"/>
            <w:noProof/>
            <w:spacing w:val="0"/>
          </w:rPr>
          <w:t>6.1.</w:t>
        </w:r>
        <w:r>
          <w:rPr>
            <w:rFonts w:ascii="Calibri" w:hAnsi="Calibri"/>
            <w:noProof/>
            <w:color w:val="auto"/>
            <w:szCs w:val="22"/>
          </w:rPr>
          <w:tab/>
        </w:r>
        <w:r>
          <w:rPr>
            <w:noProof/>
          </w:rPr>
          <w:t>БЮДЖЕТНИ ПРИХОДИ</w:t>
        </w:r>
        <w:r>
          <w:rPr>
            <w:noProof/>
            <w:webHidden/>
          </w:rPr>
          <w:tab/>
        </w:r>
        <w:r>
          <w:rPr>
            <w:noProof/>
            <w:webHidden/>
          </w:rPr>
          <w:fldChar w:fldCharType="begin"/>
        </w:r>
        <w:r>
          <w:rPr>
            <w:noProof/>
            <w:webHidden/>
          </w:rPr>
          <w:instrText xml:space="preserve"> PAGEREF _Toc75518155 \h </w:instrText>
        </w:r>
        <w:r>
          <w:rPr>
            <w:noProof/>
            <w:webHidden/>
          </w:rPr>
        </w:r>
        <w:r>
          <w:rPr>
            <w:noProof/>
            <w:webHidden/>
          </w:rPr>
          <w:fldChar w:fldCharType="separate"/>
        </w:r>
        <w:r>
          <w:rPr>
            <w:noProof/>
            <w:webHidden/>
          </w:rPr>
          <w:t>204</w:t>
        </w:r>
        <w:r>
          <w:rPr>
            <w:noProof/>
            <w:webHidden/>
          </w:rPr>
          <w:fldChar w:fldCharType="end"/>
        </w:r>
      </w:hyperlink>
    </w:p>
    <w:p>
      <w:pPr>
        <w:pStyle w:val="TOC2"/>
        <w:rPr>
          <w:rFonts w:ascii="Calibri" w:hAnsi="Calibri"/>
          <w:noProof/>
          <w:color w:val="auto"/>
          <w:szCs w:val="22"/>
        </w:rPr>
      </w:pPr>
      <w:hyperlink w:anchor="_Toc75518156" w:history="1">
        <w:r>
          <w:rPr>
            <w:rStyle w:val="Hyperlink"/>
            <w:noProof/>
            <w:spacing w:val="0"/>
          </w:rPr>
          <w:t>6.2.</w:t>
        </w:r>
        <w:r>
          <w:rPr>
            <w:rFonts w:ascii="Calibri" w:hAnsi="Calibri"/>
            <w:noProof/>
            <w:color w:val="auto"/>
            <w:szCs w:val="22"/>
          </w:rPr>
          <w:tab/>
        </w:r>
        <w:r>
          <w:rPr>
            <w:noProof/>
          </w:rPr>
          <w:t>БЮДЖЕТНИ КРЕДИТИ ЗА ПОЕТИ ЗАДЪЛЖЕНИЯ И ЗА ПЛАЩАНИЯ ПО АГЕНЦИИ</w:t>
        </w:r>
        <w:r>
          <w:rPr>
            <w:noProof/>
            <w:webHidden/>
          </w:rPr>
          <w:tab/>
        </w:r>
        <w:r>
          <w:rPr>
            <w:noProof/>
            <w:webHidden/>
          </w:rPr>
          <w:tab/>
        </w:r>
        <w:r>
          <w:rPr>
            <w:noProof/>
            <w:webHidden/>
          </w:rPr>
          <w:tab/>
        </w:r>
        <w:r>
          <w:rPr>
            <w:noProof/>
            <w:webHidden/>
          </w:rPr>
          <w:fldChar w:fldCharType="begin"/>
        </w:r>
        <w:r>
          <w:rPr>
            <w:noProof/>
            <w:webHidden/>
          </w:rPr>
          <w:instrText xml:space="preserve"> PAGEREF _Toc75518156 \h </w:instrText>
        </w:r>
        <w:r>
          <w:rPr>
            <w:noProof/>
            <w:webHidden/>
          </w:rPr>
        </w:r>
        <w:r>
          <w:rPr>
            <w:noProof/>
            <w:webHidden/>
          </w:rPr>
          <w:fldChar w:fldCharType="separate"/>
        </w:r>
        <w:r>
          <w:rPr>
            <w:noProof/>
            <w:webHidden/>
          </w:rPr>
          <w:t>205</w:t>
        </w:r>
        <w:r>
          <w:rPr>
            <w:noProof/>
            <w:webHidden/>
          </w:rPr>
          <w:fldChar w:fldCharType="end"/>
        </w:r>
      </w:hyperlink>
    </w:p>
    <w:p>
      <w:pPr>
        <w:pStyle w:val="Textstand-alone"/>
        <w:sectPr>
          <w:headerReference w:type="even" r:id="rId302"/>
          <w:headerReference w:type="default" r:id="rId303"/>
          <w:footerReference w:type="even" r:id="rId304"/>
          <w:footerReference w:type="default" r:id="rId305"/>
          <w:headerReference w:type="first" r:id="rId306"/>
          <w:footerReference w:type="first" r:id="rId307"/>
          <w:pgSz w:w="11907" w:h="16840"/>
          <w:pgMar w:top="1134" w:right="1134" w:bottom="1134" w:left="1134" w:header="709" w:footer="709" w:gutter="0"/>
          <w:cols w:space="708"/>
          <w:docGrid w:linePitch="360"/>
        </w:sectPr>
      </w:pPr>
      <w:r>
        <w:rPr>
          <w:caps/>
          <w:color w:val="016894"/>
          <w:sz w:val="20"/>
          <w:szCs w:val="24"/>
        </w:rPr>
        <w:fldChar w:fldCharType="end"/>
      </w:r>
      <w:bookmarkEnd w:id="219"/>
    </w:p>
    <w:p>
      <w:pPr>
        <w:pStyle w:val="HEADERTITLE2"/>
        <w:rPr>
          <w:rFonts w:eastAsia="Calibri"/>
        </w:rPr>
      </w:pPr>
      <w:bookmarkStart w:id="220" w:name="_Toc75518122"/>
      <w:bookmarkStart w:id="221" w:name="_DMBM_19902"/>
      <w:r>
        <w:t>РЕЗУЛТАТ ОТ ИЗПЪЛНЕНИЕТО НА БЮДЖЕТА НА ЕС</w:t>
      </w:r>
      <w:bookmarkEnd w:id="220"/>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1"/>
        <w:gridCol w:w="6476"/>
        <w:gridCol w:w="1186"/>
        <w:gridCol w:w="1186"/>
      </w:tblGrid>
      <w:tr>
        <w:trPr>
          <w:trHeight w:hRule="exact" w:val="405"/>
        </w:trPr>
        <w:tc>
          <w:tcPr>
            <w:tcW w:w="911"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bookmarkStart w:id="222" w:name="DOC_TBL00100_1_1"/>
            <w:bookmarkEnd w:id="222"/>
          </w:p>
        </w:tc>
        <w:tc>
          <w:tcPr>
            <w:tcW w:w="647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84"/>
        </w:trPr>
        <w:tc>
          <w:tcPr>
            <w:tcW w:w="911" w:type="dxa"/>
            <w:tcBorders>
              <w:top w:val="nil"/>
              <w:left w:val="nil"/>
              <w:bottom w:val="nil"/>
              <w:right w:val="nil"/>
              <w:tl2br w:val="nil"/>
              <w:tr2bl w:val="nil"/>
            </w:tcBorders>
            <w:shd w:val="solid" w:color="016794" w:fill="FFFFFF"/>
            <w:tcMar>
              <w:left w:w="60" w:type="dxa"/>
              <w:right w:w="60" w:type="dxa"/>
            </w:tcMar>
            <w:vAlign w:val="center"/>
          </w:tcPr>
          <w:p>
            <w:pPr>
              <w:pStyle w:val="DMETW19805BIPBudgetresult"/>
              <w:jc w:val="center"/>
              <w:rPr>
                <w:rFonts w:ascii="Verdana" w:eastAsia="Verdana" w:hAnsi="Verdana" w:cs="Verdana"/>
                <w:noProof/>
                <w:color w:val="FFFFFF"/>
                <w:sz w:val="16"/>
              </w:rPr>
            </w:pPr>
            <w:r>
              <w:rPr>
                <w:rFonts w:ascii="Verdana" w:hAnsi="Verdana"/>
                <w:noProof/>
                <w:color w:val="FFFFFF"/>
                <w:sz w:val="16"/>
              </w:rPr>
              <w:t>Бележка</w:t>
            </w:r>
          </w:p>
        </w:tc>
        <w:tc>
          <w:tcPr>
            <w:tcW w:w="6476" w:type="dxa"/>
            <w:tcBorders>
              <w:top w:val="nil"/>
              <w:left w:val="nil"/>
              <w:bottom w:val="nil"/>
              <w:right w:val="nil"/>
              <w:tl2br w:val="nil"/>
              <w:tr2bl w:val="nil"/>
            </w:tcBorders>
            <w:shd w:val="solid" w:color="016794" w:fill="FFFFFF"/>
            <w:tcMar>
              <w:left w:w="60" w:type="dxa"/>
              <w:right w:w="60" w:type="dxa"/>
            </w:tcMar>
            <w:vAlign w:val="center"/>
          </w:tcPr>
          <w:p>
            <w:pPr>
              <w:pStyle w:val="DMETW19805BIPBudgetresult"/>
              <w:jc w:val="center"/>
              <w:rPr>
                <w:rFonts w:ascii="Verdana" w:eastAsia="Verdana" w:hAnsi="Verdana" w:cs="Verdana"/>
                <w:noProof/>
                <w:color w:val="FFFFFF"/>
                <w:sz w:val="16"/>
              </w:rPr>
            </w:pPr>
          </w:p>
        </w:tc>
        <w:tc>
          <w:tcPr>
            <w:tcW w:w="1186" w:type="dxa"/>
            <w:tcBorders>
              <w:top w:val="nil"/>
              <w:left w:val="nil"/>
              <w:bottom w:val="nil"/>
              <w:right w:val="nil"/>
              <w:tl2br w:val="nil"/>
              <w:tr2bl w:val="nil"/>
            </w:tcBorders>
            <w:shd w:val="solid" w:color="016794" w:fill="FFFFFF"/>
            <w:tcMar>
              <w:left w:w="60" w:type="dxa"/>
              <w:right w:w="60" w:type="dxa"/>
            </w:tcMar>
            <w:vAlign w:val="center"/>
          </w:tcPr>
          <w:p>
            <w:pPr>
              <w:pStyle w:val="DMETW19805BIPBudgetresult"/>
              <w:jc w:val="right"/>
              <w:rPr>
                <w:rFonts w:ascii="Verdana" w:eastAsia="Verdana" w:hAnsi="Verdana" w:cs="Verdana"/>
                <w:noProof/>
                <w:color w:val="FFFFFF"/>
                <w:sz w:val="16"/>
              </w:rPr>
            </w:pPr>
            <w:r>
              <w:rPr>
                <w:rFonts w:ascii="Verdana" w:hAnsi="Verdana"/>
                <w:noProof/>
                <w:color w:val="FFFFFF"/>
                <w:sz w:val="16"/>
              </w:rPr>
              <w:t>2020 г.</w:t>
            </w:r>
          </w:p>
        </w:tc>
        <w:tc>
          <w:tcPr>
            <w:tcW w:w="1186" w:type="dxa"/>
            <w:tcBorders>
              <w:top w:val="nil"/>
              <w:left w:val="nil"/>
              <w:bottom w:val="nil"/>
              <w:right w:val="nil"/>
              <w:tl2br w:val="nil"/>
              <w:tr2bl w:val="nil"/>
            </w:tcBorders>
            <w:shd w:val="solid" w:color="016794" w:fill="FFFFFF"/>
            <w:tcMar>
              <w:left w:w="60" w:type="dxa"/>
              <w:right w:w="60" w:type="dxa"/>
            </w:tcMar>
            <w:vAlign w:val="center"/>
          </w:tcPr>
          <w:p>
            <w:pPr>
              <w:pStyle w:val="DMETW19805BIPBudgetresult"/>
              <w:jc w:val="right"/>
              <w:rPr>
                <w:rFonts w:ascii="Verdana" w:eastAsia="Verdana" w:hAnsi="Verdana" w:cs="Verdana"/>
                <w:noProof/>
                <w:color w:val="FFFFFF"/>
                <w:sz w:val="16"/>
              </w:rPr>
            </w:pPr>
            <w:r>
              <w:rPr>
                <w:rFonts w:ascii="Verdana" w:hAnsi="Verdana"/>
                <w:noProof/>
                <w:color w:val="FFFFFF"/>
                <w:sz w:val="16"/>
              </w:rPr>
              <w:t>2019 г.</w:t>
            </w:r>
          </w:p>
        </w:tc>
      </w:tr>
      <w:tr>
        <w:trPr>
          <w:trHeight w:hRule="exact" w:val="284"/>
        </w:trPr>
        <w:tc>
          <w:tcPr>
            <w:tcW w:w="911"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center"/>
              <w:rPr>
                <w:rFonts w:ascii="Verdana" w:eastAsia="Verdana" w:hAnsi="Verdana" w:cs="Verdana"/>
                <w:noProof/>
                <w:color w:val="000000"/>
                <w:sz w:val="16"/>
              </w:rPr>
            </w:pPr>
            <w:r>
              <w:rPr>
                <w:rFonts w:ascii="Verdana" w:hAnsi="Verdana"/>
                <w:noProof/>
                <w:color w:val="000000"/>
                <w:sz w:val="16"/>
              </w:rPr>
              <w:t>а</w:t>
            </w:r>
          </w:p>
        </w:tc>
        <w:tc>
          <w:tcPr>
            <w:tcW w:w="647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Приходи за финансовата година</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174 306</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163 918</w:t>
            </w:r>
          </w:p>
        </w:tc>
      </w:tr>
      <w:tr>
        <w:trPr>
          <w:trHeight w:hRule="exact" w:val="284"/>
        </w:trPr>
        <w:tc>
          <w:tcPr>
            <w:tcW w:w="911"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center"/>
              <w:rPr>
                <w:rFonts w:ascii="Verdana" w:eastAsia="Verdana" w:hAnsi="Verdana" w:cs="Verdana"/>
                <w:noProof/>
                <w:color w:val="000000"/>
                <w:sz w:val="16"/>
              </w:rPr>
            </w:pPr>
            <w:r>
              <w:rPr>
                <w:rFonts w:ascii="Verdana" w:hAnsi="Verdana"/>
                <w:noProof/>
                <w:color w:val="000000"/>
                <w:sz w:val="16"/>
              </w:rPr>
              <w:t>б</w:t>
            </w:r>
          </w:p>
        </w:tc>
        <w:tc>
          <w:tcPr>
            <w:tcW w:w="647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Плащания спрямо бюджетните кредити за текущата година</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(171 721)</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(157 428)</w:t>
            </w:r>
          </w:p>
        </w:tc>
      </w:tr>
      <w:tr>
        <w:trPr>
          <w:trHeight w:hRule="exact" w:val="284"/>
        </w:trPr>
        <w:tc>
          <w:tcPr>
            <w:tcW w:w="911"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center"/>
              <w:rPr>
                <w:rFonts w:ascii="Verdana" w:eastAsia="Verdana" w:hAnsi="Verdana" w:cs="Verdana"/>
                <w:noProof/>
                <w:color w:val="000000"/>
                <w:sz w:val="16"/>
              </w:rPr>
            </w:pPr>
            <w:r>
              <w:rPr>
                <w:rFonts w:ascii="Verdana" w:hAnsi="Verdana"/>
                <w:noProof/>
                <w:color w:val="000000"/>
                <w:sz w:val="16"/>
              </w:rPr>
              <w:t>в</w:t>
            </w:r>
          </w:p>
        </w:tc>
        <w:tc>
          <w:tcPr>
            <w:tcW w:w="647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Бюджетни кредити за плащания, пренесени за година N+1</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(2 086)</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(1 615)</w:t>
            </w:r>
          </w:p>
        </w:tc>
      </w:tr>
      <w:tr>
        <w:trPr>
          <w:trHeight w:hRule="exact" w:val="284"/>
        </w:trPr>
        <w:tc>
          <w:tcPr>
            <w:tcW w:w="911"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center"/>
              <w:rPr>
                <w:rFonts w:ascii="Verdana" w:eastAsia="Verdana" w:hAnsi="Verdana" w:cs="Verdana"/>
                <w:noProof/>
                <w:color w:val="000000"/>
                <w:sz w:val="16"/>
              </w:rPr>
            </w:pPr>
            <w:r>
              <w:rPr>
                <w:rFonts w:ascii="Verdana" w:hAnsi="Verdana"/>
                <w:noProof/>
                <w:color w:val="000000"/>
                <w:sz w:val="16"/>
              </w:rPr>
              <w:t>г</w:t>
            </w:r>
          </w:p>
        </w:tc>
        <w:tc>
          <w:tcPr>
            <w:tcW w:w="647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Отмяна на неусвоени бюджетни кредити, пренесени от година N-1</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 xml:space="preserve"> 78</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 xml:space="preserve"> 75</w:t>
            </w:r>
          </w:p>
        </w:tc>
      </w:tr>
      <w:tr>
        <w:trPr>
          <w:trHeight w:hRule="exact" w:val="284"/>
        </w:trPr>
        <w:tc>
          <w:tcPr>
            <w:tcW w:w="911"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center"/>
              <w:rPr>
                <w:rFonts w:ascii="Verdana" w:eastAsia="Verdana" w:hAnsi="Verdana" w:cs="Verdana"/>
                <w:noProof/>
                <w:color w:val="000000"/>
                <w:sz w:val="16"/>
              </w:rPr>
            </w:pPr>
            <w:r>
              <w:rPr>
                <w:rFonts w:ascii="Verdana" w:hAnsi="Verdana"/>
                <w:noProof/>
                <w:color w:val="000000"/>
                <w:sz w:val="16"/>
              </w:rPr>
              <w:t>д</w:t>
            </w:r>
          </w:p>
        </w:tc>
        <w:tc>
          <w:tcPr>
            <w:tcW w:w="647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Промяна на целевите приходи (Б) – (А)</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1 398</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(1 736)</w:t>
            </w:r>
          </w:p>
        </w:tc>
      </w:tr>
      <w:tr>
        <w:trPr>
          <w:trHeight w:hRule="exact" w:val="284"/>
        </w:trPr>
        <w:tc>
          <w:tcPr>
            <w:tcW w:w="911"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center"/>
              <w:rPr>
                <w:rFonts w:ascii="Verdana" w:eastAsia="Verdana" w:hAnsi="Verdana" w:cs="Verdana"/>
                <w:noProof/>
                <w:color w:val="000000"/>
                <w:sz w:val="16"/>
              </w:rPr>
            </w:pPr>
          </w:p>
        </w:tc>
        <w:tc>
          <w:tcPr>
            <w:tcW w:w="647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i/>
                <w:noProof/>
                <w:color w:val="000000"/>
                <w:sz w:val="16"/>
              </w:rPr>
            </w:pPr>
            <w:r>
              <w:rPr>
                <w:rFonts w:ascii="Verdana" w:hAnsi="Verdana"/>
                <w:i/>
                <w:noProof/>
                <w:color w:val="000000"/>
                <w:sz w:val="16"/>
              </w:rPr>
              <w:t xml:space="preserve">     Неизползвани бюджетни кредити към края на текущата година (А)</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i/>
                <w:noProof/>
                <w:color w:val="000000"/>
                <w:sz w:val="16"/>
              </w:rPr>
            </w:pPr>
            <w:r>
              <w:rPr>
                <w:rFonts w:ascii="Verdana" w:hAnsi="Verdana"/>
                <w:i/>
                <w:noProof/>
                <w:color w:val="000000"/>
                <w:sz w:val="16"/>
              </w:rPr>
              <w:t>7 694</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i/>
                <w:noProof/>
                <w:color w:val="000000"/>
                <w:sz w:val="16"/>
              </w:rPr>
            </w:pPr>
            <w:r>
              <w:rPr>
                <w:rFonts w:ascii="Verdana" w:hAnsi="Verdana"/>
                <w:i/>
                <w:noProof/>
                <w:color w:val="000000"/>
                <w:sz w:val="16"/>
              </w:rPr>
              <w:t>9 092</w:t>
            </w:r>
          </w:p>
        </w:tc>
      </w:tr>
      <w:tr>
        <w:trPr>
          <w:trHeight w:hRule="exact" w:val="284"/>
        </w:trPr>
        <w:tc>
          <w:tcPr>
            <w:tcW w:w="911"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center"/>
              <w:rPr>
                <w:rFonts w:ascii="Verdana" w:eastAsia="Verdana" w:hAnsi="Verdana" w:cs="Verdana"/>
                <w:noProof/>
                <w:color w:val="000000"/>
                <w:sz w:val="16"/>
              </w:rPr>
            </w:pPr>
          </w:p>
        </w:tc>
        <w:tc>
          <w:tcPr>
            <w:tcW w:w="647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i/>
                <w:noProof/>
                <w:color w:val="000000"/>
                <w:sz w:val="16"/>
              </w:rPr>
            </w:pPr>
            <w:r>
              <w:rPr>
                <w:rFonts w:ascii="Verdana" w:hAnsi="Verdana"/>
                <w:i/>
                <w:noProof/>
                <w:color w:val="000000"/>
                <w:sz w:val="16"/>
              </w:rPr>
              <w:t xml:space="preserve">     Неизползвани бюджетни кредити към края на предходната година (Б)</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i/>
                <w:noProof/>
                <w:color w:val="000000"/>
                <w:sz w:val="16"/>
              </w:rPr>
            </w:pPr>
            <w:r>
              <w:rPr>
                <w:rFonts w:ascii="Verdana" w:hAnsi="Verdana"/>
                <w:i/>
                <w:noProof/>
                <w:color w:val="000000"/>
                <w:sz w:val="16"/>
              </w:rPr>
              <w:t>9 092</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i/>
                <w:noProof/>
                <w:color w:val="000000"/>
                <w:sz w:val="16"/>
              </w:rPr>
            </w:pPr>
            <w:r>
              <w:rPr>
                <w:rFonts w:ascii="Verdana" w:hAnsi="Verdana"/>
                <w:i/>
                <w:noProof/>
                <w:color w:val="000000"/>
                <w:sz w:val="16"/>
              </w:rPr>
              <w:t>7 356</w:t>
            </w:r>
          </w:p>
        </w:tc>
      </w:tr>
      <w:tr>
        <w:trPr>
          <w:trHeight w:hRule="exact" w:val="270"/>
        </w:trPr>
        <w:tc>
          <w:tcPr>
            <w:tcW w:w="911"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center"/>
              <w:rPr>
                <w:rFonts w:ascii="Verdana" w:eastAsia="Verdana" w:hAnsi="Verdana" w:cs="Verdana"/>
                <w:noProof/>
                <w:color w:val="000000"/>
                <w:sz w:val="16"/>
              </w:rPr>
            </w:pPr>
            <w:r>
              <w:rPr>
                <w:rFonts w:ascii="Verdana" w:hAnsi="Verdana"/>
                <w:noProof/>
                <w:color w:val="000000"/>
                <w:sz w:val="16"/>
              </w:rPr>
              <w:t>е</w:t>
            </w:r>
          </w:p>
        </w:tc>
        <w:tc>
          <w:tcPr>
            <w:tcW w:w="647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rPr>
                <w:rFonts w:ascii="Verdana" w:eastAsia="Verdana" w:hAnsi="Verdana" w:cs="Verdana"/>
                <w:noProof/>
                <w:color w:val="000000"/>
                <w:sz w:val="16"/>
              </w:rPr>
            </w:pPr>
            <w:r>
              <w:rPr>
                <w:rFonts w:ascii="Verdana" w:hAnsi="Verdana"/>
                <w:noProof/>
                <w:color w:val="000000"/>
                <w:sz w:val="16"/>
              </w:rPr>
              <w:t>Курсови разлики за годината</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 xml:space="preserve"> (207)</w:t>
            </w:r>
          </w:p>
        </w:tc>
        <w:tc>
          <w:tcPr>
            <w:tcW w:w="1186" w:type="dxa"/>
            <w:tcBorders>
              <w:top w:val="nil"/>
              <w:left w:val="nil"/>
              <w:bottom w:val="nil"/>
              <w:right w:val="nil"/>
              <w:tl2br w:val="nil"/>
              <w:tr2bl w:val="nil"/>
            </w:tcBorders>
            <w:shd w:val="clear" w:color="auto" w:fill="auto"/>
            <w:tcMar>
              <w:left w:w="60" w:type="dxa"/>
              <w:right w:w="60" w:type="dxa"/>
            </w:tcMar>
            <w:vAlign w:val="center"/>
          </w:tcPr>
          <w:p>
            <w:pPr>
              <w:pStyle w:val="DMETW19805BIPBudgetresult"/>
              <w:jc w:val="right"/>
              <w:rPr>
                <w:rFonts w:ascii="Verdana" w:eastAsia="Verdana" w:hAnsi="Verdana" w:cs="Verdana"/>
                <w:noProof/>
                <w:color w:val="000000"/>
                <w:sz w:val="16"/>
              </w:rPr>
            </w:pPr>
            <w:r>
              <w:rPr>
                <w:rFonts w:ascii="Verdana" w:hAnsi="Verdana"/>
                <w:noProof/>
                <w:color w:val="000000"/>
                <w:sz w:val="16"/>
              </w:rPr>
              <w:t xml:space="preserve"> 4</w:t>
            </w:r>
          </w:p>
        </w:tc>
      </w:tr>
      <w:tr>
        <w:trPr>
          <w:trHeight w:hRule="exact" w:val="270"/>
        </w:trPr>
        <w:tc>
          <w:tcPr>
            <w:tcW w:w="911" w:type="dxa"/>
            <w:tcBorders>
              <w:top w:val="nil"/>
              <w:left w:val="nil"/>
              <w:bottom w:val="nil"/>
              <w:right w:val="nil"/>
              <w:tl2br w:val="nil"/>
              <w:tr2bl w:val="nil"/>
            </w:tcBorders>
            <w:shd w:val="solid" w:color="CCE1EB" w:fill="FFFFFF"/>
            <w:tcMar>
              <w:left w:w="60" w:type="dxa"/>
              <w:right w:w="60" w:type="dxa"/>
            </w:tcMar>
            <w:vAlign w:val="center"/>
          </w:tcPr>
          <w:p>
            <w:pPr>
              <w:pStyle w:val="DMETW19805BIPBudgetresult"/>
              <w:rPr>
                <w:rFonts w:ascii="Verdana" w:eastAsia="Verdana" w:hAnsi="Verdana" w:cs="Verdana"/>
                <w:b/>
                <w:noProof/>
                <w:color w:val="000000"/>
                <w:sz w:val="16"/>
              </w:rPr>
            </w:pPr>
          </w:p>
        </w:tc>
        <w:tc>
          <w:tcPr>
            <w:tcW w:w="6476" w:type="dxa"/>
            <w:tcBorders>
              <w:top w:val="nil"/>
              <w:left w:val="nil"/>
              <w:bottom w:val="nil"/>
              <w:right w:val="nil"/>
              <w:tl2br w:val="nil"/>
              <w:tr2bl w:val="nil"/>
            </w:tcBorders>
            <w:shd w:val="solid" w:color="CCE1EB" w:fill="FFFFFF"/>
            <w:tcMar>
              <w:left w:w="60" w:type="dxa"/>
              <w:right w:w="60" w:type="dxa"/>
            </w:tcMar>
            <w:vAlign w:val="center"/>
          </w:tcPr>
          <w:p>
            <w:pPr>
              <w:pStyle w:val="DMETW19805BIPBudgetresult"/>
              <w:rPr>
                <w:rFonts w:ascii="Verdana" w:eastAsia="Verdana" w:hAnsi="Verdana" w:cs="Verdana"/>
                <w:b/>
                <w:noProof/>
                <w:color w:val="000000"/>
                <w:sz w:val="16"/>
              </w:rPr>
            </w:pPr>
            <w:r>
              <w:rPr>
                <w:rFonts w:ascii="Verdana" w:hAnsi="Verdana"/>
                <w:b/>
                <w:noProof/>
                <w:color w:val="000000"/>
                <w:sz w:val="16"/>
              </w:rPr>
              <w:t>Бюджетен резултат</w:t>
            </w:r>
          </w:p>
        </w:tc>
        <w:tc>
          <w:tcPr>
            <w:tcW w:w="1186" w:type="dxa"/>
            <w:tcBorders>
              <w:top w:val="nil"/>
              <w:left w:val="nil"/>
              <w:bottom w:val="nil"/>
              <w:right w:val="nil"/>
              <w:tl2br w:val="nil"/>
              <w:tr2bl w:val="nil"/>
            </w:tcBorders>
            <w:shd w:val="solid" w:color="CCE1EB" w:fill="FFFFFF"/>
            <w:tcMar>
              <w:left w:w="60" w:type="dxa"/>
              <w:right w:w="60" w:type="dxa"/>
            </w:tcMar>
            <w:vAlign w:val="center"/>
          </w:tcPr>
          <w:p>
            <w:pPr>
              <w:pStyle w:val="DMETW19805BIPBudgetresult"/>
              <w:jc w:val="right"/>
              <w:rPr>
                <w:rFonts w:ascii="Verdana" w:eastAsia="Verdana" w:hAnsi="Verdana" w:cs="Verdana"/>
                <w:b/>
                <w:noProof/>
                <w:color w:val="000000"/>
                <w:sz w:val="16"/>
              </w:rPr>
            </w:pPr>
            <w:r>
              <w:rPr>
                <w:rFonts w:ascii="Verdana" w:hAnsi="Verdana"/>
                <w:b/>
                <w:noProof/>
                <w:color w:val="000000"/>
                <w:sz w:val="16"/>
              </w:rPr>
              <w:t>1 768</w:t>
            </w:r>
          </w:p>
        </w:tc>
        <w:tc>
          <w:tcPr>
            <w:tcW w:w="1186" w:type="dxa"/>
            <w:tcBorders>
              <w:top w:val="nil"/>
              <w:left w:val="nil"/>
              <w:bottom w:val="nil"/>
              <w:right w:val="nil"/>
              <w:tl2br w:val="nil"/>
              <w:tr2bl w:val="nil"/>
            </w:tcBorders>
            <w:shd w:val="solid" w:color="CCE1EB" w:fill="FFFFFF"/>
            <w:tcMar>
              <w:left w:w="60" w:type="dxa"/>
              <w:right w:w="60" w:type="dxa"/>
            </w:tcMar>
            <w:vAlign w:val="center"/>
          </w:tcPr>
          <w:p>
            <w:pPr>
              <w:pStyle w:val="DMETW19805BIPBudgetresult"/>
              <w:jc w:val="right"/>
              <w:rPr>
                <w:rFonts w:ascii="Verdana" w:eastAsia="Verdana" w:hAnsi="Verdana" w:cs="Verdana"/>
                <w:b/>
                <w:noProof/>
                <w:color w:val="000000"/>
                <w:sz w:val="16"/>
              </w:rPr>
            </w:pPr>
            <w:r>
              <w:rPr>
                <w:rFonts w:ascii="Verdana" w:hAnsi="Verdana"/>
                <w:b/>
                <w:noProof/>
                <w:color w:val="000000"/>
                <w:sz w:val="16"/>
              </w:rPr>
              <w:t>3 217</w:t>
            </w:r>
          </w:p>
        </w:tc>
      </w:tr>
    </w:tbl>
    <w:p>
      <w:pPr>
        <w:pStyle w:val="DGTextstand-alone"/>
      </w:pPr>
    </w:p>
    <w:p>
      <w:pPr>
        <w:pStyle w:val="DGTextstand-alone"/>
      </w:pPr>
      <w:r>
        <w:t>Бюджетният резултат на ЕС се връща на държавите членки през 2021 г. чрез приспадането му от дължимите от тях суми. Той се изчислява в съответствие с член 1, параграф 1 от Регламент № 608/2014 на Съвета за определяне на мерки за прилагане на системата на собствените ресурси. Повече информация може да бъде намерена в раздел 1.5 — Изчисляване на бюджетния резултат.</w:t>
      </w:r>
    </w:p>
    <w:p>
      <w:pPr>
        <w:pStyle w:val="DGTextstand-alone"/>
        <w:pBdr>
          <w:top w:val="nil"/>
          <w:left w:val="nil"/>
          <w:bottom w:val="nil"/>
          <w:right w:val="nil"/>
          <w:between w:val="nil"/>
          <w:bar w:val="nil"/>
        </w:pBdr>
        <w:ind w:left="720" w:hanging="360"/>
      </w:pPr>
      <w:r>
        <w:t>а.</w:t>
      </w:r>
      <w:r>
        <w:tab/>
        <w:t>Приходи за финансовата година: таблица 3.1 „Обобщение на изпълнението на приходите в бюджета на ЕС“, колона 8 „Общо приходи“.</w:t>
      </w:r>
    </w:p>
    <w:p>
      <w:pPr>
        <w:pStyle w:val="DGTextstand-alone"/>
        <w:pBdr>
          <w:top w:val="nil"/>
          <w:left w:val="nil"/>
          <w:bottom w:val="nil"/>
          <w:right w:val="nil"/>
          <w:between w:val="nil"/>
          <w:bar w:val="nil"/>
        </w:pBdr>
        <w:ind w:left="720" w:hanging="360"/>
      </w:pPr>
      <w:r>
        <w:t>б.</w:t>
      </w:r>
      <w:r>
        <w:tab/>
        <w:t>Плащания спрямо бюджетните кредити за текущата година: таблица 4.3 „МФР — Изпълнение на бюджетните кредити за плащания“, колона 2 „Плащания, извършени от приетия бюджет“ и колона 4 „Плащания, извършени от целеви приходи“.</w:t>
      </w:r>
    </w:p>
    <w:p>
      <w:pPr>
        <w:pStyle w:val="DGTextstand-alone"/>
        <w:pBdr>
          <w:top w:val="nil"/>
          <w:left w:val="nil"/>
          <w:bottom w:val="nil"/>
          <w:right w:val="nil"/>
          <w:between w:val="nil"/>
          <w:bar w:val="nil"/>
        </w:pBdr>
        <w:ind w:left="720" w:hanging="360"/>
      </w:pPr>
      <w:r>
        <w:t>в.</w:t>
      </w:r>
      <w:r>
        <w:tab/>
        <w:t>Бюджетни кредити за плащания, пренесени за година N+1: таблица 4.3 „МФР — Изпълнение на бюджетните кредити за плащания“, колона 7 „Автоматични пренасяния“ и колона 8 „Пренасяния с решение“.</w:t>
      </w:r>
    </w:p>
    <w:p>
      <w:pPr>
        <w:pStyle w:val="DGTextstand-alone"/>
        <w:pBdr>
          <w:top w:val="nil"/>
          <w:left w:val="nil"/>
          <w:bottom w:val="nil"/>
          <w:right w:val="nil"/>
          <w:between w:val="nil"/>
          <w:bar w:val="nil"/>
        </w:pBdr>
        <w:ind w:left="720" w:hanging="360"/>
      </w:pPr>
      <w:r>
        <w:t>г.</w:t>
      </w:r>
      <w:r>
        <w:tab/>
        <w:t>Отмяна на неусвоени бюджетни кредити за плащания, пренесени от година N-1: вземат се под внимание размерът на пренесените бюджетни кредити за плащания (автоматично и с решение) в края на предходната година и плащанията, извършени от пренасяния, за текущата година, посочени в колона 3 на таблица 4.3 „МФР — Изпълнение на бюджетните кредити за плащания“.</w:t>
      </w:r>
    </w:p>
    <w:p>
      <w:pPr>
        <w:pStyle w:val="DGTextstand-alone"/>
        <w:pBdr>
          <w:top w:val="nil"/>
          <w:left w:val="nil"/>
          <w:bottom w:val="nil"/>
          <w:right w:val="nil"/>
          <w:between w:val="nil"/>
          <w:bar w:val="nil"/>
        </w:pBdr>
        <w:ind w:left="720" w:hanging="360"/>
      </w:pPr>
      <w:r>
        <w:t>д.</w:t>
      </w:r>
      <w:r>
        <w:tab/>
        <w:t>Промяна на общите бюджетни кредити от целеви приходи към края на годината: изчислява се разликата между сумата на бюджетните кредити от целеви приходи към края на предходната година (със знак плюс) и сумата на бюджетните кредити от целеви приходи към края на текущата година (в колона 9 на таблица 4.3 „МФР — Изпълнение на бюджетните кредити за плащания“ — със знак минус), за да се получи нетната промяна на целевите приходи през текущата година.</w:t>
      </w:r>
    </w:p>
    <w:p>
      <w:pPr>
        <w:pStyle w:val="DGTextstand-alone"/>
        <w:pBdr>
          <w:top w:val="nil"/>
          <w:left w:val="nil"/>
          <w:bottom w:val="nil"/>
          <w:right w:val="nil"/>
          <w:between w:val="nil"/>
          <w:bar w:val="nil"/>
        </w:pBdr>
        <w:ind w:left="360"/>
      </w:pPr>
      <w:r>
        <w:t>е.</w:t>
      </w:r>
      <w:r>
        <w:tab/>
        <w:t>Курсовите разлики включват реализираните и нереализираните курсови разлики.</w:t>
      </w:r>
    </w:p>
    <w:p>
      <w:pPr>
        <w:pStyle w:val="DGTextstand-alone"/>
      </w:pPr>
    </w:p>
    <w:p>
      <w:pPr>
        <w:pStyle w:val="HEADERTITLE2"/>
        <w:rPr>
          <w:rFonts w:eastAsia="Calibri"/>
        </w:rPr>
      </w:pPr>
      <w:r>
        <w:br w:type="page"/>
      </w:r>
      <w:bookmarkStart w:id="223" w:name="_Toc75518123"/>
      <w:r>
        <w:t>СЪПОСТАВКИ НА БЮДЖЕТНИТЕ С РЕАЛНИТЕ СУМИ</w:t>
      </w:r>
      <w:bookmarkEnd w:id="223"/>
    </w:p>
    <w:p>
      <w:pPr>
        <w:pStyle w:val="HEADERTITLE"/>
        <w:rPr>
          <w:rFonts w:eastAsia="Calibri"/>
        </w:rPr>
      </w:pPr>
      <w:r>
        <w:t>Бюджетни приходи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850"/>
        <w:gridCol w:w="1162"/>
        <w:gridCol w:w="1168"/>
        <w:gridCol w:w="1168"/>
        <w:gridCol w:w="1168"/>
      </w:tblGrid>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bookmarkStart w:id="224" w:name="DOC_TBL00101_1_1"/>
            <w:bookmarkEnd w:id="224"/>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619"/>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Revenue"/>
              <w:jc w:val="center"/>
              <w:rPr>
                <w:rFonts w:ascii="Verdana" w:eastAsia="Verdana" w:hAnsi="Verdana" w:cs="Verdana"/>
                <w:noProof/>
                <w:color w:val="FFFFFF"/>
                <w:sz w:val="16"/>
              </w:rPr>
            </w:pPr>
          </w:p>
        </w:tc>
        <w:tc>
          <w:tcPr>
            <w:tcW w:w="4698"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Revenue"/>
              <w:jc w:val="center"/>
              <w:rPr>
                <w:rFonts w:ascii="Verdana" w:eastAsia="Verdana" w:hAnsi="Verdana" w:cs="Verdana"/>
                <w:noProof/>
                <w:color w:val="FFFFFF"/>
                <w:sz w:val="16"/>
              </w:rPr>
            </w:pPr>
          </w:p>
        </w:tc>
        <w:tc>
          <w:tcPr>
            <w:tcW w:w="1126"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Revenue"/>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131"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Revenue"/>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1131"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Revenue"/>
              <w:jc w:val="center"/>
              <w:rPr>
                <w:rFonts w:ascii="Verdana" w:eastAsia="Verdana" w:hAnsi="Verdana" w:cs="Verdana"/>
                <w:noProof/>
                <w:color w:val="FFFFFF"/>
                <w:sz w:val="16"/>
              </w:rPr>
            </w:pPr>
            <w:r>
              <w:rPr>
                <w:rFonts w:ascii="Verdana" w:hAnsi="Verdana"/>
                <w:noProof/>
                <w:color w:val="FFFFFF"/>
                <w:sz w:val="16"/>
              </w:rPr>
              <w:t>Установени вземания</w:t>
            </w:r>
          </w:p>
        </w:tc>
        <w:tc>
          <w:tcPr>
            <w:tcW w:w="1131"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Revenue"/>
              <w:jc w:val="center"/>
              <w:rPr>
                <w:rFonts w:ascii="Verdana" w:eastAsia="Verdana" w:hAnsi="Verdana" w:cs="Verdana"/>
                <w:noProof/>
                <w:color w:val="FFFFFF"/>
                <w:sz w:val="16"/>
              </w:rPr>
            </w:pPr>
            <w:r>
              <w:rPr>
                <w:rFonts w:ascii="Verdana" w:hAnsi="Verdana"/>
                <w:noProof/>
                <w:color w:val="FFFFFF"/>
                <w:sz w:val="16"/>
              </w:rPr>
              <w:t>Приходи</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1</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Собствени ресурси</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151 638</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159 832</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162 382</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160 141</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i/>
                <w:noProof/>
                <w:color w:val="000000"/>
                <w:sz w:val="16"/>
              </w:rPr>
            </w:pPr>
            <w:r>
              <w:rPr>
                <w:rFonts w:ascii="Verdana" w:hAnsi="Verdana"/>
                <w:i/>
                <w:noProof/>
                <w:color w:val="000000"/>
                <w:sz w:val="16"/>
              </w:rPr>
              <w:t>11 — Налози върху захарта</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 xml:space="preserve"> 0</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 xml:space="preserve"> 0</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i/>
                <w:noProof/>
                <w:color w:val="000000"/>
                <w:sz w:val="16"/>
              </w:rPr>
            </w:pPr>
            <w:r>
              <w:rPr>
                <w:rFonts w:ascii="Verdana" w:hAnsi="Verdana"/>
                <w:i/>
                <w:noProof/>
                <w:color w:val="000000"/>
                <w:sz w:val="16"/>
              </w:rPr>
              <w:t>12 — Мита</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22 157</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18 507</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22 107</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19 867</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i/>
                <w:noProof/>
                <w:color w:val="000000"/>
                <w:sz w:val="16"/>
              </w:rPr>
            </w:pPr>
            <w:r>
              <w:rPr>
                <w:rFonts w:ascii="Verdana" w:hAnsi="Verdana"/>
                <w:i/>
                <w:noProof/>
                <w:color w:val="000000"/>
                <w:sz w:val="16"/>
              </w:rPr>
              <w:t>13 — ДДС</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18 945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17 344</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17 191</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17 191</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i/>
                <w:noProof/>
                <w:color w:val="000000"/>
                <w:sz w:val="16"/>
              </w:rPr>
            </w:pPr>
            <w:r>
              <w:rPr>
                <w:rFonts w:ascii="Verdana" w:hAnsi="Verdana"/>
                <w:i/>
                <w:noProof/>
                <w:color w:val="000000"/>
                <w:sz w:val="16"/>
              </w:rPr>
              <w:t>14 — БНД</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110 536</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123 980</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122 944</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122 944</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i/>
                <w:noProof/>
                <w:color w:val="000000"/>
                <w:sz w:val="16"/>
              </w:rPr>
            </w:pPr>
            <w:r>
              <w:rPr>
                <w:rFonts w:ascii="Verdana" w:hAnsi="Verdana"/>
                <w:i/>
                <w:noProof/>
                <w:color w:val="000000"/>
                <w:sz w:val="16"/>
              </w:rPr>
              <w:t>15 — Корекция на бюджетни дисбаланси</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 xml:space="preserve"> 147</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 xml:space="preserve"> 147</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i/>
                <w:noProof/>
                <w:color w:val="000000"/>
                <w:sz w:val="16"/>
              </w:rPr>
            </w:pPr>
            <w:r>
              <w:rPr>
                <w:rFonts w:ascii="Verdana" w:hAnsi="Verdana"/>
                <w:i/>
                <w:noProof/>
                <w:color w:val="000000"/>
                <w:sz w:val="16"/>
              </w:rPr>
              <w:t>16 — Намаление на вноската на база БНД на Нидерландия и Швеция</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 xml:space="preserve"> (8)</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i/>
                <w:noProof/>
                <w:color w:val="000000"/>
                <w:sz w:val="16"/>
              </w:rPr>
            </w:pPr>
            <w:r>
              <w:rPr>
                <w:rFonts w:ascii="Verdana" w:hAnsi="Verdana"/>
                <w:i/>
                <w:noProof/>
                <w:color w:val="000000"/>
                <w:sz w:val="16"/>
              </w:rPr>
              <w:t xml:space="preserve"> (8)</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3</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Излишъци, салда и корекции</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2 102</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3 173</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3 167</w:t>
            </w:r>
          </w:p>
        </w:tc>
      </w:tr>
      <w:tr>
        <w:trPr>
          <w:trHeight w:val="505"/>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4</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Приходи от лица, работещи към институциите и други органи на Съюза</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1 651</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1 651</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1 629</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1 615</w:t>
            </w:r>
          </w:p>
        </w:tc>
      </w:tr>
      <w:tr>
        <w:trPr>
          <w:trHeight w:val="555"/>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5</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Приходи от административната дейност на институциите</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15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15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645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592</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6</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Вноски и възстановени средства във връзка със споразумения и програми на Съюза</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130</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130</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8 866</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8 156</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7</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Лихви за забава и глоби</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361</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17 027</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629</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8</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Операции по получаване и отпускане на заеми</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2</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2</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9</w:t>
            </w:r>
          </w:p>
        </w:tc>
        <w:tc>
          <w:tcPr>
            <w:tcW w:w="469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rPr>
                <w:rFonts w:ascii="Verdana" w:eastAsia="Verdana" w:hAnsi="Verdana" w:cs="Verdana"/>
                <w:noProof/>
                <w:color w:val="000000"/>
                <w:sz w:val="16"/>
              </w:rPr>
            </w:pPr>
            <w:r>
              <w:rPr>
                <w:rFonts w:ascii="Verdana" w:hAnsi="Verdana"/>
                <w:noProof/>
                <w:color w:val="000000"/>
                <w:sz w:val="16"/>
              </w:rPr>
              <w:t>Разни приходи</w:t>
            </w:r>
          </w:p>
        </w:tc>
        <w:tc>
          <w:tcPr>
            <w:tcW w:w="112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15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15</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12</w:t>
            </w:r>
          </w:p>
        </w:tc>
        <w:tc>
          <w:tcPr>
            <w:tcW w:w="113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Revenue"/>
              <w:jc w:val="right"/>
              <w:rPr>
                <w:rFonts w:ascii="Verdana" w:eastAsia="Verdana" w:hAnsi="Verdana" w:cs="Verdana"/>
                <w:noProof/>
                <w:color w:val="000000"/>
                <w:sz w:val="16"/>
              </w:rPr>
            </w:pPr>
            <w:r>
              <w:rPr>
                <w:rFonts w:ascii="Verdana" w:hAnsi="Verdana"/>
                <w:noProof/>
                <w:color w:val="000000"/>
                <w:sz w:val="16"/>
              </w:rPr>
              <w:t xml:space="preserve"> 6</w:t>
            </w:r>
          </w:p>
        </w:tc>
      </w:tr>
      <w:tr>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Revenue"/>
              <w:rPr>
                <w:rFonts w:ascii="Verdana" w:eastAsia="Verdana" w:hAnsi="Verdana" w:cs="Verdana"/>
                <w:b/>
                <w:noProof/>
                <w:color w:val="000000"/>
                <w:sz w:val="16"/>
              </w:rPr>
            </w:pPr>
          </w:p>
        </w:tc>
        <w:tc>
          <w:tcPr>
            <w:tcW w:w="4698"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Revenue"/>
              <w:rPr>
                <w:rFonts w:ascii="Verdana" w:eastAsia="Verdana" w:hAnsi="Verdana" w:cs="Verdana"/>
                <w:b/>
                <w:noProof/>
                <w:color w:val="000000"/>
                <w:sz w:val="16"/>
              </w:rPr>
            </w:pPr>
            <w:r>
              <w:rPr>
                <w:rFonts w:ascii="Verdana" w:hAnsi="Verdana"/>
                <w:b/>
                <w:noProof/>
                <w:color w:val="000000"/>
                <w:sz w:val="16"/>
              </w:rPr>
              <w:t>Общо</w:t>
            </w:r>
          </w:p>
        </w:tc>
        <w:tc>
          <w:tcPr>
            <w:tcW w:w="1126"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Revenue"/>
              <w:jc w:val="right"/>
              <w:rPr>
                <w:rFonts w:ascii="Verdana" w:eastAsia="Verdana" w:hAnsi="Verdana" w:cs="Verdana"/>
                <w:b/>
                <w:noProof/>
                <w:color w:val="000000"/>
                <w:sz w:val="16"/>
              </w:rPr>
            </w:pPr>
            <w:r>
              <w:rPr>
                <w:rFonts w:ascii="Verdana" w:hAnsi="Verdana"/>
                <w:b/>
                <w:noProof/>
                <w:color w:val="000000"/>
                <w:sz w:val="16"/>
              </w:rPr>
              <w:t>153 566</w:t>
            </w:r>
          </w:p>
        </w:tc>
        <w:tc>
          <w:tcPr>
            <w:tcW w:w="1131"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Revenue"/>
              <w:jc w:val="right"/>
              <w:rPr>
                <w:rFonts w:ascii="Verdana" w:eastAsia="Verdana" w:hAnsi="Verdana" w:cs="Verdana"/>
                <w:b/>
                <w:noProof/>
                <w:color w:val="000000"/>
                <w:sz w:val="16"/>
              </w:rPr>
            </w:pPr>
            <w:r>
              <w:rPr>
                <w:rFonts w:ascii="Verdana" w:hAnsi="Verdana"/>
                <w:b/>
                <w:noProof/>
                <w:color w:val="000000"/>
                <w:sz w:val="16"/>
              </w:rPr>
              <w:t>164 108</w:t>
            </w:r>
          </w:p>
        </w:tc>
        <w:tc>
          <w:tcPr>
            <w:tcW w:w="1131"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Revenue"/>
              <w:jc w:val="right"/>
              <w:rPr>
                <w:rFonts w:ascii="Verdana" w:eastAsia="Verdana" w:hAnsi="Verdana" w:cs="Verdana"/>
                <w:b/>
                <w:noProof/>
                <w:color w:val="000000"/>
                <w:sz w:val="16"/>
              </w:rPr>
            </w:pPr>
            <w:r>
              <w:rPr>
                <w:rFonts w:ascii="Verdana" w:hAnsi="Verdana"/>
                <w:b/>
                <w:noProof/>
                <w:color w:val="000000"/>
                <w:sz w:val="16"/>
              </w:rPr>
              <w:t>193 735</w:t>
            </w:r>
          </w:p>
        </w:tc>
        <w:tc>
          <w:tcPr>
            <w:tcW w:w="1131"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Revenue"/>
              <w:jc w:val="right"/>
              <w:rPr>
                <w:rFonts w:ascii="Verdana" w:eastAsia="Verdana" w:hAnsi="Verdana" w:cs="Verdana"/>
                <w:b/>
                <w:noProof/>
                <w:color w:val="000000"/>
                <w:sz w:val="16"/>
              </w:rPr>
            </w:pPr>
            <w:r>
              <w:rPr>
                <w:rFonts w:ascii="Verdana" w:hAnsi="Verdana"/>
                <w:b/>
                <w:noProof/>
                <w:color w:val="000000"/>
                <w:sz w:val="16"/>
              </w:rPr>
              <w:t>174 306</w:t>
            </w:r>
          </w:p>
        </w:tc>
      </w:tr>
    </w:tbl>
    <w:p>
      <w:pPr>
        <w:pStyle w:val="Textstand-alone"/>
      </w:pPr>
    </w:p>
    <w:p>
      <w:pPr>
        <w:pStyle w:val="HEADERTITLE"/>
      </w:pPr>
      <w:r>
        <w:t>Бюджетни разходи: поети задължения по функции от многогодишната финансова рамка (МФР)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648"/>
        <w:gridCol w:w="1024"/>
        <w:gridCol w:w="1025"/>
        <w:gridCol w:w="1463"/>
        <w:gridCol w:w="1356"/>
      </w:tblGrid>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bookmarkStart w:id="225" w:name="DOC_TBL00102_1_1"/>
            <w:bookmarkEnd w:id="225"/>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Commitments"/>
              <w:jc w:val="center"/>
              <w:rPr>
                <w:rFonts w:ascii="Verdana" w:eastAsia="Verdana" w:hAnsi="Verdana" w:cs="Verdana"/>
                <w:noProof/>
                <w:color w:val="FFFFFF"/>
                <w:sz w:val="16"/>
              </w:rPr>
            </w:pPr>
          </w:p>
        </w:tc>
        <w:tc>
          <w:tcPr>
            <w:tcW w:w="4502"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Commitments"/>
              <w:jc w:val="center"/>
              <w:rPr>
                <w:rFonts w:ascii="Verdana" w:eastAsia="Verdana" w:hAnsi="Verdana" w:cs="Verdana"/>
                <w:noProof/>
                <w:color w:val="FFFFFF"/>
                <w:sz w:val="16"/>
              </w:rPr>
            </w:pPr>
            <w:r>
              <w:rPr>
                <w:rFonts w:ascii="Verdana" w:hAnsi="Verdana"/>
                <w:noProof/>
                <w:color w:val="FFFFFF"/>
                <w:sz w:val="16"/>
              </w:rPr>
              <w:t>Функция от МФР</w:t>
            </w: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Commitments"/>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993"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Commitments"/>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1417"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Commitments"/>
              <w:jc w:val="center"/>
              <w:rPr>
                <w:rFonts w:ascii="Verdana" w:eastAsia="Verdana" w:hAnsi="Verdana" w:cs="Verdana"/>
                <w:noProof/>
                <w:color w:val="FFFFFF"/>
                <w:sz w:val="16"/>
              </w:rPr>
            </w:pPr>
            <w:r>
              <w:rPr>
                <w:rFonts w:ascii="Verdana" w:hAnsi="Verdana"/>
                <w:noProof/>
                <w:color w:val="FFFFFF"/>
                <w:sz w:val="16"/>
              </w:rPr>
              <w:t>Общо</w:t>
            </w:r>
          </w:p>
          <w:p>
            <w:pPr>
              <w:pStyle w:val="DMETW19805BIPStatementofcomparisonCommitments"/>
              <w:jc w:val="center"/>
              <w:rPr>
                <w:rFonts w:ascii="Verdana" w:eastAsia="Verdana" w:hAnsi="Verdana" w:cs="Verdana"/>
                <w:noProof/>
                <w:color w:val="FFFFFF"/>
                <w:sz w:val="16"/>
              </w:rPr>
            </w:pPr>
            <w:r>
              <w:rPr>
                <w:rFonts w:ascii="Verdana" w:hAnsi="Verdana"/>
                <w:noProof/>
                <w:color w:val="FFFFFF"/>
                <w:sz w:val="16"/>
              </w:rPr>
              <w:t>налични</w:t>
            </w:r>
          </w:p>
          <w:p>
            <w:pPr>
              <w:pStyle w:val="DMETW19805BIPStatementofcomparisonCommitments"/>
              <w:jc w:val="center"/>
              <w:rPr>
                <w:rFonts w:ascii="Verdana" w:eastAsia="Verdana" w:hAnsi="Verdana" w:cs="Verdana"/>
                <w:noProof/>
                <w:color w:val="FFFFFF"/>
                <w:sz w:val="16"/>
              </w:rPr>
            </w:pPr>
            <w:r>
              <w:rPr>
                <w:rFonts w:ascii="Verdana" w:hAnsi="Verdana"/>
                <w:noProof/>
                <w:color w:val="FFFFFF"/>
                <w:sz w:val="16"/>
              </w:rPr>
              <w:t>бюджетни кредити</w:t>
            </w:r>
          </w:p>
        </w:tc>
        <w:tc>
          <w:tcPr>
            <w:tcW w:w="1313"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Commitments"/>
              <w:jc w:val="center"/>
              <w:rPr>
                <w:rFonts w:ascii="Verdana" w:eastAsia="Verdana" w:hAnsi="Verdana" w:cs="Verdana"/>
                <w:noProof/>
                <w:color w:val="FFFFFF"/>
                <w:sz w:val="16"/>
              </w:rPr>
            </w:pPr>
            <w:r>
              <w:rPr>
                <w:rFonts w:ascii="Verdana" w:hAnsi="Verdana"/>
                <w:noProof/>
                <w:color w:val="FFFFFF"/>
                <w:sz w:val="16"/>
              </w:rPr>
              <w:t>Поети задължения</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1</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83 931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83 918</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90 870</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89 563</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25 285</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25 273</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30 287</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29 315</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58 646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58 646</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60 582</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60 248</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2</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59 907</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59 956</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62 730</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60 823</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i/>
                <w:noProof/>
                <w:color w:val="000000"/>
                <w:sz w:val="16"/>
              </w:rPr>
            </w:pPr>
            <w:r>
              <w:rPr>
                <w:rFonts w:ascii="Verdana" w:hAnsi="Verdana"/>
                <w:i/>
                <w:noProof/>
                <w:color w:val="000000"/>
                <w:sz w:val="16"/>
              </w:rPr>
              <w:t>от които: разходи, свързани с пазара, и преки плащания</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43 410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43 459</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44 855</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44 315</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3</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3 729</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7 152</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8 152</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7 702</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4</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Глобална Европа</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10 262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11 350</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12 240</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11 950</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5</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Администрация</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10 272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10 271</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11 108</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10 548</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i/>
                <w:noProof/>
                <w:color w:val="000000"/>
                <w:sz w:val="16"/>
              </w:rPr>
            </w:pP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i/>
                <w:noProof/>
                <w:color w:val="000000"/>
                <w:sz w:val="16"/>
              </w:rPr>
            </w:pPr>
            <w:r>
              <w:rPr>
                <w:rFonts w:ascii="Verdana" w:hAnsi="Verdana"/>
                <w:i/>
                <w:noProof/>
                <w:color w:val="000000"/>
                <w:sz w:val="16"/>
              </w:rPr>
              <w:t>от които: административни разходи на институциите</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4 226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4 225</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4 667</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i/>
                <w:noProof/>
                <w:color w:val="000000"/>
                <w:sz w:val="16"/>
              </w:rPr>
            </w:pPr>
            <w:r>
              <w:rPr>
                <w:rFonts w:ascii="Verdana" w:hAnsi="Verdana"/>
                <w:i/>
                <w:noProof/>
                <w:color w:val="000000"/>
                <w:sz w:val="16"/>
              </w:rPr>
              <w:t>4 319</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6</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Компенсации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8</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 xml:space="preserve">Отрицателен резерв и дефицит, пренесени от предходната финансова година </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9</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Специални инструменти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 xml:space="preserve"> 588</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1 236</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1 306</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1 108</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O</w:t>
            </w:r>
          </w:p>
        </w:tc>
        <w:tc>
          <w:tcPr>
            <w:tcW w:w="450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rPr>
                <w:rFonts w:ascii="Verdana" w:eastAsia="Verdana" w:hAnsi="Verdana" w:cs="Verdana"/>
                <w:noProof/>
                <w:color w:val="000000"/>
                <w:sz w:val="16"/>
              </w:rPr>
            </w:pPr>
            <w:r>
              <w:rPr>
                <w:rFonts w:ascii="Verdana" w:hAnsi="Verdana"/>
                <w:noProof/>
                <w:color w:val="000000"/>
                <w:sz w:val="16"/>
              </w:rPr>
              <w:t>Фонд за иновации (ФИ)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1 337</w:t>
            </w:r>
          </w:p>
        </w:tc>
        <w:tc>
          <w:tcPr>
            <w:tcW w:w="1313"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Commitments"/>
              <w:jc w:val="right"/>
              <w:rPr>
                <w:rFonts w:ascii="Verdana" w:eastAsia="Verdana" w:hAnsi="Verdana" w:cs="Verdana"/>
                <w:noProof/>
                <w:color w:val="000000"/>
                <w:sz w:val="16"/>
              </w:rPr>
            </w:pPr>
            <w:r>
              <w:rPr>
                <w:rFonts w:ascii="Verdana" w:hAnsi="Verdana"/>
                <w:noProof/>
                <w:color w:val="000000"/>
                <w:sz w:val="16"/>
              </w:rPr>
              <w:t xml:space="preserve"> 5</w:t>
            </w:r>
          </w:p>
        </w:tc>
      </w:tr>
      <w:tr>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Commitments"/>
              <w:rPr>
                <w:rFonts w:ascii="Verdana" w:eastAsia="Verdana" w:hAnsi="Verdana" w:cs="Verdana"/>
                <w:b/>
                <w:noProof/>
                <w:color w:val="000000"/>
                <w:sz w:val="16"/>
              </w:rPr>
            </w:pPr>
          </w:p>
        </w:tc>
        <w:tc>
          <w:tcPr>
            <w:tcW w:w="4502"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Commitments"/>
              <w:rPr>
                <w:rFonts w:ascii="Verdana" w:eastAsia="Verdana" w:hAnsi="Verdana" w:cs="Verdana"/>
                <w:b/>
                <w:noProof/>
                <w:color w:val="000000"/>
                <w:sz w:val="16"/>
              </w:rPr>
            </w:pPr>
            <w:r>
              <w:rPr>
                <w:rFonts w:ascii="Verdana" w:hAnsi="Verdana"/>
                <w:b/>
                <w:noProof/>
                <w:color w:val="000000"/>
                <w:sz w:val="16"/>
              </w:rPr>
              <w:t>Общо</w:t>
            </w:r>
          </w:p>
        </w:tc>
        <w:tc>
          <w:tcPr>
            <w:tcW w:w="992"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Commitments"/>
              <w:jc w:val="right"/>
              <w:rPr>
                <w:rFonts w:ascii="Verdana" w:eastAsia="Verdana" w:hAnsi="Verdana" w:cs="Verdana"/>
                <w:b/>
                <w:noProof/>
                <w:color w:val="000000"/>
                <w:sz w:val="16"/>
              </w:rPr>
            </w:pPr>
            <w:r>
              <w:rPr>
                <w:rFonts w:ascii="Verdana" w:hAnsi="Verdana"/>
                <w:b/>
                <w:noProof/>
                <w:color w:val="000000"/>
                <w:sz w:val="16"/>
              </w:rPr>
              <w:t>168 688</w:t>
            </w:r>
          </w:p>
        </w:tc>
        <w:tc>
          <w:tcPr>
            <w:tcW w:w="993"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Commitments"/>
              <w:jc w:val="right"/>
              <w:rPr>
                <w:rFonts w:ascii="Verdana" w:eastAsia="Verdana" w:hAnsi="Verdana" w:cs="Verdana"/>
                <w:b/>
                <w:noProof/>
                <w:color w:val="000000"/>
                <w:sz w:val="16"/>
              </w:rPr>
            </w:pPr>
            <w:r>
              <w:rPr>
                <w:rFonts w:ascii="Verdana" w:hAnsi="Verdana"/>
                <w:b/>
                <w:noProof/>
                <w:color w:val="000000"/>
                <w:sz w:val="16"/>
              </w:rPr>
              <w:t>173 884</w:t>
            </w:r>
          </w:p>
        </w:tc>
        <w:tc>
          <w:tcPr>
            <w:tcW w:w="1417"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Commitments"/>
              <w:jc w:val="right"/>
              <w:rPr>
                <w:rFonts w:ascii="Verdana" w:eastAsia="Verdana" w:hAnsi="Verdana" w:cs="Verdana"/>
                <w:b/>
                <w:noProof/>
                <w:color w:val="000000"/>
                <w:sz w:val="16"/>
              </w:rPr>
            </w:pPr>
            <w:r>
              <w:rPr>
                <w:rFonts w:ascii="Verdana" w:hAnsi="Verdana"/>
                <w:b/>
                <w:noProof/>
                <w:color w:val="000000"/>
                <w:sz w:val="16"/>
              </w:rPr>
              <w:t>187 742</w:t>
            </w:r>
          </w:p>
        </w:tc>
        <w:tc>
          <w:tcPr>
            <w:tcW w:w="1313"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Commitments"/>
              <w:jc w:val="right"/>
              <w:rPr>
                <w:rFonts w:ascii="Verdana" w:eastAsia="Verdana" w:hAnsi="Verdana" w:cs="Verdana"/>
                <w:b/>
                <w:noProof/>
                <w:color w:val="000000"/>
                <w:sz w:val="16"/>
              </w:rPr>
            </w:pPr>
            <w:r>
              <w:rPr>
                <w:rFonts w:ascii="Verdana" w:hAnsi="Verdana"/>
                <w:b/>
                <w:noProof/>
                <w:color w:val="000000"/>
                <w:sz w:val="16"/>
              </w:rPr>
              <w:t>181 699</w:t>
            </w:r>
          </w:p>
        </w:tc>
      </w:tr>
    </w:tbl>
    <w:p>
      <w:pPr>
        <w:pStyle w:val="Textstand-alone"/>
      </w:pPr>
    </w:p>
    <w:p>
      <w:pPr>
        <w:pStyle w:val="HEADERTITLE"/>
      </w:pPr>
      <w:r>
        <w:t>Бюджетни разходи: плащания по функции от многогодишната финансова рамка (МФР)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
        <w:gridCol w:w="4444"/>
        <w:gridCol w:w="1268"/>
        <w:gridCol w:w="1130"/>
        <w:gridCol w:w="1405"/>
        <w:gridCol w:w="1268"/>
      </w:tblGrid>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bookmarkStart w:id="226" w:name="DOC_TBL00103_1_1"/>
            <w:bookmarkEnd w:id="226"/>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Payments"/>
              <w:jc w:val="center"/>
              <w:rPr>
                <w:rFonts w:ascii="Verdana" w:eastAsia="Verdana" w:hAnsi="Verdana" w:cs="Verdana"/>
                <w:noProof/>
                <w:color w:val="FFFFFF"/>
                <w:sz w:val="16"/>
              </w:rPr>
            </w:pPr>
          </w:p>
        </w:tc>
        <w:tc>
          <w:tcPr>
            <w:tcW w:w="4305"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Payments"/>
              <w:jc w:val="center"/>
              <w:rPr>
                <w:rFonts w:ascii="Verdana" w:eastAsia="Verdana" w:hAnsi="Verdana" w:cs="Verdana"/>
                <w:noProof/>
                <w:color w:val="FFFFFF"/>
                <w:sz w:val="16"/>
              </w:rPr>
            </w:pPr>
            <w:r>
              <w:rPr>
                <w:rFonts w:ascii="Verdana" w:hAnsi="Verdana"/>
                <w:noProof/>
                <w:color w:val="FFFFFF"/>
                <w:sz w:val="16"/>
              </w:rPr>
              <w:t>Функция от МФР</w:t>
            </w:r>
          </w:p>
        </w:tc>
        <w:tc>
          <w:tcPr>
            <w:tcW w:w="1228"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Payments"/>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095"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Payments"/>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1361"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Payments"/>
              <w:jc w:val="center"/>
              <w:rPr>
                <w:rFonts w:ascii="Verdana" w:eastAsia="Verdana" w:hAnsi="Verdana" w:cs="Verdana"/>
                <w:noProof/>
                <w:color w:val="FFFFFF"/>
                <w:sz w:val="16"/>
              </w:rPr>
            </w:pPr>
            <w:r>
              <w:rPr>
                <w:rFonts w:ascii="Verdana" w:hAnsi="Verdana"/>
                <w:noProof/>
                <w:color w:val="FFFFFF"/>
                <w:sz w:val="16"/>
              </w:rPr>
              <w:t>Общо</w:t>
            </w:r>
          </w:p>
          <w:p>
            <w:pPr>
              <w:pStyle w:val="DMETW19805BIPStatementofcomparisonPayments"/>
              <w:jc w:val="center"/>
              <w:rPr>
                <w:rFonts w:ascii="Verdana" w:eastAsia="Verdana" w:hAnsi="Verdana" w:cs="Verdana"/>
                <w:noProof/>
                <w:color w:val="FFFFFF"/>
                <w:sz w:val="16"/>
              </w:rPr>
            </w:pPr>
            <w:r>
              <w:rPr>
                <w:rFonts w:ascii="Verdana" w:hAnsi="Verdana"/>
                <w:noProof/>
                <w:color w:val="FFFFFF"/>
                <w:sz w:val="16"/>
              </w:rPr>
              <w:t>налични</w:t>
            </w:r>
          </w:p>
          <w:p>
            <w:pPr>
              <w:pStyle w:val="DMETW19805BIPStatementofcomparisonPayments"/>
              <w:jc w:val="center"/>
              <w:rPr>
                <w:rFonts w:ascii="Verdana" w:eastAsia="Verdana" w:hAnsi="Verdana" w:cs="Verdana"/>
                <w:noProof/>
                <w:color w:val="FFFFFF"/>
                <w:sz w:val="16"/>
              </w:rPr>
            </w:pPr>
            <w:r>
              <w:rPr>
                <w:rFonts w:ascii="Verdana" w:hAnsi="Verdana"/>
                <w:noProof/>
                <w:color w:val="FFFFFF"/>
                <w:sz w:val="16"/>
              </w:rPr>
              <w:t>бюджетни кредити</w:t>
            </w:r>
          </w:p>
        </w:tc>
        <w:tc>
          <w:tcPr>
            <w:tcW w:w="1228" w:type="dxa"/>
            <w:tcBorders>
              <w:top w:val="nil"/>
              <w:left w:val="nil"/>
              <w:bottom w:val="nil"/>
              <w:right w:val="nil"/>
              <w:tl2br w:val="nil"/>
              <w:tr2bl w:val="nil"/>
            </w:tcBorders>
            <w:shd w:val="solid" w:color="016794" w:fill="FFFFFF"/>
            <w:tcMar>
              <w:left w:w="60" w:type="dxa"/>
              <w:right w:w="60" w:type="dxa"/>
            </w:tcMar>
            <w:vAlign w:val="center"/>
          </w:tcPr>
          <w:p>
            <w:pPr>
              <w:pStyle w:val="DMETW19805BIPStatementofcomparisonPayments"/>
              <w:jc w:val="center"/>
              <w:rPr>
                <w:rFonts w:ascii="Verdana" w:eastAsia="Verdana" w:hAnsi="Verdana" w:cs="Verdana"/>
                <w:noProof/>
                <w:color w:val="FFFFFF"/>
                <w:sz w:val="16"/>
              </w:rPr>
            </w:pPr>
            <w:r>
              <w:rPr>
                <w:rFonts w:ascii="Verdana" w:hAnsi="Verdana"/>
                <w:noProof/>
                <w:color w:val="FFFFFF"/>
                <w:sz w:val="16"/>
              </w:rPr>
              <w:t>Извършени плащания</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i/>
                <w:noProof/>
                <w:color w:val="000000"/>
                <w:sz w:val="16"/>
              </w:rPr>
            </w:pPr>
            <w:r>
              <w:rPr>
                <w:rFonts w:ascii="Verdana" w:hAnsi="Verdana"/>
                <w:i/>
                <w:noProof/>
                <w:color w:val="000000"/>
                <w:sz w:val="16"/>
              </w:rPr>
              <w:t>1</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i/>
                <w:noProof/>
                <w:color w:val="000000"/>
                <w:sz w:val="16"/>
              </w:rPr>
            </w:pPr>
            <w:r>
              <w:rPr>
                <w:rFonts w:ascii="Verdana" w:hAnsi="Verdana"/>
                <w:i/>
                <w:noProof/>
                <w:color w:val="000000"/>
                <w:sz w:val="16"/>
              </w:rPr>
              <w:t>Интелигентен и приобщаващ растеж</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72 354</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77 278</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88 334</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83 541</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i/>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22 308</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21 753</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28 726</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24 057</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1б: Икономическо, социално и териториално сближаване</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50 046</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55 525</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59 607</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59 484</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i/>
                <w:noProof/>
                <w:color w:val="000000"/>
                <w:sz w:val="16"/>
              </w:rPr>
            </w:pPr>
            <w:r>
              <w:rPr>
                <w:rFonts w:ascii="Verdana" w:hAnsi="Verdana"/>
                <w:i/>
                <w:noProof/>
                <w:color w:val="000000"/>
                <w:sz w:val="16"/>
              </w:rPr>
              <w:t>2</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i/>
                <w:noProof/>
                <w:color w:val="000000"/>
                <w:sz w:val="16"/>
              </w:rPr>
            </w:pPr>
            <w:r>
              <w:rPr>
                <w:rFonts w:ascii="Verdana" w:hAnsi="Verdana"/>
                <w:i/>
                <w:noProof/>
                <w:color w:val="000000"/>
                <w:sz w:val="16"/>
              </w:rPr>
              <w:t>Устойчив растеж: природни ресурси</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57 904</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58 772</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61 448</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60 595</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от които: разходи, свързани с пазара, и преки плащания</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43 380</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43 419</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45 018</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44 456</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3</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3 685</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6 293</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7 331</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6 333</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4</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Глобална Европа</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8 929</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10 386</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11 928</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11 412</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i/>
                <w:noProof/>
                <w:color w:val="000000"/>
                <w:sz w:val="16"/>
              </w:rPr>
            </w:pPr>
            <w:r>
              <w:rPr>
                <w:rFonts w:ascii="Verdana" w:hAnsi="Verdana"/>
                <w:i/>
                <w:noProof/>
                <w:color w:val="000000"/>
                <w:sz w:val="16"/>
              </w:rPr>
              <w:t>5</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i/>
                <w:noProof/>
                <w:color w:val="000000"/>
                <w:sz w:val="16"/>
              </w:rPr>
            </w:pPr>
            <w:r>
              <w:rPr>
                <w:rFonts w:ascii="Verdana" w:hAnsi="Verdana"/>
                <w:i/>
                <w:noProof/>
                <w:color w:val="000000"/>
                <w:sz w:val="16"/>
              </w:rPr>
              <w:t>Администрация</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10 275</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10 273</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11 941</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i/>
                <w:noProof/>
                <w:color w:val="000000"/>
                <w:sz w:val="16"/>
              </w:rPr>
            </w:pPr>
            <w:r>
              <w:rPr>
                <w:rFonts w:ascii="Verdana" w:hAnsi="Verdana"/>
                <w:i/>
                <w:noProof/>
                <w:color w:val="000000"/>
                <w:sz w:val="16"/>
              </w:rPr>
              <w:t>10 319</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от които: административни разходи на институциите</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4 226</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4 225</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5 168</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4 134</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6</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Компенсации</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8</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 xml:space="preserve">Отрицателен резерв и дефицит, пренесени от предходната финансова година </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9</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Специални инструменти</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 xml:space="preserve"> 419</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1 106</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1 128</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1 108</w:t>
            </w:r>
          </w:p>
        </w:tc>
      </w:tr>
      <w:tr>
        <w:trPr>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O</w:t>
            </w:r>
          </w:p>
        </w:tc>
        <w:tc>
          <w:tcPr>
            <w:tcW w:w="430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rPr>
                <w:rFonts w:ascii="Verdana" w:eastAsia="Verdana" w:hAnsi="Verdana" w:cs="Verdana"/>
                <w:noProof/>
                <w:color w:val="000000"/>
                <w:sz w:val="16"/>
              </w:rPr>
            </w:pPr>
            <w:r>
              <w:rPr>
                <w:rFonts w:ascii="Verdana" w:hAnsi="Verdana"/>
                <w:noProof/>
                <w:color w:val="000000"/>
                <w:sz w:val="16"/>
              </w:rPr>
              <w:t>Фонд за иновации (ФИ)</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095"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61"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1 337</w:t>
            </w:r>
          </w:p>
        </w:tc>
        <w:tc>
          <w:tcPr>
            <w:tcW w:w="1228" w:type="dxa"/>
            <w:tcBorders>
              <w:top w:val="nil"/>
              <w:left w:val="nil"/>
              <w:bottom w:val="nil"/>
              <w:right w:val="nil"/>
              <w:tl2br w:val="nil"/>
              <w:tr2bl w:val="nil"/>
            </w:tcBorders>
            <w:shd w:val="clear" w:color="auto" w:fill="auto"/>
            <w:tcMar>
              <w:left w:w="60" w:type="dxa"/>
              <w:right w:w="60" w:type="dxa"/>
            </w:tcMar>
            <w:vAlign w:val="center"/>
          </w:tcPr>
          <w:p>
            <w:pPr>
              <w:pStyle w:val="DMETW19805BIPStatementofcomparison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Payments"/>
              <w:rPr>
                <w:rFonts w:ascii="Verdana" w:eastAsia="Verdana" w:hAnsi="Verdana" w:cs="Verdana"/>
                <w:b/>
                <w:noProof/>
                <w:color w:val="000000"/>
                <w:sz w:val="16"/>
              </w:rPr>
            </w:pPr>
          </w:p>
        </w:tc>
        <w:tc>
          <w:tcPr>
            <w:tcW w:w="4305"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Payments"/>
              <w:rPr>
                <w:rFonts w:ascii="Verdana" w:eastAsia="Verdana" w:hAnsi="Verdana" w:cs="Verdana"/>
                <w:b/>
                <w:noProof/>
                <w:color w:val="000000"/>
                <w:sz w:val="16"/>
              </w:rPr>
            </w:pPr>
            <w:r>
              <w:rPr>
                <w:rFonts w:ascii="Verdana" w:hAnsi="Verdana"/>
                <w:b/>
                <w:noProof/>
                <w:color w:val="000000"/>
                <w:sz w:val="16"/>
              </w:rPr>
              <w:t>Общо</w:t>
            </w:r>
          </w:p>
        </w:tc>
        <w:tc>
          <w:tcPr>
            <w:tcW w:w="1228"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Payments"/>
              <w:jc w:val="right"/>
              <w:rPr>
                <w:rFonts w:ascii="Verdana" w:eastAsia="Verdana" w:hAnsi="Verdana" w:cs="Verdana"/>
                <w:b/>
                <w:noProof/>
                <w:color w:val="000000"/>
                <w:sz w:val="16"/>
              </w:rPr>
            </w:pPr>
            <w:r>
              <w:rPr>
                <w:rFonts w:ascii="Verdana" w:hAnsi="Verdana"/>
                <w:b/>
                <w:noProof/>
                <w:color w:val="000000"/>
                <w:sz w:val="16"/>
              </w:rPr>
              <w:t>153 566</w:t>
            </w:r>
          </w:p>
        </w:tc>
        <w:tc>
          <w:tcPr>
            <w:tcW w:w="1095"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Payments"/>
              <w:jc w:val="right"/>
              <w:rPr>
                <w:rFonts w:ascii="Verdana" w:eastAsia="Verdana" w:hAnsi="Verdana" w:cs="Verdana"/>
                <w:b/>
                <w:noProof/>
                <w:color w:val="000000"/>
                <w:sz w:val="16"/>
              </w:rPr>
            </w:pPr>
            <w:r>
              <w:rPr>
                <w:rFonts w:ascii="Verdana" w:hAnsi="Verdana"/>
                <w:b/>
                <w:noProof/>
                <w:color w:val="000000"/>
                <w:sz w:val="16"/>
              </w:rPr>
              <w:t>164 108</w:t>
            </w:r>
          </w:p>
        </w:tc>
        <w:tc>
          <w:tcPr>
            <w:tcW w:w="1361"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Payments"/>
              <w:jc w:val="right"/>
              <w:rPr>
                <w:rFonts w:ascii="Verdana" w:eastAsia="Verdana" w:hAnsi="Verdana" w:cs="Verdana"/>
                <w:b/>
                <w:noProof/>
                <w:color w:val="000000"/>
                <w:sz w:val="16"/>
              </w:rPr>
            </w:pPr>
            <w:r>
              <w:rPr>
                <w:rFonts w:ascii="Verdana" w:hAnsi="Verdana"/>
                <w:b/>
                <w:noProof/>
                <w:color w:val="000000"/>
                <w:sz w:val="16"/>
              </w:rPr>
              <w:t>183 446</w:t>
            </w:r>
          </w:p>
        </w:tc>
        <w:tc>
          <w:tcPr>
            <w:tcW w:w="1228" w:type="dxa"/>
            <w:tcBorders>
              <w:top w:val="nil"/>
              <w:left w:val="nil"/>
              <w:bottom w:val="nil"/>
              <w:right w:val="nil"/>
              <w:tl2br w:val="nil"/>
              <w:tr2bl w:val="nil"/>
            </w:tcBorders>
            <w:shd w:val="solid" w:color="CCE1EB" w:fill="FFFFFF"/>
            <w:tcMar>
              <w:left w:w="60" w:type="dxa"/>
              <w:right w:w="60" w:type="dxa"/>
            </w:tcMar>
            <w:vAlign w:val="center"/>
          </w:tcPr>
          <w:p>
            <w:pPr>
              <w:pStyle w:val="DMETW19805BIPStatementofcomparisonPayments"/>
              <w:jc w:val="right"/>
              <w:rPr>
                <w:rFonts w:ascii="Verdana" w:eastAsia="Verdana" w:hAnsi="Verdana" w:cs="Verdana"/>
                <w:b/>
                <w:noProof/>
                <w:color w:val="000000"/>
                <w:sz w:val="16"/>
              </w:rPr>
            </w:pPr>
            <w:r>
              <w:rPr>
                <w:rFonts w:ascii="Verdana" w:hAnsi="Verdana"/>
                <w:b/>
                <w:noProof/>
                <w:color w:val="000000"/>
                <w:sz w:val="16"/>
              </w:rPr>
              <w:t>173 310</w:t>
            </w:r>
          </w:p>
        </w:tc>
      </w:tr>
    </w:tbl>
    <w:p>
      <w:pPr>
        <w:pStyle w:val="Textstand-alone"/>
      </w:pPr>
    </w:p>
    <w:p>
      <w:pPr>
        <w:pStyle w:val="Textstand-alone"/>
        <w:sectPr>
          <w:headerReference w:type="even" r:id="rId308"/>
          <w:headerReference w:type="default" r:id="rId309"/>
          <w:footerReference w:type="even" r:id="rId310"/>
          <w:footerReference w:type="default" r:id="rId311"/>
          <w:headerReference w:type="first" r:id="rId312"/>
          <w:footerReference w:type="first" r:id="rId313"/>
          <w:pgSz w:w="11907" w:h="16840"/>
          <w:pgMar w:top="1134" w:right="1134" w:bottom="1134" w:left="1134" w:header="709" w:footer="709" w:gutter="0"/>
          <w:cols w:space="708"/>
          <w:docGrid w:linePitch="360"/>
        </w:sectPr>
      </w:pPr>
      <w:r>
        <w:t xml:space="preserve"> </w:t>
      </w:r>
      <w:bookmarkEnd w:id="221"/>
    </w:p>
    <w:p>
      <w:pPr>
        <w:pStyle w:val="HEADERTITLE2"/>
        <w:rPr>
          <w:spacing w:val="-14"/>
        </w:rPr>
      </w:pPr>
      <w:bookmarkStart w:id="227" w:name="_Toc75518124"/>
      <w:bookmarkStart w:id="228" w:name="_DMBM_19852"/>
      <w:r>
        <w:rPr>
          <w:spacing w:val="-14"/>
        </w:rPr>
        <w:t>БЕЛЕЖКИ КЪМ ДОКЛАДИТЕ ЗА ИЗПЪЛНЕНИЕТО НА БЮДЖЕТА</w:t>
      </w:r>
      <w:bookmarkEnd w:id="227"/>
      <w:r>
        <w:rPr>
          <w:spacing w:val="-14"/>
        </w:rPr>
        <w:t xml:space="preserve"> </w:t>
      </w:r>
    </w:p>
    <w:p>
      <w:pPr>
        <w:pStyle w:val="HEADER1PartBUDG"/>
        <w:numPr>
          <w:ilvl w:val="0"/>
          <w:numId w:val="15"/>
        </w:numPr>
        <w:tabs>
          <w:tab w:val="clear" w:pos="907"/>
        </w:tabs>
        <w:spacing w:after="120"/>
        <w:ind w:left="357" w:hanging="357"/>
        <w:rPr>
          <w:noProof/>
        </w:rPr>
      </w:pPr>
      <w:r>
        <w:rPr>
          <w:noProof/>
        </w:rPr>
        <w:t xml:space="preserve"> </w:t>
      </w:r>
      <w:bookmarkStart w:id="229" w:name="_Toc75518125"/>
      <w:r>
        <w:rPr>
          <w:noProof/>
        </w:rPr>
        <w:t>РАМКА НА БЮДЖЕТА НА ЕС</w:t>
      </w:r>
      <w:bookmarkEnd w:id="229"/>
    </w:p>
    <w:p>
      <w:pPr>
        <w:pStyle w:val="DGTextstand-alone"/>
        <w:spacing w:before="120" w:after="120"/>
      </w:pPr>
      <w:r>
        <w:t>Бюджетното счетоводство се води в съответствие с Финансовия регламент (ФР). Общият бюджет е инструментът, чрез който се предвиждат и разрешават приходите и разходите на Съюза всяка година в рамките на таваните и другите разпоредби, определени в многогодишната финансова рамка (МФР) в съответствие със законодателните актове във връзка с многогодишните програми, приемани съгласно тази рамка.</w:t>
      </w:r>
    </w:p>
    <w:p>
      <w:pPr>
        <w:pStyle w:val="HEADER2PartBUDG"/>
        <w:numPr>
          <w:ilvl w:val="1"/>
          <w:numId w:val="15"/>
        </w:numPr>
        <w:spacing w:after="120"/>
        <w:ind w:left="357" w:hanging="357"/>
        <w:rPr>
          <w:noProof/>
          <w:spacing w:val="-6"/>
        </w:rPr>
      </w:pPr>
      <w:bookmarkStart w:id="230" w:name="_Toc75518126"/>
      <w:r>
        <w:rPr>
          <w:noProof/>
          <w:spacing w:val="-6"/>
        </w:rPr>
        <w:t>МНОГОГОДИШНА ФИНАНСОВА РАМКА ЗА 2014—2020 Г.</w:t>
      </w:r>
      <w:bookmarkEnd w:id="230"/>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tc>
          <w:tcPr>
            <w:tcW w:w="1951" w:type="dxa"/>
            <w:tcBorders>
              <w:top w:val="nil"/>
              <w:left w:val="nil"/>
              <w:bottom w:val="nil"/>
              <w:right w:val="nil"/>
            </w:tcBorders>
            <w:shd w:val="clear" w:color="auto" w:fill="auto"/>
            <w:tcMar>
              <w:top w:w="0" w:type="dxa"/>
              <w:left w:w="108" w:type="dxa"/>
              <w:bottom w:w="0" w:type="dxa"/>
              <w:right w:w="108" w:type="dxa"/>
            </w:tcMar>
          </w:tcPr>
          <w:p>
            <w:pPr>
              <w:pStyle w:val="Text8pItalicLeft"/>
              <w:rPr>
                <w:rFonts w:eastAsia="Verdana" w:cs="Verdana"/>
                <w:color w:val="FFFFFF"/>
                <w:spacing w:val="-6"/>
              </w:rPr>
            </w:pPr>
            <w:bookmarkStart w:id="231" w:name="DOC_TBL00104_1_1"/>
            <w:bookmarkEnd w:id="231"/>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pacing w:val="-6"/>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pacing w:val="-6"/>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pacing w:val="-6"/>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pacing w:val="-6"/>
                <w:lang w:bidi="en-GB"/>
              </w:rPr>
            </w:pPr>
          </w:p>
        </w:tc>
        <w:tc>
          <w:tcPr>
            <w:tcW w:w="992"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pacing w:val="-6"/>
                <w:lang w:bidi="en-GB"/>
              </w:rPr>
            </w:pPr>
          </w:p>
        </w:tc>
        <w:tc>
          <w:tcPr>
            <w:tcW w:w="993" w:type="dxa"/>
            <w:tcBorders>
              <w:top w:val="nil"/>
              <w:left w:val="nil"/>
              <w:bottom w:val="nil"/>
              <w:right w:val="nil"/>
            </w:tcBorders>
            <w:shd w:val="clear" w:color="auto" w:fill="auto"/>
            <w:tcMar>
              <w:top w:w="0" w:type="dxa"/>
              <w:left w:w="108" w:type="dxa"/>
              <w:bottom w:w="0" w:type="dxa"/>
              <w:right w:w="108" w:type="dxa"/>
            </w:tcMar>
          </w:tcPr>
          <w:p>
            <w:pPr>
              <w:pStyle w:val="Text8pItalicRight025EUR"/>
              <w:rPr>
                <w:rFonts w:eastAsia="Verdana" w:cs="Verdana"/>
                <w:i w:val="0"/>
                <w:spacing w:val="-6"/>
                <w:lang w:bidi="en-GB"/>
              </w:rPr>
            </w:pPr>
          </w:p>
        </w:tc>
        <w:tc>
          <w:tcPr>
            <w:tcW w:w="2126" w:type="dxa"/>
            <w:gridSpan w:val="2"/>
            <w:tcBorders>
              <w:top w:val="nil"/>
              <w:left w:val="nil"/>
              <w:bottom w:val="nil"/>
              <w:right w:val="nil"/>
            </w:tcBorders>
            <w:shd w:val="clear" w:color="auto" w:fill="auto"/>
            <w:tcMar>
              <w:top w:w="0" w:type="dxa"/>
              <w:left w:w="108" w:type="dxa"/>
              <w:bottom w:w="0" w:type="dxa"/>
              <w:right w:w="108" w:type="dxa"/>
            </w:tcMar>
          </w:tcPr>
          <w:p>
            <w:pPr>
              <w:pStyle w:val="Text7pItalicRight025"/>
              <w:rPr>
                <w:rFonts w:eastAsia="Verdana" w:cs="Verdana"/>
                <w:spacing w:val="-6"/>
              </w:rPr>
            </w:pPr>
            <w:r>
              <w:rPr>
                <w:spacing w:val="-6"/>
              </w:rPr>
              <w:t>милиони евро</w:t>
            </w:r>
          </w:p>
        </w:tc>
      </w:tr>
      <w:tr>
        <w:trPr>
          <w:trHeight w:val="227"/>
        </w:trPr>
        <w:tc>
          <w:tcPr>
            <w:tcW w:w="1951"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spacing w:val="-6"/>
                <w:lang w:bidi="en-GB"/>
              </w:rPr>
            </w:pP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spacing w:val="-6"/>
              </w:rPr>
            </w:pPr>
            <w:r>
              <w:rPr>
                <w:noProof/>
                <w:spacing w:val="-6"/>
              </w:rPr>
              <w:t>2014 г.</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spacing w:val="-6"/>
              </w:rPr>
            </w:pPr>
            <w:r>
              <w:rPr>
                <w:noProof/>
                <w:spacing w:val="-6"/>
              </w:rPr>
              <w:t>2015 г.</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spacing w:val="-6"/>
              </w:rPr>
            </w:pPr>
            <w:r>
              <w:rPr>
                <w:noProof/>
                <w:spacing w:val="-6"/>
              </w:rPr>
              <w:t>2016 г.</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spacing w:val="-6"/>
              </w:rPr>
            </w:pPr>
            <w:r>
              <w:rPr>
                <w:noProof/>
                <w:spacing w:val="-6"/>
              </w:rPr>
              <w:t>2017 г.</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spacing w:val="-6"/>
              </w:rPr>
            </w:pPr>
            <w:r>
              <w:rPr>
                <w:noProof/>
                <w:spacing w:val="-6"/>
              </w:rPr>
              <w:t>2018 г.</w:t>
            </w:r>
          </w:p>
        </w:tc>
        <w:tc>
          <w:tcPr>
            <w:tcW w:w="993"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spacing w:val="-6"/>
              </w:rPr>
            </w:pPr>
            <w:r>
              <w:rPr>
                <w:noProof/>
                <w:spacing w:val="-6"/>
              </w:rPr>
              <w:t>2019 г.</w:t>
            </w:r>
          </w:p>
        </w:tc>
        <w:tc>
          <w:tcPr>
            <w:tcW w:w="992"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spacing w:val="-6"/>
              </w:rPr>
            </w:pPr>
            <w:r>
              <w:rPr>
                <w:noProof/>
                <w:spacing w:val="-6"/>
              </w:rPr>
              <w:t>2020 г.</w:t>
            </w:r>
          </w:p>
        </w:tc>
        <w:tc>
          <w:tcPr>
            <w:tcW w:w="1134" w:type="dxa"/>
            <w:tcBorders>
              <w:top w:val="nil"/>
              <w:left w:val="nil"/>
              <w:bottom w:val="single" w:sz="4" w:space="0" w:color="FFFFFF"/>
              <w:right w:val="nil"/>
            </w:tcBorders>
            <w:shd w:val="clear" w:color="auto" w:fill="016794"/>
            <w:tcMar>
              <w:top w:w="0" w:type="dxa"/>
              <w:left w:w="108" w:type="dxa"/>
              <w:bottom w:w="0" w:type="dxa"/>
              <w:right w:w="108" w:type="dxa"/>
            </w:tcMar>
            <w:vAlign w:val="center"/>
          </w:tcPr>
          <w:p>
            <w:pPr>
              <w:pStyle w:val="Heading7pNormalRight01"/>
              <w:jc w:val="center"/>
              <w:rPr>
                <w:rFonts w:eastAsia="Verdana" w:cs="Verdana"/>
                <w:noProof/>
                <w:spacing w:val="-6"/>
              </w:rPr>
            </w:pPr>
            <w:r>
              <w:rPr>
                <w:noProof/>
                <w:spacing w:val="-6"/>
              </w:rPr>
              <w:t>Общо</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spacing w:val="-6"/>
              </w:rPr>
            </w:pPr>
            <w:r>
              <w:rPr>
                <w:spacing w:val="-6"/>
              </w:rPr>
              <w:t>1. Интелигентен и приобщаващ растеж</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52 756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77 986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69 304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73 512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76 420</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79 924</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83 661</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513 563</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spacing w:val="-6"/>
              </w:rPr>
            </w:pPr>
            <w:r>
              <w:rPr>
                <w:spacing w:val="-6"/>
              </w:rPr>
              <w:t>1а. Конкурентоспособност за растеж и работни места</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16 560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17 666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18 467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19 925</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21 239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23 082</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25 191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142 130</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spacing w:val="-6"/>
              </w:rPr>
            </w:pPr>
            <w:r>
              <w:rPr>
                <w:spacing w:val="-6"/>
              </w:rPr>
              <w:t>1б. Икономическо, социално и териториално сближаване</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36 196</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60 320</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50 837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53 587</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55 181</w:t>
            </w: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56 842</w:t>
            </w: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58 470</w:t>
            </w: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371 433</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spacing w:val="-6"/>
              </w:rPr>
            </w:pPr>
            <w:r>
              <w:rPr>
                <w:spacing w:val="-6"/>
              </w:rPr>
              <w:t>2. Устойчив растеж: природни ресурси</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49 857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64 692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64 262</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60 191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60 267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60 344</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60 421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420 034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spacing w:val="-6"/>
              </w:rPr>
            </w:pPr>
            <w:r>
              <w:rPr>
                <w:spacing w:val="-6"/>
              </w:rPr>
              <w:t>от които: разходи, свързани с пазара, и преки плащания</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43 779</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44 190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43 951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44 146</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44 163</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43 881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43 888</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307 998</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spacing w:val="-6"/>
              </w:rPr>
            </w:pPr>
            <w:r>
              <w:rPr>
                <w:spacing w:val="-6"/>
              </w:rPr>
              <w:t>3. Сигурност и гражданство</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1 737</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2 456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2 546</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2 578</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2 656</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2 801</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2 951</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17 725</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spacing w:val="-6"/>
              </w:rPr>
            </w:pPr>
            <w:r>
              <w:rPr>
                <w:spacing w:val="-6"/>
              </w:rPr>
              <w:t>4. Глобална Европа</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8 335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8 749</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9 143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9 432</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9 825</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10 268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10 510</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66 262</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spacing w:val="-6"/>
              </w:rPr>
            </w:pPr>
            <w:r>
              <w:rPr>
                <w:spacing w:val="-6"/>
              </w:rPr>
              <w:t>5. Администрация</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8 721</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9 076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9 483</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9 918</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10 346</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10 786</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11 254</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69 584</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ItalicLeft"/>
              <w:ind w:left="200"/>
              <w:rPr>
                <w:rFonts w:eastAsia="Verdana" w:cs="Verdana"/>
                <w:spacing w:val="-6"/>
              </w:rPr>
            </w:pPr>
            <w:r>
              <w:rPr>
                <w:spacing w:val="-6"/>
              </w:rPr>
              <w:t>от които: административни разходи на институциите</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7 056</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7 351</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7 679</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8 007</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8 360</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8 700</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9 071</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ItalicRight01"/>
              <w:rPr>
                <w:rFonts w:eastAsia="Verdana" w:cs="Verdana"/>
                <w:spacing w:val="-6"/>
              </w:rPr>
            </w:pPr>
            <w:r>
              <w:rPr>
                <w:spacing w:val="-6"/>
              </w:rPr>
              <w:t xml:space="preserve">  56 224</w:t>
            </w:r>
          </w:p>
        </w:tc>
      </w:tr>
      <w:tr>
        <w:trPr>
          <w:trHeight w:val="227"/>
        </w:trPr>
        <w:tc>
          <w:tcPr>
            <w:tcW w:w="1951"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spacing w:val="-6"/>
              </w:rPr>
            </w:pPr>
            <w:r>
              <w:rPr>
                <w:spacing w:val="-6"/>
              </w:rPr>
              <w:t>6. Компенсации</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29</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3"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1134" w:type="dxa"/>
            <w:tcBorders>
              <w:top w:val="nil"/>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 xml:space="preserve">   29</w:t>
            </w:r>
          </w:p>
        </w:tc>
      </w:tr>
      <w:tr>
        <w:trPr>
          <w:trHeight w:val="227"/>
        </w:trPr>
        <w:tc>
          <w:tcPr>
            <w:tcW w:w="1951"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Text7pNormalLeft"/>
              <w:ind w:left="0"/>
              <w:rPr>
                <w:rFonts w:eastAsia="Verdana" w:cs="Verdana"/>
                <w:spacing w:val="-6"/>
              </w:rPr>
            </w:pPr>
            <w:r>
              <w:rPr>
                <w:spacing w:val="-6"/>
              </w:rPr>
              <w:t>8. Отрицателен резерв</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3"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1134" w:type="dxa"/>
            <w:tcBorders>
              <w:top w:val="single" w:sz="4" w:space="0" w:color="FFFFFF"/>
              <w:left w:val="nil"/>
              <w:bottom w:val="single" w:sz="4" w:space="0" w:color="FFFFFF"/>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r>
      <w:tr>
        <w:trPr>
          <w:trHeight w:val="227"/>
        </w:trPr>
        <w:tc>
          <w:tcPr>
            <w:tcW w:w="1951"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spacing w:val="-6"/>
              </w:rPr>
            </w:pPr>
            <w:r>
              <w:rPr>
                <w:spacing w:val="-6"/>
              </w:rPr>
              <w:t>9. Специални инструменти</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3"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992"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c>
          <w:tcPr>
            <w:tcW w:w="1134" w:type="dxa"/>
            <w:tcBorders>
              <w:top w:val="single" w:sz="4" w:space="0" w:color="FFFFFF"/>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rPr>
            </w:pPr>
            <w:r>
              <w:rPr>
                <w:spacing w:val="-6"/>
              </w:rPr>
              <w:t>–</w:t>
            </w: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spacing w:val="-6"/>
              </w:rPr>
            </w:pPr>
            <w:r>
              <w:rPr>
                <w:spacing w:val="-6"/>
              </w:rPr>
              <w:t>Бюджетни кредити за поети задължения</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121 435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162 959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154 738</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155 631</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159 514</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164 123</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168 797</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1 087 197</w:t>
            </w:r>
          </w:p>
        </w:tc>
      </w:tr>
      <w:tr>
        <w:trPr>
          <w:trHeight w:val="227"/>
        </w:trPr>
        <w:tc>
          <w:tcPr>
            <w:tcW w:w="1951" w:type="dxa"/>
            <w:tcBorders>
              <w:top w:val="nil"/>
              <w:left w:val="nil"/>
              <w:bottom w:val="nil"/>
              <w:right w:val="nil"/>
            </w:tcBorders>
            <w:shd w:val="clear" w:color="auto" w:fill="auto"/>
            <w:tcMar>
              <w:top w:w="0" w:type="dxa"/>
              <w:left w:w="108" w:type="dxa"/>
              <w:bottom w:w="0" w:type="dxa"/>
              <w:right w:w="108" w:type="dxa"/>
            </w:tcMar>
            <w:vAlign w:val="center"/>
          </w:tcPr>
          <w:p>
            <w:pPr>
              <w:pStyle w:val="Text7pNormalLeft"/>
              <w:ind w:left="0"/>
              <w:rPr>
                <w:rFonts w:eastAsia="Verdana" w:cs="Verdana"/>
                <w:spacing w:val="-6"/>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lang w:bidi="en-GB"/>
              </w:rPr>
            </w:pPr>
          </w:p>
        </w:tc>
        <w:tc>
          <w:tcPr>
            <w:tcW w:w="993"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lang w:bidi="en-GB"/>
              </w:rPr>
            </w:pPr>
          </w:p>
        </w:tc>
        <w:tc>
          <w:tcPr>
            <w:tcW w:w="992"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lang w:bidi="en-GB"/>
              </w:rPr>
            </w:pPr>
          </w:p>
        </w:tc>
        <w:tc>
          <w:tcPr>
            <w:tcW w:w="1134" w:type="dxa"/>
            <w:tcBorders>
              <w:top w:val="nil"/>
              <w:left w:val="nil"/>
              <w:bottom w:val="nil"/>
              <w:right w:val="nil"/>
            </w:tcBorders>
            <w:shd w:val="clear" w:color="auto" w:fill="auto"/>
            <w:tcMar>
              <w:top w:w="0" w:type="dxa"/>
              <w:left w:w="108" w:type="dxa"/>
              <w:bottom w:w="0" w:type="dxa"/>
              <w:right w:w="108" w:type="dxa"/>
            </w:tcMar>
            <w:vAlign w:val="center"/>
          </w:tcPr>
          <w:p>
            <w:pPr>
              <w:pStyle w:val="Figures6pNormalright01"/>
              <w:rPr>
                <w:rFonts w:eastAsia="Verdana" w:cs="Verdana"/>
                <w:spacing w:val="-6"/>
                <w:lang w:bidi="en-GB"/>
              </w:rPr>
            </w:pPr>
          </w:p>
        </w:tc>
      </w:tr>
      <w:tr>
        <w:trPr>
          <w:trHeight w:val="227"/>
        </w:trPr>
        <w:tc>
          <w:tcPr>
            <w:tcW w:w="1951" w:type="dxa"/>
            <w:tcBorders>
              <w:top w:val="nil"/>
              <w:left w:val="nil"/>
              <w:bottom w:val="nil"/>
              <w:right w:val="nil"/>
            </w:tcBorders>
            <w:shd w:val="clear" w:color="auto" w:fill="CCE1EA"/>
            <w:tcMar>
              <w:top w:w="0" w:type="dxa"/>
              <w:left w:w="108" w:type="dxa"/>
              <w:bottom w:w="0" w:type="dxa"/>
              <w:right w:w="108" w:type="dxa"/>
            </w:tcMar>
            <w:vAlign w:val="center"/>
          </w:tcPr>
          <w:p>
            <w:pPr>
              <w:pStyle w:val="Text7pBoldLeft"/>
              <w:rPr>
                <w:rFonts w:eastAsia="Verdana" w:cs="Verdana"/>
                <w:spacing w:val="-6"/>
              </w:rPr>
            </w:pPr>
            <w:r>
              <w:rPr>
                <w:spacing w:val="-6"/>
              </w:rPr>
              <w:t>Общ размер на бюджетните кредити за плащания</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135 762</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140 719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130 694</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126 492</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154 355</w:t>
            </w:r>
          </w:p>
        </w:tc>
        <w:tc>
          <w:tcPr>
            <w:tcW w:w="993"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166 709</w:t>
            </w:r>
          </w:p>
        </w:tc>
        <w:tc>
          <w:tcPr>
            <w:tcW w:w="992"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172 420</w:t>
            </w:r>
          </w:p>
        </w:tc>
        <w:tc>
          <w:tcPr>
            <w:tcW w:w="1134" w:type="dxa"/>
            <w:tcBorders>
              <w:top w:val="nil"/>
              <w:left w:val="nil"/>
              <w:bottom w:val="nil"/>
              <w:right w:val="nil"/>
            </w:tcBorders>
            <w:shd w:val="clear" w:color="auto" w:fill="CCE1EA"/>
            <w:tcMar>
              <w:top w:w="0" w:type="dxa"/>
              <w:left w:w="108" w:type="dxa"/>
              <w:bottom w:w="0" w:type="dxa"/>
              <w:right w:w="108" w:type="dxa"/>
            </w:tcMar>
            <w:vAlign w:val="center"/>
          </w:tcPr>
          <w:p>
            <w:pPr>
              <w:pStyle w:val="Figures6pBoldRight01"/>
              <w:rPr>
                <w:rFonts w:eastAsia="Verdana" w:cs="Verdana"/>
                <w:spacing w:val="-6"/>
              </w:rPr>
            </w:pPr>
            <w:r>
              <w:rPr>
                <w:spacing w:val="-6"/>
              </w:rPr>
              <w:t xml:space="preserve"> 1 027 151</w:t>
            </w:r>
          </w:p>
        </w:tc>
      </w:tr>
    </w:tbl>
    <w:p>
      <w:pPr>
        <w:pStyle w:val="DGTextstand-alone"/>
        <w:rPr>
          <w:spacing w:val="-6"/>
        </w:rPr>
      </w:pPr>
      <w:r>
        <w:rPr>
          <w:spacing w:val="-6"/>
        </w:rPr>
        <w:t>В таблицата по-горе са посочени таваните в МФР по текущи цени. 2020 година бе последната финансова година от МФР за периода 2014—2020 г. Общият таван за бюджетните кредити за поети задължения за 2020 г. бе 168 797 милиона евро, което се равнява на 0,99 % от БНД на ЕС, докато съответният таван за бюджетните кредити за плащания бе 172 420 милиона евро, или 1,01 % от БНД на ЕС.</w:t>
      </w:r>
    </w:p>
    <w:p>
      <w:pPr>
        <w:pStyle w:val="DGTextstand-alone"/>
      </w:pPr>
      <w:r>
        <w:t>За МФР за периода 2014—2020 г. бяха договорени разпоредби за гъвкавост. Една от тях е възможността за прехвърляне на неизразходените маржове (до достигане на горните граници, определени в Регламента за МФР) под таваните на плащанията за следващите години — посредством общия марж за плащанията в рамките на техническата корекция на МФР за следващата година. В съответствие с това неусвоените средства от 2016 г. (13 991 милиона евро по текущи цени), от 2017 г. (16 414 милиона евро по текущи цени) и от 2018 г. (210 милиона евро от изчислените 11 386 милиона евро вследствие на определянето на горна граница) бяха прехвърлени за 2018—2020 г. и таваните за 2016—2020 г. бяха коригирани по съответния начин. На 15 май 2019 г. Комисията прие съобщението „Tехническа корекция на финансовата рамка за 2020 г. в съответствие с промените в БНД (ЕСС 2010)“ (COM(2019) 310).</w:t>
      </w:r>
    </w:p>
    <w:p>
      <w:pPr>
        <w:pStyle w:val="DGTextstand-alone"/>
      </w:pPr>
      <w:r>
        <w:t>По-долу е дадено обяснение на различните функции на МФР. Структурата и съдържанието на функциите ще се променят значително в следващата МФР.</w:t>
      </w:r>
    </w:p>
    <w:p>
      <w:pPr>
        <w:pStyle w:val="HEADER5"/>
        <w:rPr>
          <w:noProof/>
        </w:rPr>
      </w:pPr>
      <w:r>
        <w:rPr>
          <w:noProof/>
        </w:rPr>
        <w:t>Функция 1 — Интелигентен и приобщаващ растеж</w:t>
      </w:r>
    </w:p>
    <w:p>
      <w:pPr>
        <w:pStyle w:val="DGTextstand-alone"/>
      </w:pPr>
      <w:r>
        <w:t>Тази функция е разделена на два отделни, но взаимосвързани компонента:</w:t>
      </w:r>
    </w:p>
    <w:p>
      <w:pPr>
        <w:pStyle w:val="DGTextstand-alone"/>
      </w:pPr>
      <w:r>
        <w:t>1а</w:t>
      </w:r>
      <w:r>
        <w:tab/>
        <w:t>„Конкурентоспособност за растеж и работни места“, обхващащ разходите за научни изследвания и иновации, образование и обучение, Механизма за свързване на Европа, социалната политика, вътрешния пазар и съпътстващите ги политики.</w:t>
      </w:r>
    </w:p>
    <w:p>
      <w:pPr>
        <w:pStyle w:val="DGTextstand-alone"/>
        <w:rPr>
          <w:spacing w:val="-6"/>
        </w:rPr>
      </w:pPr>
      <w:r>
        <w:rPr>
          <w:spacing w:val="-6"/>
        </w:rPr>
        <w:t>1б</w:t>
      </w:r>
      <w:r>
        <w:rPr>
          <w:spacing w:val="-6"/>
        </w:rPr>
        <w:tab/>
        <w:t>„Икономическо, социално и териториално сближаване“, предназначен за подобряване на сближаването на най-слабо развитите държави членки и региони, за допълване на стратегията на ЕС за устойчиво развитие извън по-бедните региони и за подкрепа на междурегионалното сътрудничество.</w:t>
      </w:r>
    </w:p>
    <w:p>
      <w:pPr>
        <w:pStyle w:val="HEADER5"/>
        <w:rPr>
          <w:noProof/>
        </w:rPr>
      </w:pPr>
      <w:r>
        <w:rPr>
          <w:noProof/>
        </w:rPr>
        <w:t>Функция 2 — Устойчив растеж: природни ресурси</w:t>
      </w:r>
    </w:p>
    <w:p>
      <w:pPr>
        <w:pStyle w:val="DGTextstand-alone"/>
      </w:pPr>
      <w:r>
        <w:t>Функция 2 включва общата селскостопанска политика, общата политика в областта на рибарството и мерките за околната среда, и по-специално програмата Life+.</w:t>
      </w:r>
    </w:p>
    <w:p>
      <w:pPr>
        <w:pStyle w:val="HEADER5"/>
        <w:rPr>
          <w:noProof/>
        </w:rPr>
      </w:pPr>
      <w:r>
        <w:rPr>
          <w:noProof/>
        </w:rPr>
        <w:t>Функция 3 — Сигурност и гражданство</w:t>
      </w:r>
    </w:p>
    <w:p>
      <w:pPr>
        <w:pStyle w:val="DGTextstand-alone"/>
      </w:pPr>
      <w:r>
        <w:t>Функция 3 отразява нарастващото значение, което се придава на сфери, в които на ЕС са възложени конкретни задачи — правосъдие и вътрешни работи, гранична защита, политика в областта на имиграцията и убежището, обществено здравеопазване и защита на потребителите, култура, младеж, информация и диалог с гражданите.</w:t>
      </w:r>
    </w:p>
    <w:p>
      <w:pPr>
        <w:pStyle w:val="HEADER5"/>
        <w:rPr>
          <w:noProof/>
        </w:rPr>
      </w:pPr>
      <w:r>
        <w:rPr>
          <w:noProof/>
        </w:rPr>
        <w:t>Функция 4 — Глобална Европа</w:t>
      </w:r>
    </w:p>
    <w:p>
      <w:pPr>
        <w:pStyle w:val="DGTextstand-alone"/>
        <w:rPr>
          <w:spacing w:val="-6"/>
        </w:rPr>
      </w:pPr>
      <w:r>
        <w:rPr>
          <w:spacing w:val="-6"/>
        </w:rPr>
        <w:t>Функция 4 обхваща всички външни действия, включително сътрудничеството за развитие, хуманитарната помощ, инструментите за предприсъединителна помощ и инструментите в областта на съседските отношения. ЕФР продължава да е извън обхвата на бюджета на ЕС и не е включен в МФР.</w:t>
      </w:r>
    </w:p>
    <w:p>
      <w:pPr>
        <w:pStyle w:val="HEADER5"/>
        <w:rPr>
          <w:noProof/>
        </w:rPr>
      </w:pPr>
      <w:r>
        <w:rPr>
          <w:noProof/>
        </w:rPr>
        <w:t>Функция 5 — Администрация</w:t>
      </w:r>
    </w:p>
    <w:p>
      <w:pPr>
        <w:pStyle w:val="DGTextstand-alone"/>
        <w:rPr>
          <w:spacing w:val="-6"/>
        </w:rPr>
      </w:pPr>
      <w:r>
        <w:rPr>
          <w:spacing w:val="-6"/>
        </w:rPr>
        <w:t>Тази функция обхваща административните разходи за всички институции, пенсиите и европейските училища. За институциите, различни от Комисията, тези разходи представляват всички техни разходи.</w:t>
      </w:r>
    </w:p>
    <w:p>
      <w:pPr>
        <w:pStyle w:val="HEADER5"/>
        <w:rPr>
          <w:noProof/>
        </w:rPr>
      </w:pPr>
      <w:r>
        <w:rPr>
          <w:noProof/>
        </w:rPr>
        <w:t>Функция 6 — Компенсации</w:t>
      </w:r>
    </w:p>
    <w:p>
      <w:pPr>
        <w:pStyle w:val="DGTextstand-alone"/>
      </w:pPr>
      <w:r>
        <w:t>В съответствие с политическото споразумение, според което в самото начало на своето членство новите държави членки не трябва да внасят в бюджета повече средства, отколкото получават от него, по тази функция е предвидена компенсация. Тази сума е налична като трансфери за новите държави членки с цел изравняване на сумите, които получават от бюджета, и вноските им в него.</w:t>
      </w:r>
    </w:p>
    <w:p>
      <w:pPr>
        <w:pStyle w:val="HEADER5"/>
        <w:rPr>
          <w:noProof/>
        </w:rPr>
      </w:pPr>
      <w:r>
        <w:rPr>
          <w:noProof/>
        </w:rPr>
        <w:t>Функция 9 — Специални инструменти</w:t>
      </w:r>
    </w:p>
    <w:p>
      <w:pPr>
        <w:pStyle w:val="DGTextstand-alone"/>
      </w:pPr>
      <w:r>
        <w:t>Механизмите за гъвкавост дават възможност на ЕС да мобилизира необходимите средства, за да реагира на непредвидени събития, като кризисни и извънредни ситуации. Техният обхват, финансови средства и начини на функциониране са предвидени в Регламента за МФР и в Междуинституционалното споразумение. Те гарантират, че бюджетните ресурси могат да реагират на променящите се приоритети, за да се използва всяко евро там, където то е най-необходимо. Поради това повечето механизми за гъвкавост се оставят извън МФР и финансирането може да бъде мобилизирано над таваните на разходите.</w:t>
      </w:r>
    </w:p>
    <w:p>
      <w:pPr>
        <w:pStyle w:val="DGTextstand-alone"/>
      </w:pPr>
      <w:r>
        <w:t>МФР за периода 2021—2027 г. ще възлиза на 1 074 милиарда евро за ЕС-27 по цени от 2018 г., включително интегрирането на Европейския фонд за развитие (ЕФР). Заедно с инструмента за възстановяване Next Generation EU (NGEU) на стойност 750 милиарда евро тя ще позволи на ЕС да предостави през следващите години безпрецедентно финансиране в размер на 1,8 трилиона евро в подкрепа на възстановяването от пандемията от COVID-19 и на постигането на дългосрочните приоритети на ЕС в различните области на политиката.</w:t>
      </w:r>
    </w:p>
    <w:p>
      <w:pPr>
        <w:pStyle w:val="HEADER2PartBUDG"/>
        <w:numPr>
          <w:ilvl w:val="1"/>
          <w:numId w:val="15"/>
        </w:numPr>
        <w:rPr>
          <w:noProof/>
        </w:rPr>
      </w:pPr>
      <w:bookmarkStart w:id="232" w:name="_Toc75518127"/>
      <w:r>
        <w:rPr>
          <w:noProof/>
        </w:rPr>
        <w:t>ПОДРОБНИ ФУНКЦИИ НА МФР (ПРОГРАМИ)</w:t>
      </w:r>
      <w:bookmarkEnd w:id="232"/>
    </w:p>
    <w:p>
      <w:pPr>
        <w:pStyle w:val="DGTextstand-alone"/>
      </w:pPr>
      <w:r>
        <w:t xml:space="preserve">Функциите в МФР са разбити допълнително на подробни подфункции, съответстващи на основните разходни програми (напр. „Хоризонт 2020“, „Еразъм+“ и т.н.). Съответните правни основания за изпълнението на бюджета се приемат на това равнище на програмите. Програмите са обичайно използваната структура за докладване за изпълнението и резултатите. Таблици за всяка програма могат да бъдат намерени в докладите за изпълнението на бюджета (вж. таблици </w:t>
      </w:r>
      <w:r>
        <w:rPr>
          <w:b/>
        </w:rPr>
        <w:t>4.7—4.12</w:t>
      </w:r>
      <w:r>
        <w:t xml:space="preserve"> по-долу).</w:t>
      </w:r>
    </w:p>
    <w:p>
      <w:pPr>
        <w:pStyle w:val="HEADER2PartBUDG"/>
        <w:numPr>
          <w:ilvl w:val="1"/>
          <w:numId w:val="15"/>
        </w:numPr>
        <w:rPr>
          <w:noProof/>
        </w:rPr>
      </w:pPr>
      <w:bookmarkStart w:id="233" w:name="_Toc75518128"/>
      <w:r>
        <w:rPr>
          <w:noProof/>
        </w:rPr>
        <w:t>ГОДИШЕН БЮДЖЕТ</w:t>
      </w:r>
      <w:bookmarkEnd w:id="233"/>
    </w:p>
    <w:p>
      <w:pPr>
        <w:pStyle w:val="DGTextstand-alone"/>
      </w:pPr>
      <w:r>
        <w:t>Процедурата за приемането на бюджета е определена в член 314 от Договора за функционирането на ЕС. На диаграмата по-долу са представени сроковете и етапите, свързани с приемането на бюджета.</w:t>
      </w:r>
    </w:p>
    <w:tbl>
      <w:tblPr>
        <w:tblStyle w:val="TableGrid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57" w:type="dxa"/>
          <w:right w:w="57" w:type="dxa"/>
        </w:tblCellMar>
        <w:tblLook w:val="04A0" w:firstRow="1" w:lastRow="0" w:firstColumn="1" w:lastColumn="0" w:noHBand="0" w:noVBand="1"/>
      </w:tblPr>
      <w:tblGrid>
        <w:gridCol w:w="1519"/>
        <w:gridCol w:w="2398"/>
        <w:gridCol w:w="446"/>
        <w:gridCol w:w="2215"/>
        <w:gridCol w:w="383"/>
        <w:gridCol w:w="2327"/>
      </w:tblGrid>
      <w:tr>
        <w:trPr>
          <w:cantSplit/>
          <w:trHeight w:val="340"/>
        </w:trPr>
        <w:tc>
          <w:tcPr>
            <w:tcW w:w="3871" w:type="dxa"/>
            <w:gridSpan w:val="2"/>
            <w:vAlign w:val="center"/>
          </w:tcPr>
          <w:p>
            <w:pPr>
              <w:spacing w:after="200"/>
              <w:rPr>
                <w:rFonts w:ascii="Verdana" w:hAnsi="Verdana"/>
                <w:b/>
                <w:noProof/>
                <w:sz w:val="28"/>
                <w:vertAlign w:val="superscript"/>
              </w:rPr>
            </w:pPr>
            <w:r>
              <w:rPr>
                <w:rFonts w:ascii="Verdana" w:hAnsi="Verdana"/>
                <w:b/>
                <w:noProof/>
              </w:rPr>
              <w:t>График съгласно Договора</w:t>
            </w:r>
            <w:r>
              <w:rPr>
                <w:rFonts w:ascii="Verdana" w:hAnsi="Verdana"/>
                <w:b/>
                <w:noProof/>
                <w:vertAlign w:val="superscript"/>
              </w:rPr>
              <w:t>1</w:t>
            </w:r>
          </w:p>
        </w:tc>
        <w:tc>
          <w:tcPr>
            <w:tcW w:w="443" w:type="dxa"/>
            <w:shd w:val="clear" w:color="auto" w:fill="auto"/>
            <w:vAlign w:val="center"/>
          </w:tcPr>
          <w:p>
            <w:pPr>
              <w:spacing w:after="200"/>
              <w:rPr>
                <w:rFonts w:ascii="EC Square Sans Pro" w:hAnsi="EC Square Sans Pro"/>
                <w:noProof/>
              </w:rPr>
            </w:pPr>
          </w:p>
        </w:tc>
        <w:tc>
          <w:tcPr>
            <w:tcW w:w="2190" w:type="dxa"/>
            <w:vAlign w:val="center"/>
          </w:tcPr>
          <w:p>
            <w:pPr>
              <w:spacing w:after="200"/>
              <w:rPr>
                <w:rFonts w:ascii="EC Square Sans Pro" w:hAnsi="EC Square Sans Pro"/>
                <w:noProof/>
              </w:rPr>
            </w:pPr>
          </w:p>
        </w:tc>
        <w:tc>
          <w:tcPr>
            <w:tcW w:w="380" w:type="dxa"/>
            <w:shd w:val="clear" w:color="auto" w:fill="auto"/>
            <w:vAlign w:val="center"/>
          </w:tcPr>
          <w:p>
            <w:pPr>
              <w:spacing w:after="200"/>
              <w:rPr>
                <w:rFonts w:ascii="EC Square Sans Pro" w:hAnsi="EC Square Sans Pro"/>
                <w:noProof/>
              </w:rPr>
            </w:pPr>
          </w:p>
        </w:tc>
        <w:tc>
          <w:tcPr>
            <w:tcW w:w="2302" w:type="dxa"/>
            <w:vAlign w:val="center"/>
          </w:tcPr>
          <w:p>
            <w:pPr>
              <w:spacing w:after="200"/>
              <w:rPr>
                <w:rFonts w:ascii="EC Square Sans Pro" w:hAnsi="EC Square Sans Pro"/>
                <w:noProof/>
              </w:rPr>
            </w:pPr>
          </w:p>
        </w:tc>
      </w:tr>
      <w:tr>
        <w:trPr>
          <w:cantSplit/>
          <w:trHeight w:val="340"/>
        </w:trPr>
        <w:tc>
          <w:tcPr>
            <w:tcW w:w="3917" w:type="dxa"/>
            <w:gridSpan w:val="2"/>
            <w:vAlign w:val="center"/>
          </w:tcPr>
          <w:p>
            <w:pPr>
              <w:spacing w:after="200"/>
              <w:rPr>
                <w:rFonts w:ascii="EC Square Sans Pro" w:hAnsi="EC Square Sans Pro"/>
                <w:noProof/>
                <w:sz w:val="28"/>
              </w:rPr>
            </w:pPr>
          </w:p>
        </w:tc>
        <w:tc>
          <w:tcPr>
            <w:tcW w:w="446" w:type="dxa"/>
            <w:shd w:val="clear" w:color="auto" w:fill="auto"/>
            <w:vAlign w:val="center"/>
          </w:tcPr>
          <w:p>
            <w:pPr>
              <w:spacing w:after="200"/>
              <w:rPr>
                <w:rFonts w:ascii="EC Square Sans Pro" w:hAnsi="EC Square Sans Pro"/>
                <w:noProof/>
              </w:rPr>
            </w:pPr>
          </w:p>
        </w:tc>
        <w:tc>
          <w:tcPr>
            <w:tcW w:w="2215" w:type="dxa"/>
            <w:vAlign w:val="center"/>
          </w:tcPr>
          <w:p>
            <w:pPr>
              <w:spacing w:after="200"/>
              <w:rPr>
                <w:rFonts w:ascii="EC Square Sans Pro" w:hAnsi="EC Square Sans Pro"/>
                <w:noProof/>
              </w:rPr>
            </w:pPr>
          </w:p>
        </w:tc>
        <w:tc>
          <w:tcPr>
            <w:tcW w:w="383" w:type="dxa"/>
            <w:shd w:val="clear" w:color="auto" w:fill="auto"/>
            <w:vAlign w:val="center"/>
          </w:tcPr>
          <w:p>
            <w:pPr>
              <w:spacing w:after="200"/>
              <w:rPr>
                <w:rFonts w:ascii="EC Square Sans Pro" w:hAnsi="EC Square Sans Pro"/>
                <w:noProof/>
              </w:rPr>
            </w:pPr>
          </w:p>
        </w:tc>
        <w:tc>
          <w:tcPr>
            <w:tcW w:w="2327" w:type="dxa"/>
            <w:vAlign w:val="center"/>
          </w:tcPr>
          <w:p>
            <w:pPr>
              <w:spacing w:after="200"/>
              <w:rPr>
                <w:rFonts w:ascii="EC Square Sans Pro" w:hAnsi="EC Square Sans Pro"/>
                <w:noProof/>
              </w:rPr>
            </w:pPr>
          </w:p>
        </w:tc>
      </w:tr>
      <w:tr>
        <w:trPr>
          <w:cantSplit/>
          <w:trHeight w:val="340"/>
        </w:trPr>
        <w:tc>
          <w:tcPr>
            <w:tcW w:w="1519" w:type="dxa"/>
          </w:tcPr>
          <w:p>
            <w:pPr>
              <w:spacing w:after="200"/>
              <w:rPr>
                <w:rFonts w:ascii="Verdana" w:hAnsi="Verdana"/>
                <w:noProof/>
              </w:rPr>
            </w:pPr>
            <w:r>
              <w:rPr>
                <w:rFonts w:ascii="Verdana" w:hAnsi="Verdana"/>
                <w:noProof/>
                <w:sz w:val="18"/>
              </w:rPr>
              <w:t>1 септември</w:t>
            </w:r>
          </w:p>
        </w:tc>
        <w:tc>
          <w:tcPr>
            <w:tcW w:w="5442" w:type="dxa"/>
            <w:gridSpan w:val="4"/>
            <w:shd w:val="clear" w:color="auto" w:fill="B0C97D"/>
            <w:vAlign w:val="center"/>
          </w:tcPr>
          <w:p>
            <w:pPr>
              <w:spacing w:after="200"/>
              <w:rPr>
                <w:rFonts w:ascii="Verdana" w:hAnsi="Verdana"/>
                <w:noProof/>
                <w:color w:val="FFFFFF"/>
                <w:sz w:val="18"/>
              </w:rPr>
            </w:pPr>
            <w:r>
              <w:rPr>
                <w:rFonts w:ascii="Verdana" w:hAnsi="Verdana"/>
                <w:noProof/>
                <w:sz w:val="18"/>
              </w:rPr>
              <w:t>Проектобюджет (ПБ)</w:t>
            </w:r>
          </w:p>
        </w:tc>
        <w:tc>
          <w:tcPr>
            <w:tcW w:w="2327" w:type="dxa"/>
            <w:shd w:val="clear" w:color="auto" w:fill="B0C97D"/>
            <w:vAlign w:val="center"/>
          </w:tcPr>
          <w:p>
            <w:pPr>
              <w:spacing w:after="200"/>
              <w:jc w:val="right"/>
              <w:rPr>
                <w:rFonts w:ascii="Verdana" w:hAnsi="Verdana"/>
                <w:i/>
                <w:noProof/>
                <w:color w:val="FFFFFF"/>
                <w:sz w:val="18"/>
              </w:rPr>
            </w:pPr>
            <w:r>
              <w:rPr>
                <w:rFonts w:ascii="Verdana" w:hAnsi="Verdana"/>
                <w:i/>
                <w:noProof/>
                <w:color w:val="FFFFFF"/>
                <w:sz w:val="18"/>
              </w:rPr>
              <w:t>Комисия</w:t>
            </w:r>
          </w:p>
        </w:tc>
      </w:tr>
      <w:tr>
        <w:trPr>
          <w:cantSplit/>
          <w:trHeight w:hRule="exact" w:val="170"/>
        </w:trPr>
        <w:tc>
          <w:tcPr>
            <w:tcW w:w="1519" w:type="dxa"/>
          </w:tcPr>
          <w:p>
            <w:pPr>
              <w:spacing w:after="200"/>
              <w:rPr>
                <w:rFonts w:ascii="EC Square Sans Pro" w:hAnsi="EC Square Sans Pro"/>
                <w:noProof/>
              </w:rPr>
            </w:pPr>
          </w:p>
        </w:tc>
        <w:tc>
          <w:tcPr>
            <w:tcW w:w="5442" w:type="dxa"/>
            <w:gridSpan w:val="4"/>
            <w:shd w:val="clear" w:color="auto" w:fill="auto"/>
            <w:vAlign w:val="center"/>
          </w:tcPr>
          <w:p>
            <w:pPr>
              <w:spacing w:after="200"/>
              <w:rPr>
                <w:rFonts w:ascii="EC Square Sans Pro" w:hAnsi="EC Square Sans Pro"/>
                <w:noProof/>
              </w:rPr>
            </w:pPr>
          </w:p>
        </w:tc>
        <w:tc>
          <w:tcPr>
            <w:tcW w:w="2327" w:type="dxa"/>
            <w:shd w:val="clear" w:color="auto" w:fill="auto"/>
            <w:vAlign w:val="center"/>
          </w:tcPr>
          <w:p>
            <w:pPr>
              <w:spacing w:after="200"/>
              <w:jc w:val="right"/>
              <w:rPr>
                <w:rFonts w:ascii="EC Square Sans Pro" w:hAnsi="EC Square Sans Pro"/>
                <w:i/>
                <w:noProof/>
                <w:color w:val="FFFFFF"/>
              </w:rPr>
            </w:pPr>
          </w:p>
        </w:tc>
      </w:tr>
      <w:tr>
        <w:trPr>
          <w:cantSplit/>
          <w:trHeight w:val="340"/>
        </w:trPr>
        <w:tc>
          <w:tcPr>
            <w:tcW w:w="1519" w:type="dxa"/>
          </w:tcPr>
          <w:p>
            <w:pPr>
              <w:spacing w:after="200"/>
              <w:rPr>
                <w:rFonts w:ascii="Verdana" w:hAnsi="Verdana"/>
                <w:noProof/>
              </w:rPr>
            </w:pPr>
            <w:r>
              <w:rPr>
                <w:rFonts w:ascii="Verdana" w:hAnsi="Verdana"/>
                <w:noProof/>
                <w:sz w:val="18"/>
              </w:rPr>
              <w:t>1 октомври</w:t>
            </w:r>
          </w:p>
        </w:tc>
        <w:tc>
          <w:tcPr>
            <w:tcW w:w="5442" w:type="dxa"/>
            <w:gridSpan w:val="4"/>
            <w:shd w:val="clear" w:color="auto" w:fill="B0C97D"/>
            <w:vAlign w:val="center"/>
          </w:tcPr>
          <w:p>
            <w:pPr>
              <w:spacing w:after="200"/>
              <w:rPr>
                <w:rFonts w:ascii="Verdana" w:hAnsi="Verdana"/>
                <w:noProof/>
                <w:color w:val="FFFFFF"/>
                <w:sz w:val="18"/>
              </w:rPr>
            </w:pPr>
            <w:r>
              <w:rPr>
                <w:rFonts w:ascii="Verdana" w:hAnsi="Verdana"/>
                <w:noProof/>
                <w:sz w:val="18"/>
              </w:rPr>
              <w:t>Позиция на Съвета по ПБ</w:t>
            </w:r>
          </w:p>
        </w:tc>
        <w:tc>
          <w:tcPr>
            <w:tcW w:w="2327" w:type="dxa"/>
            <w:shd w:val="clear" w:color="auto" w:fill="B0C97D"/>
            <w:vAlign w:val="center"/>
          </w:tcPr>
          <w:p>
            <w:pPr>
              <w:spacing w:after="200"/>
              <w:jc w:val="right"/>
              <w:rPr>
                <w:rFonts w:ascii="Verdana" w:hAnsi="Verdana"/>
                <w:i/>
                <w:noProof/>
                <w:color w:val="FFFFFF"/>
                <w:sz w:val="18"/>
              </w:rPr>
            </w:pPr>
            <w:r>
              <w:rPr>
                <w:rFonts w:ascii="Verdana" w:hAnsi="Verdana"/>
                <w:i/>
                <w:noProof/>
                <w:color w:val="FFFFFF"/>
                <w:sz w:val="18"/>
              </w:rPr>
              <w:t>Съвет</w:t>
            </w:r>
          </w:p>
        </w:tc>
      </w:tr>
      <w:tr>
        <w:trPr>
          <w:cantSplit/>
          <w:trHeight w:hRule="exact" w:val="170"/>
        </w:trPr>
        <w:tc>
          <w:tcPr>
            <w:tcW w:w="1519" w:type="dxa"/>
          </w:tcPr>
          <w:p>
            <w:pPr>
              <w:spacing w:after="200"/>
              <w:rPr>
                <w:rFonts w:ascii="EC Square Sans Pro" w:hAnsi="EC Square Sans Pro"/>
                <w:noProof/>
              </w:rPr>
            </w:pPr>
          </w:p>
        </w:tc>
        <w:tc>
          <w:tcPr>
            <w:tcW w:w="5442" w:type="dxa"/>
            <w:gridSpan w:val="4"/>
            <w:shd w:val="clear" w:color="auto" w:fill="auto"/>
            <w:vAlign w:val="center"/>
          </w:tcPr>
          <w:p>
            <w:pPr>
              <w:spacing w:after="200"/>
              <w:rPr>
                <w:rFonts w:ascii="EC Square Sans Pro" w:hAnsi="EC Square Sans Pro"/>
                <w:noProof/>
              </w:rPr>
            </w:pPr>
          </w:p>
        </w:tc>
        <w:tc>
          <w:tcPr>
            <w:tcW w:w="2327" w:type="dxa"/>
            <w:shd w:val="clear" w:color="auto" w:fill="auto"/>
            <w:vAlign w:val="center"/>
          </w:tcPr>
          <w:p>
            <w:pPr>
              <w:spacing w:after="200"/>
              <w:jc w:val="right"/>
              <w:rPr>
                <w:rFonts w:ascii="EC Square Sans Pro" w:hAnsi="EC Square Sans Pro"/>
                <w:i/>
                <w:noProof/>
                <w:color w:val="FFFFFF"/>
              </w:rPr>
            </w:pPr>
          </w:p>
        </w:tc>
      </w:tr>
      <w:tr>
        <w:trPr>
          <w:cantSplit/>
          <w:trHeight w:val="340"/>
        </w:trPr>
        <w:tc>
          <w:tcPr>
            <w:tcW w:w="1519" w:type="dxa"/>
          </w:tcPr>
          <w:p>
            <w:pPr>
              <w:spacing w:after="200"/>
              <w:rPr>
                <w:rFonts w:ascii="EC Square Sans Pro" w:hAnsi="EC Square Sans Pro"/>
                <w:noProof/>
              </w:rPr>
            </w:pPr>
          </w:p>
        </w:tc>
        <w:tc>
          <w:tcPr>
            <w:tcW w:w="5442" w:type="dxa"/>
            <w:gridSpan w:val="4"/>
            <w:shd w:val="clear" w:color="auto" w:fill="B0C97D"/>
            <w:vAlign w:val="center"/>
          </w:tcPr>
          <w:p>
            <w:pPr>
              <w:spacing w:after="200"/>
              <w:rPr>
                <w:rFonts w:ascii="Verdana" w:hAnsi="Verdana"/>
                <w:noProof/>
                <w:color w:val="FFFFFF"/>
                <w:sz w:val="18"/>
              </w:rPr>
            </w:pPr>
            <w:r>
              <w:rPr>
                <w:rFonts w:ascii="Verdana" w:hAnsi="Verdana"/>
                <w:noProof/>
                <w:sz w:val="18"/>
              </w:rPr>
              <w:t>Позиция на Европейския парламент по позицията на Съвета</w:t>
            </w:r>
          </w:p>
        </w:tc>
        <w:tc>
          <w:tcPr>
            <w:tcW w:w="2327" w:type="dxa"/>
            <w:shd w:val="clear" w:color="auto" w:fill="B0C97D"/>
            <w:vAlign w:val="center"/>
          </w:tcPr>
          <w:p>
            <w:pPr>
              <w:spacing w:after="200"/>
              <w:jc w:val="right"/>
              <w:rPr>
                <w:rFonts w:ascii="Verdana" w:hAnsi="Verdana"/>
                <w:i/>
                <w:noProof/>
                <w:color w:val="FFFFFF"/>
                <w:sz w:val="18"/>
              </w:rPr>
            </w:pPr>
            <w:r>
              <w:rPr>
                <w:rFonts w:ascii="Verdana" w:hAnsi="Verdana"/>
                <w:i/>
                <w:noProof/>
                <w:color w:val="FFFFFF"/>
                <w:sz w:val="18"/>
              </w:rPr>
              <w:t>Парламент</w:t>
            </w:r>
          </w:p>
        </w:tc>
      </w:tr>
      <w:tr>
        <w:trPr>
          <w:cantSplit/>
          <w:trHeight w:hRule="exact" w:val="170"/>
        </w:trPr>
        <w:tc>
          <w:tcPr>
            <w:tcW w:w="1519" w:type="dxa"/>
            <w:shd w:val="clear" w:color="auto" w:fill="auto"/>
          </w:tcPr>
          <w:p>
            <w:pPr>
              <w:spacing w:after="200"/>
              <w:rPr>
                <w:rFonts w:ascii="EC Square Sans Pro" w:hAnsi="EC Square Sans Pro"/>
                <w:noProof/>
              </w:rPr>
            </w:pPr>
          </w:p>
        </w:tc>
        <w:tc>
          <w:tcPr>
            <w:tcW w:w="5442" w:type="dxa"/>
            <w:gridSpan w:val="4"/>
            <w:shd w:val="clear" w:color="auto" w:fill="auto"/>
            <w:vAlign w:val="center"/>
          </w:tcPr>
          <w:p>
            <w:pPr>
              <w:spacing w:after="200"/>
              <w:rPr>
                <w:rFonts w:ascii="EC Square Sans Pro" w:hAnsi="EC Square Sans Pro"/>
                <w:noProof/>
              </w:rPr>
            </w:pPr>
          </w:p>
        </w:tc>
        <w:tc>
          <w:tcPr>
            <w:tcW w:w="2327" w:type="dxa"/>
            <w:shd w:val="clear" w:color="auto" w:fill="auto"/>
            <w:vAlign w:val="center"/>
          </w:tcPr>
          <w:p>
            <w:pPr>
              <w:spacing w:after="200"/>
              <w:jc w:val="right"/>
              <w:rPr>
                <w:rFonts w:ascii="EC Square Sans Pro" w:hAnsi="EC Square Sans Pro"/>
                <w:i/>
                <w:noProof/>
                <w:color w:val="FFFFFF"/>
              </w:rPr>
            </w:pPr>
          </w:p>
        </w:tc>
      </w:tr>
      <w:tr>
        <w:trPr>
          <w:cantSplit/>
          <w:trHeight w:val="340"/>
        </w:trPr>
        <w:tc>
          <w:tcPr>
            <w:tcW w:w="1519" w:type="dxa"/>
          </w:tcPr>
          <w:p>
            <w:pPr>
              <w:spacing w:after="200"/>
              <w:rPr>
                <w:rFonts w:ascii="Verdana" w:hAnsi="Verdana"/>
                <w:noProof/>
                <w:sz w:val="18"/>
              </w:rPr>
            </w:pPr>
            <w:r>
              <w:rPr>
                <w:rFonts w:ascii="Verdana" w:hAnsi="Verdana"/>
                <w:noProof/>
                <w:sz w:val="18"/>
              </w:rPr>
              <w:t>13 ноември</w:t>
            </w:r>
          </w:p>
          <w:p>
            <w:pPr>
              <w:spacing w:after="200"/>
              <w:rPr>
                <w:rFonts w:ascii="EC Square Sans Pro" w:hAnsi="EC Square Sans Pro"/>
                <w:noProof/>
              </w:rPr>
            </w:pPr>
            <w:r>
              <w:rPr>
                <w:rFonts w:ascii="Verdana" w:hAnsi="Verdana"/>
                <w:noProof/>
                <w:sz w:val="18"/>
              </w:rPr>
              <w:t>(42 дни)</w:t>
            </w:r>
          </w:p>
        </w:tc>
        <w:tc>
          <w:tcPr>
            <w:tcW w:w="2398" w:type="dxa"/>
            <w:shd w:val="clear" w:color="auto" w:fill="B0C97D"/>
            <w:vAlign w:val="center"/>
          </w:tcPr>
          <w:p>
            <w:pPr>
              <w:spacing w:after="200"/>
              <w:jc w:val="center"/>
              <w:rPr>
                <w:rFonts w:ascii="Verdana" w:hAnsi="Verdana"/>
                <w:noProof/>
                <w:sz w:val="18"/>
                <w:szCs w:val="18"/>
              </w:rPr>
            </w:pPr>
            <w:r>
              <w:rPr>
                <w:rFonts w:ascii="Verdana" w:hAnsi="Verdana"/>
                <w:noProof/>
                <w:sz w:val="18"/>
                <w:szCs w:val="18"/>
              </w:rPr>
              <w:t>ЕП одобрява</w:t>
            </w:r>
          </w:p>
          <w:p>
            <w:pPr>
              <w:spacing w:after="200"/>
              <w:jc w:val="center"/>
              <w:rPr>
                <w:rFonts w:ascii="Verdana" w:hAnsi="Verdana"/>
                <w:i/>
                <w:noProof/>
                <w:sz w:val="18"/>
                <w:szCs w:val="18"/>
              </w:rPr>
            </w:pPr>
            <w:r>
              <w:rPr>
                <w:rFonts w:ascii="Verdana" w:hAnsi="Verdana"/>
                <w:i/>
                <w:noProof/>
                <w:sz w:val="18"/>
                <w:szCs w:val="18"/>
              </w:rPr>
              <w:t>Мнозинство от подадените гласове</w:t>
            </w:r>
          </w:p>
          <w:p>
            <w:pPr>
              <w:spacing w:after="200"/>
              <w:jc w:val="center"/>
              <w:rPr>
                <w:rFonts w:ascii="EC Square Sans Pro" w:hAnsi="EC Square Sans Pro"/>
                <w:noProof/>
              </w:rPr>
            </w:pPr>
            <w:r>
              <w:rPr>
                <w:rFonts w:ascii="Verdana" w:hAnsi="Verdana"/>
                <w:noProof/>
                <w:sz w:val="18"/>
                <w:szCs w:val="18"/>
              </w:rPr>
              <w:t>или не взема решение</w:t>
            </w:r>
          </w:p>
        </w:tc>
        <w:tc>
          <w:tcPr>
            <w:tcW w:w="446" w:type="dxa"/>
            <w:shd w:val="clear" w:color="auto" w:fill="auto"/>
            <w:vAlign w:val="center"/>
          </w:tcPr>
          <w:p>
            <w:pPr>
              <w:spacing w:after="200"/>
              <w:jc w:val="center"/>
              <w:rPr>
                <w:rFonts w:ascii="EC Square Sans Pro" w:hAnsi="EC Square Sans Pro"/>
                <w:noProof/>
              </w:rPr>
            </w:pPr>
          </w:p>
        </w:tc>
        <w:tc>
          <w:tcPr>
            <w:tcW w:w="2215" w:type="dxa"/>
            <w:shd w:val="clear" w:color="auto" w:fill="auto"/>
            <w:vAlign w:val="center"/>
          </w:tcPr>
          <w:p>
            <w:pPr>
              <w:spacing w:after="200"/>
              <w:rPr>
                <w:rFonts w:ascii="EC Square Sans Pro" w:hAnsi="EC Square Sans Pro"/>
                <w:noProof/>
              </w:rPr>
            </w:pPr>
          </w:p>
        </w:tc>
        <w:tc>
          <w:tcPr>
            <w:tcW w:w="383" w:type="dxa"/>
            <w:shd w:val="clear" w:color="auto" w:fill="auto"/>
            <w:vAlign w:val="center"/>
          </w:tcPr>
          <w:p>
            <w:pPr>
              <w:spacing w:after="200"/>
              <w:rPr>
                <w:rFonts w:ascii="Verdana" w:hAnsi="Verdana"/>
                <w:noProof/>
                <w:sz w:val="18"/>
                <w:szCs w:val="18"/>
              </w:rPr>
            </w:pPr>
          </w:p>
        </w:tc>
        <w:tc>
          <w:tcPr>
            <w:tcW w:w="2327" w:type="dxa"/>
            <w:shd w:val="clear" w:color="auto" w:fill="D6E3BC"/>
            <w:vAlign w:val="center"/>
          </w:tcPr>
          <w:p>
            <w:pPr>
              <w:spacing w:after="200"/>
              <w:jc w:val="center"/>
              <w:rPr>
                <w:rFonts w:ascii="Verdana" w:hAnsi="Verdana"/>
                <w:noProof/>
                <w:sz w:val="18"/>
                <w:szCs w:val="18"/>
              </w:rPr>
            </w:pPr>
            <w:r>
              <w:rPr>
                <w:rFonts w:ascii="Verdana" w:hAnsi="Verdana"/>
                <w:noProof/>
                <w:sz w:val="18"/>
                <w:szCs w:val="18"/>
              </w:rPr>
              <w:t>ЕП приема изменения</w:t>
            </w:r>
          </w:p>
          <w:p>
            <w:pPr>
              <w:spacing w:after="200"/>
              <w:jc w:val="center"/>
              <w:rPr>
                <w:rFonts w:ascii="Verdana" w:hAnsi="Verdana"/>
                <w:noProof/>
                <w:sz w:val="18"/>
                <w:szCs w:val="18"/>
              </w:rPr>
            </w:pPr>
            <w:r>
              <w:rPr>
                <w:rFonts w:ascii="Verdana" w:hAnsi="Verdana"/>
                <w:noProof/>
                <w:sz w:val="18"/>
                <w:szCs w:val="18"/>
              </w:rPr>
              <w:t>Мнозинство от членовете</w:t>
            </w:r>
          </w:p>
        </w:tc>
      </w:tr>
      <w:tr>
        <w:trPr>
          <w:cantSplit/>
          <w:trHeight w:val="340"/>
        </w:trPr>
        <w:tc>
          <w:tcPr>
            <w:tcW w:w="1519" w:type="dxa"/>
            <w:shd w:val="clear" w:color="auto" w:fill="auto"/>
          </w:tcPr>
          <w:p>
            <w:pPr>
              <w:spacing w:after="200"/>
              <w:rPr>
                <w:rFonts w:ascii="EC Square Sans Pro" w:hAnsi="EC Square Sans Pro"/>
                <w:noProof/>
                <w:sz w:val="28"/>
              </w:rPr>
            </w:pPr>
          </w:p>
        </w:tc>
        <w:tc>
          <w:tcPr>
            <w:tcW w:w="2398" w:type="dxa"/>
            <w:shd w:val="clear" w:color="auto" w:fill="auto"/>
            <w:vAlign w:val="center"/>
          </w:tcPr>
          <w:p>
            <w:pPr>
              <w:spacing w:after="200"/>
              <w:jc w:val="center"/>
              <w:rPr>
                <w:rFonts w:ascii="EC Square Sans Pro" w:hAnsi="EC Square Sans Pro"/>
                <w:noProof/>
                <w:sz w:val="28"/>
              </w:rPr>
            </w:pPr>
            <w:r>
              <w:rPr>
                <w:rFonts w:ascii="EC Square Sans Pro" w:hAnsi="EC Square Sans Pro"/>
                <w:noProof/>
                <w:sz w:val="28"/>
              </w:rPr>
              <w:t>▼</w:t>
            </w:r>
          </w:p>
        </w:tc>
        <w:tc>
          <w:tcPr>
            <w:tcW w:w="446" w:type="dxa"/>
            <w:shd w:val="clear" w:color="auto" w:fill="auto"/>
            <w:vAlign w:val="center"/>
          </w:tcPr>
          <w:p>
            <w:pPr>
              <w:spacing w:after="200"/>
              <w:jc w:val="center"/>
              <w:rPr>
                <w:rFonts w:ascii="EC Square Sans Pro" w:hAnsi="EC Square Sans Pro"/>
                <w:noProof/>
                <w:color w:val="76923C"/>
                <w:sz w:val="28"/>
              </w:rPr>
            </w:pPr>
          </w:p>
        </w:tc>
        <w:tc>
          <w:tcPr>
            <w:tcW w:w="2215" w:type="dxa"/>
            <w:shd w:val="clear" w:color="auto" w:fill="auto"/>
            <w:vAlign w:val="center"/>
          </w:tcPr>
          <w:p>
            <w:pPr>
              <w:spacing w:after="200"/>
              <w:rPr>
                <w:rFonts w:ascii="EC Square Sans Pro" w:hAnsi="EC Square Sans Pro"/>
                <w:noProof/>
                <w:sz w:val="28"/>
              </w:rPr>
            </w:pPr>
          </w:p>
        </w:tc>
        <w:tc>
          <w:tcPr>
            <w:tcW w:w="383" w:type="dxa"/>
            <w:shd w:val="clear" w:color="auto" w:fill="auto"/>
            <w:vAlign w:val="center"/>
          </w:tcPr>
          <w:p>
            <w:pPr>
              <w:spacing w:after="200"/>
              <w:rPr>
                <w:rFonts w:ascii="EC Square Sans Pro" w:hAnsi="EC Square Sans Pro"/>
                <w:noProof/>
                <w:color w:val="76923C"/>
                <w:sz w:val="28"/>
              </w:rPr>
            </w:pPr>
          </w:p>
        </w:tc>
        <w:tc>
          <w:tcPr>
            <w:tcW w:w="2327" w:type="dxa"/>
            <w:shd w:val="clear" w:color="auto" w:fill="auto"/>
            <w:vAlign w:val="center"/>
          </w:tcPr>
          <w:p>
            <w:pPr>
              <w:spacing w:after="200"/>
              <w:jc w:val="center"/>
              <w:rPr>
                <w:rFonts w:ascii="EC Square Sans Pro" w:hAnsi="EC Square Sans Pro"/>
                <w:noProof/>
                <w:color w:val="C2D69B"/>
                <w:sz w:val="28"/>
              </w:rPr>
            </w:pPr>
            <w:r>
              <w:rPr>
                <w:rFonts w:ascii="EC Square Sans Pro" w:hAnsi="EC Square Sans Pro"/>
                <w:noProof/>
                <w:color w:val="C2D69B"/>
                <w:sz w:val="28"/>
              </w:rPr>
              <w:t>▼</w:t>
            </w:r>
          </w:p>
        </w:tc>
      </w:tr>
      <w:tr>
        <w:trPr>
          <w:cantSplit/>
          <w:trHeight w:val="340"/>
        </w:trPr>
        <w:tc>
          <w:tcPr>
            <w:tcW w:w="1519" w:type="dxa"/>
            <w:shd w:val="clear" w:color="auto" w:fill="auto"/>
          </w:tcPr>
          <w:p>
            <w:pPr>
              <w:spacing w:after="200"/>
              <w:rPr>
                <w:rFonts w:ascii="EC Square Sans Pro" w:hAnsi="EC Square Sans Pro"/>
                <w:noProof/>
              </w:rPr>
            </w:pPr>
          </w:p>
        </w:tc>
        <w:tc>
          <w:tcPr>
            <w:tcW w:w="2398" w:type="dxa"/>
            <w:shd w:val="clear" w:color="auto" w:fill="B0C97D"/>
            <w:vAlign w:val="center"/>
          </w:tcPr>
          <w:p>
            <w:pPr>
              <w:spacing w:after="200"/>
              <w:jc w:val="center"/>
              <w:rPr>
                <w:rFonts w:ascii="Verdana" w:hAnsi="Verdana"/>
                <w:noProof/>
              </w:rPr>
            </w:pPr>
            <w:r>
              <w:rPr>
                <w:rFonts w:ascii="Verdana" w:hAnsi="Verdana"/>
                <w:noProof/>
                <w:sz w:val="18"/>
              </w:rPr>
              <w:t>Бюджетът се приема</w:t>
            </w:r>
          </w:p>
        </w:tc>
        <w:tc>
          <w:tcPr>
            <w:tcW w:w="446" w:type="dxa"/>
            <w:shd w:val="clear" w:color="auto" w:fill="auto"/>
            <w:vAlign w:val="center"/>
          </w:tcPr>
          <w:p>
            <w:pPr>
              <w:spacing w:after="200"/>
              <w:jc w:val="center"/>
              <w:rPr>
                <w:rFonts w:ascii="EC Square Sans Pro" w:hAnsi="EC Square Sans Pro"/>
                <w:noProof/>
                <w:color w:val="576D2D"/>
              </w:rPr>
            </w:pPr>
            <w:r>
              <w:rPr>
                <w:rFonts w:ascii="EC Square Sans Pro" w:hAnsi="EC Square Sans Pro"/>
                <w:noProof/>
                <w:color w:val="576D2D"/>
                <w:sz w:val="28"/>
              </w:rPr>
              <w:t>◀</w:t>
            </w:r>
          </w:p>
        </w:tc>
        <w:tc>
          <w:tcPr>
            <w:tcW w:w="2215" w:type="dxa"/>
            <w:shd w:val="clear" w:color="auto" w:fill="B0C97D"/>
            <w:vAlign w:val="center"/>
          </w:tcPr>
          <w:p>
            <w:pPr>
              <w:spacing w:after="200"/>
              <w:jc w:val="center"/>
              <w:rPr>
                <w:rFonts w:ascii="Verdana" w:hAnsi="Verdana"/>
                <w:noProof/>
              </w:rPr>
            </w:pPr>
            <w:r>
              <w:rPr>
                <w:rFonts w:ascii="Verdana" w:hAnsi="Verdana"/>
                <w:noProof/>
                <w:sz w:val="18"/>
              </w:rPr>
              <w:t>Комитетът приема измененията на Парламента в срок от 10 дни</w:t>
            </w:r>
          </w:p>
        </w:tc>
        <w:tc>
          <w:tcPr>
            <w:tcW w:w="383" w:type="dxa"/>
            <w:shd w:val="clear" w:color="auto" w:fill="auto"/>
            <w:vAlign w:val="center"/>
          </w:tcPr>
          <w:p>
            <w:pPr>
              <w:spacing w:after="200"/>
              <w:rPr>
                <w:rFonts w:ascii="EC Square Sans Pro" w:hAnsi="EC Square Sans Pro"/>
                <w:noProof/>
                <w:color w:val="576D2D"/>
                <w:sz w:val="28"/>
              </w:rPr>
            </w:pPr>
            <w:r>
              <w:rPr>
                <w:rFonts w:ascii="EC Square Sans Pro" w:hAnsi="EC Square Sans Pro"/>
                <w:noProof/>
                <w:color w:val="576D2D"/>
                <w:sz w:val="28"/>
              </w:rPr>
              <w:t>◀</w:t>
            </w:r>
          </w:p>
        </w:tc>
        <w:tc>
          <w:tcPr>
            <w:tcW w:w="2327" w:type="dxa"/>
            <w:shd w:val="clear" w:color="auto" w:fill="D6E3BC"/>
            <w:vAlign w:val="center"/>
          </w:tcPr>
          <w:p>
            <w:pPr>
              <w:spacing w:after="200"/>
              <w:jc w:val="center"/>
              <w:rPr>
                <w:rFonts w:ascii="Verdana" w:hAnsi="Verdana"/>
                <w:noProof/>
                <w:sz w:val="18"/>
              </w:rPr>
            </w:pPr>
            <w:r>
              <w:rPr>
                <w:rFonts w:ascii="Verdana" w:hAnsi="Verdana"/>
                <w:noProof/>
                <w:sz w:val="18"/>
              </w:rPr>
              <w:t>Свиква се помирителен комитет</w:t>
            </w:r>
            <w:r>
              <w:rPr>
                <w:rFonts w:ascii="Verdana" w:hAnsi="Verdana"/>
                <w:noProof/>
                <w:sz w:val="18"/>
                <w:vertAlign w:val="superscript"/>
              </w:rPr>
              <w:t>2</w:t>
            </w:r>
          </w:p>
          <w:p>
            <w:pPr>
              <w:spacing w:after="200"/>
              <w:jc w:val="center"/>
              <w:rPr>
                <w:rFonts w:ascii="EC Square Sans Pro" w:hAnsi="EC Square Sans Pro"/>
                <w:noProof/>
                <w:vertAlign w:val="superscript"/>
              </w:rPr>
            </w:pPr>
          </w:p>
        </w:tc>
      </w:tr>
      <w:tr>
        <w:trPr>
          <w:cantSplit/>
          <w:trHeight w:val="340"/>
        </w:trPr>
        <w:tc>
          <w:tcPr>
            <w:tcW w:w="1519" w:type="dxa"/>
            <w:shd w:val="clear" w:color="auto" w:fill="auto"/>
          </w:tcPr>
          <w:p>
            <w:pPr>
              <w:spacing w:after="200"/>
              <w:rPr>
                <w:rFonts w:ascii="EC Square Sans Pro" w:hAnsi="EC Square Sans Pro"/>
                <w:noProof/>
              </w:rPr>
            </w:pPr>
          </w:p>
        </w:tc>
        <w:tc>
          <w:tcPr>
            <w:tcW w:w="2398" w:type="dxa"/>
            <w:shd w:val="clear" w:color="auto" w:fill="auto"/>
            <w:vAlign w:val="center"/>
          </w:tcPr>
          <w:p>
            <w:pPr>
              <w:spacing w:after="200"/>
              <w:rPr>
                <w:rFonts w:ascii="EC Square Sans Pro" w:hAnsi="EC Square Sans Pro"/>
                <w:noProof/>
              </w:rPr>
            </w:pPr>
          </w:p>
        </w:tc>
        <w:tc>
          <w:tcPr>
            <w:tcW w:w="446" w:type="dxa"/>
            <w:shd w:val="clear" w:color="auto" w:fill="auto"/>
            <w:vAlign w:val="center"/>
          </w:tcPr>
          <w:p>
            <w:pPr>
              <w:spacing w:after="200"/>
              <w:jc w:val="center"/>
              <w:rPr>
                <w:rFonts w:ascii="EC Square Sans Pro" w:hAnsi="EC Square Sans Pro"/>
                <w:noProof/>
                <w:color w:val="76923C"/>
              </w:rPr>
            </w:pPr>
          </w:p>
        </w:tc>
        <w:tc>
          <w:tcPr>
            <w:tcW w:w="2215" w:type="dxa"/>
            <w:shd w:val="clear" w:color="auto" w:fill="auto"/>
            <w:vAlign w:val="center"/>
          </w:tcPr>
          <w:p>
            <w:pPr>
              <w:spacing w:after="200"/>
              <w:rPr>
                <w:rFonts w:ascii="EC Square Sans Pro" w:hAnsi="EC Square Sans Pro"/>
                <w:noProof/>
              </w:rPr>
            </w:pPr>
          </w:p>
        </w:tc>
        <w:tc>
          <w:tcPr>
            <w:tcW w:w="383" w:type="dxa"/>
            <w:shd w:val="clear" w:color="auto" w:fill="auto"/>
            <w:vAlign w:val="center"/>
          </w:tcPr>
          <w:p>
            <w:pPr>
              <w:spacing w:after="200"/>
              <w:rPr>
                <w:rFonts w:ascii="EC Square Sans Pro" w:hAnsi="EC Square Sans Pro"/>
                <w:noProof/>
                <w:color w:val="76923C"/>
              </w:rPr>
            </w:pPr>
          </w:p>
        </w:tc>
        <w:tc>
          <w:tcPr>
            <w:tcW w:w="2327" w:type="dxa"/>
            <w:shd w:val="clear" w:color="auto" w:fill="auto"/>
            <w:vAlign w:val="center"/>
          </w:tcPr>
          <w:p>
            <w:pPr>
              <w:spacing w:after="200"/>
              <w:jc w:val="center"/>
              <w:rPr>
                <w:rFonts w:ascii="EC Square Sans Pro" w:hAnsi="EC Square Sans Pro"/>
                <w:noProof/>
                <w:color w:val="D6E3BC"/>
              </w:rPr>
            </w:pPr>
            <w:r>
              <w:rPr>
                <w:rFonts w:ascii="EC Square Sans Pro" w:hAnsi="EC Square Sans Pro"/>
                <w:noProof/>
                <w:color w:val="C2D69B"/>
                <w:sz w:val="28"/>
              </w:rPr>
              <w:t>▼</w:t>
            </w:r>
          </w:p>
        </w:tc>
      </w:tr>
      <w:tr>
        <w:trPr>
          <w:cantSplit/>
          <w:trHeight w:val="340"/>
        </w:trPr>
        <w:tc>
          <w:tcPr>
            <w:tcW w:w="1519" w:type="dxa"/>
            <w:vMerge w:val="restart"/>
            <w:shd w:val="clear" w:color="auto" w:fill="auto"/>
          </w:tcPr>
          <w:p>
            <w:pPr>
              <w:spacing w:after="200"/>
              <w:rPr>
                <w:rFonts w:ascii="Verdana" w:hAnsi="Verdana"/>
                <w:noProof/>
                <w:sz w:val="18"/>
                <w:szCs w:val="18"/>
              </w:rPr>
            </w:pPr>
            <w:r>
              <w:rPr>
                <w:rFonts w:ascii="Verdana" w:hAnsi="Verdana"/>
                <w:noProof/>
                <w:sz w:val="18"/>
                <w:szCs w:val="18"/>
              </w:rPr>
              <w:t>От 13 ноември до 4 декември (21 дни)</w:t>
            </w:r>
          </w:p>
        </w:tc>
        <w:tc>
          <w:tcPr>
            <w:tcW w:w="5442" w:type="dxa"/>
            <w:gridSpan w:val="4"/>
            <w:shd w:val="clear" w:color="auto" w:fill="B0C97D"/>
            <w:vAlign w:val="center"/>
          </w:tcPr>
          <w:p>
            <w:pPr>
              <w:spacing w:after="200"/>
              <w:rPr>
                <w:rFonts w:ascii="Verdana" w:hAnsi="Verdana"/>
                <w:noProof/>
                <w:color w:val="76923C"/>
                <w:sz w:val="18"/>
                <w:szCs w:val="18"/>
              </w:rPr>
            </w:pPr>
            <w:r>
              <w:rPr>
                <w:rFonts w:ascii="Verdana" w:hAnsi="Verdana"/>
                <w:noProof/>
                <w:sz w:val="18"/>
                <w:szCs w:val="18"/>
              </w:rPr>
              <w:t>Помирителният комитет одобрява общ проект</w:t>
            </w:r>
          </w:p>
        </w:tc>
        <w:tc>
          <w:tcPr>
            <w:tcW w:w="2327" w:type="dxa"/>
            <w:shd w:val="clear" w:color="auto" w:fill="B0C97D"/>
            <w:vAlign w:val="center"/>
          </w:tcPr>
          <w:p>
            <w:pPr>
              <w:spacing w:after="200"/>
              <w:jc w:val="right"/>
              <w:rPr>
                <w:rFonts w:ascii="Verdana" w:hAnsi="Verdana"/>
                <w:i/>
                <w:noProof/>
                <w:color w:val="FFFFFF"/>
                <w:sz w:val="18"/>
              </w:rPr>
            </w:pPr>
            <w:r>
              <w:rPr>
                <w:rFonts w:ascii="Verdana" w:hAnsi="Verdana"/>
                <w:i/>
                <w:noProof/>
                <w:color w:val="FFFFFF"/>
                <w:sz w:val="18"/>
              </w:rPr>
              <w:t>Помирителен комитет</w:t>
            </w:r>
          </w:p>
        </w:tc>
      </w:tr>
      <w:tr>
        <w:trPr>
          <w:cantSplit/>
          <w:trHeight w:hRule="exact" w:val="170"/>
        </w:trPr>
        <w:tc>
          <w:tcPr>
            <w:tcW w:w="1519" w:type="dxa"/>
            <w:vMerge/>
            <w:shd w:val="clear" w:color="auto" w:fill="auto"/>
          </w:tcPr>
          <w:p>
            <w:pPr>
              <w:spacing w:after="200"/>
              <w:rPr>
                <w:rFonts w:ascii="EC Square Sans Pro" w:hAnsi="EC Square Sans Pro"/>
                <w:noProof/>
              </w:rPr>
            </w:pPr>
          </w:p>
        </w:tc>
        <w:tc>
          <w:tcPr>
            <w:tcW w:w="2398" w:type="dxa"/>
            <w:shd w:val="clear" w:color="auto" w:fill="auto"/>
            <w:vAlign w:val="center"/>
          </w:tcPr>
          <w:p>
            <w:pPr>
              <w:spacing w:after="200"/>
              <w:rPr>
                <w:rFonts w:ascii="EC Square Sans Pro" w:hAnsi="EC Square Sans Pro"/>
                <w:noProof/>
              </w:rPr>
            </w:pPr>
          </w:p>
        </w:tc>
        <w:tc>
          <w:tcPr>
            <w:tcW w:w="446" w:type="dxa"/>
            <w:shd w:val="clear" w:color="auto" w:fill="auto"/>
            <w:vAlign w:val="center"/>
          </w:tcPr>
          <w:p>
            <w:pPr>
              <w:spacing w:after="200"/>
              <w:jc w:val="center"/>
              <w:rPr>
                <w:rFonts w:ascii="EC Square Sans Pro" w:hAnsi="EC Square Sans Pro"/>
                <w:noProof/>
                <w:color w:val="76923C"/>
              </w:rPr>
            </w:pPr>
          </w:p>
        </w:tc>
        <w:tc>
          <w:tcPr>
            <w:tcW w:w="2215" w:type="dxa"/>
            <w:shd w:val="clear" w:color="auto" w:fill="auto"/>
            <w:vAlign w:val="center"/>
          </w:tcPr>
          <w:p>
            <w:pPr>
              <w:spacing w:after="200"/>
              <w:jc w:val="center"/>
              <w:rPr>
                <w:rFonts w:ascii="EC Square Sans Pro" w:hAnsi="EC Square Sans Pro"/>
                <w:noProof/>
              </w:rPr>
            </w:pPr>
          </w:p>
        </w:tc>
        <w:tc>
          <w:tcPr>
            <w:tcW w:w="383" w:type="dxa"/>
            <w:shd w:val="clear" w:color="auto" w:fill="auto"/>
            <w:vAlign w:val="center"/>
          </w:tcPr>
          <w:p>
            <w:pPr>
              <w:spacing w:after="200"/>
              <w:rPr>
                <w:rFonts w:ascii="EC Square Sans Pro" w:hAnsi="EC Square Sans Pro"/>
                <w:noProof/>
                <w:color w:val="76923C"/>
              </w:rPr>
            </w:pPr>
          </w:p>
        </w:tc>
        <w:tc>
          <w:tcPr>
            <w:tcW w:w="2327" w:type="dxa"/>
            <w:shd w:val="clear" w:color="auto" w:fill="auto"/>
            <w:vAlign w:val="center"/>
          </w:tcPr>
          <w:p>
            <w:pPr>
              <w:spacing w:after="200"/>
              <w:rPr>
                <w:rFonts w:ascii="EC Square Sans Pro" w:hAnsi="EC Square Sans Pro"/>
                <w:noProof/>
              </w:rPr>
            </w:pPr>
          </w:p>
        </w:tc>
      </w:tr>
      <w:tr>
        <w:trPr>
          <w:cantSplit/>
          <w:trHeight w:val="340"/>
        </w:trPr>
        <w:tc>
          <w:tcPr>
            <w:tcW w:w="1519" w:type="dxa"/>
            <w:vMerge/>
            <w:shd w:val="clear" w:color="auto" w:fill="auto"/>
          </w:tcPr>
          <w:p>
            <w:pPr>
              <w:spacing w:after="200"/>
              <w:rPr>
                <w:rFonts w:ascii="EC Square Sans Pro" w:hAnsi="EC Square Sans Pro"/>
                <w:noProof/>
              </w:rPr>
            </w:pPr>
          </w:p>
        </w:tc>
        <w:tc>
          <w:tcPr>
            <w:tcW w:w="5059" w:type="dxa"/>
            <w:gridSpan w:val="3"/>
            <w:shd w:val="clear" w:color="auto" w:fill="B0C97D"/>
            <w:vAlign w:val="center"/>
          </w:tcPr>
          <w:p>
            <w:pPr>
              <w:spacing w:after="200"/>
              <w:jc w:val="center"/>
              <w:rPr>
                <w:rFonts w:ascii="Verdana" w:hAnsi="Verdana"/>
                <w:noProof/>
                <w:sz w:val="18"/>
                <w:szCs w:val="18"/>
              </w:rPr>
            </w:pPr>
            <w:r>
              <w:rPr>
                <w:rFonts w:ascii="Verdana" w:hAnsi="Verdana"/>
                <w:noProof/>
                <w:sz w:val="18"/>
                <w:szCs w:val="18"/>
              </w:rPr>
              <w:t>ДА</w:t>
            </w:r>
          </w:p>
          <w:p>
            <w:pPr>
              <w:spacing w:after="200"/>
              <w:jc w:val="center"/>
              <w:rPr>
                <w:rFonts w:ascii="Verdana" w:hAnsi="Verdana"/>
                <w:noProof/>
              </w:rPr>
            </w:pPr>
            <w:r>
              <w:rPr>
                <w:rFonts w:ascii="Verdana" w:hAnsi="Verdana"/>
                <w:i/>
                <w:noProof/>
                <w:sz w:val="18"/>
                <w:szCs w:val="18"/>
              </w:rPr>
              <w:t>в срок от 14 дни</w:t>
            </w:r>
          </w:p>
        </w:tc>
        <w:tc>
          <w:tcPr>
            <w:tcW w:w="383" w:type="dxa"/>
            <w:shd w:val="clear" w:color="auto" w:fill="auto"/>
            <w:vAlign w:val="center"/>
          </w:tcPr>
          <w:p>
            <w:pPr>
              <w:spacing w:after="200"/>
              <w:rPr>
                <w:rFonts w:ascii="EC Square Sans Pro" w:hAnsi="EC Square Sans Pro"/>
                <w:noProof/>
                <w:color w:val="76923C"/>
              </w:rPr>
            </w:pPr>
          </w:p>
        </w:tc>
        <w:tc>
          <w:tcPr>
            <w:tcW w:w="2327" w:type="dxa"/>
            <w:shd w:val="clear" w:color="auto" w:fill="D6E3BC"/>
            <w:vAlign w:val="center"/>
          </w:tcPr>
          <w:p>
            <w:pPr>
              <w:spacing w:after="200"/>
              <w:jc w:val="center"/>
              <w:rPr>
                <w:rFonts w:ascii="Verdana" w:hAnsi="Verdana"/>
                <w:noProof/>
                <w:sz w:val="18"/>
                <w:szCs w:val="18"/>
              </w:rPr>
            </w:pPr>
            <w:r>
              <w:rPr>
                <w:rFonts w:ascii="Verdana" w:hAnsi="Verdana"/>
                <w:noProof/>
                <w:sz w:val="18"/>
                <w:szCs w:val="18"/>
              </w:rPr>
              <w:t>НЕ</w:t>
            </w:r>
          </w:p>
          <w:p>
            <w:pPr>
              <w:spacing w:after="200"/>
              <w:jc w:val="center"/>
              <w:rPr>
                <w:rFonts w:ascii="Verdana" w:hAnsi="Verdana"/>
                <w:i/>
                <w:noProof/>
                <w:sz w:val="18"/>
                <w:szCs w:val="18"/>
              </w:rPr>
            </w:pPr>
            <w:r>
              <w:rPr>
                <w:rFonts w:ascii="Verdana" w:hAnsi="Verdana"/>
                <w:i/>
                <w:noProof/>
                <w:sz w:val="18"/>
                <w:szCs w:val="18"/>
              </w:rPr>
              <w:t>в срок от 14 дни</w:t>
            </w:r>
          </w:p>
        </w:tc>
      </w:tr>
      <w:tr>
        <w:trPr>
          <w:cantSplit/>
          <w:trHeight w:val="340"/>
        </w:trPr>
        <w:tc>
          <w:tcPr>
            <w:tcW w:w="1519" w:type="dxa"/>
            <w:shd w:val="clear" w:color="auto" w:fill="auto"/>
          </w:tcPr>
          <w:p>
            <w:pPr>
              <w:spacing w:after="200"/>
              <w:rPr>
                <w:rFonts w:ascii="EC Square Sans Pro" w:hAnsi="EC Square Sans Pro"/>
                <w:noProof/>
              </w:rPr>
            </w:pPr>
          </w:p>
        </w:tc>
        <w:tc>
          <w:tcPr>
            <w:tcW w:w="2398" w:type="dxa"/>
            <w:shd w:val="clear" w:color="auto" w:fill="auto"/>
            <w:vAlign w:val="center"/>
          </w:tcPr>
          <w:p>
            <w:pPr>
              <w:spacing w:after="200"/>
              <w:rPr>
                <w:rFonts w:ascii="Verdana" w:hAnsi="Verdana"/>
                <w:noProof/>
              </w:rPr>
            </w:pPr>
          </w:p>
        </w:tc>
        <w:tc>
          <w:tcPr>
            <w:tcW w:w="446" w:type="dxa"/>
            <w:shd w:val="clear" w:color="auto" w:fill="auto"/>
            <w:vAlign w:val="center"/>
          </w:tcPr>
          <w:p>
            <w:pPr>
              <w:spacing w:after="200"/>
              <w:jc w:val="center"/>
              <w:rPr>
                <w:rFonts w:ascii="EC Square Sans Pro" w:hAnsi="EC Square Sans Pro"/>
                <w:noProof/>
                <w:color w:val="76923C"/>
              </w:rPr>
            </w:pPr>
            <w:r>
              <w:rPr>
                <w:rFonts w:ascii="EC Square Sans Pro" w:hAnsi="EC Square Sans Pro"/>
                <w:noProof/>
                <w:sz w:val="28"/>
              </w:rPr>
              <w:t>▼</w:t>
            </w:r>
          </w:p>
        </w:tc>
        <w:tc>
          <w:tcPr>
            <w:tcW w:w="2215" w:type="dxa"/>
            <w:shd w:val="clear" w:color="auto" w:fill="auto"/>
            <w:vAlign w:val="center"/>
          </w:tcPr>
          <w:p>
            <w:pPr>
              <w:spacing w:after="200"/>
              <w:rPr>
                <w:rFonts w:ascii="EC Square Sans Pro" w:hAnsi="EC Square Sans Pro"/>
                <w:noProof/>
              </w:rPr>
            </w:pPr>
          </w:p>
        </w:tc>
        <w:tc>
          <w:tcPr>
            <w:tcW w:w="383" w:type="dxa"/>
            <w:shd w:val="clear" w:color="auto" w:fill="auto"/>
            <w:vAlign w:val="center"/>
          </w:tcPr>
          <w:p>
            <w:pPr>
              <w:spacing w:after="200"/>
              <w:rPr>
                <w:rFonts w:ascii="EC Square Sans Pro" w:hAnsi="EC Square Sans Pro"/>
                <w:noProof/>
                <w:color w:val="76923C"/>
              </w:rPr>
            </w:pPr>
          </w:p>
        </w:tc>
        <w:tc>
          <w:tcPr>
            <w:tcW w:w="2327" w:type="dxa"/>
            <w:shd w:val="clear" w:color="auto" w:fill="auto"/>
            <w:vAlign w:val="center"/>
          </w:tcPr>
          <w:p>
            <w:pPr>
              <w:spacing w:after="200"/>
              <w:jc w:val="center"/>
              <w:rPr>
                <w:rFonts w:ascii="EC Square Sans Pro" w:hAnsi="EC Square Sans Pro"/>
                <w:noProof/>
                <w:color w:val="D6E3BC"/>
                <w:sz w:val="28"/>
              </w:rPr>
            </w:pPr>
            <w:r>
              <w:rPr>
                <w:rFonts w:ascii="EC Square Sans Pro" w:hAnsi="EC Square Sans Pro"/>
                <w:noProof/>
                <w:color w:val="C2D69B"/>
                <w:sz w:val="28"/>
              </w:rPr>
              <w:t>▼</w:t>
            </w:r>
          </w:p>
        </w:tc>
      </w:tr>
      <w:tr>
        <w:trPr>
          <w:cantSplit/>
          <w:trHeight w:val="340"/>
        </w:trPr>
        <w:tc>
          <w:tcPr>
            <w:tcW w:w="1519" w:type="dxa"/>
            <w:shd w:val="clear" w:color="auto" w:fill="auto"/>
          </w:tcPr>
          <w:p>
            <w:pPr>
              <w:spacing w:after="200"/>
              <w:rPr>
                <w:rFonts w:ascii="Verdana" w:hAnsi="Verdana"/>
                <w:noProof/>
              </w:rPr>
            </w:pPr>
            <w:r>
              <w:rPr>
                <w:rFonts w:ascii="Verdana" w:hAnsi="Verdana"/>
                <w:noProof/>
                <w:sz w:val="18"/>
              </w:rPr>
              <w:t>18 декември (14 дни)</w:t>
            </w:r>
          </w:p>
        </w:tc>
        <w:tc>
          <w:tcPr>
            <w:tcW w:w="2398" w:type="dxa"/>
            <w:shd w:val="clear" w:color="auto" w:fill="B0C97D"/>
            <w:vAlign w:val="center"/>
          </w:tcPr>
          <w:p>
            <w:pPr>
              <w:spacing w:after="200"/>
              <w:jc w:val="center"/>
              <w:rPr>
                <w:rFonts w:ascii="Verdana" w:hAnsi="Verdana"/>
                <w:noProof/>
                <w:sz w:val="18"/>
              </w:rPr>
            </w:pPr>
            <w:r>
              <w:rPr>
                <w:rFonts w:ascii="Verdana" w:hAnsi="Verdana"/>
                <w:noProof/>
                <w:sz w:val="18"/>
              </w:rPr>
              <w:t>Парламентът и Съветът одобряват (или не вземат решение)</w:t>
            </w:r>
          </w:p>
          <w:p>
            <w:pPr>
              <w:spacing w:after="200"/>
              <w:jc w:val="center"/>
              <w:rPr>
                <w:rFonts w:ascii="Verdana" w:hAnsi="Verdana"/>
                <w:noProof/>
                <w:sz w:val="18"/>
              </w:rPr>
            </w:pPr>
            <w:r>
              <w:rPr>
                <w:rFonts w:ascii="Verdana" w:hAnsi="Verdana"/>
                <w:noProof/>
                <w:sz w:val="18"/>
              </w:rPr>
              <w:t>——— ИЛИ ———</w:t>
            </w:r>
          </w:p>
          <w:p>
            <w:pPr>
              <w:spacing w:after="200"/>
              <w:jc w:val="center"/>
              <w:rPr>
                <w:rFonts w:ascii="EC Square Sans Pro" w:hAnsi="EC Square Sans Pro"/>
                <w:noProof/>
                <w:vertAlign w:val="superscript"/>
              </w:rPr>
            </w:pPr>
            <w:r>
              <w:rPr>
                <w:rFonts w:ascii="Verdana" w:hAnsi="Verdana"/>
                <w:noProof/>
                <w:sz w:val="18"/>
              </w:rPr>
              <w:t>Съветът отхвърля, Парламентът има последната дума</w:t>
            </w:r>
            <w:r>
              <w:rPr>
                <w:rFonts w:ascii="Verdana" w:hAnsi="Verdana"/>
                <w:noProof/>
                <w:sz w:val="18"/>
                <w:vertAlign w:val="superscript"/>
              </w:rPr>
              <w:t>3</w:t>
            </w:r>
          </w:p>
        </w:tc>
        <w:tc>
          <w:tcPr>
            <w:tcW w:w="446" w:type="dxa"/>
            <w:shd w:val="clear" w:color="auto" w:fill="auto"/>
            <w:vAlign w:val="center"/>
          </w:tcPr>
          <w:p>
            <w:pPr>
              <w:spacing w:after="200"/>
              <w:jc w:val="center"/>
              <w:rPr>
                <w:rFonts w:ascii="EC Square Sans Pro" w:hAnsi="EC Square Sans Pro"/>
                <w:noProof/>
                <w:color w:val="76923C"/>
              </w:rPr>
            </w:pPr>
          </w:p>
        </w:tc>
        <w:tc>
          <w:tcPr>
            <w:tcW w:w="2215" w:type="dxa"/>
            <w:shd w:val="clear" w:color="auto" w:fill="D6E3BC"/>
            <w:vAlign w:val="center"/>
          </w:tcPr>
          <w:p>
            <w:pPr>
              <w:spacing w:after="200"/>
              <w:jc w:val="center"/>
              <w:rPr>
                <w:rFonts w:ascii="Verdana" w:hAnsi="Verdana"/>
                <w:noProof/>
                <w:sz w:val="18"/>
                <w:szCs w:val="18"/>
              </w:rPr>
            </w:pPr>
            <w:r>
              <w:rPr>
                <w:rFonts w:ascii="Verdana" w:hAnsi="Verdana"/>
                <w:noProof/>
                <w:sz w:val="18"/>
                <w:szCs w:val="18"/>
              </w:rPr>
              <w:t>Съветът одобрява, Парламентът отхвърля</w:t>
            </w:r>
          </w:p>
          <w:p>
            <w:pPr>
              <w:spacing w:after="200"/>
              <w:jc w:val="center"/>
              <w:rPr>
                <w:rFonts w:ascii="Verdana" w:hAnsi="Verdana"/>
                <w:noProof/>
                <w:sz w:val="18"/>
                <w:szCs w:val="18"/>
              </w:rPr>
            </w:pPr>
            <w:r>
              <w:rPr>
                <w:rFonts w:ascii="Verdana" w:hAnsi="Verdana"/>
                <w:noProof/>
                <w:sz w:val="18"/>
                <w:szCs w:val="18"/>
              </w:rPr>
              <w:t>——— ИЛИ ———</w:t>
            </w:r>
          </w:p>
          <w:p>
            <w:pPr>
              <w:spacing w:after="200"/>
              <w:jc w:val="center"/>
              <w:rPr>
                <w:rFonts w:ascii="EC Square Sans Pro" w:hAnsi="EC Square Sans Pro"/>
                <w:noProof/>
              </w:rPr>
            </w:pPr>
            <w:r>
              <w:rPr>
                <w:rFonts w:ascii="Verdana" w:hAnsi="Verdana"/>
                <w:noProof/>
                <w:sz w:val="18"/>
                <w:szCs w:val="18"/>
              </w:rPr>
              <w:t>Съветът и Парламентът отхвърлят</w:t>
            </w:r>
          </w:p>
        </w:tc>
        <w:tc>
          <w:tcPr>
            <w:tcW w:w="383" w:type="dxa"/>
            <w:shd w:val="clear" w:color="auto" w:fill="auto"/>
            <w:vAlign w:val="center"/>
          </w:tcPr>
          <w:p>
            <w:pPr>
              <w:spacing w:after="200"/>
              <w:jc w:val="center"/>
              <w:rPr>
                <w:rFonts w:ascii="EC Square Sans Pro" w:hAnsi="EC Square Sans Pro"/>
                <w:noProof/>
                <w:color w:val="76923C"/>
              </w:rPr>
            </w:pPr>
            <w:r>
              <w:rPr>
                <w:rFonts w:ascii="EC Square Sans Pro" w:hAnsi="EC Square Sans Pro"/>
                <w:noProof/>
                <w:color w:val="C2D69B"/>
                <w:sz w:val="28"/>
              </w:rPr>
              <w:t>▶</w:t>
            </w:r>
          </w:p>
        </w:tc>
        <w:tc>
          <w:tcPr>
            <w:tcW w:w="2327" w:type="dxa"/>
            <w:shd w:val="clear" w:color="auto" w:fill="D56161"/>
            <w:vAlign w:val="center"/>
          </w:tcPr>
          <w:p>
            <w:pPr>
              <w:spacing w:after="200"/>
              <w:jc w:val="center"/>
              <w:rPr>
                <w:rFonts w:ascii="Verdana" w:hAnsi="Verdana"/>
                <w:noProof/>
                <w:sz w:val="18"/>
                <w:szCs w:val="18"/>
              </w:rPr>
            </w:pPr>
            <w:r>
              <w:rPr>
                <w:rFonts w:ascii="Verdana" w:hAnsi="Verdana"/>
                <w:noProof/>
                <w:sz w:val="18"/>
                <w:szCs w:val="18"/>
              </w:rPr>
              <w:t>Проектобюджетът се отхвърля</w:t>
            </w:r>
          </w:p>
          <w:p>
            <w:pPr>
              <w:spacing w:after="200"/>
              <w:jc w:val="center"/>
              <w:rPr>
                <w:rFonts w:ascii="EC Square Sans Pro" w:hAnsi="EC Square Sans Pro"/>
                <w:noProof/>
              </w:rPr>
            </w:pPr>
            <w:r>
              <w:rPr>
                <w:rFonts w:ascii="Verdana" w:hAnsi="Verdana"/>
                <w:noProof/>
                <w:sz w:val="18"/>
                <w:szCs w:val="18"/>
              </w:rPr>
              <w:t>Комисията представя нов ПБ</w:t>
            </w:r>
          </w:p>
        </w:tc>
      </w:tr>
      <w:tr>
        <w:trPr>
          <w:cantSplit/>
          <w:trHeight w:val="340"/>
        </w:trPr>
        <w:tc>
          <w:tcPr>
            <w:tcW w:w="1519" w:type="dxa"/>
            <w:shd w:val="clear" w:color="auto" w:fill="auto"/>
            <w:vAlign w:val="center"/>
          </w:tcPr>
          <w:p>
            <w:pPr>
              <w:spacing w:after="200"/>
              <w:rPr>
                <w:rFonts w:ascii="EC Square Sans Pro" w:hAnsi="EC Square Sans Pro"/>
                <w:noProof/>
              </w:rPr>
            </w:pPr>
          </w:p>
        </w:tc>
        <w:tc>
          <w:tcPr>
            <w:tcW w:w="2398" w:type="dxa"/>
            <w:shd w:val="clear" w:color="auto" w:fill="auto"/>
            <w:vAlign w:val="center"/>
          </w:tcPr>
          <w:p>
            <w:pPr>
              <w:spacing w:after="200"/>
              <w:jc w:val="center"/>
              <w:rPr>
                <w:rFonts w:ascii="EC Square Sans Pro" w:hAnsi="EC Square Sans Pro"/>
                <w:noProof/>
              </w:rPr>
            </w:pPr>
            <w:r>
              <w:rPr>
                <w:rFonts w:ascii="EC Square Sans Pro" w:hAnsi="EC Square Sans Pro"/>
                <w:noProof/>
                <w:sz w:val="28"/>
              </w:rPr>
              <w:t>▼</w:t>
            </w:r>
          </w:p>
        </w:tc>
        <w:tc>
          <w:tcPr>
            <w:tcW w:w="446" w:type="dxa"/>
            <w:shd w:val="clear" w:color="auto" w:fill="auto"/>
            <w:vAlign w:val="center"/>
          </w:tcPr>
          <w:p>
            <w:pPr>
              <w:spacing w:after="200"/>
              <w:jc w:val="center"/>
              <w:rPr>
                <w:rFonts w:ascii="EC Square Sans Pro" w:hAnsi="EC Square Sans Pro"/>
                <w:noProof/>
                <w:color w:val="76923C"/>
              </w:rPr>
            </w:pPr>
          </w:p>
        </w:tc>
        <w:tc>
          <w:tcPr>
            <w:tcW w:w="2215" w:type="dxa"/>
            <w:shd w:val="clear" w:color="auto" w:fill="auto"/>
            <w:vAlign w:val="center"/>
          </w:tcPr>
          <w:p>
            <w:pPr>
              <w:spacing w:after="200"/>
              <w:rPr>
                <w:rFonts w:ascii="EC Square Sans Pro" w:hAnsi="EC Square Sans Pro"/>
                <w:noProof/>
              </w:rPr>
            </w:pPr>
          </w:p>
        </w:tc>
        <w:tc>
          <w:tcPr>
            <w:tcW w:w="383" w:type="dxa"/>
            <w:shd w:val="clear" w:color="auto" w:fill="auto"/>
            <w:vAlign w:val="center"/>
          </w:tcPr>
          <w:p>
            <w:pPr>
              <w:spacing w:after="200"/>
              <w:rPr>
                <w:rFonts w:ascii="EC Square Sans Pro" w:hAnsi="EC Square Sans Pro"/>
                <w:noProof/>
                <w:color w:val="76923C"/>
              </w:rPr>
            </w:pPr>
          </w:p>
        </w:tc>
        <w:tc>
          <w:tcPr>
            <w:tcW w:w="2327" w:type="dxa"/>
            <w:shd w:val="clear" w:color="auto" w:fill="auto"/>
            <w:vAlign w:val="center"/>
          </w:tcPr>
          <w:p>
            <w:pPr>
              <w:spacing w:after="200"/>
              <w:rPr>
                <w:rFonts w:ascii="EC Square Sans Pro" w:hAnsi="EC Square Sans Pro"/>
                <w:noProof/>
              </w:rPr>
            </w:pPr>
          </w:p>
        </w:tc>
      </w:tr>
      <w:tr>
        <w:trPr>
          <w:cantSplit/>
          <w:trHeight w:val="839"/>
        </w:trPr>
        <w:tc>
          <w:tcPr>
            <w:tcW w:w="1519" w:type="dxa"/>
            <w:vAlign w:val="center"/>
          </w:tcPr>
          <w:p>
            <w:pPr>
              <w:spacing w:after="200"/>
              <w:rPr>
                <w:rFonts w:ascii="EC Square Sans Pro" w:hAnsi="EC Square Sans Pro"/>
                <w:noProof/>
              </w:rPr>
            </w:pPr>
          </w:p>
        </w:tc>
        <w:tc>
          <w:tcPr>
            <w:tcW w:w="2398" w:type="dxa"/>
            <w:shd w:val="clear" w:color="auto" w:fill="B0C97D"/>
            <w:vAlign w:val="center"/>
          </w:tcPr>
          <w:p>
            <w:pPr>
              <w:spacing w:after="200"/>
              <w:jc w:val="center"/>
              <w:rPr>
                <w:rFonts w:ascii="Verdana" w:hAnsi="Verdana"/>
                <w:noProof/>
              </w:rPr>
            </w:pPr>
            <w:r>
              <w:rPr>
                <w:rFonts w:ascii="Verdana" w:hAnsi="Verdana"/>
                <w:noProof/>
                <w:sz w:val="18"/>
              </w:rPr>
              <w:t>Бюджетът се приема</w:t>
            </w:r>
          </w:p>
        </w:tc>
        <w:tc>
          <w:tcPr>
            <w:tcW w:w="446" w:type="dxa"/>
            <w:shd w:val="clear" w:color="auto" w:fill="auto"/>
            <w:vAlign w:val="center"/>
          </w:tcPr>
          <w:p>
            <w:pPr>
              <w:spacing w:after="200"/>
              <w:rPr>
                <w:rFonts w:ascii="EC Square Sans Pro" w:hAnsi="EC Square Sans Pro"/>
                <w:noProof/>
              </w:rPr>
            </w:pPr>
          </w:p>
        </w:tc>
        <w:tc>
          <w:tcPr>
            <w:tcW w:w="4875" w:type="dxa"/>
            <w:gridSpan w:val="3"/>
            <w:vAlign w:val="center"/>
          </w:tcPr>
          <w:p>
            <w:pPr>
              <w:spacing w:after="200"/>
              <w:rPr>
                <w:rFonts w:ascii="EC Square Sans Pro" w:hAnsi="EC Square Sans Pro"/>
                <w:noProof/>
              </w:rPr>
            </w:pPr>
          </w:p>
        </w:tc>
      </w:tr>
      <w:tr>
        <w:trPr>
          <w:cantSplit/>
          <w:trHeight w:val="340"/>
        </w:trPr>
        <w:tc>
          <w:tcPr>
            <w:tcW w:w="1507" w:type="dxa"/>
            <w:vAlign w:val="center"/>
          </w:tcPr>
          <w:p>
            <w:pPr>
              <w:spacing w:after="200"/>
              <w:rPr>
                <w:rFonts w:ascii="EC Square Sans Pro" w:hAnsi="EC Square Sans Pro"/>
                <w:noProof/>
              </w:rPr>
            </w:pPr>
          </w:p>
        </w:tc>
        <w:tc>
          <w:tcPr>
            <w:tcW w:w="2361" w:type="dxa"/>
            <w:vAlign w:val="center"/>
          </w:tcPr>
          <w:p>
            <w:pPr>
              <w:spacing w:after="200"/>
              <w:rPr>
                <w:rFonts w:ascii="EC Square Sans Pro" w:hAnsi="EC Square Sans Pro"/>
                <w:noProof/>
              </w:rPr>
            </w:pPr>
          </w:p>
        </w:tc>
        <w:tc>
          <w:tcPr>
            <w:tcW w:w="443" w:type="dxa"/>
            <w:shd w:val="clear" w:color="auto" w:fill="auto"/>
            <w:vAlign w:val="center"/>
          </w:tcPr>
          <w:p>
            <w:pPr>
              <w:spacing w:after="200"/>
              <w:rPr>
                <w:rFonts w:ascii="EC Square Sans Pro" w:hAnsi="EC Square Sans Pro"/>
                <w:noProof/>
              </w:rPr>
            </w:pPr>
          </w:p>
        </w:tc>
        <w:tc>
          <w:tcPr>
            <w:tcW w:w="2194" w:type="dxa"/>
            <w:vAlign w:val="center"/>
          </w:tcPr>
          <w:p>
            <w:pPr>
              <w:spacing w:after="200"/>
              <w:rPr>
                <w:rFonts w:ascii="EC Square Sans Pro" w:hAnsi="EC Square Sans Pro"/>
                <w:noProof/>
              </w:rPr>
            </w:pPr>
          </w:p>
        </w:tc>
        <w:tc>
          <w:tcPr>
            <w:tcW w:w="380" w:type="dxa"/>
            <w:shd w:val="clear" w:color="auto" w:fill="auto"/>
            <w:vAlign w:val="center"/>
          </w:tcPr>
          <w:p>
            <w:pPr>
              <w:spacing w:after="200"/>
              <w:rPr>
                <w:rFonts w:ascii="EC Square Sans Pro" w:hAnsi="EC Square Sans Pro"/>
                <w:noProof/>
              </w:rPr>
            </w:pPr>
          </w:p>
        </w:tc>
        <w:tc>
          <w:tcPr>
            <w:tcW w:w="2301" w:type="dxa"/>
            <w:vAlign w:val="center"/>
          </w:tcPr>
          <w:p>
            <w:pPr>
              <w:spacing w:after="200"/>
              <w:rPr>
                <w:rFonts w:ascii="EC Square Sans Pro" w:hAnsi="EC Square Sans Pro"/>
                <w:noProof/>
              </w:rPr>
            </w:pPr>
          </w:p>
        </w:tc>
      </w:tr>
      <w:tr>
        <w:trPr>
          <w:cantSplit/>
          <w:trHeight w:val="340"/>
        </w:trPr>
        <w:tc>
          <w:tcPr>
            <w:tcW w:w="9186" w:type="dxa"/>
            <w:gridSpan w:val="6"/>
            <w:vAlign w:val="center"/>
          </w:tcPr>
          <w:p>
            <w:pPr>
              <w:contextualSpacing/>
              <w:rPr>
                <w:rFonts w:ascii="EC Square Sans Pro" w:hAnsi="EC Square Sans Pro"/>
                <w:noProof/>
              </w:rPr>
            </w:pPr>
          </w:p>
        </w:tc>
      </w:tr>
    </w:tbl>
    <w:p>
      <w:pPr>
        <w:spacing w:after="120"/>
        <w:ind w:left="737"/>
        <w:contextualSpacing/>
        <w:rPr>
          <w:rFonts w:ascii="Verdana" w:hAnsi="Verdana"/>
          <w:noProof/>
          <w:sz w:val="18"/>
          <w:szCs w:val="18"/>
        </w:rPr>
      </w:pPr>
      <w:r>
        <w:rPr>
          <w:rFonts w:ascii="Verdana" w:hAnsi="Verdana"/>
          <w:noProof/>
          <w:sz w:val="18"/>
          <w:szCs w:val="18"/>
        </w:rPr>
        <w:t>1) На практика трите институции се стремят да представят съответните си документи по-рано през годината, за да се улесни процесът.</w:t>
      </w:r>
    </w:p>
    <w:p>
      <w:pPr>
        <w:pStyle w:val="DGTextstand-alone"/>
        <w:spacing w:before="120" w:after="120"/>
        <w:ind w:left="709" w:firstLine="11"/>
      </w:pPr>
      <w:r>
        <w:t>2) Помирителният комитет се състои от членовете на Съвета или техни представители и от равен брой членове, представляващи Европейския парламент. Комисията участва в работата на помирителния комитет и предприема всички необходими инициативи, за да подпомогне сближаването на позициите на Европейския парламент и на Съвета.</w:t>
      </w:r>
    </w:p>
    <w:p>
      <w:pPr>
        <w:pStyle w:val="DGTextstand-alone"/>
        <w:spacing w:before="120"/>
        <w:ind w:left="709" w:firstLine="11"/>
      </w:pPr>
      <w:r>
        <w:t>3) Европейският парламент одобрява общия проект и след това, в срок от 14 дни от отхвърлянето от Съвета, решава (с мнозинство от съставляващите го членове и 3/5 от подадените гласове) да потвърди всички или някои от своите изменения.</w:t>
      </w:r>
    </w:p>
    <w:p>
      <w:pPr>
        <w:pStyle w:val="DGTextstand-alone"/>
      </w:pPr>
      <w:r>
        <w:t>За Комисията бюджетната структура се състои от бюджетни кредити за административни разходи и от бюджетни кредити за оперативни разходи. Другите институции имат само бюджетни кредити за административни разходи. Освен това в бюджета се прави разграничение между два вида бюджетни кредити: едногодишни и многогодишни. Едногодишните бюджетни кредити се използват за финансиране на операции с годишен характер (които са в съответствие с принципа на ежегодност на бюджета). Многогодишните бюджетни кредити се използват, за да бъде съгласуван принципът на ежегодност с необходимостта от управление на многогодишни операции. Многогодишните бюджетни кредити се разделят на бюджетни кредити за поети задължения и бюджетни кредити за плащания:</w:t>
      </w:r>
    </w:p>
    <w:p>
      <w:pPr>
        <w:pStyle w:val="Textstand-aloneBulletpoint"/>
        <w:rPr>
          <w:noProof/>
        </w:rPr>
      </w:pPr>
      <w:r>
        <w:rPr>
          <w:noProof/>
          <w:color w:val="016794"/>
        </w:rPr>
        <w:t>бюджетни кредити за поети задължения</w:t>
      </w:r>
      <w:r>
        <w:rPr>
          <w:noProof/>
        </w:rPr>
        <w:t>: обхващат всички разходи по правните задължения, поети за текущата финансова година за операции, протичащи в рамките на няколко години. Въпреки това бюджетните задължения за дейности, които надхвърлят една финансова година, могат да се разделят за няколко години под формата на годишни траншове, когато това е предвидено в основния акт;</w:t>
      </w:r>
    </w:p>
    <w:p>
      <w:pPr>
        <w:pStyle w:val="Textstand-aloneBulletpoint"/>
        <w:numPr>
          <w:ilvl w:val="0"/>
          <w:numId w:val="0"/>
        </w:numPr>
        <w:ind w:left="1080" w:hanging="360"/>
        <w:rPr>
          <w:noProof/>
        </w:rPr>
      </w:pPr>
    </w:p>
    <w:p>
      <w:pPr>
        <w:pStyle w:val="Textstand-aloneBulletpoint"/>
        <w:rPr>
          <w:noProof/>
        </w:rPr>
      </w:pPr>
      <w:r>
        <w:rPr>
          <w:noProof/>
          <w:color w:val="016794"/>
        </w:rPr>
        <w:t>бюджетни кредити за плащания</w:t>
      </w:r>
      <w:r>
        <w:rPr>
          <w:noProof/>
        </w:rPr>
        <w:t>: обхващат разходите, възникващи от задължения, поети през текущата финансова година и/или предходни финансови години.</w:t>
      </w:r>
    </w:p>
    <w:p>
      <w:pPr>
        <w:pStyle w:val="DGTextstand-alone"/>
      </w:pPr>
      <w:r>
        <w:t>В отчетите видовете финансиране са групирани в две основни позиции:</w:t>
      </w:r>
    </w:p>
    <w:p>
      <w:pPr>
        <w:numPr>
          <w:ilvl w:val="0"/>
          <w:numId w:val="38"/>
        </w:numPr>
        <w:spacing w:after="120"/>
        <w:ind w:left="357" w:hanging="73"/>
        <w:rPr>
          <w:rFonts w:ascii="Verdana" w:hAnsi="Verdana"/>
          <w:noProof/>
          <w:sz w:val="18"/>
          <w:szCs w:val="18"/>
        </w:rPr>
      </w:pPr>
      <w:r>
        <w:rPr>
          <w:rFonts w:ascii="Verdana" w:hAnsi="Verdana"/>
          <w:noProof/>
          <w:sz w:val="18"/>
          <w:szCs w:val="18"/>
        </w:rPr>
        <w:t>бюджетни кредити в окончателния приет бюджет; и</w:t>
      </w:r>
    </w:p>
    <w:p>
      <w:pPr>
        <w:numPr>
          <w:ilvl w:val="0"/>
          <w:numId w:val="38"/>
        </w:numPr>
        <w:ind w:left="357" w:hanging="73"/>
        <w:rPr>
          <w:rFonts w:ascii="Verdana" w:hAnsi="Verdana"/>
          <w:noProof/>
          <w:sz w:val="18"/>
          <w:szCs w:val="18"/>
        </w:rPr>
      </w:pPr>
      <w:r>
        <w:rPr>
          <w:rFonts w:ascii="Verdana" w:hAnsi="Verdana"/>
          <w:noProof/>
          <w:sz w:val="18"/>
          <w:szCs w:val="18"/>
        </w:rPr>
        <w:t>допълнителни бюджетни кредити, съдържащи:</w:t>
      </w:r>
    </w:p>
    <w:p>
      <w:pPr>
        <w:pStyle w:val="Textstand-alone"/>
        <w:numPr>
          <w:ilvl w:val="0"/>
          <w:numId w:val="39"/>
        </w:numPr>
        <w:tabs>
          <w:tab w:val="clear" w:pos="0"/>
        </w:tabs>
        <w:spacing w:before="120" w:after="0"/>
        <w:ind w:left="1134" w:hanging="425"/>
      </w:pPr>
      <w:r>
        <w:t>пренасяния от предходната година (Финансовият регламент допуска в ограничен брой случаи неизразходваните суми да се пренасят от предходната за текущата година); и</w:t>
      </w:r>
    </w:p>
    <w:p>
      <w:pPr>
        <w:pStyle w:val="Textstand-alone"/>
        <w:numPr>
          <w:ilvl w:val="0"/>
          <w:numId w:val="39"/>
        </w:numPr>
        <w:tabs>
          <w:tab w:val="clear" w:pos="0"/>
        </w:tabs>
        <w:spacing w:before="0"/>
        <w:ind w:left="1134" w:hanging="425"/>
      </w:pPr>
      <w:r>
        <w:t>целеви приходи, произтичащи от възстановени средства, вноски от трети страни/държави за програми на ЕС и работа, извършена за трети страни; те се разпределят директно за съответните разходни бюджетни редове и представляват третият стълб на финансиране.</w:t>
      </w:r>
    </w:p>
    <w:p>
      <w:pPr>
        <w:pStyle w:val="DGTextstand-alone"/>
      </w:pPr>
      <w:r>
        <w:t>Заедно всички видове финансиране образуват наличните бюджетни кредити.</w:t>
      </w:r>
      <w:bookmarkEnd w:id="228"/>
    </w:p>
    <w:p>
      <w:pPr>
        <w:pStyle w:val="DGTextstand-alone"/>
        <w:sectPr>
          <w:headerReference w:type="even" r:id="rId314"/>
          <w:headerReference w:type="default" r:id="rId315"/>
          <w:footerReference w:type="even" r:id="rId316"/>
          <w:footerReference w:type="default" r:id="rId317"/>
          <w:headerReference w:type="first" r:id="rId318"/>
          <w:footerReference w:type="first" r:id="rId319"/>
          <w:pgSz w:w="11907" w:h="16840" w:code="9"/>
          <w:pgMar w:top="1134" w:right="1134" w:bottom="1134" w:left="1134" w:header="709" w:footer="709" w:gutter="0"/>
          <w:cols w:space="708"/>
          <w:docGrid w:linePitch="360"/>
        </w:sectPr>
      </w:pPr>
    </w:p>
    <w:p>
      <w:pPr>
        <w:pStyle w:val="HEADER2PartBUDG"/>
        <w:numPr>
          <w:ilvl w:val="1"/>
          <w:numId w:val="15"/>
        </w:numPr>
        <w:spacing w:before="0"/>
        <w:ind w:left="357" w:hanging="357"/>
        <w:rPr>
          <w:noProof/>
        </w:rPr>
      </w:pPr>
      <w:bookmarkStart w:id="234" w:name="_Toc406426450"/>
      <w:bookmarkStart w:id="235" w:name="_Toc75518129"/>
      <w:bookmarkStart w:id="236" w:name="_DMBM_19910"/>
      <w:r>
        <w:rPr>
          <w:noProof/>
        </w:rPr>
        <w:t>ПРИХОДИ</w:t>
      </w:r>
      <w:bookmarkEnd w:id="234"/>
      <w:bookmarkEnd w:id="235"/>
    </w:p>
    <w:p>
      <w:pPr>
        <w:pStyle w:val="HEADER3PartBUGD"/>
        <w:numPr>
          <w:ilvl w:val="2"/>
          <w:numId w:val="15"/>
        </w:numPr>
        <w:ind w:firstLine="387"/>
        <w:rPr>
          <w:noProof/>
        </w:rPr>
      </w:pPr>
      <w:r>
        <w:rPr>
          <w:noProof/>
        </w:rPr>
        <w:t>Приходи от собствени ресурси</w:t>
      </w:r>
    </w:p>
    <w:p>
      <w:pPr>
        <w:pStyle w:val="DGTextstand-alone"/>
      </w:pPr>
      <w:r>
        <w:t xml:space="preserve">Основната част от приходите идват от собствени ресурси, които се състоят от следните категории: </w:t>
      </w:r>
    </w:p>
    <w:p>
      <w:pPr>
        <w:pStyle w:val="DGTextstand-alone"/>
        <w:ind w:left="709" w:hanging="709"/>
      </w:pPr>
      <w:r>
        <w:t>1)</w:t>
      </w:r>
      <w:r>
        <w:tab/>
        <w:t>Традиционни собствени ресурси (ТСР): представляват приблизително 14 % от приходите от собствени ресурси. За 2) и 3) този процент се отнася до периода на МФР 2014—2020 г.</w:t>
      </w:r>
    </w:p>
    <w:p>
      <w:pPr>
        <w:pStyle w:val="DGTextstand-alone"/>
        <w:ind w:left="709" w:hanging="709"/>
      </w:pPr>
      <w:r>
        <w:t>2)</w:t>
      </w:r>
      <w:r>
        <w:tab/>
        <w:t>Ресурс на база данъка върху добавената стойност (ДДС): представлява приблизително 13 % от приходите от собствени ресурси.</w:t>
      </w:r>
    </w:p>
    <w:p>
      <w:pPr>
        <w:pStyle w:val="DGTextstand-alone"/>
        <w:ind w:left="709" w:hanging="709"/>
      </w:pPr>
      <w:r>
        <w:t>3)</w:t>
      </w:r>
      <w:r>
        <w:tab/>
        <w:t>Ресурс на база брутния национален доход (БНД): представлява приблизително 73 % от приходите от собствени ресурси.</w:t>
      </w:r>
    </w:p>
    <w:p>
      <w:pPr>
        <w:pStyle w:val="DGTextstand-alone"/>
      </w:pPr>
      <w:r>
        <w:t xml:space="preserve">Разпределянето на собствените ресурси се извършва в съответствие с правилата, залегнали в Решение 2014/335/ЕС, Евратом на Съвета от 26 май 2014 г. относно системата на собствените ресурси на ЕС (РСР 2014). Това решение влезе в сила на 1 октомври 2016 г. и бе приложено със задна дата от 1 януари 2014 г. </w:t>
      </w:r>
    </w:p>
    <w:p>
      <w:pPr>
        <w:pStyle w:val="DGTextstand-alone"/>
      </w:pPr>
      <w:r>
        <w:t>Общият размер на собствените ресурси, предоставени на Съюза за покриване на годишните бюджетни кредити за плащания, не може да превишава 1,20 % от сумата от БНД на всички държави членки.</w:t>
      </w:r>
    </w:p>
    <w:p>
      <w:pPr>
        <w:pStyle w:val="DGTextstand-alone"/>
      </w:pPr>
      <w:r>
        <w:t xml:space="preserve">С началото на новата МФР Решение (ЕС, Евратом) 2020/2053 на Съвета от 14 декември 2020 г. относно системата на собствените ресурси на ЕС („Решението за собствените ресурси от 2020 г.“) влезе в сила на 1 юни 2021 г., след като бе ратифицирано от всички държави членки. То заменя предходното Решение за собствените ресурси със задна дата, считано от 1 януари 2021 г. </w:t>
      </w:r>
    </w:p>
    <w:p>
      <w:pPr>
        <w:pStyle w:val="HEADER3PartBUGD"/>
        <w:numPr>
          <w:ilvl w:val="2"/>
          <w:numId w:val="15"/>
        </w:numPr>
        <w:ind w:firstLine="387"/>
        <w:rPr>
          <w:noProof/>
        </w:rPr>
      </w:pPr>
      <w:r>
        <w:rPr>
          <w:noProof/>
        </w:rPr>
        <w:t>Традиционни собствени ресурси (ТСР)</w:t>
      </w:r>
    </w:p>
    <w:p>
      <w:pPr>
        <w:pStyle w:val="DGTextstand-alone"/>
      </w:pPr>
      <w:r>
        <w:t>ТСР се състоят от мита (начислявани върху вноса от трети държави), които се налагат на икономическите оператори и се събират от държавите членки от името на ЕС. Държавите членки обаче задържат 20 % като компенсация за разходите си по събирането. Всички установени суми традиционни собствени ресурси трябва да бъдат записани в една или друга от сметките, водени от компетентните органи:</w:t>
      </w:r>
    </w:p>
    <w:p>
      <w:pPr>
        <w:pStyle w:val="Textstand-aloneBulletpoint"/>
        <w:jc w:val="both"/>
        <w:rPr>
          <w:noProof/>
        </w:rPr>
      </w:pPr>
      <w:r>
        <w:rPr>
          <w:noProof/>
        </w:rPr>
        <w:t>В обикновените сметки, предвидени в член 6, параграф 3 от Регламент № 609/2014: всички събрани или обезпечени суми.</w:t>
      </w:r>
    </w:p>
    <w:p>
      <w:pPr>
        <w:pStyle w:val="Textstand-aloneBulletpoint"/>
        <w:jc w:val="both"/>
        <w:rPr>
          <w:noProof/>
        </w:rPr>
      </w:pPr>
      <w:r>
        <w:rPr>
          <w:noProof/>
        </w:rPr>
        <w:t>В отделните сметки, също предвидени в горепосочения член: всички суми, които все още не са събрани и/или не са обезпечени; сумите, които са обезпечени, но са оспорени, също могат да бъдат записани в тази сметка.</w:t>
      </w:r>
    </w:p>
    <w:p>
      <w:pPr>
        <w:pStyle w:val="DGTextstand-alone"/>
      </w:pPr>
      <w:r>
        <w:t>Традиционните собствени ресурси трябва да бъдат записани от държавата членка в сметката на Комисията към министерството на финансите на тази държава или нейната централна банка най-късно на първия работен ден след 19-ия ден на втория месец след месеца, през който вземането е било установено (или в случая на отделната сметка — събрано).</w:t>
      </w:r>
    </w:p>
    <w:p>
      <w:pPr>
        <w:pStyle w:val="HEADER3PartBUGD"/>
        <w:numPr>
          <w:ilvl w:val="2"/>
          <w:numId w:val="15"/>
        </w:numPr>
        <w:ind w:firstLine="387"/>
        <w:rPr>
          <w:noProof/>
        </w:rPr>
      </w:pPr>
      <w:r>
        <w:rPr>
          <w:noProof/>
        </w:rPr>
        <w:t>Данък върху добавената стойност (ДДС)</w:t>
      </w:r>
    </w:p>
    <w:p>
      <w:pPr>
        <w:pStyle w:val="DGTextstand-alone"/>
        <w:rPr>
          <w:spacing w:val="-6"/>
        </w:rPr>
      </w:pPr>
      <w:r>
        <w:rPr>
          <w:spacing w:val="-6"/>
        </w:rPr>
        <w:t>Данъкът върху добавената стойност (ДДС) се събира от базите за ДДС на държавите членки, които се хармонизират за тази цел в съответствие с разпоредбите на ЕС. Базата за ДДС обаче е ограничена до 50 % от БНД на всяка държава членка. Прилаганата унифицирана ставка на ДДС е 0,30 %, с изключение на Германия, Нидерландия и Швеция, които се ползват от намалена ставка от 0,15 %.</w:t>
      </w:r>
    </w:p>
    <w:p>
      <w:pPr>
        <w:pStyle w:val="HEADER3PartBUGD"/>
        <w:numPr>
          <w:ilvl w:val="2"/>
          <w:numId w:val="15"/>
        </w:numPr>
        <w:ind w:firstLine="387"/>
        <w:rPr>
          <w:noProof/>
        </w:rPr>
      </w:pPr>
      <w:r>
        <w:rPr>
          <w:noProof/>
        </w:rPr>
        <w:t>Брутен национален доход (БНД)</w:t>
      </w:r>
    </w:p>
    <w:p>
      <w:pPr>
        <w:pStyle w:val="DGTextstand-alone"/>
      </w:pPr>
      <w:r>
        <w:t>Ресурсът на база брутен национален доход (БНД) се използва за финансиране на тази част от бюджета, която не е покрита от никакви други източници на приходи. Спрямо БНД на всяка държава членка се прилага един и същ процент, който се определя в съответствие с разпоредбите на ЕС.</w:t>
      </w:r>
    </w:p>
    <w:p>
      <w:pPr>
        <w:pStyle w:val="DGTextstand-alone"/>
      </w:pPr>
      <w:r>
        <w:t>Ресурсите на база ДДС и БНД се определят въз основа на прогнози за съответните бази, направени при изготвянето на проектобюджета. Тези прогнози впоследствие се преразглеждат и актуализират през въпросната бюджетна година посредством коригиращ бюджет. Комисията изисква от държавите членки за първия работен ден на месец юни на втората година, следваща въпросната бюджетна година, разликите, били те положителни или отрицателни, между дължимите от държавите членки суми въз основа на реалните бази и реално платените суми въз основа на (преразгледаните) прогнози.</w:t>
      </w:r>
      <w:r>
        <w:rPr>
          <w:rFonts w:ascii="Book Antiqua" w:hAnsi="Book Antiqua"/>
          <w:sz w:val="16"/>
          <w:szCs w:val="16"/>
        </w:rPr>
        <w:t xml:space="preserve"> </w:t>
      </w:r>
      <w:r>
        <w:t>Реалните бази за ДДС и за БНД могат да се коригират през следващите четири години, освен ако не бъде изразена резерва. Тези резерви трябва да бъдат разглеждани като потенциални искания към държавите членки за неопределени суми, тъй като финансовото им отражение не може да бъде оценено с точност. Когато е възможно да бъде определен точният размер, съответните ресурси на база ДДС и БНД се изискват или във връзка с процедурата за салдата по ДДС и по БНД, или посредством индивидуални покани за внасяне на средства.</w:t>
      </w:r>
    </w:p>
    <w:p>
      <w:pPr>
        <w:pStyle w:val="HEADER3PartBUGD"/>
        <w:numPr>
          <w:ilvl w:val="2"/>
          <w:numId w:val="15"/>
        </w:numPr>
        <w:ind w:firstLine="387"/>
        <w:rPr>
          <w:noProof/>
        </w:rPr>
      </w:pPr>
      <w:r>
        <w:rPr>
          <w:noProof/>
        </w:rPr>
        <w:t>Корекция за Обединеното кралство</w:t>
      </w:r>
    </w:p>
    <w:p>
      <w:pPr>
        <w:pStyle w:val="DGTextstand-alone"/>
      </w:pPr>
      <w:r>
        <w:t>Европейският съвет във Фонтенбло (юни 1984 г.) въведе механизъм за корекция на бюджетните дисбаланси в полза на Обединеното кралство (намаляване на плащанията на собствени ресурси на тази държава, като същевременно се увеличават плащанията на другите държави членки). Германия, Австрия, Швеция и Нидерландия се ползваха от намалено финансиране на корекцията за Обединеното кралство (ограничено до една четвърт от обичайния им дял). Корекцията за Обединеното кралство и свързаните с нея договорености за финансиране спряха да действат в края на 2020 г. с оттеглянето на Обединеното кралство от ЕС.</w:t>
      </w:r>
    </w:p>
    <w:p>
      <w:pPr>
        <w:pStyle w:val="HEADER3PartBUGD"/>
        <w:numPr>
          <w:ilvl w:val="2"/>
          <w:numId w:val="15"/>
        </w:numPr>
        <w:ind w:firstLine="387"/>
        <w:rPr>
          <w:noProof/>
        </w:rPr>
      </w:pPr>
      <w:r>
        <w:rPr>
          <w:noProof/>
        </w:rPr>
        <w:t>Брутно намаление</w:t>
      </w:r>
    </w:p>
    <w:p>
      <w:pPr>
        <w:pStyle w:val="DGTextstand-alone"/>
        <w:spacing w:after="0"/>
        <w:rPr>
          <w:color w:val="000000"/>
        </w:rPr>
      </w:pPr>
      <w:r>
        <w:rPr>
          <w:color w:val="000000"/>
        </w:rPr>
        <w:t>На заседанието на Европейския съвет от 7 и 8 февруари 2013 г. бе заключено, че Дания, Нидерландия и Швеция следва да се ползват от брутни намаления на годишните си вноски на база БНД за периода 2014—2020 г., а Австрия се ползваше от брутни намаления само през периода 2014—2016 г. Годишните намаления са, както следва: за Дания 130 милиона евро, за Нидерландия 695 милиона евро и за Швеция 185 милиона евро. За периода 2021—2027 г. от брутно намаление на годишните вноски на база БНД ще се ползват Австрия, Дания, Германия, Нидерландия и Швеция.</w:t>
      </w:r>
    </w:p>
    <w:p>
      <w:pPr>
        <w:pStyle w:val="DGTextstand-alone"/>
        <w:spacing w:after="0"/>
      </w:pPr>
    </w:p>
    <w:p>
      <w:pPr>
        <w:pStyle w:val="HEADER2PartBUDG"/>
        <w:numPr>
          <w:ilvl w:val="1"/>
          <w:numId w:val="15"/>
        </w:numPr>
        <w:rPr>
          <w:noProof/>
        </w:rPr>
      </w:pPr>
      <w:bookmarkStart w:id="237" w:name="_Toc75518130"/>
      <w:r>
        <w:rPr>
          <w:noProof/>
        </w:rPr>
        <w:t>ИЗЧИСЛЯВАНЕ НА БЮДЖЕТНИЯ РЕЗУЛТАТ</w:t>
      </w:r>
      <w:bookmarkEnd w:id="237"/>
    </w:p>
    <w:p>
      <w:pPr>
        <w:pStyle w:val="DGTextstand-alone"/>
      </w:pPr>
      <w:r>
        <w:t>Бюджетният резултат на ЕС се връща на държавите членки през следващата година чрез приспадането му от дължимите от тях суми за тази година.</w:t>
      </w:r>
    </w:p>
    <w:p>
      <w:pPr>
        <w:pStyle w:val="DGTextstand-alone"/>
      </w:pPr>
      <w:r>
        <w:t>Сумите собствени ресурси, записани в отчетите, са сумите, кредитирани в течение на годината в сметките, открити на името на Комисията от правителствата на държавите членки. Приходите включват също, в случай на излишък, бюджетния резултат за предходната финансова година. Другите приходи, записани в отчетите, са действително получената в хода на годината сума.</w:t>
      </w:r>
    </w:p>
    <w:p>
      <w:pPr>
        <w:pStyle w:val="DGTextstand-alone"/>
      </w:pPr>
      <w:r>
        <w:t>За целите на изчисляването на бюджетния резултат за годината разходите се състоят от плащанията, направени спрямо бюджетните кредити за годината, плюс всички бюджетни кредити за тази година, които са пренесени за следващата година. Под плащания, извършени спрямо бюджетните кредити за годината, се разбира плащанията, които са извършени от счетоводителя до 31 декември на финансовата година. Що се отнася до ЕФГЗ, плащанията са тези плащания, които са извършени от държавите членки между 16 октомври на година N-1 и 15 октомври на година N, при условие че счетоводителят е бил уведомен за поетото задължение и за разрешението до 31 януари на година N+1. Разходите по ЕФГЗ могат да бъдат предмет на решение с оглед на съответствието след провеждането на проверки в държавите членки.</w:t>
      </w:r>
    </w:p>
    <w:p>
      <w:pPr>
        <w:pStyle w:val="DGTextstand-alone"/>
      </w:pPr>
      <w:r>
        <w:t>Бюджетният резултат се състои от два елемента: резултата на ЕС и резултата от участието на страните от ЕАСТ, които са част от Европейското икономическо пространство (ЕИП). В съответствие с член 1, параграф 1 от Регламент № 608/2014 за определяне на мерки за прилагане на системата на собствените ресурси този резултат представлява разликата между:</w:t>
      </w:r>
    </w:p>
    <w:p>
      <w:pPr>
        <w:pStyle w:val="Textstand-aloneBulletpoint"/>
        <w:spacing w:after="120"/>
        <w:ind w:left="714"/>
        <w:jc w:val="both"/>
        <w:rPr>
          <w:noProof/>
        </w:rPr>
      </w:pPr>
      <w:r>
        <w:rPr>
          <w:noProof/>
        </w:rPr>
        <w:t>общия размер на приходите, получени за финансовата година; и</w:t>
      </w:r>
    </w:p>
    <w:p>
      <w:pPr>
        <w:pStyle w:val="Textstand-aloneBulletpoint"/>
        <w:numPr>
          <w:ilvl w:val="0"/>
          <w:numId w:val="0"/>
        </w:numPr>
        <w:spacing w:after="120"/>
        <w:ind w:left="1437"/>
        <w:jc w:val="both"/>
        <w:rPr>
          <w:noProof/>
        </w:rPr>
      </w:pPr>
    </w:p>
    <w:p>
      <w:pPr>
        <w:pStyle w:val="Textstand-aloneBulletpoint"/>
        <w:ind w:left="714"/>
        <w:jc w:val="both"/>
        <w:rPr>
          <w:noProof/>
        </w:rPr>
      </w:pPr>
      <w:r>
        <w:rPr>
          <w:noProof/>
        </w:rPr>
        <w:t>общия размер на плащанията, извършени спрямо бюджетните кредити за текущата година, плюс общия размер на бюджетните кредити за тази година, пренесени за следващата година.</w:t>
      </w:r>
    </w:p>
    <w:p>
      <w:pPr>
        <w:pStyle w:val="DGTextstand-alone"/>
      </w:pPr>
      <w:r>
        <w:t>Към така получената цифра се добавя или от нея се приспада следното:</w:t>
      </w:r>
    </w:p>
    <w:p>
      <w:pPr>
        <w:pStyle w:val="Textstand-aloneBulletpoint"/>
        <w:ind w:left="714"/>
        <w:jc w:val="both"/>
        <w:rPr>
          <w:noProof/>
        </w:rPr>
      </w:pPr>
      <w:r>
        <w:rPr>
          <w:noProof/>
        </w:rPr>
        <w:t xml:space="preserve">нетното салдо на отменените бюджетни кредити за плащания, пренесени от предходни години, и всички плащания, които поради колебанията на курса на еврото надвишават едногодишните бюджетни кредити, пренесени от предходната година; </w:t>
      </w:r>
    </w:p>
    <w:p>
      <w:pPr>
        <w:pStyle w:val="Textstand-aloneBulletpoint"/>
        <w:numPr>
          <w:ilvl w:val="0"/>
          <w:numId w:val="0"/>
        </w:numPr>
        <w:ind w:left="1437"/>
        <w:jc w:val="both"/>
        <w:rPr>
          <w:noProof/>
        </w:rPr>
      </w:pPr>
    </w:p>
    <w:p>
      <w:pPr>
        <w:pStyle w:val="Textstand-aloneBulletpoint"/>
        <w:ind w:left="714"/>
        <w:jc w:val="both"/>
        <w:rPr>
          <w:noProof/>
        </w:rPr>
      </w:pPr>
      <w:r>
        <w:rPr>
          <w:noProof/>
        </w:rPr>
        <w:t>промяната на целевите приходи; и</w:t>
      </w:r>
    </w:p>
    <w:p>
      <w:pPr>
        <w:pStyle w:val="Textstand-aloneBulletpoint"/>
        <w:numPr>
          <w:ilvl w:val="0"/>
          <w:numId w:val="0"/>
        </w:numPr>
        <w:ind w:left="1437"/>
        <w:jc w:val="both"/>
        <w:rPr>
          <w:noProof/>
        </w:rPr>
      </w:pPr>
    </w:p>
    <w:p>
      <w:pPr>
        <w:pStyle w:val="Textstand-aloneBulletpoint"/>
        <w:ind w:left="714"/>
        <w:jc w:val="both"/>
        <w:rPr>
          <w:noProof/>
        </w:rPr>
      </w:pPr>
      <w:r>
        <w:rPr>
          <w:noProof/>
        </w:rPr>
        <w:t>нетните печалби или загуби от валутния курс, записани през годината.</w:t>
      </w:r>
    </w:p>
    <w:p>
      <w:pPr>
        <w:pStyle w:val="DGTextstand-alone"/>
      </w:pPr>
      <w:r>
        <w:t>Бюджетните кредити, пренесени от предходната финансова година, във връзка с вноските от трети страни и работата за трети страни, които по дефиниция никога не губят сила, се включват като допълнителни бюджетни кредити за финансовата година. Това обяснява разликата между пренесените от предходната година суми в докладите за изпълнението на бюджета за година N и сумите, пренесени за следващата година, в докладите за изпълнението на бюджета за година N-1. При изчисляването на бюджетния резултат не се вземат предвид бюджетните кредити за поети задължения, предоставени отново след възстановяването на предплати.</w:t>
      </w:r>
    </w:p>
    <w:p>
      <w:pPr>
        <w:pStyle w:val="DGTextstand-alone"/>
      </w:pPr>
      <w:r>
        <w:t>Пренесените бюджетни кредити за плащания включват: автоматични пренасяния и пренасяния с решение. Отмяната на неизползвани бюджетни кредити за плащания, пренесени от предходната година, включва отмените на бюджетни кредити, пренесени автоматично и с решение.</w:t>
      </w:r>
    </w:p>
    <w:p>
      <w:pPr>
        <w:pStyle w:val="DGTextstand-alone"/>
        <w:sectPr>
          <w:headerReference w:type="even" r:id="rId320"/>
          <w:headerReference w:type="default" r:id="rId321"/>
          <w:footerReference w:type="even" r:id="rId322"/>
          <w:footerReference w:type="default" r:id="rId323"/>
          <w:headerReference w:type="first" r:id="rId324"/>
          <w:footerReference w:type="first" r:id="rId325"/>
          <w:pgSz w:w="11907" w:h="16840" w:code="9"/>
          <w:pgMar w:top="1134" w:right="1134" w:bottom="1134" w:left="1134" w:header="709" w:footer="709" w:gutter="0"/>
          <w:cols w:space="708"/>
          <w:docGrid w:linePitch="360"/>
        </w:sectPr>
      </w:pPr>
      <w:r>
        <w:t xml:space="preserve"> </w:t>
      </w:r>
      <w:bookmarkEnd w:id="236"/>
    </w:p>
    <w:p>
      <w:pPr>
        <w:pStyle w:val="HEADER2PartBUDG"/>
        <w:numPr>
          <w:ilvl w:val="1"/>
          <w:numId w:val="15"/>
        </w:numPr>
        <w:rPr>
          <w:noProof/>
        </w:rPr>
      </w:pPr>
      <w:bookmarkStart w:id="238" w:name="_Toc75518131"/>
      <w:bookmarkStart w:id="239" w:name="_DMBM_19905"/>
      <w:r>
        <w:rPr>
          <w:noProof/>
        </w:rPr>
        <w:t xml:space="preserve">РАВНЯВАНЕ НА ФИНАНСОВИЯ РЕЗУЛТАТ С </w:t>
      </w:r>
      <w:r>
        <w:rPr>
          <w:noProof/>
        </w:rPr>
        <w:tab/>
        <w:t>БЮДЖЕТНИЯ РЕЗУЛТАТ</w:t>
      </w:r>
      <w:bookmarkEnd w:id="238"/>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7"/>
        <w:gridCol w:w="1436"/>
        <w:gridCol w:w="1436"/>
      </w:tblGrid>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eastAsia="Times New Roman"/>
                <w:noProof/>
                <w:color w:val="000000"/>
                <w:sz w:val="22"/>
              </w:rPr>
            </w:pPr>
            <w:bookmarkStart w:id="240" w:name="DOC_TBL00105_1_1"/>
            <w:bookmarkEnd w:id="240"/>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eastAsia="Times New Roman"/>
                <w:noProof/>
                <w:color w:val="000000"/>
                <w:sz w:val="22"/>
              </w:rPr>
            </w:pP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hRule="exact" w:val="255"/>
        </w:trPr>
        <w:tc>
          <w:tcPr>
            <w:tcW w:w="6887" w:type="dxa"/>
            <w:tcBorders>
              <w:top w:val="nil"/>
              <w:left w:val="nil"/>
              <w:bottom w:val="nil"/>
              <w:right w:val="nil"/>
            </w:tcBorders>
            <w:shd w:val="solid" w:color="016794" w:fill="FFFFFF"/>
            <w:tcMar>
              <w:top w:w="0" w:type="dxa"/>
              <w:left w:w="60" w:type="dxa"/>
              <w:bottom w:w="0" w:type="dxa"/>
              <w:right w:w="60" w:type="dxa"/>
            </w:tcMar>
            <w:vAlign w:val="center"/>
          </w:tcPr>
          <w:p>
            <w:pPr>
              <w:pStyle w:val="DMETW19782BIPReconciliation"/>
              <w:rPr>
                <w:rFonts w:ascii="Verdana" w:eastAsia="Times New Roman" w:hAnsi="Verdana" w:cs="Verdana"/>
                <w:noProof/>
                <w:color w:val="FFFFFF"/>
              </w:rPr>
            </w:pPr>
          </w:p>
        </w:tc>
        <w:tc>
          <w:tcPr>
            <w:tcW w:w="1436" w:type="dxa"/>
            <w:tcBorders>
              <w:top w:val="nil"/>
              <w:left w:val="nil"/>
              <w:bottom w:val="nil"/>
              <w:right w:val="nil"/>
            </w:tcBorders>
            <w:shd w:val="solid" w:color="016794" w:fill="FFFFFF"/>
            <w:tcMar>
              <w:top w:w="0" w:type="dxa"/>
              <w:left w:w="60" w:type="dxa"/>
              <w:bottom w:w="0" w:type="dxa"/>
              <w:right w:w="60" w:type="dxa"/>
            </w:tcMar>
            <w:vAlign w:val="center"/>
          </w:tcPr>
          <w:p>
            <w:pPr>
              <w:pStyle w:val="DMETW19782BIPReconciliation"/>
              <w:jc w:val="right"/>
              <w:rPr>
                <w:rFonts w:ascii="Verdana" w:eastAsia="Times New Roman" w:hAnsi="Verdana" w:cs="Verdana"/>
                <w:noProof/>
                <w:color w:val="FFFFFF"/>
              </w:rPr>
            </w:pPr>
            <w:r>
              <w:rPr>
                <w:rFonts w:ascii="Verdana" w:hAnsi="Verdana"/>
                <w:noProof/>
                <w:color w:val="FFFFFF"/>
              </w:rPr>
              <w:t>2020 г.</w:t>
            </w:r>
          </w:p>
        </w:tc>
        <w:tc>
          <w:tcPr>
            <w:tcW w:w="1436" w:type="dxa"/>
            <w:tcBorders>
              <w:top w:val="nil"/>
              <w:left w:val="nil"/>
              <w:bottom w:val="nil"/>
              <w:right w:val="nil"/>
            </w:tcBorders>
            <w:shd w:val="solid" w:color="016794" w:fill="FFFFFF"/>
            <w:tcMar>
              <w:top w:w="0" w:type="dxa"/>
              <w:left w:w="60" w:type="dxa"/>
              <w:bottom w:w="0" w:type="dxa"/>
              <w:right w:w="60" w:type="dxa"/>
            </w:tcMar>
            <w:vAlign w:val="center"/>
          </w:tcPr>
          <w:p>
            <w:pPr>
              <w:pStyle w:val="DMETW19782BIPReconciliation"/>
              <w:jc w:val="right"/>
              <w:rPr>
                <w:rFonts w:ascii="Verdana" w:eastAsia="Times New Roman" w:hAnsi="Verdana" w:cs="Verdana"/>
                <w:noProof/>
                <w:color w:val="FFFFFF"/>
              </w:rPr>
            </w:pPr>
            <w:r>
              <w:rPr>
                <w:rFonts w:ascii="Verdana" w:hAnsi="Verdana"/>
                <w:noProof/>
                <w:color w:val="FFFFFF"/>
              </w:rPr>
              <w:t>2019 г.</w:t>
            </w:r>
          </w:p>
        </w:tc>
      </w:tr>
      <w:tr>
        <w:trPr>
          <w:trHeight w:hRule="exact" w:val="255"/>
        </w:trPr>
        <w:tc>
          <w:tcPr>
            <w:tcW w:w="6887" w:type="dxa"/>
            <w:tcBorders>
              <w:top w:val="nil"/>
              <w:left w:val="nil"/>
              <w:bottom w:val="nil"/>
              <w:right w:val="nil"/>
            </w:tcBorders>
            <w:shd w:val="solid" w:color="CCE1EA" w:fill="FFFFFF"/>
            <w:tcMar>
              <w:top w:w="0" w:type="dxa"/>
              <w:left w:w="60" w:type="dxa"/>
              <w:bottom w:w="0" w:type="dxa"/>
              <w:right w:w="60" w:type="dxa"/>
            </w:tcMar>
            <w:vAlign w:val="center"/>
          </w:tcPr>
          <w:p>
            <w:pPr>
              <w:pStyle w:val="DMETW19782BIPReconciliation"/>
              <w:rPr>
                <w:rFonts w:ascii="Verdana" w:eastAsia="Times New Roman" w:hAnsi="Verdana" w:cs="Verdana"/>
                <w:b/>
                <w:noProof/>
                <w:color w:val="000000"/>
                <w:sz w:val="18"/>
              </w:rPr>
            </w:pPr>
            <w:r>
              <w:rPr>
                <w:rFonts w:ascii="Verdana" w:hAnsi="Verdana"/>
                <w:b/>
                <w:noProof/>
                <w:color w:val="000000"/>
                <w:sz w:val="18"/>
              </w:rPr>
              <w:t>ФИНАНСОВ РЕЗУЛТАТ ЗА ГОДИНАТА</w:t>
            </w:r>
          </w:p>
        </w:tc>
        <w:tc>
          <w:tcPr>
            <w:tcW w:w="1436" w:type="dxa"/>
            <w:tcBorders>
              <w:top w:val="nil"/>
              <w:left w:val="nil"/>
              <w:bottom w:val="nil"/>
              <w:right w:val="nil"/>
            </w:tcBorders>
            <w:shd w:val="solid" w:color="CCE1EA" w:fill="FFFFFF"/>
            <w:tcMar>
              <w:top w:w="0" w:type="dxa"/>
              <w:left w:w="60" w:type="dxa"/>
              <w:bottom w:w="0" w:type="dxa"/>
              <w:right w:w="60" w:type="dxa"/>
            </w:tcMar>
            <w:vAlign w:val="center"/>
          </w:tcPr>
          <w:p>
            <w:pPr>
              <w:pStyle w:val="DMETW19782BIPReconciliation"/>
              <w:jc w:val="right"/>
              <w:rPr>
                <w:rFonts w:ascii="Verdana" w:eastAsia="Times New Roman" w:hAnsi="Verdana" w:cs="Verdana"/>
                <w:b/>
                <w:noProof/>
                <w:color w:val="000000"/>
                <w:sz w:val="18"/>
              </w:rPr>
            </w:pPr>
            <w:r>
              <w:rPr>
                <w:rFonts w:ascii="Verdana" w:hAnsi="Verdana"/>
                <w:b/>
                <w:noProof/>
                <w:color w:val="000000"/>
                <w:sz w:val="18"/>
              </w:rPr>
              <w:t>57 416</w:t>
            </w:r>
          </w:p>
        </w:tc>
        <w:tc>
          <w:tcPr>
            <w:tcW w:w="1436" w:type="dxa"/>
            <w:tcBorders>
              <w:top w:val="nil"/>
              <w:left w:val="nil"/>
              <w:bottom w:val="nil"/>
              <w:right w:val="nil"/>
            </w:tcBorders>
            <w:shd w:val="solid" w:color="CCE1EA" w:fill="FFFFFF"/>
            <w:tcMar>
              <w:top w:w="0" w:type="dxa"/>
              <w:left w:w="60" w:type="dxa"/>
              <w:bottom w:w="0" w:type="dxa"/>
              <w:right w:w="60" w:type="dxa"/>
            </w:tcMar>
            <w:vAlign w:val="center"/>
          </w:tcPr>
          <w:p>
            <w:pPr>
              <w:pStyle w:val="DMETW19782BIPReconciliation"/>
              <w:jc w:val="right"/>
              <w:rPr>
                <w:rFonts w:ascii="Verdana" w:eastAsia="Times New Roman" w:hAnsi="Verdana" w:cs="Verdana"/>
                <w:b/>
                <w:noProof/>
                <w:color w:val="000000"/>
                <w:sz w:val="18"/>
              </w:rPr>
            </w:pPr>
            <w:r>
              <w:rPr>
                <w:rFonts w:ascii="Verdana" w:hAnsi="Verdana"/>
                <w:b/>
                <w:noProof/>
                <w:color w:val="000000"/>
                <w:sz w:val="18"/>
              </w:rPr>
              <w:t>4 796</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eastAsia="Times New Roman"/>
                <w:noProof/>
                <w:color w:val="000000"/>
                <w:sz w:val="22"/>
              </w:rPr>
            </w:pP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eastAsia="Times New Roman"/>
                <w:noProof/>
                <w:color w:val="000000"/>
                <w:sz w:val="22"/>
              </w:rPr>
            </w:pP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6"/>
              </w:rPr>
            </w:pPr>
          </w:p>
        </w:tc>
      </w:tr>
      <w:tr>
        <w:trPr>
          <w:trHeight w:hRule="exact" w:val="255"/>
        </w:trPr>
        <w:tc>
          <w:tcPr>
            <w:tcW w:w="6887" w:type="dxa"/>
            <w:tcBorders>
              <w:top w:val="nil"/>
              <w:left w:val="nil"/>
              <w:bottom w:val="nil"/>
              <w:right w:val="nil"/>
            </w:tcBorders>
            <w:tcMar>
              <w:top w:w="0" w:type="dxa"/>
              <w:left w:w="60" w:type="dxa"/>
              <w:bottom w:w="0" w:type="dxa"/>
              <w:right w:w="60" w:type="dxa"/>
            </w:tcMar>
            <w:vAlign w:val="center"/>
          </w:tcPr>
          <w:p>
            <w:pPr>
              <w:pStyle w:val="DMETW19782BIPReconciliation"/>
              <w:rPr>
                <w:rFonts w:ascii="Verdana" w:eastAsia="Times New Roman" w:hAnsi="Verdana" w:cs="Verdana"/>
                <w:b/>
                <w:noProof/>
                <w:color w:val="000000"/>
                <w:sz w:val="18"/>
              </w:rPr>
            </w:pPr>
            <w:r>
              <w:rPr>
                <w:rFonts w:ascii="Verdana" w:hAnsi="Verdana"/>
                <w:b/>
                <w:noProof/>
                <w:color w:val="000000"/>
                <w:sz w:val="18"/>
              </w:rPr>
              <w:t>Приходи</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b/>
                <w:noProof/>
                <w:color w:val="000000"/>
                <w:sz w:val="18"/>
              </w:rPr>
            </w:pP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b/>
                <w:noProof/>
                <w:color w:val="000000"/>
                <w:sz w:val="18"/>
              </w:rPr>
            </w:pP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i/>
                <w:noProof/>
                <w:color w:val="000000"/>
                <w:sz w:val="18"/>
              </w:rPr>
            </w:pPr>
            <w:r>
              <w:rPr>
                <w:rFonts w:ascii="Verdana" w:hAnsi="Verdana"/>
                <w:i/>
                <w:noProof/>
                <w:color w:val="000000"/>
                <w:sz w:val="18"/>
              </w:rPr>
              <w:t>Вземания, установени през текущата година, но все още несъбрани</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(1 295)</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(6 193)</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i/>
                <w:noProof/>
                <w:color w:val="000000"/>
                <w:sz w:val="18"/>
              </w:rPr>
            </w:pPr>
            <w:r>
              <w:rPr>
                <w:rFonts w:ascii="Verdana" w:hAnsi="Verdana"/>
                <w:i/>
                <w:noProof/>
                <w:color w:val="000000"/>
                <w:sz w:val="18"/>
              </w:rPr>
              <w:t>Вземания, установени през предходни години и събрани през текущата година</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3 886</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8 656</w:t>
            </w:r>
          </w:p>
        </w:tc>
      </w:tr>
      <w:tr>
        <w:trPr>
          <w:trHeight w:hRule="exact" w:val="255"/>
        </w:trPr>
        <w:tc>
          <w:tcPr>
            <w:tcW w:w="6887"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i/>
                <w:noProof/>
                <w:color w:val="000000"/>
                <w:sz w:val="18"/>
              </w:rPr>
            </w:pPr>
            <w:r>
              <w:rPr>
                <w:rFonts w:ascii="Verdana" w:hAnsi="Verdana"/>
                <w:i/>
                <w:noProof/>
                <w:color w:val="000000"/>
                <w:sz w:val="18"/>
              </w:rPr>
              <w:t>Начислени приходи (нетни)</w:t>
            </w: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(48 762)</w:t>
            </w: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3 341</w:t>
            </w:r>
          </w:p>
        </w:tc>
      </w:tr>
      <w:tr>
        <w:trPr>
          <w:trHeight w:hRule="exact" w:val="255"/>
        </w:trPr>
        <w:tc>
          <w:tcPr>
            <w:tcW w:w="6887"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b/>
                <w:noProof/>
                <w:color w:val="000000"/>
                <w:sz w:val="18"/>
              </w:rPr>
            </w:pPr>
          </w:p>
        </w:tc>
        <w:tc>
          <w:tcPr>
            <w:tcW w:w="1436"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b/>
                <w:noProof/>
                <w:color w:val="000000"/>
                <w:sz w:val="18"/>
              </w:rPr>
            </w:pPr>
            <w:r>
              <w:rPr>
                <w:rFonts w:ascii="Verdana" w:hAnsi="Verdana"/>
                <w:b/>
                <w:noProof/>
                <w:color w:val="000000"/>
                <w:sz w:val="18"/>
              </w:rPr>
              <w:t>(46 171)</w:t>
            </w:r>
          </w:p>
        </w:tc>
        <w:tc>
          <w:tcPr>
            <w:tcW w:w="1436"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b/>
                <w:noProof/>
                <w:color w:val="000000"/>
                <w:sz w:val="18"/>
              </w:rPr>
            </w:pPr>
            <w:r>
              <w:rPr>
                <w:rFonts w:ascii="Verdana" w:hAnsi="Verdana"/>
                <w:b/>
                <w:noProof/>
                <w:color w:val="000000"/>
                <w:sz w:val="18"/>
              </w:rPr>
              <w:t>5 804</w:t>
            </w:r>
          </w:p>
        </w:tc>
      </w:tr>
      <w:tr>
        <w:trPr>
          <w:trHeight w:hRule="exact" w:val="255"/>
        </w:trPr>
        <w:tc>
          <w:tcPr>
            <w:tcW w:w="6887" w:type="dxa"/>
            <w:tcBorders>
              <w:top w:val="single" w:sz="4" w:space="0" w:color="016794"/>
              <w:left w:val="nil"/>
              <w:bottom w:val="nil"/>
              <w:right w:val="nil"/>
            </w:tcBorders>
            <w:tcMar>
              <w:top w:w="0" w:type="dxa"/>
              <w:left w:w="60" w:type="dxa"/>
              <w:bottom w:w="0" w:type="dxa"/>
              <w:right w:w="60" w:type="dxa"/>
            </w:tcMar>
            <w:vAlign w:val="center"/>
          </w:tcPr>
          <w:p>
            <w:pPr>
              <w:pStyle w:val="DMETW19782BIPReconciliation"/>
              <w:rPr>
                <w:rFonts w:ascii="Verdana" w:eastAsia="Times New Roman" w:hAnsi="Verdana" w:cs="Verdana"/>
                <w:b/>
                <w:noProof/>
                <w:color w:val="000000"/>
                <w:sz w:val="18"/>
              </w:rPr>
            </w:pPr>
            <w:r>
              <w:rPr>
                <w:rFonts w:ascii="Verdana" w:hAnsi="Verdana"/>
                <w:b/>
                <w:noProof/>
                <w:color w:val="000000"/>
                <w:sz w:val="18"/>
              </w:rPr>
              <w:t>Разходи</w:t>
            </w:r>
          </w:p>
        </w:tc>
        <w:tc>
          <w:tcPr>
            <w:tcW w:w="1436" w:type="dxa"/>
            <w:tcBorders>
              <w:top w:val="single" w:sz="4" w:space="0" w:color="016794"/>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b/>
                <w:noProof/>
                <w:color w:val="000000"/>
                <w:sz w:val="18"/>
              </w:rPr>
            </w:pPr>
          </w:p>
        </w:tc>
        <w:tc>
          <w:tcPr>
            <w:tcW w:w="1436" w:type="dxa"/>
            <w:tcBorders>
              <w:top w:val="single" w:sz="4" w:space="0" w:color="016794"/>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b/>
                <w:noProof/>
                <w:color w:val="000000"/>
                <w:sz w:val="18"/>
              </w:rPr>
            </w:pP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i/>
                <w:noProof/>
                <w:color w:val="000000"/>
                <w:sz w:val="18"/>
              </w:rPr>
            </w:pPr>
            <w:r>
              <w:rPr>
                <w:rFonts w:ascii="Verdana" w:hAnsi="Verdana"/>
                <w:i/>
                <w:noProof/>
                <w:color w:val="000000"/>
                <w:sz w:val="18"/>
              </w:rPr>
              <w:t>Начислени разходи (нетни)</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8 258</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8 394</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i/>
                <w:noProof/>
                <w:color w:val="000000"/>
                <w:sz w:val="18"/>
              </w:rPr>
            </w:pPr>
            <w:r>
              <w:rPr>
                <w:rFonts w:ascii="Verdana" w:hAnsi="Verdana"/>
                <w:i/>
                <w:noProof/>
                <w:color w:val="000000"/>
                <w:sz w:val="18"/>
              </w:rPr>
              <w:t>Разходи от предходната година, платени през текущата година</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 xml:space="preserve"> (457)</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(3 832)</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i/>
                <w:noProof/>
                <w:color w:val="000000"/>
                <w:sz w:val="18"/>
              </w:rPr>
            </w:pPr>
            <w:r>
              <w:rPr>
                <w:rFonts w:ascii="Verdana" w:hAnsi="Verdana"/>
                <w:i/>
                <w:noProof/>
                <w:color w:val="000000"/>
                <w:sz w:val="18"/>
              </w:rPr>
              <w:t>Нетен ефект от предварителното финансиране</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(17 547)</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(10 981)</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i/>
                <w:noProof/>
                <w:color w:val="000000"/>
                <w:sz w:val="18"/>
              </w:rPr>
            </w:pPr>
            <w:r>
              <w:rPr>
                <w:rFonts w:ascii="Verdana" w:hAnsi="Verdana"/>
                <w:i/>
                <w:noProof/>
                <w:color w:val="000000"/>
                <w:sz w:val="18"/>
              </w:rPr>
              <w:t>Бюджетни кредити за плащания, пренесени за следващата година</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(2 268)</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(3 532)</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i/>
                <w:noProof/>
                <w:color w:val="000000"/>
                <w:sz w:val="18"/>
              </w:rPr>
            </w:pPr>
            <w:r>
              <w:rPr>
                <w:rFonts w:ascii="Verdana" w:hAnsi="Verdana"/>
                <w:i/>
                <w:noProof/>
                <w:color w:val="000000"/>
                <w:sz w:val="18"/>
              </w:rPr>
              <w:t>Плащания, извършени с пренесени суми, и отмяна на неизползвани бюджетни кредити за плащания</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3 248</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1 924</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i/>
                <w:noProof/>
                <w:color w:val="000000"/>
                <w:sz w:val="18"/>
              </w:rPr>
            </w:pPr>
            <w:r>
              <w:rPr>
                <w:rFonts w:ascii="Verdana" w:hAnsi="Verdana"/>
                <w:i/>
                <w:noProof/>
                <w:color w:val="000000"/>
                <w:sz w:val="18"/>
              </w:rPr>
              <w:t>Движение на провизиите</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3 873</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3 801</w:t>
            </w:r>
          </w:p>
        </w:tc>
      </w:tr>
      <w:tr>
        <w:trPr>
          <w:trHeight w:hRule="exact" w:val="255"/>
        </w:trPr>
        <w:tc>
          <w:tcPr>
            <w:tcW w:w="6887"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i/>
                <w:noProof/>
                <w:color w:val="000000"/>
                <w:sz w:val="18"/>
              </w:rPr>
            </w:pPr>
            <w:r>
              <w:rPr>
                <w:rFonts w:ascii="Verdana" w:hAnsi="Verdana"/>
                <w:i/>
                <w:noProof/>
                <w:color w:val="000000"/>
                <w:sz w:val="18"/>
              </w:rPr>
              <w:t>Други</w:t>
            </w: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(4 441)</w:t>
            </w: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8"/>
              </w:rPr>
            </w:pPr>
            <w:r>
              <w:rPr>
                <w:rFonts w:ascii="Verdana" w:hAnsi="Verdana"/>
                <w:i/>
                <w:noProof/>
                <w:color w:val="000000"/>
                <w:sz w:val="18"/>
              </w:rPr>
              <w:t>(3 076)</w:t>
            </w:r>
          </w:p>
        </w:tc>
      </w:tr>
      <w:tr>
        <w:trPr>
          <w:trHeight w:hRule="exact" w:val="255"/>
        </w:trPr>
        <w:tc>
          <w:tcPr>
            <w:tcW w:w="6887"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b/>
                <w:noProof/>
                <w:color w:val="000000"/>
                <w:sz w:val="18"/>
              </w:rPr>
            </w:pPr>
          </w:p>
        </w:tc>
        <w:tc>
          <w:tcPr>
            <w:tcW w:w="1436"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b/>
                <w:noProof/>
                <w:color w:val="000000"/>
                <w:sz w:val="18"/>
              </w:rPr>
            </w:pPr>
            <w:r>
              <w:rPr>
                <w:rFonts w:ascii="Verdana" w:hAnsi="Verdana"/>
                <w:b/>
                <w:noProof/>
                <w:color w:val="000000"/>
                <w:sz w:val="18"/>
              </w:rPr>
              <w:t>(9 334)</w:t>
            </w:r>
          </w:p>
        </w:tc>
        <w:tc>
          <w:tcPr>
            <w:tcW w:w="1436"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b/>
                <w:noProof/>
                <w:color w:val="000000"/>
                <w:sz w:val="18"/>
              </w:rPr>
            </w:pPr>
            <w:r>
              <w:rPr>
                <w:rFonts w:ascii="Verdana" w:hAnsi="Verdana"/>
                <w:b/>
                <w:noProof/>
                <w:color w:val="000000"/>
                <w:sz w:val="18"/>
              </w:rPr>
              <w:t>(7 304)</w:t>
            </w:r>
          </w:p>
        </w:tc>
      </w:tr>
      <w:tr>
        <w:trPr>
          <w:trHeight w:hRule="exact" w:val="255"/>
        </w:trPr>
        <w:tc>
          <w:tcPr>
            <w:tcW w:w="6887"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rPr>
                <w:rFonts w:ascii="Verdana" w:eastAsia="Times New Roman" w:hAnsi="Verdana" w:cs="Verdana"/>
                <w:b/>
                <w:noProof/>
                <w:color w:val="000000"/>
                <w:sz w:val="18"/>
              </w:rPr>
            </w:pPr>
            <w:r>
              <w:rPr>
                <w:rFonts w:ascii="Verdana" w:hAnsi="Verdana"/>
                <w:b/>
                <w:noProof/>
                <w:color w:val="000000"/>
                <w:sz w:val="18"/>
              </w:rPr>
              <w:t>Финансов резултат на агенциите и ЕОВС в ликвидация</w:t>
            </w:r>
          </w:p>
        </w:tc>
        <w:tc>
          <w:tcPr>
            <w:tcW w:w="1436"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b/>
                <w:noProof/>
                <w:color w:val="000000"/>
                <w:sz w:val="18"/>
              </w:rPr>
            </w:pPr>
            <w:r>
              <w:rPr>
                <w:rFonts w:ascii="Verdana" w:hAnsi="Verdana"/>
                <w:b/>
                <w:noProof/>
                <w:color w:val="000000"/>
                <w:sz w:val="18"/>
              </w:rPr>
              <w:t xml:space="preserve"> (142)</w:t>
            </w:r>
          </w:p>
        </w:tc>
        <w:tc>
          <w:tcPr>
            <w:tcW w:w="1436"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b/>
                <w:noProof/>
                <w:color w:val="000000"/>
                <w:sz w:val="18"/>
              </w:rPr>
            </w:pPr>
            <w:r>
              <w:rPr>
                <w:rFonts w:ascii="Verdana" w:hAnsi="Verdana"/>
                <w:b/>
                <w:noProof/>
                <w:color w:val="000000"/>
                <w:sz w:val="18"/>
              </w:rPr>
              <w:t xml:space="preserve"> (79)</w:t>
            </w:r>
          </w:p>
        </w:tc>
      </w:tr>
      <w:tr>
        <w:trPr>
          <w:trHeight w:hRule="exact" w:val="255"/>
        </w:trPr>
        <w:tc>
          <w:tcPr>
            <w:tcW w:w="6887" w:type="dxa"/>
            <w:tcBorders>
              <w:top w:val="single" w:sz="4" w:space="0" w:color="016794"/>
              <w:left w:val="nil"/>
              <w:bottom w:val="nil"/>
              <w:right w:val="nil"/>
            </w:tcBorders>
            <w:shd w:val="solid" w:color="FFFFFF" w:fill="FFFFFF"/>
            <w:tcMar>
              <w:top w:w="0" w:type="dxa"/>
              <w:left w:w="60" w:type="dxa"/>
              <w:bottom w:w="0" w:type="dxa"/>
              <w:right w:w="60" w:type="dxa"/>
            </w:tcMar>
            <w:vAlign w:val="center"/>
          </w:tcPr>
          <w:p>
            <w:pPr>
              <w:pStyle w:val="DMETW19782BIPReconciliation"/>
              <w:rPr>
                <w:rFonts w:eastAsia="Times New Roman"/>
                <w:noProof/>
                <w:color w:val="000000"/>
                <w:sz w:val="22"/>
              </w:rPr>
            </w:pPr>
          </w:p>
        </w:tc>
        <w:tc>
          <w:tcPr>
            <w:tcW w:w="1436" w:type="dxa"/>
            <w:tcBorders>
              <w:top w:val="single" w:sz="4" w:space="0" w:color="016794"/>
              <w:left w:val="nil"/>
              <w:bottom w:val="nil"/>
              <w:right w:val="nil"/>
            </w:tcBorders>
            <w:shd w:val="solid" w:color="FFFFFF" w:fill="FFFFFF"/>
            <w:tcMar>
              <w:top w:w="0" w:type="dxa"/>
              <w:left w:w="60" w:type="dxa"/>
              <w:bottom w:w="0" w:type="dxa"/>
              <w:right w:w="60" w:type="dxa"/>
            </w:tcMar>
            <w:vAlign w:val="center"/>
          </w:tcPr>
          <w:p>
            <w:pPr>
              <w:pStyle w:val="DMETW19782BIPReconciliation"/>
              <w:rPr>
                <w:rFonts w:eastAsia="Times New Roman"/>
                <w:noProof/>
                <w:color w:val="000000"/>
                <w:sz w:val="22"/>
              </w:rPr>
            </w:pPr>
          </w:p>
        </w:tc>
        <w:tc>
          <w:tcPr>
            <w:tcW w:w="1436" w:type="dxa"/>
            <w:tcBorders>
              <w:top w:val="single" w:sz="4" w:space="0" w:color="016794"/>
              <w:left w:val="nil"/>
              <w:bottom w:val="nil"/>
              <w:right w:val="nil"/>
            </w:tcBorders>
            <w:shd w:val="solid" w:color="FFFFFF" w:fill="FFFFFF"/>
            <w:tcMar>
              <w:top w:w="0" w:type="dxa"/>
              <w:left w:w="60" w:type="dxa"/>
              <w:bottom w:w="0" w:type="dxa"/>
              <w:right w:w="60" w:type="dxa"/>
            </w:tcMar>
            <w:vAlign w:val="center"/>
          </w:tcPr>
          <w:p>
            <w:pPr>
              <w:pStyle w:val="DMETW19782BIPReconciliation"/>
              <w:jc w:val="right"/>
              <w:rPr>
                <w:rFonts w:ascii="Verdana" w:eastAsia="Times New Roman" w:hAnsi="Verdana" w:cs="Verdana"/>
                <w:i/>
                <w:noProof/>
                <w:color w:val="000000"/>
                <w:sz w:val="16"/>
              </w:rPr>
            </w:pPr>
          </w:p>
        </w:tc>
      </w:tr>
      <w:tr>
        <w:trPr>
          <w:trHeight w:hRule="exact" w:val="255"/>
        </w:trPr>
        <w:tc>
          <w:tcPr>
            <w:tcW w:w="6887" w:type="dxa"/>
            <w:tcBorders>
              <w:top w:val="nil"/>
              <w:left w:val="nil"/>
              <w:bottom w:val="nil"/>
              <w:right w:val="nil"/>
            </w:tcBorders>
            <w:shd w:val="solid" w:color="CCE1EA" w:fill="FFFFFF"/>
            <w:tcMar>
              <w:top w:w="0" w:type="dxa"/>
              <w:left w:w="60" w:type="dxa"/>
              <w:bottom w:w="0" w:type="dxa"/>
              <w:right w:w="60" w:type="dxa"/>
            </w:tcMar>
            <w:vAlign w:val="center"/>
          </w:tcPr>
          <w:p>
            <w:pPr>
              <w:pStyle w:val="DMETW19782BIPReconciliation"/>
              <w:rPr>
                <w:rFonts w:ascii="Verdana" w:eastAsia="Times New Roman" w:hAnsi="Verdana" w:cs="Verdana"/>
                <w:b/>
                <w:noProof/>
                <w:color w:val="000000"/>
                <w:sz w:val="18"/>
              </w:rPr>
            </w:pPr>
            <w:r>
              <w:rPr>
                <w:rFonts w:ascii="Verdana" w:hAnsi="Verdana"/>
                <w:b/>
                <w:noProof/>
                <w:color w:val="000000"/>
                <w:sz w:val="18"/>
              </w:rPr>
              <w:t>БЮДЖЕТЕН РЕЗУЛТАТ ЗА ГОДИНАТА</w:t>
            </w:r>
          </w:p>
        </w:tc>
        <w:tc>
          <w:tcPr>
            <w:tcW w:w="1436" w:type="dxa"/>
            <w:tcBorders>
              <w:top w:val="nil"/>
              <w:left w:val="nil"/>
              <w:bottom w:val="nil"/>
              <w:right w:val="nil"/>
            </w:tcBorders>
            <w:shd w:val="solid" w:color="CCE1EA" w:fill="FFFFFF"/>
            <w:tcMar>
              <w:top w:w="0" w:type="dxa"/>
              <w:left w:w="60" w:type="dxa"/>
              <w:bottom w:w="0" w:type="dxa"/>
              <w:right w:w="60" w:type="dxa"/>
            </w:tcMar>
            <w:vAlign w:val="center"/>
          </w:tcPr>
          <w:p>
            <w:pPr>
              <w:pStyle w:val="DMETW19782BIPReconciliation"/>
              <w:jc w:val="right"/>
              <w:rPr>
                <w:rFonts w:ascii="Verdana" w:eastAsia="Times New Roman" w:hAnsi="Verdana" w:cs="Verdana"/>
                <w:b/>
                <w:noProof/>
                <w:color w:val="000000"/>
                <w:sz w:val="18"/>
              </w:rPr>
            </w:pPr>
            <w:r>
              <w:rPr>
                <w:rFonts w:ascii="Verdana" w:hAnsi="Verdana"/>
                <w:b/>
                <w:noProof/>
                <w:color w:val="000000"/>
                <w:sz w:val="18"/>
              </w:rPr>
              <w:t>1 768</w:t>
            </w:r>
          </w:p>
        </w:tc>
        <w:tc>
          <w:tcPr>
            <w:tcW w:w="1436" w:type="dxa"/>
            <w:tcBorders>
              <w:top w:val="nil"/>
              <w:left w:val="nil"/>
              <w:bottom w:val="nil"/>
              <w:right w:val="nil"/>
            </w:tcBorders>
            <w:shd w:val="solid" w:color="CCE1EA" w:fill="FFFFFF"/>
            <w:tcMar>
              <w:top w:w="0" w:type="dxa"/>
              <w:left w:w="60" w:type="dxa"/>
              <w:bottom w:w="0" w:type="dxa"/>
              <w:right w:w="60" w:type="dxa"/>
            </w:tcMar>
            <w:vAlign w:val="center"/>
          </w:tcPr>
          <w:p>
            <w:pPr>
              <w:pStyle w:val="DMETW19782BIPReconciliation"/>
              <w:jc w:val="right"/>
              <w:rPr>
                <w:rFonts w:ascii="Verdana" w:eastAsia="Times New Roman" w:hAnsi="Verdana" w:cs="Verdana"/>
                <w:b/>
                <w:noProof/>
                <w:color w:val="000000"/>
                <w:sz w:val="18"/>
              </w:rPr>
            </w:pPr>
            <w:r>
              <w:rPr>
                <w:rFonts w:ascii="Verdana" w:hAnsi="Verdana"/>
                <w:b/>
                <w:noProof/>
                <w:color w:val="000000"/>
                <w:sz w:val="18"/>
              </w:rPr>
              <w:t>3 217</w:t>
            </w:r>
          </w:p>
        </w:tc>
      </w:tr>
    </w:tbl>
    <w:p>
      <w:pPr>
        <w:pStyle w:val="DGTextstand-alone"/>
      </w:pPr>
      <w:r>
        <w:t xml:space="preserve">В съответствие с Финансовия регламент финансовият резултат за годината се изчислява въз основа на принципите на счетоводната отчетност на базата на текущо начисляване (счетоводните правила на ЕС), а бюджетният резултат се основава на модифицирани правила за касова отчетност. Тъй като финансовият и бюджетният резултат обхващат едни и същи операции — с изключение на другите (небюджетни) източници на приходи и разходи на агенциите и ЕОВС в ликвидация, които са включени само във финансовия резултат (вж. бележка </w:t>
      </w:r>
      <w:r>
        <w:rPr>
          <w:b/>
        </w:rPr>
        <w:t>6</w:t>
      </w:r>
      <w:r>
        <w:t xml:space="preserve">) — равняването на финансовия резултат за годината с бюджетния резултат за годината е полезна проверка за съответствие. </w:t>
      </w:r>
    </w:p>
    <w:p>
      <w:pPr>
        <w:pStyle w:val="HEADER5"/>
        <w:rPr>
          <w:noProof/>
        </w:rPr>
      </w:pPr>
      <w:r>
        <w:rPr>
          <w:noProof/>
        </w:rPr>
        <w:t>Позиции за равняване — Приходи</w:t>
      </w:r>
    </w:p>
    <w:p>
      <w:pPr>
        <w:pStyle w:val="DGTextstand-alone"/>
        <w:rPr>
          <w:color w:val="000000"/>
        </w:rPr>
      </w:pPr>
      <w:r>
        <w:rPr>
          <w:color w:val="000000"/>
        </w:rPr>
        <w:t xml:space="preserve">Реалните бюджетни приходи за дадена финансова година съответстват на събраните приходи от вземанията, установени в хода на годината, и на събраните суми от вземанията, установени през предходни години. Поради това вземанията, установени през текущата година, но все още несъбрани, трябва да бъдат приспаднати от финансовия резултат за целите на равняването, тъй като не представляват част от бюджетните приходи. Обратно, вземанията, установени през предходни години и събрани през текущата година, трябва да бъдат добавени към финансовия резултат за целите на равняването. </w:t>
      </w:r>
    </w:p>
    <w:p>
      <w:pPr>
        <w:pStyle w:val="DGTextstand-alone"/>
        <w:rPr>
          <w:color w:val="000000"/>
        </w:rPr>
      </w:pPr>
      <w:r>
        <w:rPr>
          <w:color w:val="000000"/>
        </w:rPr>
        <w:t xml:space="preserve">Начислените приходи се състоят главно от начислени приходи, свързани с оттеглянето на Обединеното кралство от ЕС, Фонда за иновации, финансови корекции, собствени ресурси, лихви и дивиденти. Взема се под внимание само нетният ефект, т.е. начислените приходи за текущата година минус сторнираните начислени приходи от предходната година. </w:t>
      </w:r>
    </w:p>
    <w:p>
      <w:pPr>
        <w:pStyle w:val="HEADER5"/>
        <w:rPr>
          <w:noProof/>
        </w:rPr>
      </w:pPr>
      <w:r>
        <w:rPr>
          <w:noProof/>
        </w:rPr>
        <w:t xml:space="preserve">Позиции за равняване — Разходи </w:t>
      </w:r>
    </w:p>
    <w:p>
      <w:pPr>
        <w:pStyle w:val="DGTextstand-alone"/>
        <w:rPr>
          <w:color w:val="000000"/>
        </w:rPr>
      </w:pPr>
      <w:r>
        <w:rPr>
          <w:color w:val="000000"/>
        </w:rPr>
        <w:t>Начислените разходи се състоят предимно от начисленията, направени за целите на разделянето на финансовите периоди в края на годината, т.е. допустимите разходи, направени от бенефициерите на средства от ЕС, но за които все още не е съобщено на Комисията. Взема се под внимание само нетният ефект, т.е. начислените разходи за текущата година минус сторнираните начислени разходи от предходната година. Плащанията, извършени през текущата година и свързани с фактури, регистрирани през предходни години, са част от бюджетните разходи за текущата година, поради което трябва да бъдат добавени към финансовия резултат за целите на равняването.</w:t>
      </w:r>
    </w:p>
    <w:p>
      <w:pPr>
        <w:pStyle w:val="DGTextstand-alone"/>
        <w:rPr>
          <w:color w:val="000000"/>
        </w:rPr>
      </w:pPr>
      <w:r>
        <w:rPr>
          <w:color w:val="000000"/>
        </w:rPr>
        <w:t xml:space="preserve">Нетният ефект от предварителното финансиране е комбинация от 1) новите суми по предварително финансиране, платени през текущата година и признати като бюджетни разходи за годината, и 2) изчистването на предварителното финансиране чрез допустимите разходи, приети през текущата година. Последните представляват разход от гледна точка на начисляването, но не и в бюджетните сметки, тъй като плащането на първоначалната сума по предварителното финансиране вече е било счетено за бюджетен разход в момента на извършването на плащането. </w:t>
      </w:r>
    </w:p>
    <w:p>
      <w:pPr>
        <w:pStyle w:val="DGTextstand-alone"/>
        <w:rPr>
          <w:color w:val="000000"/>
        </w:rPr>
      </w:pPr>
      <w:r>
        <w:rPr>
          <w:color w:val="000000"/>
        </w:rPr>
        <w:t>Както плащанията, извършени спрямо бюджетните кредити за годината, бюджетните кредити за тази година, които са пренесени за следващата година, също трябва да бъдат взети предвид при изчисляването на бюджетния резултат за годината (в съответствие с член 1, параграф 1 от Регламент № 608/2014). Същото важи и за бюджетните плащания, извършени през текущата година от пренесени суми от предходни години, и за отменените неизползвани бюджетни кредити за плащания.</w:t>
      </w:r>
    </w:p>
    <w:p>
      <w:pPr>
        <w:pStyle w:val="DGTextstand-alone"/>
        <w:rPr>
          <w:color w:val="000000"/>
        </w:rPr>
      </w:pPr>
      <w:r>
        <w:rPr>
          <w:color w:val="000000"/>
        </w:rPr>
        <w:t>Движението на провизиите е свързано с приблизителните оценки в края на годината, направени във финансовите отчети (основно на доходите на наети лица), които нямат отражение върху бюджетните сметки. Други суми за равняване включват различни елементи, като амортизацията/обезценката на активи, придобиването на активи, плащанията по финансов лизинг и финансовите участия, за които бюджетното третиране и счетоводното отчитане на базата на текущо начисляване се различават.</w:t>
      </w:r>
    </w:p>
    <w:p>
      <w:pPr>
        <w:pStyle w:val="HEADER5"/>
        <w:rPr>
          <w:noProof/>
        </w:rPr>
      </w:pPr>
      <w:r>
        <w:rPr>
          <w:noProof/>
        </w:rPr>
        <w:t>Позиция за равняване — Финансов резултат на агенциите и ЕОВС в ликвидация</w:t>
      </w:r>
    </w:p>
    <w:p>
      <w:pPr>
        <w:pStyle w:val="DGTextstand-alone"/>
      </w:pPr>
      <w:r>
        <w:rPr>
          <w:color w:val="000000"/>
        </w:rPr>
        <w:t xml:space="preserve">Бюджетният резултат за годината е неконсолидирана стойност и не включва другите (небюджетни) източници на приходи и разходи на консолидираните агенции и ЕОВС в ликвидация (вж. бележка </w:t>
      </w:r>
      <w:r>
        <w:rPr>
          <w:b/>
          <w:color w:val="000000"/>
        </w:rPr>
        <w:t>6</w:t>
      </w:r>
      <w:r>
        <w:rPr>
          <w:color w:val="000000"/>
        </w:rPr>
        <w:t>). С цел равняване на финансовия резултат за годината — който е консолидирана стойност, включваща тези суми — с бюджетния резултат за годината целият консолидиран финансов резултат на агенциите и ЕОВС в ликвидация е представен като позиция за равняване.</w:t>
      </w:r>
    </w:p>
    <w:p>
      <w:pPr>
        <w:pStyle w:val="DGTextstand-alone"/>
        <w:sectPr>
          <w:headerReference w:type="even" r:id="rId326"/>
          <w:headerReference w:type="default" r:id="rId327"/>
          <w:footerReference w:type="even" r:id="rId328"/>
          <w:footerReference w:type="default" r:id="rId329"/>
          <w:headerReference w:type="first" r:id="rId330"/>
          <w:footerReference w:type="first" r:id="rId331"/>
          <w:pgSz w:w="11907" w:h="16840" w:code="9"/>
          <w:pgMar w:top="1134" w:right="1134" w:bottom="1134" w:left="1134" w:header="709" w:footer="709" w:gutter="0"/>
          <w:cols w:space="708"/>
          <w:docGrid w:linePitch="360"/>
        </w:sectPr>
      </w:pPr>
      <w:r>
        <w:t xml:space="preserve"> </w:t>
      </w:r>
      <w:bookmarkEnd w:id="239"/>
    </w:p>
    <w:p>
      <w:pPr>
        <w:pStyle w:val="HEADER1PartBUDG"/>
        <w:numPr>
          <w:ilvl w:val="0"/>
          <w:numId w:val="15"/>
        </w:numPr>
        <w:tabs>
          <w:tab w:val="clear" w:pos="907"/>
        </w:tabs>
        <w:rPr>
          <w:noProof/>
        </w:rPr>
      </w:pPr>
      <w:bookmarkStart w:id="241" w:name="_DMBM_19900"/>
      <w:r>
        <w:rPr>
          <w:noProof/>
        </w:rPr>
        <w:t xml:space="preserve"> </w:t>
      </w:r>
      <w:bookmarkStart w:id="242" w:name="_Toc75518132"/>
      <w:r>
        <w:rPr>
          <w:noProof/>
        </w:rPr>
        <w:t>ИЗПЪЛНЕНИЕ НА БЮДЖЕТА НА ЕС ЗА 2020 Г.</w:t>
      </w:r>
      <w:bookmarkEnd w:id="242"/>
      <w:r>
        <w:rPr>
          <w:noProof/>
        </w:rPr>
        <w:t xml:space="preserve"> </w:t>
      </w:r>
    </w:p>
    <w:p>
      <w:pPr>
        <w:pStyle w:val="HEADER2PartBUDG"/>
        <w:numPr>
          <w:ilvl w:val="1"/>
          <w:numId w:val="15"/>
        </w:numPr>
        <w:rPr>
          <w:noProof/>
        </w:rPr>
      </w:pPr>
      <w:bookmarkStart w:id="243" w:name="_Toc75518133"/>
      <w:r>
        <w:rPr>
          <w:noProof/>
        </w:rPr>
        <w:t>ПРИХОДИ</w:t>
      </w:r>
      <w:bookmarkEnd w:id="243"/>
    </w:p>
    <w:p>
      <w:pPr>
        <w:pStyle w:val="DGTextstand-alone"/>
      </w:pPr>
      <w:r>
        <w:t>В първоначално приетия бюджет на ЕС, подписан от председателя на Европейския парламент на 27 ноември 2019 г., размерът на бюджетните кредити за плащания бе 153 566 милиона евро, а сумата, която трябва да се финансира със собствени ресурси, възлизаше на 151 638 милиона евро. Прогнозите за приходите и за разходите в първоначалния бюджет по принцип се коригират през бюджетната година, като тези корекции се представят в коригиращи бюджети. Корекциите на собствените ресурси на база БНД гарантират, че записаните в бюджета приходи съответстват точно на записаните в бюджета разходи. В съответствие с принципа на балансираност бюджетните приходи и разходи (бюджетните кредити за плащания) трябва да са балансирани.</w:t>
      </w:r>
    </w:p>
    <w:p>
      <w:pPr>
        <w:pStyle w:val="DGTextstand-alone"/>
      </w:pPr>
      <w:r>
        <w:t>През 2020 г. бяха приети девет коригиращи бюджета. След като те бяха взети предвид, окончателните приети приходи за 2020 г. възлизаха на 164 108 милиона евро, а общата сума, финансирана със собствени ресурси, бе 159 832 милиона евро. Основният фактор за увеличението на вноските на държавите членки през 2020 г. беше увеличението на бюджетните кредити за плащания (10 542 милиона евро).</w:t>
      </w:r>
    </w:p>
    <w:p>
      <w:pPr>
        <w:pStyle w:val="DGTextstand-alone"/>
      </w:pPr>
      <w:r>
        <w:t xml:space="preserve">Що се отнася до резултата за собствените ресурси, събраните традиционни собствени ресурси бяха близки до прогнозираните суми. </w:t>
      </w:r>
    </w:p>
    <w:p>
      <w:pPr>
        <w:pStyle w:val="DGTextstand-alone"/>
      </w:pPr>
      <w:r>
        <w:t>Окончателните плащания на базата на ДДС и на БНД на държавите членки също са близки до окончателната бюджетна прогноза. Разликите между прогнозираните суми и реално платените суми се дължат на разликите между курсовете на еврото, използвани за бюджетни цели, и курсовете в сила в момента, в който държавите членки, които не са част от ИПС, реално са извършили своите плащания.</w:t>
      </w:r>
    </w:p>
    <w:p>
      <w:pPr>
        <w:pStyle w:val="DGTextstand-alone"/>
      </w:pPr>
      <w:r>
        <w:t xml:space="preserve">Що се отнася до салдата по ДДС и по БНД, правилата са посочени в член 10б от Регламента за предоставянето (Регламент № 609/2014). Процедурата не води до изменение на бюджета, поради което Комисията отправя директно искане до държавите членки да платят нетните суми. Въздействието върху бюджета на ЕС е почти нулево поради тази система за нетиране. </w:t>
      </w:r>
    </w:p>
    <w:p>
      <w:pPr>
        <w:pStyle w:val="DGTextstand-alone"/>
      </w:pPr>
      <w:r>
        <w:t xml:space="preserve">Позицията „Вноски и възстановени средства във връзка със споразумения и програми на ЕС“ се отнася предимно до приходи от финансови корекции (ЕСИФ, ЕФГЗ и ЕЗФРСР), участието на трети държави в научноизследователски програми, уравняването на сметките на земеделските фондове и други вноски и възстановени средства в полза на програми и дейности на ЕС. Значителна част от тази обща сума представлява целеви приходи, които по принцип водят до записването на допълнителни бюджетни кредити в разходната част на бюджета. </w:t>
      </w:r>
    </w:p>
    <w:p>
      <w:pPr>
        <w:pStyle w:val="DGTextstand-alone"/>
      </w:pPr>
      <w:r>
        <w:t>Приходите от глоби са свързани предимно с глобите в областта на конкуренцията.</w:t>
      </w:r>
    </w:p>
    <w:p>
      <w:pPr>
        <w:pStyle w:val="HEADER2PartBUDG"/>
        <w:numPr>
          <w:ilvl w:val="1"/>
          <w:numId w:val="15"/>
        </w:numPr>
        <w:rPr>
          <w:noProof/>
        </w:rPr>
      </w:pPr>
      <w:bookmarkStart w:id="244" w:name="_Toc75518134"/>
      <w:r>
        <w:rPr>
          <w:noProof/>
        </w:rPr>
        <w:t>РАЗХОДИ</w:t>
      </w:r>
      <w:bookmarkEnd w:id="244"/>
      <w:r>
        <w:rPr>
          <w:noProof/>
        </w:rPr>
        <w:t xml:space="preserve"> </w:t>
      </w:r>
    </w:p>
    <w:p>
      <w:pPr>
        <w:pStyle w:val="DGTextstand-alone"/>
      </w:pPr>
      <w:r>
        <w:t xml:space="preserve">Бюджетът на ЕС има важна роля да подпомага изпълнението на политиките и постигането на приоритетите на Съюза. Въпреки ограничения си размер, представляващ около 2 % от всички публични разходи в Съюза, той допълва националните бюджети и е ясно съсредоточен върху инвестициите и допълването. Той е инструмент от ключово значение сред широкия набор от инструменти на политиката и регулаторни инструменти на европейско равнище, договорени от всички държави — членки на ЕС, като е намерил израз в МФР, съдържаща различните програми и максимални тавани за разходите. </w:t>
      </w:r>
    </w:p>
    <w:p>
      <w:pPr>
        <w:pStyle w:val="DGTextstand-alone"/>
      </w:pPr>
      <w:r>
        <w:t>Бюджетът на ЕС за 2020 г., приет на 27 ноември 2019 г., е потвърждение, че ЕС насочва финансовите средства там, където са необходими. През 2020 г. по-голямата част от бюджета на ЕС беше използвана за насърчаване на устойчивия растеж, намаляване на икономическите различия между регионите, стимулиране на създаването на работни места, борба с изменението на климата и преодоляване на социално-икономическото въздействие на пандемията от COVID-19 в ЕС, както и за предоставяне на помощ на трети държави.</w:t>
      </w:r>
    </w:p>
    <w:p>
      <w:pPr>
        <w:pStyle w:val="DGTextstand-alone"/>
      </w:pPr>
      <w:r>
        <w:t>2020 г. беше последната година от МФР за периода 2014—2020 г. и Комисията използва всички оставащи възможности за мобилизиране на допълнителни средства с цел да се подсилят свързаните с COVID-19 действия в целия бюджет и държавите членки да се подпомогнат с допълнителна ликвидност. Изпълнението беше внимателно проследявано и управлявано, което доведе до на практика пълно изпълнение на почти всички бюджетни кредити.</w:t>
      </w:r>
    </w:p>
    <w:p>
      <w:pPr>
        <w:pStyle w:val="DGTextstand-alone"/>
      </w:pPr>
      <w:r>
        <w:t xml:space="preserve">Бюджетните кредити, определени в окончателния приет бюджет, възлизаха на 173,9 милиарда евро (с 4,6 % повече спрямо бюджета за 2019 г.) за поетите задължения и на 164,1 милиарда евро (с 10,5 % повече) за плащанията, което се равнява съответно на 1,00 % и 0,90 % от брутния национален доход (БНД) на ЕС. </w:t>
      </w:r>
    </w:p>
    <w:p>
      <w:pPr>
        <w:pStyle w:val="DGTextstand-alone"/>
      </w:pPr>
      <w:r>
        <w:t xml:space="preserve">През 2020 г. бяха постигнати високи нива на изпълнение по всички функции. Изпълнението за 2020 г. за всички видове бюджетни кредити (бюджет, пренасяния от предходната година и целеви приходи) бе 97 % за поетите задължения и 94 % за плащанията. Като се изключат целевите приходи, процентите на изпълнение сочат пълно изпълнение през 2020 г. (99,5 % за бюджетните кредити за поети задължения и 98,5 % за бюджетните кредити за плащания). </w:t>
      </w:r>
    </w:p>
    <w:p>
      <w:pPr>
        <w:pStyle w:val="DGTextstand-alone"/>
      </w:pPr>
      <w:r>
        <w:t>Неизпълнените поети задължения (наричани също RAL — reste à liquider), представляващи суми, за които е поето задължение, но които все още не са платени, възлизаха на 303,2 милиарда евро към края на 2020 г. Очакваше се увеличение в сравнение с равнището за 2019 г. поради разликата между предвидените в окончателния приет бюджет бюджетни кредити за поети задължения и бюджетни кредити за плащания (9,8 милиарда евро), както и поради факта, че увеличението на неизпълнените поети задължения е нещо нормално, тъй като бюджетните кредити за поети задължения се увеличават всяка година, както е предвидено в МФР. Увеличението на неизпълнените поети задължения в сравнение с 2019 г. бе 5,5 милиарда евро.</w:t>
      </w:r>
    </w:p>
    <w:p>
      <w:pPr>
        <w:pStyle w:val="DGTextstand-alone"/>
        <w:sectPr>
          <w:headerReference w:type="even" r:id="rId332"/>
          <w:headerReference w:type="default" r:id="rId333"/>
          <w:footerReference w:type="even" r:id="rId334"/>
          <w:footerReference w:type="default" r:id="rId335"/>
          <w:headerReference w:type="first" r:id="rId336"/>
          <w:footerReference w:type="first" r:id="rId337"/>
          <w:pgSz w:w="11907" w:h="16840" w:code="9"/>
          <w:pgMar w:top="1134" w:right="1134" w:bottom="1134" w:left="1134" w:header="709" w:footer="709" w:gutter="0"/>
          <w:cols w:space="708"/>
          <w:docGrid w:linePitch="360"/>
        </w:sectPr>
      </w:pPr>
      <w:r>
        <w:t xml:space="preserve"> </w:t>
      </w:r>
      <w:bookmarkEnd w:id="241"/>
    </w:p>
    <w:p>
      <w:pPr>
        <w:pStyle w:val="HEADER1PartBUDG"/>
        <w:numPr>
          <w:ilvl w:val="0"/>
          <w:numId w:val="15"/>
        </w:numPr>
        <w:tabs>
          <w:tab w:val="clear" w:pos="907"/>
        </w:tabs>
        <w:rPr>
          <w:noProof/>
        </w:rPr>
      </w:pPr>
      <w:bookmarkStart w:id="245" w:name="_DMBM_19908"/>
      <w:r>
        <w:rPr>
          <w:noProof/>
        </w:rPr>
        <w:t xml:space="preserve"> </w:t>
      </w:r>
      <w:bookmarkStart w:id="246" w:name="_Toc75518135"/>
      <w:r>
        <w:rPr>
          <w:noProof/>
        </w:rPr>
        <w:t>ИЗПЪЛНЕНИЕ НА ПРИХОДИТЕ В БЮДЖЕТА НА ЕС</w:t>
      </w:r>
      <w:bookmarkEnd w:id="246"/>
      <w:r>
        <w:rPr>
          <w:noProof/>
        </w:rPr>
        <w:t xml:space="preserve"> </w:t>
      </w:r>
    </w:p>
    <w:p>
      <w:pPr>
        <w:pStyle w:val="HEADER2PartBUDG"/>
        <w:numPr>
          <w:ilvl w:val="1"/>
          <w:numId w:val="15"/>
        </w:numPr>
        <w:rPr>
          <w:noProof/>
        </w:rPr>
      </w:pPr>
      <w:bookmarkStart w:id="247" w:name="_Toc75518136"/>
      <w:r>
        <w:rPr>
          <w:noProof/>
        </w:rPr>
        <w:t>ОБОБЩЕНИЕ НА ИЗПЪЛНЕНИЕТО НА ПРИХОДИТЕ В БЮДЖЕТА НА ЕС</w:t>
      </w:r>
      <w:bookmarkEnd w:id="247"/>
      <w:r>
        <w:rPr>
          <w:noProof/>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3468"/>
        <w:gridCol w:w="972"/>
        <w:gridCol w:w="972"/>
        <w:gridCol w:w="972"/>
        <w:gridCol w:w="973"/>
        <w:gridCol w:w="972"/>
        <w:gridCol w:w="1389"/>
        <w:gridCol w:w="1199"/>
        <w:gridCol w:w="886"/>
        <w:gridCol w:w="972"/>
        <w:gridCol w:w="1281"/>
      </w:tblGrid>
      <w:tr>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Arial" w:eastAsia="Arial" w:hAnsi="Arial" w:cs="Arial"/>
                <w:b/>
                <w:noProof/>
                <w:color w:val="000000"/>
                <w:sz w:val="18"/>
              </w:rPr>
            </w:pPr>
            <w:bookmarkStart w:id="248" w:name="DOC_TBL00106_1_1"/>
            <w:bookmarkEnd w:id="248"/>
          </w:p>
        </w:tc>
        <w:tc>
          <w:tcPr>
            <w:tcW w:w="3468"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Arial" w:eastAsia="Arial" w:hAnsi="Arial" w:cs="Arial"/>
                <w:b/>
                <w:noProof/>
                <w:color w:val="000000"/>
                <w:sz w:val="18"/>
              </w:rPr>
            </w:pP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Arial" w:eastAsia="Arial" w:hAnsi="Arial" w:cs="Arial"/>
                <w:b/>
                <w:noProof/>
                <w:color w:val="000000"/>
                <w:sz w:val="18"/>
              </w:rPr>
            </w:pPr>
          </w:p>
        </w:tc>
        <w:tc>
          <w:tcPr>
            <w:tcW w:w="138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Arial" w:eastAsia="Arial" w:hAnsi="Arial" w:cs="Arial"/>
                <w:b/>
                <w:noProof/>
                <w:color w:val="000000"/>
                <w:sz w:val="18"/>
              </w:rPr>
            </w:pPr>
          </w:p>
        </w:tc>
        <w:tc>
          <w:tcPr>
            <w:tcW w:w="119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Arial" w:eastAsia="Arial" w:hAnsi="Arial" w:cs="Arial"/>
                <w:b/>
                <w:noProof/>
                <w:color w:val="000000"/>
                <w:sz w:val="18"/>
              </w:rPr>
            </w:pPr>
          </w:p>
        </w:tc>
        <w:tc>
          <w:tcPr>
            <w:tcW w:w="886"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Arial" w:eastAsia="Arial" w:hAnsi="Arial" w:cs="Arial"/>
                <w:b/>
                <w:noProof/>
                <w:color w:val="000000"/>
                <w:sz w:val="18"/>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Arial" w:eastAsia="Arial" w:hAnsi="Arial" w:cs="Arial"/>
                <w:b/>
                <w:noProof/>
                <w:color w:val="000000"/>
                <w:sz w:val="18"/>
              </w:rPr>
            </w:pPr>
          </w:p>
        </w:tc>
        <w:tc>
          <w:tcPr>
            <w:tcW w:w="1281"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477"/>
        </w:trPr>
        <w:tc>
          <w:tcPr>
            <w:tcW w:w="342"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p>
        </w:tc>
        <w:tc>
          <w:tcPr>
            <w:tcW w:w="3468"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p>
        </w:tc>
        <w:tc>
          <w:tcPr>
            <w:tcW w:w="972" w:type="dxa"/>
            <w:gridSpan w:val="2"/>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b/>
                <w:noProof/>
                <w:color w:val="FFFFFF"/>
                <w:sz w:val="16"/>
              </w:rPr>
            </w:pPr>
            <w:r>
              <w:rPr>
                <w:rFonts w:ascii="Verdana" w:hAnsi="Verdana"/>
                <w:b/>
                <w:noProof/>
                <w:color w:val="FFFFFF"/>
                <w:sz w:val="16"/>
              </w:rPr>
              <w:t>Бюджетни кредити от приходи</w:t>
            </w:r>
          </w:p>
        </w:tc>
        <w:tc>
          <w:tcPr>
            <w:tcW w:w="972" w:type="dxa"/>
            <w:gridSpan w:val="3"/>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b/>
                <w:noProof/>
                <w:color w:val="FFFFFF"/>
                <w:sz w:val="16"/>
              </w:rPr>
            </w:pPr>
            <w:r>
              <w:rPr>
                <w:rFonts w:ascii="Verdana" w:hAnsi="Verdana"/>
                <w:b/>
                <w:noProof/>
                <w:color w:val="FFFFFF"/>
                <w:sz w:val="16"/>
              </w:rPr>
              <w:t>Установени вземания</w:t>
            </w:r>
          </w:p>
        </w:tc>
        <w:tc>
          <w:tcPr>
            <w:tcW w:w="1389" w:type="dxa"/>
            <w:gridSpan w:val="3"/>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b/>
                <w:noProof/>
                <w:color w:val="FFFFFF"/>
                <w:sz w:val="16"/>
              </w:rPr>
            </w:pPr>
            <w:r>
              <w:rPr>
                <w:rFonts w:ascii="Verdana" w:hAnsi="Verdana"/>
                <w:b/>
                <w:noProof/>
                <w:color w:val="FFFFFF"/>
                <w:sz w:val="16"/>
              </w:rPr>
              <w:t>Приходи</w:t>
            </w:r>
          </w:p>
        </w:tc>
        <w:tc>
          <w:tcPr>
            <w:tcW w:w="972" w:type="dxa"/>
            <w:vMerge w:val="restart"/>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Приходи като % от бюджета</w:t>
            </w:r>
          </w:p>
        </w:tc>
        <w:tc>
          <w:tcPr>
            <w:tcW w:w="1281" w:type="dxa"/>
            <w:vMerge w:val="restart"/>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Дължими</w:t>
            </w:r>
          </w:p>
          <w:p>
            <w:pPr>
              <w:pStyle w:val="DMETW19856BIPImplementationbudgetrevenue"/>
              <w:jc w:val="center"/>
              <w:rPr>
                <w:rFonts w:ascii="Verdana" w:eastAsia="Verdana" w:hAnsi="Verdana" w:cs="Verdana"/>
                <w:noProof/>
                <w:color w:val="FFFFFF"/>
                <w:sz w:val="16"/>
              </w:rPr>
            </w:pPr>
          </w:p>
        </w:tc>
      </w:tr>
      <w:tr>
        <w:trPr>
          <w:trHeight w:val="340"/>
        </w:trPr>
        <w:tc>
          <w:tcPr>
            <w:tcW w:w="342"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p>
        </w:tc>
        <w:tc>
          <w:tcPr>
            <w:tcW w:w="3468"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Дял</w:t>
            </w:r>
          </w:p>
        </w:tc>
        <w:tc>
          <w:tcPr>
            <w:tcW w:w="972"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972"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972"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Текуща година</w:t>
            </w:r>
          </w:p>
        </w:tc>
        <w:tc>
          <w:tcPr>
            <w:tcW w:w="973"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Пренесени</w:t>
            </w:r>
          </w:p>
        </w:tc>
        <w:tc>
          <w:tcPr>
            <w:tcW w:w="972"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Общо</w:t>
            </w:r>
          </w:p>
        </w:tc>
        <w:tc>
          <w:tcPr>
            <w:tcW w:w="1389"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От</w:t>
            </w:r>
          </w:p>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вземания</w:t>
            </w:r>
          </w:p>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за текущата година</w:t>
            </w:r>
          </w:p>
        </w:tc>
        <w:tc>
          <w:tcPr>
            <w:tcW w:w="1199"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От</w:t>
            </w:r>
          </w:p>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вземания,</w:t>
            </w:r>
          </w:p>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които са пренесени</w:t>
            </w:r>
          </w:p>
        </w:tc>
        <w:tc>
          <w:tcPr>
            <w:tcW w:w="886" w:type="dxa"/>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Общо</w:t>
            </w:r>
          </w:p>
        </w:tc>
        <w:tc>
          <w:tcPr>
            <w:tcW w:w="1155" w:type="dxa"/>
            <w:vMerge/>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p>
        </w:tc>
        <w:tc>
          <w:tcPr>
            <w:tcW w:w="1155" w:type="dxa"/>
            <w:vMerge/>
            <w:tcBorders>
              <w:top w:val="nil"/>
              <w:left w:val="nil"/>
              <w:bottom w:val="nil"/>
              <w:right w:val="nil"/>
              <w:tl2br w:val="nil"/>
              <w:tr2bl w:val="nil"/>
            </w:tcBorders>
            <w:shd w:val="solid" w:color="006496"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p>
        </w:tc>
      </w:tr>
      <w:tr>
        <w:trPr>
          <w:trHeight w:val="340"/>
        </w:trPr>
        <w:tc>
          <w:tcPr>
            <w:tcW w:w="342"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p>
        </w:tc>
        <w:tc>
          <w:tcPr>
            <w:tcW w:w="3468"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p>
        </w:tc>
        <w:tc>
          <w:tcPr>
            <w:tcW w:w="972"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1</w:t>
            </w:r>
          </w:p>
        </w:tc>
        <w:tc>
          <w:tcPr>
            <w:tcW w:w="972"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2</w:t>
            </w:r>
          </w:p>
        </w:tc>
        <w:tc>
          <w:tcPr>
            <w:tcW w:w="972"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3</w:t>
            </w:r>
          </w:p>
        </w:tc>
        <w:tc>
          <w:tcPr>
            <w:tcW w:w="973"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4</w:t>
            </w:r>
          </w:p>
        </w:tc>
        <w:tc>
          <w:tcPr>
            <w:tcW w:w="972"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5=3+4</w:t>
            </w:r>
          </w:p>
        </w:tc>
        <w:tc>
          <w:tcPr>
            <w:tcW w:w="1389"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6</w:t>
            </w:r>
          </w:p>
        </w:tc>
        <w:tc>
          <w:tcPr>
            <w:tcW w:w="1199"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7</w:t>
            </w:r>
          </w:p>
        </w:tc>
        <w:tc>
          <w:tcPr>
            <w:tcW w:w="886"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8=6+7</w:t>
            </w:r>
          </w:p>
        </w:tc>
        <w:tc>
          <w:tcPr>
            <w:tcW w:w="972"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9=8/2</w:t>
            </w:r>
          </w:p>
        </w:tc>
        <w:tc>
          <w:tcPr>
            <w:tcW w:w="1281" w:type="dxa"/>
            <w:tcBorders>
              <w:top w:val="nil"/>
              <w:left w:val="nil"/>
              <w:bottom w:val="nil"/>
              <w:right w:val="nil"/>
              <w:tl2br w:val="nil"/>
              <w:tr2bl w:val="nil"/>
            </w:tcBorders>
            <w:shd w:val="solid" w:color="3287AA" w:fill="FFFFFF"/>
            <w:tcMar>
              <w:left w:w="60" w:type="dxa"/>
              <w:right w:w="60" w:type="dxa"/>
            </w:tcMar>
            <w:vAlign w:val="center"/>
          </w:tcPr>
          <w:p>
            <w:pPr>
              <w:pStyle w:val="DMETW19856BIPImplementationbudgetrevenue"/>
              <w:jc w:val="center"/>
              <w:rPr>
                <w:rFonts w:ascii="Verdana" w:eastAsia="Verdana" w:hAnsi="Verdana" w:cs="Verdana"/>
                <w:noProof/>
                <w:color w:val="FFFFFF"/>
                <w:sz w:val="16"/>
              </w:rPr>
            </w:pPr>
            <w:r>
              <w:rPr>
                <w:rFonts w:ascii="Verdana" w:hAnsi="Verdana"/>
                <w:noProof/>
                <w:color w:val="FFFFFF"/>
                <w:sz w:val="16"/>
              </w:rPr>
              <w:t>10=5-8</w:t>
            </w:r>
          </w:p>
        </w:tc>
      </w:tr>
      <w:tr>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1</w:t>
            </w:r>
          </w:p>
        </w:tc>
        <w:tc>
          <w:tcPr>
            <w:tcW w:w="3468"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Собствени ресурси</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151 638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159 832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160 092</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2 291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162 382</w:t>
            </w:r>
          </w:p>
        </w:tc>
        <w:tc>
          <w:tcPr>
            <w:tcW w:w="138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160 086</w:t>
            </w:r>
          </w:p>
        </w:tc>
        <w:tc>
          <w:tcPr>
            <w:tcW w:w="119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55</w:t>
            </w:r>
          </w:p>
        </w:tc>
        <w:tc>
          <w:tcPr>
            <w:tcW w:w="886"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160 141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100 %</w:t>
            </w:r>
          </w:p>
        </w:tc>
        <w:tc>
          <w:tcPr>
            <w:tcW w:w="1281"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2 241</w:t>
            </w:r>
          </w:p>
        </w:tc>
      </w:tr>
      <w:tr>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3</w:t>
            </w:r>
          </w:p>
        </w:tc>
        <w:tc>
          <w:tcPr>
            <w:tcW w:w="3468"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Излишъци, салда и корекции</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2 102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3 167</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3 173</w:t>
            </w:r>
          </w:p>
        </w:tc>
        <w:tc>
          <w:tcPr>
            <w:tcW w:w="138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3 167</w:t>
            </w:r>
          </w:p>
        </w:tc>
        <w:tc>
          <w:tcPr>
            <w:tcW w:w="119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0</w:t>
            </w:r>
          </w:p>
        </w:tc>
        <w:tc>
          <w:tcPr>
            <w:tcW w:w="886"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3 167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151 %</w:t>
            </w:r>
          </w:p>
        </w:tc>
        <w:tc>
          <w:tcPr>
            <w:tcW w:w="1281"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479"/>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4</w:t>
            </w:r>
          </w:p>
        </w:tc>
        <w:tc>
          <w:tcPr>
            <w:tcW w:w="3468"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Приходи от лица, работещи към институциите и други органи на Съюза</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1 651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1 651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1 619</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1 629</w:t>
            </w:r>
          </w:p>
        </w:tc>
        <w:tc>
          <w:tcPr>
            <w:tcW w:w="138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1 606</w:t>
            </w:r>
          </w:p>
        </w:tc>
        <w:tc>
          <w:tcPr>
            <w:tcW w:w="119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9</w:t>
            </w:r>
          </w:p>
        </w:tc>
        <w:tc>
          <w:tcPr>
            <w:tcW w:w="886"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1 615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98 %</w:t>
            </w:r>
          </w:p>
        </w:tc>
        <w:tc>
          <w:tcPr>
            <w:tcW w:w="1281"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557"/>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5</w:t>
            </w:r>
          </w:p>
        </w:tc>
        <w:tc>
          <w:tcPr>
            <w:tcW w:w="3468"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Приходи от административната дейност на институциите</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600</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44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645</w:t>
            </w:r>
          </w:p>
        </w:tc>
        <w:tc>
          <w:tcPr>
            <w:tcW w:w="138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569</w:t>
            </w:r>
          </w:p>
        </w:tc>
        <w:tc>
          <w:tcPr>
            <w:tcW w:w="119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23</w:t>
            </w:r>
          </w:p>
        </w:tc>
        <w:tc>
          <w:tcPr>
            <w:tcW w:w="886"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592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3 933 %</w:t>
            </w:r>
          </w:p>
        </w:tc>
        <w:tc>
          <w:tcPr>
            <w:tcW w:w="1281"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53</w:t>
            </w:r>
          </w:p>
        </w:tc>
      </w:tr>
      <w:tr>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6</w:t>
            </w:r>
          </w:p>
        </w:tc>
        <w:tc>
          <w:tcPr>
            <w:tcW w:w="3468"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Вноски и възстановени средства във връзка със споразумения и програми на Съюза</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130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130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7 321</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1 545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8 866</w:t>
            </w:r>
          </w:p>
        </w:tc>
        <w:tc>
          <w:tcPr>
            <w:tcW w:w="138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6 881</w:t>
            </w:r>
          </w:p>
        </w:tc>
        <w:tc>
          <w:tcPr>
            <w:tcW w:w="119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1 275</w:t>
            </w:r>
          </w:p>
        </w:tc>
        <w:tc>
          <w:tcPr>
            <w:tcW w:w="886"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8 156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6 273 %</w:t>
            </w:r>
          </w:p>
        </w:tc>
        <w:tc>
          <w:tcPr>
            <w:tcW w:w="1281"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711</w:t>
            </w:r>
          </w:p>
        </w:tc>
      </w:tr>
      <w:tr>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7</w:t>
            </w:r>
          </w:p>
        </w:tc>
        <w:tc>
          <w:tcPr>
            <w:tcW w:w="3468"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Лихви за забава и глоби</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115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361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1 078</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15 949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17 027</w:t>
            </w:r>
          </w:p>
        </w:tc>
        <w:tc>
          <w:tcPr>
            <w:tcW w:w="138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159</w:t>
            </w:r>
          </w:p>
        </w:tc>
        <w:tc>
          <w:tcPr>
            <w:tcW w:w="119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470</w:t>
            </w:r>
          </w:p>
        </w:tc>
        <w:tc>
          <w:tcPr>
            <w:tcW w:w="886"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629</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174 %</w:t>
            </w:r>
          </w:p>
        </w:tc>
        <w:tc>
          <w:tcPr>
            <w:tcW w:w="1281"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16 398</w:t>
            </w:r>
          </w:p>
        </w:tc>
      </w:tr>
      <w:tr>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8</w:t>
            </w:r>
          </w:p>
        </w:tc>
        <w:tc>
          <w:tcPr>
            <w:tcW w:w="3468"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Операции по получаване и отпускане на заеми</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2</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138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119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886"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1281"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9</w:t>
            </w:r>
          </w:p>
        </w:tc>
        <w:tc>
          <w:tcPr>
            <w:tcW w:w="3468"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rPr>
                <w:rFonts w:ascii="Verdana" w:eastAsia="Verdana" w:hAnsi="Verdana" w:cs="Verdana"/>
                <w:noProof/>
                <w:color w:val="000000"/>
                <w:sz w:val="16"/>
              </w:rPr>
            </w:pPr>
            <w:r>
              <w:rPr>
                <w:rFonts w:ascii="Verdana" w:hAnsi="Verdana"/>
                <w:noProof/>
                <w:color w:val="000000"/>
                <w:sz w:val="16"/>
              </w:rPr>
              <w:t>Разни приходи</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6</w:t>
            </w:r>
          </w:p>
        </w:tc>
        <w:tc>
          <w:tcPr>
            <w:tcW w:w="973"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12</w:t>
            </w:r>
          </w:p>
        </w:tc>
        <w:tc>
          <w:tcPr>
            <w:tcW w:w="138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5</w:t>
            </w:r>
          </w:p>
        </w:tc>
        <w:tc>
          <w:tcPr>
            <w:tcW w:w="1199"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1</w:t>
            </w:r>
          </w:p>
        </w:tc>
        <w:tc>
          <w:tcPr>
            <w:tcW w:w="886"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6</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39 %</w:t>
            </w:r>
          </w:p>
        </w:tc>
        <w:tc>
          <w:tcPr>
            <w:tcW w:w="1281" w:type="dxa"/>
            <w:tcBorders>
              <w:top w:val="nil"/>
              <w:left w:val="nil"/>
              <w:bottom w:val="nil"/>
              <w:right w:val="nil"/>
              <w:tl2br w:val="nil"/>
              <w:tr2bl w:val="nil"/>
            </w:tcBorders>
            <w:shd w:val="clear" w:color="auto" w:fill="auto"/>
            <w:tcMar>
              <w:left w:w="60" w:type="dxa"/>
              <w:right w:w="60" w:type="dxa"/>
            </w:tcMar>
            <w:vAlign w:val="center"/>
          </w:tcPr>
          <w:p>
            <w:pPr>
              <w:pStyle w:val="DMETW19856BIPImplementationbudgetrevenue"/>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340"/>
        </w:trPr>
        <w:tc>
          <w:tcPr>
            <w:tcW w:w="342"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rPr>
                <w:rFonts w:ascii="Verdana" w:eastAsia="Verdana" w:hAnsi="Verdana" w:cs="Verdana"/>
                <w:b/>
                <w:noProof/>
                <w:color w:val="000000"/>
                <w:sz w:val="16"/>
              </w:rPr>
            </w:pPr>
          </w:p>
        </w:tc>
        <w:tc>
          <w:tcPr>
            <w:tcW w:w="3468"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rPr>
                <w:rFonts w:ascii="Verdana" w:eastAsia="Verdana" w:hAnsi="Verdana" w:cs="Verdana"/>
                <w:b/>
                <w:noProof/>
                <w:color w:val="000000"/>
                <w:sz w:val="16"/>
              </w:rPr>
            </w:pPr>
            <w:r>
              <w:rPr>
                <w:rFonts w:ascii="Verdana" w:hAnsi="Verdana"/>
                <w:b/>
                <w:noProof/>
                <w:color w:val="000000"/>
                <w:sz w:val="16"/>
              </w:rPr>
              <w:t>Общо</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jc w:val="right"/>
              <w:rPr>
                <w:rFonts w:ascii="Verdana" w:eastAsia="Verdana" w:hAnsi="Verdana" w:cs="Verdana"/>
                <w:b/>
                <w:noProof/>
                <w:color w:val="000000"/>
                <w:sz w:val="16"/>
              </w:rPr>
            </w:pPr>
            <w:r>
              <w:rPr>
                <w:rFonts w:ascii="Verdana" w:hAnsi="Verdana"/>
                <w:b/>
                <w:noProof/>
                <w:color w:val="000000"/>
                <w:sz w:val="16"/>
              </w:rPr>
              <w:t>153 566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jc w:val="right"/>
              <w:rPr>
                <w:rFonts w:ascii="Verdana" w:eastAsia="Verdana" w:hAnsi="Verdana" w:cs="Verdana"/>
                <w:b/>
                <w:noProof/>
                <w:color w:val="000000"/>
                <w:sz w:val="16"/>
              </w:rPr>
            </w:pPr>
            <w:r>
              <w:rPr>
                <w:rFonts w:ascii="Verdana" w:hAnsi="Verdana"/>
                <w:b/>
                <w:noProof/>
                <w:color w:val="000000"/>
                <w:sz w:val="16"/>
              </w:rPr>
              <w:t>164 108</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jc w:val="right"/>
              <w:rPr>
                <w:rFonts w:ascii="Verdana" w:eastAsia="Verdana" w:hAnsi="Verdana" w:cs="Verdana"/>
                <w:b/>
                <w:noProof/>
                <w:color w:val="000000"/>
                <w:sz w:val="16"/>
              </w:rPr>
            </w:pPr>
            <w:r>
              <w:rPr>
                <w:rFonts w:ascii="Verdana" w:hAnsi="Verdana"/>
                <w:b/>
                <w:noProof/>
                <w:color w:val="000000"/>
                <w:sz w:val="16"/>
              </w:rPr>
              <w:t>173 882</w:t>
            </w:r>
          </w:p>
        </w:tc>
        <w:tc>
          <w:tcPr>
            <w:tcW w:w="973"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jc w:val="right"/>
              <w:rPr>
                <w:rFonts w:ascii="Verdana" w:eastAsia="Verdana" w:hAnsi="Verdana" w:cs="Verdana"/>
                <w:b/>
                <w:noProof/>
                <w:color w:val="000000"/>
                <w:sz w:val="16"/>
              </w:rPr>
            </w:pPr>
            <w:r>
              <w:rPr>
                <w:rFonts w:ascii="Verdana" w:hAnsi="Verdana"/>
                <w:b/>
                <w:noProof/>
                <w:color w:val="000000"/>
                <w:sz w:val="16"/>
              </w:rPr>
              <w:t>19 853</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jc w:val="right"/>
              <w:rPr>
                <w:rFonts w:ascii="Verdana" w:eastAsia="Verdana" w:hAnsi="Verdana" w:cs="Verdana"/>
                <w:b/>
                <w:noProof/>
                <w:color w:val="000000"/>
                <w:sz w:val="16"/>
              </w:rPr>
            </w:pPr>
            <w:r>
              <w:rPr>
                <w:rFonts w:ascii="Verdana" w:hAnsi="Verdana"/>
                <w:b/>
                <w:noProof/>
                <w:color w:val="000000"/>
                <w:sz w:val="16"/>
              </w:rPr>
              <w:t>193 735</w:t>
            </w:r>
          </w:p>
        </w:tc>
        <w:tc>
          <w:tcPr>
            <w:tcW w:w="1389"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jc w:val="right"/>
              <w:rPr>
                <w:rFonts w:ascii="Verdana" w:eastAsia="Verdana" w:hAnsi="Verdana" w:cs="Verdana"/>
                <w:b/>
                <w:noProof/>
                <w:color w:val="000000"/>
                <w:sz w:val="16"/>
              </w:rPr>
            </w:pPr>
            <w:r>
              <w:rPr>
                <w:rFonts w:ascii="Verdana" w:hAnsi="Verdana"/>
                <w:b/>
                <w:noProof/>
                <w:color w:val="000000"/>
                <w:sz w:val="16"/>
              </w:rPr>
              <w:t>172 472</w:t>
            </w:r>
          </w:p>
        </w:tc>
        <w:tc>
          <w:tcPr>
            <w:tcW w:w="1199"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jc w:val="right"/>
              <w:rPr>
                <w:rFonts w:ascii="Verdana" w:eastAsia="Verdana" w:hAnsi="Verdana" w:cs="Verdana"/>
                <w:b/>
                <w:noProof/>
                <w:color w:val="000000"/>
                <w:sz w:val="16"/>
              </w:rPr>
            </w:pPr>
            <w:r>
              <w:rPr>
                <w:rFonts w:ascii="Verdana" w:hAnsi="Verdana"/>
                <w:b/>
                <w:noProof/>
                <w:color w:val="000000"/>
                <w:sz w:val="16"/>
              </w:rPr>
              <w:t>1 834</w:t>
            </w:r>
          </w:p>
        </w:tc>
        <w:tc>
          <w:tcPr>
            <w:tcW w:w="886"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jc w:val="right"/>
              <w:rPr>
                <w:rFonts w:ascii="Verdana" w:eastAsia="Verdana" w:hAnsi="Verdana" w:cs="Verdana"/>
                <w:b/>
                <w:noProof/>
                <w:color w:val="000000"/>
                <w:sz w:val="16"/>
              </w:rPr>
            </w:pPr>
            <w:r>
              <w:rPr>
                <w:rFonts w:ascii="Verdana" w:hAnsi="Verdana"/>
                <w:b/>
                <w:noProof/>
                <w:color w:val="000000"/>
                <w:sz w:val="16"/>
              </w:rPr>
              <w:t>174 306</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jc w:val="right"/>
              <w:rPr>
                <w:rFonts w:ascii="Verdana" w:eastAsia="Verdana" w:hAnsi="Verdana" w:cs="Verdana"/>
                <w:b/>
                <w:noProof/>
                <w:color w:val="000000"/>
                <w:sz w:val="16"/>
              </w:rPr>
            </w:pPr>
            <w:r>
              <w:rPr>
                <w:rFonts w:ascii="Verdana" w:hAnsi="Verdana"/>
                <w:b/>
                <w:noProof/>
                <w:color w:val="000000"/>
                <w:sz w:val="16"/>
              </w:rPr>
              <w:t>106 %</w:t>
            </w:r>
          </w:p>
        </w:tc>
        <w:tc>
          <w:tcPr>
            <w:tcW w:w="1281" w:type="dxa"/>
            <w:tcBorders>
              <w:top w:val="nil"/>
              <w:left w:val="nil"/>
              <w:bottom w:val="nil"/>
              <w:right w:val="nil"/>
              <w:tl2br w:val="nil"/>
              <w:tr2bl w:val="nil"/>
            </w:tcBorders>
            <w:shd w:val="solid" w:color="CCE1EA" w:fill="FFFFFF"/>
            <w:tcMar>
              <w:left w:w="60" w:type="dxa"/>
              <w:right w:w="60" w:type="dxa"/>
            </w:tcMar>
            <w:vAlign w:val="center"/>
          </w:tcPr>
          <w:p>
            <w:pPr>
              <w:pStyle w:val="DMETW19856BIPImplementationbudgetrevenue"/>
              <w:jc w:val="right"/>
              <w:rPr>
                <w:rFonts w:ascii="Verdana" w:eastAsia="Verdana" w:hAnsi="Verdana" w:cs="Verdana"/>
                <w:b/>
                <w:noProof/>
                <w:color w:val="000000"/>
                <w:sz w:val="16"/>
              </w:rPr>
            </w:pPr>
            <w:r>
              <w:rPr>
                <w:rFonts w:ascii="Verdana" w:hAnsi="Verdana"/>
                <w:b/>
                <w:noProof/>
                <w:color w:val="000000"/>
                <w:sz w:val="16"/>
              </w:rPr>
              <w:t>19 429</w:t>
            </w:r>
          </w:p>
        </w:tc>
      </w:tr>
    </w:tbl>
    <w:p>
      <w:pPr>
        <w:pStyle w:val="Textstand-alone"/>
      </w:pPr>
    </w:p>
    <w:p>
      <w:pPr>
        <w:pStyle w:val="Textstand-alone"/>
      </w:pPr>
    </w:p>
    <w:bookmarkEnd w:id="245"/>
    <w:p>
      <w:pPr>
        <w:pStyle w:val="Textstand-alone"/>
        <w:sectPr>
          <w:headerReference w:type="even" r:id="rId338"/>
          <w:headerReference w:type="default" r:id="rId339"/>
          <w:footerReference w:type="even" r:id="rId340"/>
          <w:footerReference w:type="default" r:id="rId341"/>
          <w:headerReference w:type="first" r:id="rId342"/>
          <w:footerReference w:type="first" r:id="rId343"/>
          <w:pgSz w:w="16840" w:h="11900" w:orient="landscape"/>
          <w:pgMar w:top="1134" w:right="1134" w:bottom="1134" w:left="1134" w:header="708" w:footer="708" w:gutter="0"/>
          <w:cols w:space="720"/>
        </w:sectPr>
      </w:pPr>
    </w:p>
    <w:p>
      <w:pPr>
        <w:pStyle w:val="HEADER1PartBUDG"/>
        <w:numPr>
          <w:ilvl w:val="0"/>
          <w:numId w:val="15"/>
        </w:numPr>
        <w:tabs>
          <w:tab w:val="clear" w:pos="907"/>
        </w:tabs>
        <w:spacing w:after="120"/>
        <w:ind w:left="357" w:hanging="357"/>
        <w:rPr>
          <w:noProof/>
        </w:rPr>
      </w:pPr>
      <w:bookmarkStart w:id="249" w:name="_DMBM_19906"/>
      <w:r>
        <w:rPr>
          <w:noProof/>
        </w:rPr>
        <w:t xml:space="preserve"> </w:t>
      </w:r>
      <w:bookmarkStart w:id="250" w:name="_Toc75518137"/>
      <w:r>
        <w:rPr>
          <w:noProof/>
        </w:rPr>
        <w:t>ИЗПЪЛНЕНИЕ НА РАЗХОДИТЕ В БЮДЖЕТА НА ЕС</w:t>
      </w:r>
      <w:bookmarkEnd w:id="250"/>
      <w:r>
        <w:rPr>
          <w:noProof/>
        </w:rPr>
        <w:t xml:space="preserve"> </w:t>
      </w:r>
    </w:p>
    <w:p>
      <w:pPr>
        <w:pStyle w:val="HEADER2PartBUDG"/>
        <w:numPr>
          <w:ilvl w:val="1"/>
          <w:numId w:val="15"/>
        </w:numPr>
        <w:spacing w:before="120" w:after="120"/>
        <w:ind w:left="357" w:hanging="357"/>
        <w:rPr>
          <w:noProof/>
        </w:rPr>
      </w:pPr>
      <w:bookmarkStart w:id="251" w:name="_Toc75518138"/>
      <w:r>
        <w:rPr>
          <w:noProof/>
        </w:rPr>
        <w:t>МФР: РАЗБИВКА И ПРОМЕНИ НА БЮДЖЕТНИТЕ КРЕДИТИ ЗА ПОЕТИ ЗАДЪЛЖЕНИЯ И ЗА ПЛАЩАНИЯ</w:t>
      </w:r>
      <w:bookmarkEnd w:id="25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24"/>
        <w:gridCol w:w="2573"/>
        <w:gridCol w:w="923"/>
        <w:gridCol w:w="1027"/>
        <w:gridCol w:w="992"/>
        <w:gridCol w:w="750"/>
        <w:gridCol w:w="923"/>
        <w:gridCol w:w="1020"/>
        <w:gridCol w:w="993"/>
        <w:gridCol w:w="992"/>
        <w:gridCol w:w="992"/>
        <w:gridCol w:w="709"/>
        <w:gridCol w:w="850"/>
        <w:gridCol w:w="1024"/>
      </w:tblGrid>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bookmarkStart w:id="252" w:name="DOC_TBL00107_1_1"/>
            <w:bookmarkEnd w:id="252"/>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p>
        </w:tc>
        <w:tc>
          <w:tcPr>
            <w:tcW w:w="1874"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милиони евро</w:t>
            </w:r>
          </w:p>
        </w:tc>
      </w:tr>
      <w:tr>
        <w:trPr>
          <w:trHeight w:val="340"/>
        </w:trPr>
        <w:tc>
          <w:tcPr>
            <w:tcW w:w="924"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p>
        </w:tc>
        <w:tc>
          <w:tcPr>
            <w:tcW w:w="2573"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p>
        </w:tc>
        <w:tc>
          <w:tcPr>
            <w:tcW w:w="5635" w:type="dxa"/>
            <w:gridSpan w:val="6"/>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b/>
                <w:noProof/>
                <w:color w:val="FFFFFF"/>
                <w:spacing w:val="-6"/>
                <w:sz w:val="16"/>
              </w:rPr>
            </w:pPr>
            <w:r>
              <w:rPr>
                <w:rFonts w:ascii="Verdana" w:hAnsi="Verdana"/>
                <w:b/>
                <w:noProof/>
                <w:color w:val="FFFFFF"/>
                <w:spacing w:val="-6"/>
                <w:sz w:val="16"/>
              </w:rPr>
              <w:t>Бюджетни кредити за поети задължения</w:t>
            </w:r>
          </w:p>
        </w:tc>
        <w:tc>
          <w:tcPr>
            <w:tcW w:w="5560" w:type="dxa"/>
            <w:gridSpan w:val="6"/>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b/>
                <w:noProof/>
                <w:color w:val="FFFFFF"/>
                <w:spacing w:val="-6"/>
                <w:sz w:val="16"/>
              </w:rPr>
            </w:pPr>
            <w:r>
              <w:rPr>
                <w:rFonts w:ascii="Verdana" w:hAnsi="Verdana"/>
                <w:b/>
                <w:noProof/>
                <w:color w:val="FFFFFF"/>
                <w:spacing w:val="-6"/>
                <w:sz w:val="16"/>
              </w:rPr>
              <w:t>Бюджетни кредити за плащания</w:t>
            </w:r>
          </w:p>
        </w:tc>
      </w:tr>
      <w:tr>
        <w:trPr>
          <w:trHeight w:val="340"/>
        </w:trPr>
        <w:tc>
          <w:tcPr>
            <w:tcW w:w="924"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p>
        </w:tc>
        <w:tc>
          <w:tcPr>
            <w:tcW w:w="2573"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Функция от МФР</w:t>
            </w:r>
          </w:p>
        </w:tc>
        <w:tc>
          <w:tcPr>
            <w:tcW w:w="2942"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Бюджетни кредити</w:t>
            </w:r>
          </w:p>
        </w:tc>
        <w:tc>
          <w:tcPr>
            <w:tcW w:w="1673"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Допълнителни бюджетни кредити</w:t>
            </w:r>
          </w:p>
        </w:tc>
        <w:tc>
          <w:tcPr>
            <w:tcW w:w="1020"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b/>
                <w:noProof/>
                <w:color w:val="FFFFFF"/>
                <w:spacing w:val="-6"/>
                <w:sz w:val="16"/>
              </w:rPr>
            </w:pPr>
            <w:r>
              <w:rPr>
                <w:rFonts w:ascii="Verdana" w:hAnsi="Verdana"/>
                <w:b/>
                <w:noProof/>
                <w:color w:val="FFFFFF"/>
                <w:spacing w:val="-6"/>
                <w:sz w:val="16"/>
              </w:rPr>
              <w:t>Общо налични бюджетни кредити</w:t>
            </w:r>
          </w:p>
        </w:tc>
        <w:tc>
          <w:tcPr>
            <w:tcW w:w="2977"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Бюджетни кредити</w:t>
            </w:r>
          </w:p>
        </w:tc>
        <w:tc>
          <w:tcPr>
            <w:tcW w:w="1559"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Допълнителни бюджетни кредити</w:t>
            </w:r>
          </w:p>
        </w:tc>
        <w:tc>
          <w:tcPr>
            <w:tcW w:w="1024"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b/>
                <w:noProof/>
                <w:color w:val="FFFFFF"/>
                <w:spacing w:val="-6"/>
                <w:sz w:val="16"/>
              </w:rPr>
            </w:pPr>
            <w:r>
              <w:rPr>
                <w:rFonts w:ascii="Verdana" w:hAnsi="Verdana"/>
                <w:b/>
                <w:noProof/>
                <w:color w:val="FFFFFF"/>
                <w:spacing w:val="-6"/>
                <w:sz w:val="16"/>
              </w:rPr>
              <w:t>Общо налични бюджетни кредити</w:t>
            </w:r>
          </w:p>
        </w:tc>
      </w:tr>
      <w:tr>
        <w:trPr>
          <w:trHeight w:val="743"/>
        </w:trPr>
        <w:tc>
          <w:tcPr>
            <w:tcW w:w="924"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p>
        </w:tc>
        <w:tc>
          <w:tcPr>
            <w:tcW w:w="2573"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p>
        </w:tc>
        <w:tc>
          <w:tcPr>
            <w:tcW w:w="923"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Първоначален приет бюджет</w:t>
            </w:r>
          </w:p>
        </w:tc>
        <w:tc>
          <w:tcPr>
            <w:tcW w:w="1027"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Коригиращи бюджети и трансфери</w:t>
            </w: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Окончателен приет бюджет</w:t>
            </w:r>
          </w:p>
        </w:tc>
        <w:tc>
          <w:tcPr>
            <w:tcW w:w="750"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Пренасяния</w:t>
            </w:r>
          </w:p>
        </w:tc>
        <w:tc>
          <w:tcPr>
            <w:tcW w:w="923"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Целеви приходи</w:t>
            </w:r>
          </w:p>
        </w:tc>
        <w:tc>
          <w:tcPr>
            <w:tcW w:w="1020"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b/>
                <w:noProof/>
                <w:color w:val="FFFFFF"/>
                <w:spacing w:val="-6"/>
                <w:sz w:val="16"/>
              </w:rPr>
            </w:pPr>
          </w:p>
        </w:tc>
        <w:tc>
          <w:tcPr>
            <w:tcW w:w="993"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Първоначален приет бюджет</w:t>
            </w: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Коригиращи бюджети и трансфери</w:t>
            </w: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Окончателен приет бюджет</w:t>
            </w:r>
          </w:p>
        </w:tc>
        <w:tc>
          <w:tcPr>
            <w:tcW w:w="709"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Пренасяния</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Целеви приходи</w:t>
            </w:r>
          </w:p>
        </w:tc>
        <w:tc>
          <w:tcPr>
            <w:tcW w:w="1024"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MFF1BreakdownCommPaym"/>
              <w:jc w:val="center"/>
              <w:rPr>
                <w:rFonts w:ascii="Verdana" w:eastAsia="Verdana" w:hAnsi="Verdana" w:cs="Verdana"/>
                <w:b/>
                <w:noProof/>
                <w:color w:val="FFFFFF"/>
                <w:spacing w:val="-6"/>
                <w:sz w:val="16"/>
              </w:rPr>
            </w:pPr>
          </w:p>
        </w:tc>
      </w:tr>
      <w:tr>
        <w:trPr>
          <w:trHeight w:val="340"/>
        </w:trPr>
        <w:tc>
          <w:tcPr>
            <w:tcW w:w="924"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p>
        </w:tc>
        <w:tc>
          <w:tcPr>
            <w:tcW w:w="2573"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p>
        </w:tc>
        <w:tc>
          <w:tcPr>
            <w:tcW w:w="923"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1</w:t>
            </w:r>
          </w:p>
        </w:tc>
        <w:tc>
          <w:tcPr>
            <w:tcW w:w="1027"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2</w:t>
            </w:r>
          </w:p>
        </w:tc>
        <w:tc>
          <w:tcPr>
            <w:tcW w:w="992"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3=1+2</w:t>
            </w:r>
          </w:p>
        </w:tc>
        <w:tc>
          <w:tcPr>
            <w:tcW w:w="750"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4</w:t>
            </w:r>
          </w:p>
        </w:tc>
        <w:tc>
          <w:tcPr>
            <w:tcW w:w="923"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5</w:t>
            </w:r>
          </w:p>
        </w:tc>
        <w:tc>
          <w:tcPr>
            <w:tcW w:w="1020"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6=3+</w:t>
            </w:r>
          </w:p>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4+5</w:t>
            </w:r>
          </w:p>
        </w:tc>
        <w:tc>
          <w:tcPr>
            <w:tcW w:w="993"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7</w:t>
            </w:r>
          </w:p>
        </w:tc>
        <w:tc>
          <w:tcPr>
            <w:tcW w:w="992"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8</w:t>
            </w:r>
          </w:p>
        </w:tc>
        <w:tc>
          <w:tcPr>
            <w:tcW w:w="992"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9=7+8</w:t>
            </w:r>
          </w:p>
        </w:tc>
        <w:tc>
          <w:tcPr>
            <w:tcW w:w="709"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10</w:t>
            </w:r>
          </w:p>
        </w:tc>
        <w:tc>
          <w:tcPr>
            <w:tcW w:w="850"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11</w:t>
            </w:r>
          </w:p>
        </w:tc>
        <w:tc>
          <w:tcPr>
            <w:tcW w:w="1024" w:type="dxa"/>
            <w:tcBorders>
              <w:top w:val="nil"/>
              <w:left w:val="nil"/>
              <w:bottom w:val="nil"/>
              <w:right w:val="nil"/>
              <w:tl2br w:val="nil"/>
              <w:tr2bl w:val="nil"/>
            </w:tcBorders>
            <w:shd w:val="solid" w:color="3487A9" w:fill="FFFFFF"/>
            <w:tcMar>
              <w:left w:w="60" w:type="dxa"/>
              <w:right w:w="60" w:type="dxa"/>
            </w:tcMar>
            <w:vAlign w:val="center"/>
          </w:tcPr>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12=9+</w:t>
            </w:r>
          </w:p>
          <w:p>
            <w:pPr>
              <w:pStyle w:val="DMETW19857BIPMFF1BreakdownCommPaym"/>
              <w:jc w:val="center"/>
              <w:rPr>
                <w:rFonts w:ascii="Verdana" w:eastAsia="Verdana" w:hAnsi="Verdana" w:cs="Verdana"/>
                <w:noProof/>
                <w:color w:val="FFFFFF"/>
                <w:spacing w:val="-6"/>
                <w:sz w:val="16"/>
              </w:rPr>
            </w:pPr>
            <w:r>
              <w:rPr>
                <w:rFonts w:ascii="Verdana" w:hAnsi="Verdana"/>
                <w:noProof/>
                <w:color w:val="FFFFFF"/>
                <w:spacing w:val="-6"/>
                <w:sz w:val="16"/>
              </w:rPr>
              <w:t>10+11</w:t>
            </w:r>
          </w:p>
        </w:tc>
      </w:tr>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1</w:t>
            </w: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Интелигентен и приобщаващ растеж</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83 931</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(12)</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83 918</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520</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6 431</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90 870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72 354</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4 925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77 278</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151</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10 904</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88 334</w:t>
            </w:r>
          </w:p>
        </w:tc>
      </w:tr>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i/>
                <w:noProof/>
                <w:color w:val="000000"/>
                <w:spacing w:val="-6"/>
                <w:sz w:val="16"/>
              </w:rPr>
            </w:pP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i/>
                <w:noProof/>
                <w:color w:val="000000"/>
                <w:spacing w:val="-6"/>
                <w:sz w:val="16"/>
              </w:rPr>
            </w:pPr>
            <w:r>
              <w:rPr>
                <w:rFonts w:ascii="Verdana" w:hAnsi="Verdana"/>
                <w:i/>
                <w:noProof/>
                <w:color w:val="000000"/>
                <w:spacing w:val="-6"/>
                <w:sz w:val="16"/>
              </w:rPr>
              <w:t>1а: Конкурентоспособност за растеж и работни места</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25 285</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(12)</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25 273</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3</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5 012</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30 287</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22 308</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(555)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21 753</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139</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6 835</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28 726</w:t>
            </w:r>
          </w:p>
        </w:tc>
      </w:tr>
      <w:tr>
        <w:trPr>
          <w:trHeight w:val="543"/>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i/>
                <w:noProof/>
                <w:color w:val="000000"/>
                <w:spacing w:val="-6"/>
                <w:sz w:val="16"/>
              </w:rPr>
            </w:pP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i/>
                <w:noProof/>
                <w:color w:val="000000"/>
                <w:spacing w:val="-6"/>
                <w:sz w:val="16"/>
              </w:rPr>
            </w:pPr>
            <w:r>
              <w:rPr>
                <w:rFonts w:ascii="Verdana" w:hAnsi="Verdana"/>
                <w:i/>
                <w:noProof/>
                <w:color w:val="000000"/>
                <w:spacing w:val="-6"/>
                <w:sz w:val="16"/>
              </w:rPr>
              <w:t>1б: Икономическо, социално и териториално сближаване</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58 646</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58 646</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518</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1 419</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60 582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50 046</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5 479</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55 525</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13</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4 069</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59 607</w:t>
            </w:r>
          </w:p>
        </w:tc>
      </w:tr>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2</w:t>
            </w: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Устойчив растеж: природни ресурси</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59 907</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49</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59 956</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467</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2 308</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62 730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57 904</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867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58 772</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677</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1 999</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61 448</w:t>
            </w:r>
          </w:p>
        </w:tc>
      </w:tr>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i/>
                <w:noProof/>
                <w:color w:val="000000"/>
                <w:spacing w:val="-6"/>
                <w:sz w:val="16"/>
              </w:rPr>
            </w:pP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i/>
                <w:noProof/>
                <w:color w:val="000000"/>
                <w:spacing w:val="-6"/>
                <w:sz w:val="16"/>
              </w:rPr>
            </w:pPr>
            <w:r>
              <w:rPr>
                <w:rFonts w:ascii="Verdana" w:hAnsi="Verdana"/>
                <w:i/>
                <w:noProof/>
                <w:color w:val="000000"/>
                <w:spacing w:val="-6"/>
                <w:sz w:val="16"/>
              </w:rPr>
              <w:t>от които: разходи, свързани с пазара, и преки плащания</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43 410</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49</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43 459</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467</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929</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44 855</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43 380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39</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43 419</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670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929</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45 018</w:t>
            </w:r>
          </w:p>
        </w:tc>
      </w:tr>
      <w:tr>
        <w:trPr>
          <w:trHeight w:val="397"/>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3</w:t>
            </w: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Сигурност и гражданство</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3 729</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3 423</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7 152</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1 000</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8 152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3 685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2 607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6 293</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9</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1 030</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7 331</w:t>
            </w:r>
          </w:p>
        </w:tc>
      </w:tr>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4</w:t>
            </w: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Глобална Европа</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10 262</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1 089</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11 350</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47</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843</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12 240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8 929</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1 457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10 386</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38</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1 503</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11 928</w:t>
            </w:r>
          </w:p>
        </w:tc>
      </w:tr>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5</w:t>
            </w: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Администрация</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10 272</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10 271</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837</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11 108</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10 275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(2)</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10 273</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828</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839</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11 941</w:t>
            </w:r>
          </w:p>
        </w:tc>
      </w:tr>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i/>
                <w:noProof/>
                <w:color w:val="000000"/>
                <w:spacing w:val="-6"/>
                <w:sz w:val="16"/>
              </w:rPr>
            </w:pP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i/>
                <w:noProof/>
                <w:color w:val="000000"/>
                <w:spacing w:val="-6"/>
                <w:sz w:val="16"/>
              </w:rPr>
            </w:pPr>
            <w:r>
              <w:rPr>
                <w:rFonts w:ascii="Verdana" w:hAnsi="Verdana"/>
                <w:i/>
                <w:noProof/>
                <w:color w:val="000000"/>
                <w:spacing w:val="-6"/>
                <w:sz w:val="16"/>
              </w:rPr>
              <w:t>от които: административни разходи на институциите</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4 226</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4 225</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442</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4 667</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4 226</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4 225</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499</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 xml:space="preserve"> 443</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i/>
                <w:noProof/>
                <w:color w:val="000000"/>
                <w:spacing w:val="-6"/>
                <w:sz w:val="16"/>
              </w:rPr>
            </w:pPr>
            <w:r>
              <w:rPr>
                <w:rFonts w:ascii="Verdana" w:hAnsi="Verdana"/>
                <w:i/>
                <w:noProof/>
                <w:color w:val="000000"/>
                <w:spacing w:val="-6"/>
                <w:sz w:val="16"/>
              </w:rPr>
              <w:t>5 168</w:t>
            </w:r>
          </w:p>
        </w:tc>
      </w:tr>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6</w:t>
            </w: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Компенсации</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r>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8</w:t>
            </w: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 xml:space="preserve">Отрицателен резерв и дефицит, пренесени от предходната финансова година </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r>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9</w:t>
            </w: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Специални инструменти</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588</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649</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1 236</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49</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21</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1 306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419</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688</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1 106</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1</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 xml:space="preserve"> 21</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1 128</w:t>
            </w:r>
          </w:p>
        </w:tc>
      </w:tr>
      <w:tr>
        <w:trPr>
          <w:trHeight w:val="340"/>
        </w:trPr>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O</w:t>
            </w:r>
          </w:p>
        </w:tc>
        <w:tc>
          <w:tcPr>
            <w:tcW w:w="257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rPr>
                <w:rFonts w:ascii="Verdana" w:eastAsia="Verdana" w:hAnsi="Verdana" w:cs="Verdana"/>
                <w:noProof/>
                <w:color w:val="000000"/>
                <w:spacing w:val="-6"/>
                <w:sz w:val="16"/>
              </w:rPr>
            </w:pPr>
            <w:r>
              <w:rPr>
                <w:rFonts w:ascii="Verdana" w:hAnsi="Verdana"/>
                <w:noProof/>
                <w:color w:val="000000"/>
                <w:spacing w:val="-6"/>
                <w:sz w:val="16"/>
              </w:rPr>
              <w:t>Фонд за иновации (ФИ)</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1027"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2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1 337</w:t>
            </w:r>
          </w:p>
        </w:tc>
        <w:tc>
          <w:tcPr>
            <w:tcW w:w="102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1 337</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1 337</w:t>
            </w:r>
          </w:p>
        </w:tc>
        <w:tc>
          <w:tcPr>
            <w:tcW w:w="1024" w:type="dxa"/>
            <w:tcBorders>
              <w:top w:val="nil"/>
              <w:left w:val="nil"/>
              <w:bottom w:val="nil"/>
              <w:right w:val="nil"/>
              <w:tl2br w:val="nil"/>
              <w:tr2bl w:val="nil"/>
            </w:tcBorders>
            <w:shd w:val="clear" w:color="auto" w:fill="auto"/>
            <w:tcMar>
              <w:left w:w="60" w:type="dxa"/>
              <w:right w:w="60" w:type="dxa"/>
            </w:tcMar>
            <w:vAlign w:val="center"/>
          </w:tcPr>
          <w:p>
            <w:pPr>
              <w:pStyle w:val="DMETW19857BIPMFF1BreakdownCommPaym"/>
              <w:jc w:val="right"/>
              <w:rPr>
                <w:rFonts w:ascii="Verdana" w:eastAsia="Verdana" w:hAnsi="Verdana" w:cs="Verdana"/>
                <w:noProof/>
                <w:color w:val="000000"/>
                <w:spacing w:val="-6"/>
                <w:sz w:val="16"/>
              </w:rPr>
            </w:pPr>
            <w:r>
              <w:rPr>
                <w:rFonts w:ascii="Verdana" w:hAnsi="Verdana"/>
                <w:noProof/>
                <w:color w:val="000000"/>
                <w:spacing w:val="-6"/>
                <w:sz w:val="16"/>
              </w:rPr>
              <w:t>1 337</w:t>
            </w:r>
          </w:p>
        </w:tc>
      </w:tr>
      <w:tr>
        <w:trPr>
          <w:trHeight w:val="340"/>
        </w:trPr>
        <w:tc>
          <w:tcPr>
            <w:tcW w:w="924"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rPr>
                <w:rFonts w:ascii="Verdana" w:eastAsia="Verdana" w:hAnsi="Verdana" w:cs="Verdana"/>
                <w:b/>
                <w:noProof/>
                <w:color w:val="000000"/>
                <w:spacing w:val="-6"/>
                <w:sz w:val="16"/>
              </w:rPr>
            </w:pPr>
          </w:p>
        </w:tc>
        <w:tc>
          <w:tcPr>
            <w:tcW w:w="2573"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rPr>
                <w:rFonts w:ascii="Verdana" w:eastAsia="Verdana" w:hAnsi="Verdana" w:cs="Verdana"/>
                <w:b/>
                <w:noProof/>
                <w:color w:val="000000"/>
                <w:spacing w:val="-6"/>
                <w:sz w:val="16"/>
              </w:rPr>
            </w:pPr>
            <w:r>
              <w:rPr>
                <w:rFonts w:ascii="Verdana" w:hAnsi="Verdana"/>
                <w:b/>
                <w:noProof/>
                <w:color w:val="000000"/>
                <w:spacing w:val="-6"/>
                <w:sz w:val="16"/>
              </w:rPr>
              <w:t>Общо</w:t>
            </w:r>
          </w:p>
        </w:tc>
        <w:tc>
          <w:tcPr>
            <w:tcW w:w="923"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168 688</w:t>
            </w:r>
          </w:p>
        </w:tc>
        <w:tc>
          <w:tcPr>
            <w:tcW w:w="1027"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5 196</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173 884</w:t>
            </w:r>
          </w:p>
        </w:tc>
        <w:tc>
          <w:tcPr>
            <w:tcW w:w="750"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1 083</w:t>
            </w:r>
          </w:p>
        </w:tc>
        <w:tc>
          <w:tcPr>
            <w:tcW w:w="923"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12 775</w:t>
            </w:r>
          </w:p>
        </w:tc>
        <w:tc>
          <w:tcPr>
            <w:tcW w:w="1020"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187 742</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153 566</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10 542</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164 108</w:t>
            </w:r>
          </w:p>
        </w:tc>
        <w:tc>
          <w:tcPr>
            <w:tcW w:w="709"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1 704</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17 634</w:t>
            </w:r>
          </w:p>
        </w:tc>
        <w:tc>
          <w:tcPr>
            <w:tcW w:w="1024" w:type="dxa"/>
            <w:tcBorders>
              <w:top w:val="nil"/>
              <w:left w:val="nil"/>
              <w:bottom w:val="nil"/>
              <w:right w:val="nil"/>
              <w:tl2br w:val="nil"/>
              <w:tr2bl w:val="nil"/>
            </w:tcBorders>
            <w:shd w:val="solid" w:color="CCE1EA" w:fill="FFFFFF"/>
            <w:tcMar>
              <w:left w:w="60" w:type="dxa"/>
              <w:right w:w="60" w:type="dxa"/>
            </w:tcMar>
            <w:vAlign w:val="center"/>
          </w:tcPr>
          <w:p>
            <w:pPr>
              <w:pStyle w:val="DMETW19857BIPMFF1BreakdownCommPaym"/>
              <w:jc w:val="right"/>
              <w:rPr>
                <w:rFonts w:ascii="Verdana" w:eastAsia="Verdana" w:hAnsi="Verdana" w:cs="Verdana"/>
                <w:b/>
                <w:noProof/>
                <w:color w:val="000000"/>
                <w:spacing w:val="-6"/>
                <w:sz w:val="16"/>
              </w:rPr>
            </w:pPr>
            <w:r>
              <w:rPr>
                <w:rFonts w:ascii="Verdana" w:hAnsi="Verdana"/>
                <w:b/>
                <w:noProof/>
                <w:color w:val="000000"/>
                <w:spacing w:val="-6"/>
                <w:sz w:val="16"/>
              </w:rPr>
              <w:t>183 446</w:t>
            </w:r>
          </w:p>
        </w:tc>
      </w:tr>
    </w:tbl>
    <w:p>
      <w:pPr>
        <w:pStyle w:val="DGTextstand-alone"/>
        <w:rPr>
          <w:rFonts w:eastAsia="Verdana" w:cs="Verdana"/>
          <w:szCs w:val="14"/>
          <w:highlight w:val="yellow"/>
        </w:rPr>
        <w:sectPr>
          <w:headerReference w:type="even" r:id="rId344"/>
          <w:headerReference w:type="default" r:id="rId345"/>
          <w:footerReference w:type="even" r:id="rId346"/>
          <w:footerReference w:type="default" r:id="rId347"/>
          <w:headerReference w:type="first" r:id="rId348"/>
          <w:footerReference w:type="first" r:id="rId349"/>
          <w:pgSz w:w="16840" w:h="11900" w:orient="landscape"/>
          <w:pgMar w:top="1134" w:right="1134" w:bottom="1134" w:left="1134" w:header="708" w:footer="708" w:gutter="0"/>
          <w:cols w:space="720"/>
          <w:docGrid w:linePitch="272"/>
        </w:sectPr>
      </w:pPr>
    </w:p>
    <w:p>
      <w:pPr>
        <w:pStyle w:val="HEADER2PartBUDG"/>
        <w:numPr>
          <w:ilvl w:val="1"/>
          <w:numId w:val="15"/>
        </w:numPr>
        <w:spacing w:before="120" w:after="120"/>
        <w:ind w:left="357" w:hanging="357"/>
        <w:rPr>
          <w:noProof/>
        </w:rPr>
      </w:pPr>
      <w:bookmarkStart w:id="253" w:name="_Toc75518139"/>
      <w:r>
        <w:rPr>
          <w:noProof/>
        </w:rPr>
        <w:t>МФР: ИЗПЪЛНЕНИЕ НА БЮДЖЕТНИТЕ КРЕДИТИ ЗА ПОЕТИ ЗАДЪЛЖЕНИЯ</w:t>
      </w:r>
      <w:bookmarkEnd w:id="25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75"/>
        <w:gridCol w:w="2311"/>
        <w:gridCol w:w="985"/>
        <w:gridCol w:w="992"/>
        <w:gridCol w:w="676"/>
        <w:gridCol w:w="874"/>
        <w:gridCol w:w="874"/>
        <w:gridCol w:w="874"/>
        <w:gridCol w:w="874"/>
        <w:gridCol w:w="874"/>
        <w:gridCol w:w="874"/>
        <w:gridCol w:w="874"/>
        <w:gridCol w:w="874"/>
        <w:gridCol w:w="874"/>
        <w:gridCol w:w="987"/>
      </w:tblGrid>
      <w:tr>
        <w:trPr>
          <w:trHeight w:val="340"/>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bookmarkStart w:id="254" w:name="DOC_TBL00108_1_1"/>
            <w:bookmarkEnd w:id="254"/>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p>
        </w:tc>
        <w:tc>
          <w:tcPr>
            <w:tcW w:w="1861"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rPr>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p>
        </w:tc>
        <w:tc>
          <w:tcPr>
            <w:tcW w:w="2311"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p>
        </w:tc>
        <w:tc>
          <w:tcPr>
            <w:tcW w:w="985"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b/>
                <w:noProof/>
                <w:color w:val="FFFFFF"/>
                <w:sz w:val="16"/>
              </w:rPr>
            </w:pPr>
            <w:r>
              <w:rPr>
                <w:rFonts w:ascii="Verdana" w:hAnsi="Verdana"/>
                <w:b/>
                <w:noProof/>
                <w:color w:val="FFFFFF"/>
                <w:sz w:val="16"/>
              </w:rPr>
              <w:t>Общо</w:t>
            </w:r>
          </w:p>
          <w:p>
            <w:pPr>
              <w:pStyle w:val="DMETW19857BIPMFF2ImplementCommitments"/>
              <w:jc w:val="center"/>
              <w:rPr>
                <w:rFonts w:ascii="Verdana" w:eastAsia="Verdana" w:hAnsi="Verdana" w:cs="Verdana"/>
                <w:b/>
                <w:noProof/>
                <w:color w:val="FFFFFF"/>
                <w:sz w:val="16"/>
              </w:rPr>
            </w:pPr>
            <w:r>
              <w:rPr>
                <w:rFonts w:ascii="Verdana" w:hAnsi="Verdana"/>
                <w:b/>
                <w:noProof/>
                <w:color w:val="FFFFFF"/>
                <w:sz w:val="16"/>
              </w:rPr>
              <w:t xml:space="preserve">налични </w:t>
            </w:r>
          </w:p>
          <w:p>
            <w:pPr>
              <w:pStyle w:val="DMETW19857BIP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w:t>
            </w:r>
          </w:p>
        </w:tc>
        <w:tc>
          <w:tcPr>
            <w:tcW w:w="4290"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b/>
                <w:noProof/>
                <w:color w:val="FFFFFF"/>
                <w:sz w:val="16"/>
              </w:rPr>
            </w:pPr>
            <w:r>
              <w:rPr>
                <w:rFonts w:ascii="Verdana" w:hAnsi="Verdana"/>
                <w:b/>
                <w:noProof/>
                <w:color w:val="FFFFFF"/>
                <w:sz w:val="16"/>
              </w:rPr>
              <w:t>Поети задължения</w:t>
            </w:r>
          </w:p>
        </w:tc>
        <w:tc>
          <w:tcPr>
            <w:tcW w:w="2622"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 пренесени за 2021 г.</w:t>
            </w:r>
          </w:p>
        </w:tc>
        <w:tc>
          <w:tcPr>
            <w:tcW w:w="3609"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 които губят сила</w:t>
            </w:r>
          </w:p>
        </w:tc>
      </w:tr>
      <w:tr>
        <w:trPr>
          <w:trHeight w:val="715"/>
        </w:trPr>
        <w:tc>
          <w:tcPr>
            <w:tcW w:w="875"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p>
        </w:tc>
        <w:tc>
          <w:tcPr>
            <w:tcW w:w="2311"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Функция от МФР</w:t>
            </w:r>
          </w:p>
        </w:tc>
        <w:tc>
          <w:tcPr>
            <w:tcW w:w="985"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b/>
                <w:noProof/>
                <w:color w:val="FFFFFF"/>
                <w:sz w:val="16"/>
              </w:rPr>
            </w:pP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676"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74"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874"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Общо</w:t>
            </w:r>
          </w:p>
        </w:tc>
        <w:tc>
          <w:tcPr>
            <w:tcW w:w="874"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w:t>
            </w:r>
          </w:p>
        </w:tc>
        <w:tc>
          <w:tcPr>
            <w:tcW w:w="874"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целеви приходи</w:t>
            </w:r>
          </w:p>
        </w:tc>
        <w:tc>
          <w:tcPr>
            <w:tcW w:w="874"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пренасяния с решение</w:t>
            </w:r>
          </w:p>
        </w:tc>
        <w:tc>
          <w:tcPr>
            <w:tcW w:w="874"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Общо</w:t>
            </w:r>
          </w:p>
        </w:tc>
        <w:tc>
          <w:tcPr>
            <w:tcW w:w="874"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874"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74"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987" w:type="dxa"/>
            <w:tcBorders>
              <w:top w:val="nil"/>
              <w:left w:val="nil"/>
              <w:bottom w:val="nil"/>
              <w:right w:val="nil"/>
              <w:tl2br w:val="nil"/>
              <w:tr2bl w:val="nil"/>
            </w:tcBorders>
            <w:shd w:val="solid" w:color="016794"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Общо</w:t>
            </w:r>
          </w:p>
        </w:tc>
      </w:tr>
      <w:tr>
        <w:trPr>
          <w:trHeight w:val="340"/>
        </w:trPr>
        <w:tc>
          <w:tcPr>
            <w:tcW w:w="875"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p>
        </w:tc>
        <w:tc>
          <w:tcPr>
            <w:tcW w:w="2311"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p>
        </w:tc>
        <w:tc>
          <w:tcPr>
            <w:tcW w:w="985"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1</w:t>
            </w:r>
          </w:p>
        </w:tc>
        <w:tc>
          <w:tcPr>
            <w:tcW w:w="992"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2</w:t>
            </w:r>
          </w:p>
        </w:tc>
        <w:tc>
          <w:tcPr>
            <w:tcW w:w="676"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3</w:t>
            </w:r>
          </w:p>
        </w:tc>
        <w:tc>
          <w:tcPr>
            <w:tcW w:w="874"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4</w:t>
            </w:r>
          </w:p>
        </w:tc>
        <w:tc>
          <w:tcPr>
            <w:tcW w:w="874"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5=2+3</w:t>
            </w:r>
          </w:p>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+4</w:t>
            </w:r>
          </w:p>
        </w:tc>
        <w:tc>
          <w:tcPr>
            <w:tcW w:w="874"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6=5/1</w:t>
            </w:r>
          </w:p>
        </w:tc>
        <w:tc>
          <w:tcPr>
            <w:tcW w:w="874"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7</w:t>
            </w:r>
          </w:p>
        </w:tc>
        <w:tc>
          <w:tcPr>
            <w:tcW w:w="874"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8</w:t>
            </w:r>
          </w:p>
        </w:tc>
        <w:tc>
          <w:tcPr>
            <w:tcW w:w="874"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9=7+8</w:t>
            </w:r>
          </w:p>
        </w:tc>
        <w:tc>
          <w:tcPr>
            <w:tcW w:w="874"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10</w:t>
            </w:r>
          </w:p>
        </w:tc>
        <w:tc>
          <w:tcPr>
            <w:tcW w:w="874"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11</w:t>
            </w:r>
          </w:p>
        </w:tc>
        <w:tc>
          <w:tcPr>
            <w:tcW w:w="874"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12</w:t>
            </w:r>
          </w:p>
        </w:tc>
        <w:tc>
          <w:tcPr>
            <w:tcW w:w="987" w:type="dxa"/>
            <w:tcBorders>
              <w:top w:val="nil"/>
              <w:left w:val="nil"/>
              <w:bottom w:val="nil"/>
              <w:right w:val="nil"/>
              <w:tl2br w:val="nil"/>
              <w:tr2bl w:val="nil"/>
            </w:tcBorders>
            <w:shd w:val="solid" w:color="3487A9" w:fill="FFFFFF"/>
            <w:tcMar>
              <w:left w:w="60" w:type="dxa"/>
              <w:right w:w="60" w:type="dxa"/>
            </w:tcMar>
            <w:vAlign w:val="center"/>
          </w:tcPr>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13=10+</w:t>
            </w:r>
          </w:p>
          <w:p>
            <w:pPr>
              <w:pStyle w:val="DMETW19857BIPMFF2ImplementCommitments"/>
              <w:jc w:val="center"/>
              <w:rPr>
                <w:rFonts w:ascii="Verdana" w:eastAsia="Verdana" w:hAnsi="Verdana" w:cs="Verdana"/>
                <w:noProof/>
                <w:color w:val="FFFFFF"/>
                <w:sz w:val="16"/>
              </w:rPr>
            </w:pPr>
            <w:r>
              <w:rPr>
                <w:rFonts w:ascii="Verdana" w:hAnsi="Verdana"/>
                <w:noProof/>
                <w:color w:val="FFFFFF"/>
                <w:sz w:val="16"/>
              </w:rPr>
              <w:t>11+12</w:t>
            </w:r>
          </w:p>
        </w:tc>
      </w:tr>
      <w:tr>
        <w:trPr>
          <w:trHeight w:val="340"/>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1</w:t>
            </w: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90 870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83 890</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520</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5 152</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89 563</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1 219</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22</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1 241</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59</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65</w:t>
            </w:r>
          </w:p>
        </w:tc>
      </w:tr>
      <w:tr>
        <w:trPr>
          <w:trHeight w:val="408"/>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i/>
                <w:noProof/>
                <w:color w:val="000000"/>
                <w:sz w:val="16"/>
              </w:rPr>
            </w:pP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30 287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25 254</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4 058</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29 315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97 %</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954</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14</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967</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0</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5</w:t>
            </w:r>
          </w:p>
        </w:tc>
      </w:tr>
      <w:tr>
        <w:trPr>
          <w:trHeight w:val="557"/>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i/>
                <w:noProof/>
                <w:color w:val="000000"/>
                <w:sz w:val="16"/>
              </w:rPr>
            </w:pP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60 582</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58 636</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518</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1 095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60 248</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99 %</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265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8</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274</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1</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59</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60</w:t>
            </w:r>
          </w:p>
        </w:tc>
      </w:tr>
      <w:tr>
        <w:trPr>
          <w:trHeight w:val="340"/>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2</w:t>
            </w: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62 730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59 475</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463</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886</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60 823</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445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475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920</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976</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986</w:t>
            </w:r>
          </w:p>
        </w:tc>
      </w:tr>
      <w:tr>
        <w:trPr>
          <w:trHeight w:val="340"/>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i/>
                <w:noProof/>
                <w:color w:val="000000"/>
                <w:sz w:val="16"/>
              </w:rPr>
            </w:pP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i/>
                <w:noProof/>
                <w:color w:val="000000"/>
                <w:sz w:val="16"/>
              </w:rPr>
            </w:pPr>
            <w:r>
              <w:rPr>
                <w:rFonts w:ascii="Verdana" w:hAnsi="Verdana"/>
                <w:i/>
                <w:noProof/>
                <w:color w:val="000000"/>
                <w:sz w:val="16"/>
              </w:rPr>
              <w:t>от които: разходи, свързани с пазара, и преки плащания</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44 855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42 979</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463</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873</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44 315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99 %</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56</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475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531</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4</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0</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9</w:t>
            </w:r>
          </w:p>
        </w:tc>
      </w:tr>
      <w:tr>
        <w:trPr>
          <w:trHeight w:val="340"/>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3</w:t>
            </w: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8 152</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7 152</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550</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7 702</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450</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450</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97"/>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4</w:t>
            </w: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Глобална Европа</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12 240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11 349</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47</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555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11 950</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288</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288</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283"/>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5</w:t>
            </w: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Администрация</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11 108</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10 009</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540</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10 548</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291</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85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376</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178</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184</w:t>
            </w:r>
          </w:p>
        </w:tc>
      </w:tr>
      <w:tr>
        <w:trPr>
          <w:trHeight w:val="340"/>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i/>
                <w:noProof/>
                <w:color w:val="000000"/>
                <w:sz w:val="16"/>
              </w:rPr>
            </w:pP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i/>
                <w:noProof/>
                <w:color w:val="000000"/>
                <w:sz w:val="16"/>
              </w:rPr>
            </w:pPr>
            <w:r>
              <w:rPr>
                <w:rFonts w:ascii="Verdana" w:hAnsi="Verdana"/>
                <w:i/>
                <w:noProof/>
                <w:color w:val="000000"/>
                <w:sz w:val="16"/>
              </w:rPr>
              <w:t>от които: административни разходи на институциите</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4 667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4 024</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294</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4 319</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93 %</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142</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85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226</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116</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0</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6</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i/>
                <w:noProof/>
                <w:color w:val="000000"/>
                <w:sz w:val="16"/>
              </w:rPr>
            </w:pPr>
            <w:r>
              <w:rPr>
                <w:rFonts w:ascii="Verdana" w:hAnsi="Verdana"/>
                <w:i/>
                <w:noProof/>
                <w:color w:val="000000"/>
                <w:sz w:val="16"/>
              </w:rPr>
              <w:t xml:space="preserve"> 122</w:t>
            </w:r>
          </w:p>
        </w:tc>
      </w:tr>
      <w:tr>
        <w:trPr>
          <w:trHeight w:val="397"/>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6</w:t>
            </w: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Компенсации</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8</w:t>
            </w: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 xml:space="preserve">Отрицателен резерв и дефицит, пренесени от предходната финансова година </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97"/>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9</w:t>
            </w: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Специални инструменти</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1 306</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1 059</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49</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1 108</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85 %</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177</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185</w:t>
            </w:r>
          </w:p>
        </w:tc>
      </w:tr>
      <w:tr>
        <w:trPr>
          <w:trHeight w:val="340"/>
        </w:trPr>
        <w:tc>
          <w:tcPr>
            <w:tcW w:w="87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O</w:t>
            </w:r>
          </w:p>
        </w:tc>
        <w:tc>
          <w:tcPr>
            <w:tcW w:w="2311"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rPr>
                <w:rFonts w:ascii="Verdana" w:eastAsia="Verdana" w:hAnsi="Verdana" w:cs="Verdana"/>
                <w:noProof/>
                <w:color w:val="000000"/>
                <w:sz w:val="16"/>
              </w:rPr>
            </w:pPr>
            <w:r>
              <w:rPr>
                <w:rFonts w:ascii="Verdana" w:hAnsi="Verdana"/>
                <w:noProof/>
                <w:color w:val="000000"/>
                <w:sz w:val="16"/>
              </w:rPr>
              <w:t>Фонд за иновации (ФИ)</w:t>
            </w:r>
          </w:p>
        </w:tc>
        <w:tc>
          <w:tcPr>
            <w:tcW w:w="985"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1 337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676"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 xml:space="preserve"> 0 %</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1 332</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1 332</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874"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c>
          <w:tcPr>
            <w:tcW w:w="987" w:type="dxa"/>
            <w:tcBorders>
              <w:top w:val="nil"/>
              <w:left w:val="nil"/>
              <w:bottom w:val="nil"/>
              <w:right w:val="nil"/>
              <w:tl2br w:val="nil"/>
              <w:tr2bl w:val="nil"/>
            </w:tcBorders>
            <w:shd w:val="clear" w:color="auto" w:fill="auto"/>
            <w:tcMar>
              <w:left w:w="60" w:type="dxa"/>
              <w:right w:w="60" w:type="dxa"/>
            </w:tcMar>
            <w:vAlign w:val="center"/>
          </w:tcPr>
          <w:p>
            <w:pPr>
              <w:pStyle w:val="DMETW19857BIP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875"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rPr>
                <w:rFonts w:ascii="Verdana" w:eastAsia="Verdana" w:hAnsi="Verdana" w:cs="Verdana"/>
                <w:b/>
                <w:noProof/>
                <w:color w:val="000000"/>
                <w:sz w:val="16"/>
              </w:rPr>
            </w:pPr>
          </w:p>
        </w:tc>
        <w:tc>
          <w:tcPr>
            <w:tcW w:w="2311"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rPr>
                <w:rFonts w:ascii="Verdana" w:eastAsia="Verdana" w:hAnsi="Verdana" w:cs="Verdana"/>
                <w:b/>
                <w:noProof/>
                <w:color w:val="000000"/>
                <w:sz w:val="16"/>
              </w:rPr>
            </w:pPr>
            <w:r>
              <w:rPr>
                <w:rFonts w:ascii="Verdana" w:hAnsi="Verdana"/>
                <w:b/>
                <w:noProof/>
                <w:color w:val="000000"/>
                <w:sz w:val="16"/>
              </w:rPr>
              <w:t>Общо</w:t>
            </w:r>
          </w:p>
        </w:tc>
        <w:tc>
          <w:tcPr>
            <w:tcW w:w="985"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187 742</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172 933</w:t>
            </w:r>
          </w:p>
        </w:tc>
        <w:tc>
          <w:tcPr>
            <w:tcW w:w="676"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1 078</w:t>
            </w:r>
          </w:p>
        </w:tc>
        <w:tc>
          <w:tcPr>
            <w:tcW w:w="874"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7 688</w:t>
            </w:r>
          </w:p>
        </w:tc>
        <w:tc>
          <w:tcPr>
            <w:tcW w:w="874"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181 699</w:t>
            </w:r>
          </w:p>
        </w:tc>
        <w:tc>
          <w:tcPr>
            <w:tcW w:w="874" w:type="dxa"/>
            <w:tcBorders>
              <w:top w:val="nil"/>
              <w:left w:val="nil"/>
              <w:bottom w:val="nil"/>
              <w:right w:val="nil"/>
              <w:tl2br w:val="nil"/>
              <w:tr2bl w:val="nil"/>
            </w:tcBorders>
            <w:shd w:val="solid" w:color="CCE1EB"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97 %</w:t>
            </w:r>
          </w:p>
        </w:tc>
        <w:tc>
          <w:tcPr>
            <w:tcW w:w="874"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4 038</w:t>
            </w:r>
          </w:p>
        </w:tc>
        <w:tc>
          <w:tcPr>
            <w:tcW w:w="874"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 xml:space="preserve"> 582</w:t>
            </w:r>
          </w:p>
        </w:tc>
        <w:tc>
          <w:tcPr>
            <w:tcW w:w="874"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4 620</w:t>
            </w:r>
          </w:p>
        </w:tc>
        <w:tc>
          <w:tcPr>
            <w:tcW w:w="874"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 xml:space="preserve"> 369</w:t>
            </w:r>
          </w:p>
        </w:tc>
        <w:tc>
          <w:tcPr>
            <w:tcW w:w="874"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 xml:space="preserve"> 4</w:t>
            </w:r>
          </w:p>
        </w:tc>
        <w:tc>
          <w:tcPr>
            <w:tcW w:w="874"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1 050</w:t>
            </w:r>
          </w:p>
        </w:tc>
        <w:tc>
          <w:tcPr>
            <w:tcW w:w="987" w:type="dxa"/>
            <w:tcBorders>
              <w:top w:val="nil"/>
              <w:left w:val="nil"/>
              <w:bottom w:val="nil"/>
              <w:right w:val="nil"/>
              <w:tl2br w:val="nil"/>
              <w:tr2bl w:val="nil"/>
            </w:tcBorders>
            <w:shd w:val="solid" w:color="CCE1EA" w:fill="FFFFFF"/>
            <w:tcMar>
              <w:left w:w="60" w:type="dxa"/>
              <w:right w:w="60" w:type="dxa"/>
            </w:tcMar>
            <w:vAlign w:val="center"/>
          </w:tcPr>
          <w:p>
            <w:pPr>
              <w:pStyle w:val="DMETW19857BIPMFF2ImplementCommitments"/>
              <w:jc w:val="right"/>
              <w:rPr>
                <w:rFonts w:ascii="Verdana" w:eastAsia="Verdana" w:hAnsi="Verdana" w:cs="Verdana"/>
                <w:b/>
                <w:noProof/>
                <w:color w:val="000000"/>
                <w:sz w:val="16"/>
              </w:rPr>
            </w:pPr>
            <w:r>
              <w:rPr>
                <w:rFonts w:ascii="Verdana" w:hAnsi="Verdana"/>
                <w:b/>
                <w:noProof/>
                <w:color w:val="000000"/>
                <w:sz w:val="16"/>
              </w:rPr>
              <w:t>1 423</w:t>
            </w:r>
          </w:p>
        </w:tc>
      </w:tr>
    </w:tbl>
    <w:p>
      <w:pPr>
        <w:pStyle w:val="Textstand-alone"/>
      </w:pPr>
    </w:p>
    <w:p>
      <w:pPr>
        <w:pStyle w:val="DGTextstand-alone"/>
        <w:sectPr>
          <w:headerReference w:type="even" r:id="rId350"/>
          <w:headerReference w:type="default" r:id="rId351"/>
          <w:footerReference w:type="even" r:id="rId352"/>
          <w:footerReference w:type="default" r:id="rId353"/>
          <w:headerReference w:type="first" r:id="rId354"/>
          <w:footerReference w:type="first" r:id="rId355"/>
          <w:type w:val="nextColumn"/>
          <w:pgSz w:w="16840" w:h="11900" w:orient="landscape"/>
          <w:pgMar w:top="1134" w:right="1134" w:bottom="1134" w:left="1134" w:header="720" w:footer="720" w:gutter="0"/>
          <w:cols w:space="720"/>
          <w:docGrid w:linePitch="272"/>
        </w:sectPr>
      </w:pPr>
    </w:p>
    <w:p>
      <w:pPr>
        <w:pStyle w:val="HEADER2PartBUDG"/>
        <w:numPr>
          <w:ilvl w:val="1"/>
          <w:numId w:val="15"/>
        </w:numPr>
        <w:spacing w:before="120" w:after="0"/>
        <w:ind w:left="357" w:hanging="357"/>
        <w:rPr>
          <w:noProof/>
        </w:rPr>
      </w:pPr>
      <w:bookmarkStart w:id="255" w:name="_Toc75518140"/>
      <w:r>
        <w:rPr>
          <w:noProof/>
        </w:rPr>
        <w:t>МФР: ИЗПЪЛНЕНИЕ НА БЮДЖЕТНИТЕ КРЕДИТИ ЗА ПЛАЩАНИЯ</w:t>
      </w:r>
      <w:bookmarkEnd w:id="255"/>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0"/>
        <w:gridCol w:w="1855"/>
        <w:gridCol w:w="1031"/>
        <w:gridCol w:w="992"/>
        <w:gridCol w:w="709"/>
        <w:gridCol w:w="850"/>
        <w:gridCol w:w="993"/>
        <w:gridCol w:w="708"/>
        <w:gridCol w:w="851"/>
        <w:gridCol w:w="850"/>
        <w:gridCol w:w="851"/>
        <w:gridCol w:w="771"/>
        <w:gridCol w:w="861"/>
        <w:gridCol w:w="861"/>
        <w:gridCol w:w="861"/>
        <w:gridCol w:w="897"/>
      </w:tblGrid>
      <w:tr>
        <w:trPr>
          <w:trHeight w:val="340"/>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bookmarkStart w:id="256" w:name="DOC_TBL00109_1_1"/>
            <w:bookmarkEnd w:id="256"/>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p>
        </w:tc>
        <w:tc>
          <w:tcPr>
            <w:tcW w:w="1758" w:type="dxa"/>
            <w:gridSpan w:val="2"/>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милиони евро</w:t>
            </w:r>
          </w:p>
        </w:tc>
      </w:tr>
      <w:tr>
        <w:trPr>
          <w:trHeight w:val="340"/>
        </w:trPr>
        <w:tc>
          <w:tcPr>
            <w:tcW w:w="860"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b/>
                <w:noProof/>
                <w:color w:val="FFFFFF"/>
                <w:spacing w:val="-6"/>
                <w:sz w:val="16"/>
              </w:rPr>
            </w:pPr>
          </w:p>
        </w:tc>
        <w:tc>
          <w:tcPr>
            <w:tcW w:w="1855"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b/>
                <w:noProof/>
                <w:color w:val="FFFFFF"/>
                <w:spacing w:val="-6"/>
                <w:sz w:val="16"/>
              </w:rPr>
            </w:pPr>
          </w:p>
        </w:tc>
        <w:tc>
          <w:tcPr>
            <w:tcW w:w="1031"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b/>
                <w:noProof/>
                <w:color w:val="FFFFFF"/>
                <w:spacing w:val="-6"/>
                <w:sz w:val="16"/>
              </w:rPr>
            </w:pPr>
            <w:r>
              <w:rPr>
                <w:rFonts w:ascii="Verdana" w:hAnsi="Verdana"/>
                <w:b/>
                <w:noProof/>
                <w:color w:val="FFFFFF"/>
                <w:spacing w:val="-6"/>
                <w:sz w:val="16"/>
              </w:rPr>
              <w:t>Общо</w:t>
            </w:r>
          </w:p>
          <w:p>
            <w:pPr>
              <w:pStyle w:val="DMETW19857BIPMFF3ImplementPayments"/>
              <w:jc w:val="center"/>
              <w:rPr>
                <w:rFonts w:ascii="Verdana" w:eastAsia="Verdana" w:hAnsi="Verdana" w:cs="Verdana"/>
                <w:b/>
                <w:noProof/>
                <w:color w:val="FFFFFF"/>
                <w:spacing w:val="-6"/>
                <w:sz w:val="16"/>
              </w:rPr>
            </w:pPr>
            <w:r>
              <w:rPr>
                <w:rFonts w:ascii="Verdana" w:hAnsi="Verdana"/>
                <w:b/>
                <w:noProof/>
                <w:color w:val="FFFFFF"/>
                <w:spacing w:val="-6"/>
                <w:sz w:val="16"/>
              </w:rPr>
              <w:t>налични</w:t>
            </w:r>
          </w:p>
          <w:p>
            <w:pPr>
              <w:pStyle w:val="DMETW19857BIPMFF3ImplementPayments"/>
              <w:jc w:val="center"/>
              <w:rPr>
                <w:rFonts w:ascii="Verdana" w:eastAsia="Verdana" w:hAnsi="Verdana" w:cs="Verdana"/>
                <w:b/>
                <w:noProof/>
                <w:color w:val="FFFFFF"/>
                <w:spacing w:val="-6"/>
                <w:sz w:val="16"/>
              </w:rPr>
            </w:pPr>
            <w:r>
              <w:rPr>
                <w:rFonts w:ascii="Verdana" w:hAnsi="Verdana"/>
                <w:b/>
                <w:noProof/>
                <w:color w:val="FFFFFF"/>
                <w:spacing w:val="-6"/>
                <w:sz w:val="16"/>
              </w:rPr>
              <w:t>бюджетни кредити</w:t>
            </w:r>
          </w:p>
        </w:tc>
        <w:tc>
          <w:tcPr>
            <w:tcW w:w="4252"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b/>
                <w:noProof/>
                <w:color w:val="FFFFFF"/>
                <w:spacing w:val="-6"/>
                <w:sz w:val="16"/>
              </w:rPr>
            </w:pPr>
            <w:r>
              <w:rPr>
                <w:rFonts w:ascii="Verdana" w:hAnsi="Verdana"/>
                <w:b/>
                <w:noProof/>
                <w:color w:val="FFFFFF"/>
                <w:spacing w:val="-6"/>
                <w:sz w:val="16"/>
              </w:rPr>
              <w:t>Извършени плащания</w:t>
            </w:r>
          </w:p>
        </w:tc>
        <w:tc>
          <w:tcPr>
            <w:tcW w:w="3323"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b/>
                <w:noProof/>
                <w:color w:val="FFFFFF"/>
                <w:spacing w:val="-18"/>
                <w:sz w:val="16"/>
              </w:rPr>
            </w:pPr>
            <w:r>
              <w:rPr>
                <w:rFonts w:ascii="Verdana" w:hAnsi="Verdana"/>
                <w:b/>
                <w:noProof/>
                <w:color w:val="FFFFFF"/>
                <w:spacing w:val="-18"/>
                <w:sz w:val="16"/>
              </w:rPr>
              <w:t>Бюджетни кредити, пренесени за 2021 г.</w:t>
            </w:r>
          </w:p>
        </w:tc>
        <w:tc>
          <w:tcPr>
            <w:tcW w:w="3480"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b/>
                <w:noProof/>
                <w:color w:val="FFFFFF"/>
                <w:spacing w:val="-6"/>
                <w:sz w:val="16"/>
              </w:rPr>
            </w:pPr>
            <w:r>
              <w:rPr>
                <w:rFonts w:ascii="Verdana" w:hAnsi="Verdana"/>
                <w:b/>
                <w:noProof/>
                <w:color w:val="FFFFFF"/>
                <w:spacing w:val="-6"/>
                <w:sz w:val="16"/>
              </w:rPr>
              <w:t>Бюджетни кредити, които губят сила</w:t>
            </w:r>
          </w:p>
        </w:tc>
      </w:tr>
      <w:tr>
        <w:trPr>
          <w:trHeight w:val="340"/>
        </w:trPr>
        <w:tc>
          <w:tcPr>
            <w:tcW w:w="860"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p>
        </w:tc>
        <w:tc>
          <w:tcPr>
            <w:tcW w:w="1855"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Функция от МФР</w:t>
            </w:r>
          </w:p>
        </w:tc>
        <w:tc>
          <w:tcPr>
            <w:tcW w:w="1031"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b/>
                <w:noProof/>
                <w:color w:val="FFFFFF"/>
                <w:spacing w:val="-6"/>
                <w:sz w:val="16"/>
              </w:rPr>
            </w:pP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от окончателния приет бюджет</w:t>
            </w:r>
          </w:p>
        </w:tc>
        <w:tc>
          <w:tcPr>
            <w:tcW w:w="709"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от пренасяния</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от целеви приходи</w:t>
            </w:r>
          </w:p>
        </w:tc>
        <w:tc>
          <w:tcPr>
            <w:tcW w:w="993"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Общо</w:t>
            </w:r>
          </w:p>
        </w:tc>
        <w:tc>
          <w:tcPr>
            <w:tcW w:w="708"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w:t>
            </w:r>
          </w:p>
        </w:tc>
        <w:tc>
          <w:tcPr>
            <w:tcW w:w="851"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автоматични пренасяния</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пренасяния с решение</w:t>
            </w:r>
          </w:p>
        </w:tc>
        <w:tc>
          <w:tcPr>
            <w:tcW w:w="851"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18"/>
                <w:sz w:val="16"/>
              </w:rPr>
            </w:pPr>
            <w:r>
              <w:rPr>
                <w:rFonts w:ascii="Verdana" w:hAnsi="Verdana"/>
                <w:noProof/>
                <w:color w:val="FFFFFF"/>
                <w:spacing w:val="-18"/>
                <w:sz w:val="16"/>
              </w:rPr>
              <w:t>целеви приходи</w:t>
            </w:r>
          </w:p>
        </w:tc>
        <w:tc>
          <w:tcPr>
            <w:tcW w:w="771"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Общо</w:t>
            </w:r>
          </w:p>
        </w:tc>
        <w:tc>
          <w:tcPr>
            <w:tcW w:w="861"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от окончателния приет бюджет</w:t>
            </w:r>
          </w:p>
        </w:tc>
        <w:tc>
          <w:tcPr>
            <w:tcW w:w="861"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от пренасяния</w:t>
            </w:r>
          </w:p>
        </w:tc>
        <w:tc>
          <w:tcPr>
            <w:tcW w:w="861"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от целеви приходи</w:t>
            </w:r>
          </w:p>
        </w:tc>
        <w:tc>
          <w:tcPr>
            <w:tcW w:w="897" w:type="dxa"/>
            <w:tcBorders>
              <w:top w:val="nil"/>
              <w:left w:val="nil"/>
              <w:bottom w:val="nil"/>
              <w:right w:val="nil"/>
              <w:tl2br w:val="nil"/>
              <w:tr2bl w:val="nil"/>
            </w:tcBorders>
            <w:shd w:val="solid" w:color="016794"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Общо</w:t>
            </w:r>
          </w:p>
        </w:tc>
      </w:tr>
      <w:tr>
        <w:trPr>
          <w:trHeight w:val="340"/>
        </w:trPr>
        <w:tc>
          <w:tcPr>
            <w:tcW w:w="860"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p>
        </w:tc>
        <w:tc>
          <w:tcPr>
            <w:tcW w:w="1855"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p>
        </w:tc>
        <w:tc>
          <w:tcPr>
            <w:tcW w:w="1031"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1</w:t>
            </w:r>
          </w:p>
        </w:tc>
        <w:tc>
          <w:tcPr>
            <w:tcW w:w="992"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2</w:t>
            </w:r>
          </w:p>
        </w:tc>
        <w:tc>
          <w:tcPr>
            <w:tcW w:w="709"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3</w:t>
            </w:r>
          </w:p>
        </w:tc>
        <w:tc>
          <w:tcPr>
            <w:tcW w:w="850"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4</w:t>
            </w:r>
          </w:p>
        </w:tc>
        <w:tc>
          <w:tcPr>
            <w:tcW w:w="993"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5=2+</w:t>
            </w:r>
          </w:p>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3+4</w:t>
            </w:r>
          </w:p>
        </w:tc>
        <w:tc>
          <w:tcPr>
            <w:tcW w:w="708"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6=5/1</w:t>
            </w:r>
          </w:p>
        </w:tc>
        <w:tc>
          <w:tcPr>
            <w:tcW w:w="851"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7</w:t>
            </w:r>
          </w:p>
        </w:tc>
        <w:tc>
          <w:tcPr>
            <w:tcW w:w="850"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8</w:t>
            </w:r>
          </w:p>
        </w:tc>
        <w:tc>
          <w:tcPr>
            <w:tcW w:w="851"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9</w:t>
            </w:r>
          </w:p>
        </w:tc>
        <w:tc>
          <w:tcPr>
            <w:tcW w:w="771"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10=7+</w:t>
            </w:r>
          </w:p>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8+9</w:t>
            </w:r>
          </w:p>
        </w:tc>
        <w:tc>
          <w:tcPr>
            <w:tcW w:w="861"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11</w:t>
            </w:r>
          </w:p>
        </w:tc>
        <w:tc>
          <w:tcPr>
            <w:tcW w:w="861"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12</w:t>
            </w:r>
          </w:p>
        </w:tc>
        <w:tc>
          <w:tcPr>
            <w:tcW w:w="861"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13</w:t>
            </w:r>
          </w:p>
        </w:tc>
        <w:tc>
          <w:tcPr>
            <w:tcW w:w="897" w:type="dxa"/>
            <w:tcBorders>
              <w:top w:val="nil"/>
              <w:left w:val="nil"/>
              <w:bottom w:val="nil"/>
              <w:right w:val="nil"/>
              <w:tl2br w:val="nil"/>
              <w:tr2bl w:val="nil"/>
            </w:tcBorders>
            <w:shd w:val="solid" w:color="3487A9" w:fill="FFFFFF"/>
            <w:tcMar>
              <w:left w:w="60" w:type="dxa"/>
              <w:right w:w="60" w:type="dxa"/>
            </w:tcMar>
            <w:vAlign w:val="center"/>
          </w:tcPr>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14=11+</w:t>
            </w:r>
          </w:p>
          <w:p>
            <w:pPr>
              <w:pStyle w:val="DMETW19857BIPMFF3ImplementPayments"/>
              <w:jc w:val="center"/>
              <w:rPr>
                <w:rFonts w:ascii="Verdana" w:eastAsia="Verdana" w:hAnsi="Verdana" w:cs="Verdana"/>
                <w:noProof/>
                <w:color w:val="FFFFFF"/>
                <w:spacing w:val="-6"/>
                <w:sz w:val="16"/>
              </w:rPr>
            </w:pPr>
            <w:r>
              <w:rPr>
                <w:rFonts w:ascii="Verdana" w:hAnsi="Verdana"/>
                <w:noProof/>
                <w:color w:val="FFFFFF"/>
                <w:spacing w:val="-6"/>
                <w:sz w:val="16"/>
              </w:rPr>
              <w:t>12+13</w:t>
            </w:r>
          </w:p>
        </w:tc>
      </w:tr>
      <w:tr>
        <w:trPr>
          <w:trHeight w:val="340"/>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r>
              <w:rPr>
                <w:rFonts w:ascii="Verdana" w:hAnsi="Verdana"/>
                <w:noProof/>
                <w:color w:val="000000"/>
                <w:spacing w:val="-6"/>
                <w:sz w:val="16"/>
              </w:rPr>
              <w:t>1</w:t>
            </w: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8"/>
                <w:sz w:val="16"/>
              </w:rPr>
            </w:pPr>
            <w:r>
              <w:rPr>
                <w:rFonts w:ascii="Verdana" w:hAnsi="Verdana"/>
                <w:noProof/>
                <w:color w:val="000000"/>
                <w:spacing w:val="-8"/>
                <w:sz w:val="16"/>
              </w:rPr>
              <w:t>Интелигентен и приобщаващ растеж</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88 334</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77 097</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129</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6 316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83 541</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95 %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149</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12</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4 579</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4 740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21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23</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9</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53</w:t>
            </w:r>
          </w:p>
        </w:tc>
      </w:tr>
      <w:tr>
        <w:trPr>
          <w:trHeight w:val="340"/>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i/>
                <w:noProof/>
                <w:color w:val="000000"/>
                <w:spacing w:val="-6"/>
                <w:sz w:val="16"/>
              </w:rPr>
            </w:pP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i/>
                <w:noProof/>
                <w:color w:val="000000"/>
                <w:spacing w:val="-8"/>
                <w:sz w:val="16"/>
              </w:rPr>
            </w:pPr>
            <w:r>
              <w:rPr>
                <w:rFonts w:ascii="Verdana" w:hAnsi="Verdana"/>
                <w:i/>
                <w:noProof/>
                <w:color w:val="000000"/>
                <w:spacing w:val="-8"/>
                <w:sz w:val="16"/>
              </w:rPr>
              <w:t>1а: Конкурентоспособност за растеж и работни места</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28 726</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21 587</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118</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2 352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24 057</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84 %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134</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12</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4 474</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4 620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21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9</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49</w:t>
            </w:r>
          </w:p>
        </w:tc>
      </w:tr>
      <w:tr>
        <w:trPr>
          <w:trHeight w:val="529"/>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i/>
                <w:noProof/>
                <w:color w:val="000000"/>
                <w:spacing w:val="-6"/>
                <w:sz w:val="16"/>
              </w:rPr>
            </w:pP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i/>
                <w:noProof/>
                <w:color w:val="000000"/>
                <w:spacing w:val="-8"/>
                <w:sz w:val="16"/>
              </w:rPr>
            </w:pPr>
            <w:r>
              <w:rPr>
                <w:rFonts w:ascii="Verdana" w:hAnsi="Verdana"/>
                <w:i/>
                <w:noProof/>
                <w:color w:val="000000"/>
                <w:spacing w:val="-8"/>
                <w:sz w:val="16"/>
              </w:rPr>
              <w:t>1б: Икономическо, социално и териториално сближаване</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59 607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55 509</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11</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3 964</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59 484</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100 %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15</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105</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120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2</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0</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4</w:t>
            </w:r>
          </w:p>
        </w:tc>
      </w:tr>
      <w:tr>
        <w:trPr>
          <w:trHeight w:val="340"/>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r>
              <w:rPr>
                <w:rFonts w:ascii="Verdana" w:hAnsi="Verdana"/>
                <w:noProof/>
                <w:color w:val="000000"/>
                <w:spacing w:val="-6"/>
                <w:sz w:val="16"/>
              </w:rPr>
              <w:t>2</w:t>
            </w: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8"/>
                <w:sz w:val="16"/>
              </w:rPr>
            </w:pPr>
            <w:r>
              <w:rPr>
                <w:rFonts w:ascii="Verdana" w:hAnsi="Verdana"/>
                <w:noProof/>
                <w:color w:val="000000"/>
                <w:spacing w:val="-8"/>
                <w:sz w:val="16"/>
              </w:rPr>
              <w:t>Устойчив растеж: природни ресурси</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61 448</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58 263</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670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1 662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60 595</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99 %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24</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475</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338</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837</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0</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16</w:t>
            </w:r>
          </w:p>
        </w:tc>
      </w:tr>
      <w:tr>
        <w:trPr>
          <w:trHeight w:val="340"/>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i/>
                <w:noProof/>
                <w:color w:val="000000"/>
                <w:spacing w:val="-6"/>
                <w:sz w:val="16"/>
              </w:rPr>
            </w:pP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i/>
                <w:noProof/>
                <w:color w:val="000000"/>
                <w:spacing w:val="-8"/>
                <w:sz w:val="16"/>
              </w:rPr>
            </w:pPr>
            <w:r>
              <w:rPr>
                <w:rFonts w:ascii="Verdana" w:hAnsi="Verdana"/>
                <w:i/>
                <w:noProof/>
                <w:color w:val="000000"/>
                <w:spacing w:val="-8"/>
                <w:sz w:val="16"/>
              </w:rPr>
              <w:t>от които: разходи, свързани с пазара, и преки плащания</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45 018</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42 919</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664</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873</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44 456</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99 %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18</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475</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56</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548</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8</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0</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14</w:t>
            </w:r>
          </w:p>
        </w:tc>
      </w:tr>
      <w:tr>
        <w:trPr>
          <w:trHeight w:val="340"/>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r>
              <w:rPr>
                <w:rFonts w:ascii="Verdana" w:hAnsi="Verdana"/>
                <w:noProof/>
                <w:color w:val="000000"/>
                <w:spacing w:val="-6"/>
                <w:sz w:val="16"/>
              </w:rPr>
              <w:t>3</w:t>
            </w: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8"/>
                <w:sz w:val="16"/>
              </w:rPr>
            </w:pPr>
            <w:r>
              <w:rPr>
                <w:rFonts w:ascii="Verdana" w:hAnsi="Verdana"/>
                <w:noProof/>
                <w:color w:val="000000"/>
                <w:spacing w:val="-8"/>
                <w:sz w:val="16"/>
              </w:rPr>
              <w:t>Сигурност и гражданство</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7 331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5 896</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7</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430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6 333</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86 %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11</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381</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600</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991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2</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0</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7</w:t>
            </w:r>
          </w:p>
        </w:tc>
      </w:tr>
      <w:tr>
        <w:trPr>
          <w:trHeight w:val="340"/>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r>
              <w:rPr>
                <w:rFonts w:ascii="Verdana" w:hAnsi="Verdana"/>
                <w:noProof/>
                <w:color w:val="000000"/>
                <w:spacing w:val="-6"/>
                <w:sz w:val="16"/>
              </w:rPr>
              <w:t>4</w:t>
            </w: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8"/>
                <w:sz w:val="16"/>
              </w:rPr>
            </w:pPr>
            <w:r>
              <w:rPr>
                <w:rFonts w:ascii="Verdana" w:hAnsi="Verdana"/>
                <w:noProof/>
                <w:color w:val="000000"/>
                <w:spacing w:val="-8"/>
                <w:sz w:val="16"/>
              </w:rPr>
              <w:t>Глобална Европа</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11 928</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10 328</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35</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1 049</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11 412</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96 %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37</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17</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454</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508</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4</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4</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8</w:t>
            </w:r>
          </w:p>
        </w:tc>
      </w:tr>
      <w:tr>
        <w:trPr>
          <w:trHeight w:val="340"/>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r>
              <w:rPr>
                <w:rFonts w:ascii="Verdana" w:hAnsi="Verdana"/>
                <w:noProof/>
                <w:color w:val="000000"/>
                <w:spacing w:val="-6"/>
                <w:sz w:val="16"/>
              </w:rPr>
              <w:t>5</w:t>
            </w: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8"/>
                <w:sz w:val="16"/>
              </w:rPr>
            </w:pPr>
            <w:r>
              <w:rPr>
                <w:rFonts w:ascii="Verdana" w:hAnsi="Verdana"/>
                <w:noProof/>
                <w:color w:val="000000"/>
                <w:spacing w:val="-8"/>
                <w:sz w:val="16"/>
              </w:rPr>
              <w:t>Администрация</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11 941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9 111</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748</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460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10 319</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86 %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895</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85</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375</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1 355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182</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80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5</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266</w:t>
            </w:r>
          </w:p>
        </w:tc>
      </w:tr>
      <w:tr>
        <w:trPr>
          <w:trHeight w:val="340"/>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i/>
                <w:noProof/>
                <w:color w:val="000000"/>
                <w:spacing w:val="-6"/>
                <w:sz w:val="16"/>
              </w:rPr>
            </w:pP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i/>
                <w:noProof/>
                <w:color w:val="000000"/>
                <w:spacing w:val="-8"/>
                <w:sz w:val="16"/>
              </w:rPr>
            </w:pPr>
            <w:r>
              <w:rPr>
                <w:rFonts w:ascii="Verdana" w:hAnsi="Verdana"/>
                <w:i/>
                <w:noProof/>
                <w:color w:val="000000"/>
                <w:spacing w:val="-8"/>
                <w:sz w:val="16"/>
              </w:rPr>
              <w:t>от които: административни разходи на институциите</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5 168</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3 435</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440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258</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4 134</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80 %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585</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85</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182</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852</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120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59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3</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i/>
                <w:noProof/>
                <w:color w:val="000000"/>
                <w:spacing w:val="-6"/>
                <w:sz w:val="16"/>
              </w:rPr>
            </w:pPr>
            <w:r>
              <w:rPr>
                <w:rFonts w:ascii="Verdana" w:hAnsi="Verdana"/>
                <w:i/>
                <w:noProof/>
                <w:color w:val="000000"/>
                <w:spacing w:val="-6"/>
                <w:sz w:val="16"/>
              </w:rPr>
              <w:t xml:space="preserve"> 182</w:t>
            </w:r>
          </w:p>
        </w:tc>
      </w:tr>
      <w:tr>
        <w:trPr>
          <w:trHeight w:val="340"/>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r>
              <w:rPr>
                <w:rFonts w:ascii="Verdana" w:hAnsi="Verdana"/>
                <w:noProof/>
                <w:color w:val="000000"/>
                <w:spacing w:val="-6"/>
                <w:sz w:val="16"/>
              </w:rPr>
              <w:t>6</w:t>
            </w: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8"/>
                <w:sz w:val="16"/>
              </w:rPr>
            </w:pPr>
            <w:r>
              <w:rPr>
                <w:rFonts w:ascii="Verdana" w:hAnsi="Verdana"/>
                <w:noProof/>
                <w:color w:val="000000"/>
                <w:spacing w:val="-8"/>
                <w:sz w:val="16"/>
              </w:rPr>
              <w:t>Компенсации</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r>
      <w:tr>
        <w:trPr>
          <w:trHeight w:val="340"/>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r>
              <w:rPr>
                <w:rFonts w:ascii="Verdana" w:hAnsi="Verdana"/>
                <w:noProof/>
                <w:color w:val="000000"/>
                <w:spacing w:val="-6"/>
                <w:sz w:val="16"/>
              </w:rPr>
              <w:t>8</w:t>
            </w: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8"/>
                <w:sz w:val="16"/>
              </w:rPr>
            </w:pPr>
            <w:r>
              <w:rPr>
                <w:rFonts w:ascii="Verdana" w:hAnsi="Verdana"/>
                <w:noProof/>
                <w:color w:val="000000"/>
                <w:spacing w:val="-8"/>
                <w:sz w:val="16"/>
              </w:rPr>
              <w:t xml:space="preserve">Отрицателен резерв и дефицит, пренесени от предходната финансова година </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r>
      <w:tr>
        <w:trPr>
          <w:trHeight w:val="284"/>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r>
              <w:rPr>
                <w:rFonts w:ascii="Verdana" w:hAnsi="Verdana"/>
                <w:noProof/>
                <w:color w:val="000000"/>
                <w:spacing w:val="-6"/>
                <w:sz w:val="16"/>
              </w:rPr>
              <w:t>9</w:t>
            </w: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8"/>
                <w:sz w:val="16"/>
              </w:rPr>
            </w:pPr>
            <w:r>
              <w:rPr>
                <w:rFonts w:ascii="Verdana" w:hAnsi="Verdana"/>
                <w:noProof/>
                <w:color w:val="000000"/>
                <w:spacing w:val="-8"/>
                <w:sz w:val="16"/>
              </w:rPr>
              <w:t>Специални инструменти</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1 128</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1 106</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1 108</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98 %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0</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13</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13</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6</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6</w:t>
            </w:r>
          </w:p>
        </w:tc>
      </w:tr>
      <w:tr>
        <w:trPr>
          <w:trHeight w:val="284"/>
        </w:trPr>
        <w:tc>
          <w:tcPr>
            <w:tcW w:w="86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6"/>
                <w:sz w:val="16"/>
              </w:rPr>
            </w:pPr>
            <w:r>
              <w:rPr>
                <w:rFonts w:ascii="Verdana" w:hAnsi="Verdana"/>
                <w:noProof/>
                <w:color w:val="000000"/>
                <w:spacing w:val="-6"/>
                <w:sz w:val="16"/>
              </w:rPr>
              <w:t>O</w:t>
            </w:r>
          </w:p>
        </w:tc>
        <w:tc>
          <w:tcPr>
            <w:tcW w:w="1855"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rPr>
                <w:rFonts w:ascii="Verdana" w:eastAsia="Verdana" w:hAnsi="Verdana" w:cs="Verdana"/>
                <w:noProof/>
                <w:color w:val="000000"/>
                <w:spacing w:val="-8"/>
                <w:sz w:val="16"/>
              </w:rPr>
            </w:pPr>
            <w:r>
              <w:rPr>
                <w:rFonts w:ascii="Verdana" w:hAnsi="Verdana"/>
                <w:noProof/>
                <w:color w:val="000000"/>
                <w:spacing w:val="-8"/>
                <w:sz w:val="16"/>
              </w:rPr>
              <w:t>Фонд за иновации (ФИ)</w:t>
            </w:r>
          </w:p>
        </w:tc>
        <w:tc>
          <w:tcPr>
            <w:tcW w:w="103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1 337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709"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1</w:t>
            </w:r>
          </w:p>
        </w:tc>
        <w:tc>
          <w:tcPr>
            <w:tcW w:w="708"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 xml:space="preserve"> 0 %</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1 336</w:t>
            </w:r>
          </w:p>
        </w:tc>
        <w:tc>
          <w:tcPr>
            <w:tcW w:w="77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1 336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c>
          <w:tcPr>
            <w:tcW w:w="897" w:type="dxa"/>
            <w:tcBorders>
              <w:top w:val="nil"/>
              <w:left w:val="nil"/>
              <w:bottom w:val="nil"/>
              <w:right w:val="nil"/>
              <w:tl2br w:val="nil"/>
              <w:tr2bl w:val="nil"/>
            </w:tcBorders>
            <w:shd w:val="clear" w:color="auto" w:fill="auto"/>
            <w:tcMar>
              <w:left w:w="60" w:type="dxa"/>
              <w:right w:w="60" w:type="dxa"/>
            </w:tcMar>
            <w:vAlign w:val="center"/>
          </w:tcPr>
          <w:p>
            <w:pPr>
              <w:pStyle w:val="DMETW19857BIPMFF3ImplementPayments"/>
              <w:jc w:val="right"/>
              <w:rPr>
                <w:rFonts w:ascii="Verdana" w:eastAsia="Verdana" w:hAnsi="Verdana" w:cs="Verdana"/>
                <w:noProof/>
                <w:color w:val="000000"/>
                <w:spacing w:val="-6"/>
                <w:sz w:val="16"/>
              </w:rPr>
            </w:pPr>
            <w:r>
              <w:rPr>
                <w:rFonts w:ascii="Verdana" w:hAnsi="Verdana"/>
                <w:noProof/>
                <w:color w:val="000000"/>
                <w:spacing w:val="-6"/>
                <w:sz w:val="16"/>
              </w:rPr>
              <w:t>–</w:t>
            </w:r>
          </w:p>
        </w:tc>
      </w:tr>
      <w:tr>
        <w:trPr>
          <w:trHeight w:val="284"/>
        </w:trPr>
        <w:tc>
          <w:tcPr>
            <w:tcW w:w="860"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rPr>
                <w:rFonts w:ascii="Verdana" w:eastAsia="Verdana" w:hAnsi="Verdana" w:cs="Verdana"/>
                <w:b/>
                <w:noProof/>
                <w:color w:val="000000"/>
                <w:spacing w:val="-6"/>
                <w:sz w:val="16"/>
              </w:rPr>
            </w:pPr>
          </w:p>
        </w:tc>
        <w:tc>
          <w:tcPr>
            <w:tcW w:w="1855"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rPr>
                <w:rFonts w:ascii="Verdana" w:eastAsia="Verdana" w:hAnsi="Verdana" w:cs="Verdana"/>
                <w:b/>
                <w:noProof/>
                <w:color w:val="000000"/>
                <w:spacing w:val="-6"/>
                <w:sz w:val="16"/>
              </w:rPr>
            </w:pPr>
            <w:r>
              <w:rPr>
                <w:rFonts w:ascii="Verdana" w:hAnsi="Verdana"/>
                <w:b/>
                <w:noProof/>
                <w:color w:val="000000"/>
                <w:spacing w:val="-6"/>
                <w:sz w:val="16"/>
              </w:rPr>
              <w:t>Общо</w:t>
            </w:r>
          </w:p>
        </w:tc>
        <w:tc>
          <w:tcPr>
            <w:tcW w:w="1031"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183 446</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161 801</w:t>
            </w:r>
          </w:p>
        </w:tc>
        <w:tc>
          <w:tcPr>
            <w:tcW w:w="709"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1 589</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9 920</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173 310</w:t>
            </w:r>
          </w:p>
        </w:tc>
        <w:tc>
          <w:tcPr>
            <w:tcW w:w="708" w:type="dxa"/>
            <w:tcBorders>
              <w:top w:val="nil"/>
              <w:left w:val="nil"/>
              <w:bottom w:val="nil"/>
              <w:right w:val="nil"/>
              <w:tl2br w:val="nil"/>
              <w:tr2bl w:val="nil"/>
            </w:tcBorders>
            <w:shd w:val="solid" w:color="CCE1EB"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94 %</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1 116</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 xml:space="preserve"> 969</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7 694</w:t>
            </w:r>
          </w:p>
        </w:tc>
        <w:tc>
          <w:tcPr>
            <w:tcW w:w="771"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9 779</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 xml:space="preserve"> 221</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 xml:space="preserve"> 115</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 xml:space="preserve"> 20</w:t>
            </w:r>
          </w:p>
        </w:tc>
        <w:tc>
          <w:tcPr>
            <w:tcW w:w="897" w:type="dxa"/>
            <w:tcBorders>
              <w:top w:val="nil"/>
              <w:left w:val="nil"/>
              <w:bottom w:val="nil"/>
              <w:right w:val="nil"/>
              <w:tl2br w:val="nil"/>
              <w:tr2bl w:val="nil"/>
            </w:tcBorders>
            <w:shd w:val="solid" w:color="CCE1EA" w:fill="FFFFFF"/>
            <w:tcMar>
              <w:left w:w="60" w:type="dxa"/>
              <w:right w:w="60" w:type="dxa"/>
            </w:tcMar>
            <w:vAlign w:val="center"/>
          </w:tcPr>
          <w:p>
            <w:pPr>
              <w:pStyle w:val="DMETW19857BIPMFF3ImplementPayments"/>
              <w:jc w:val="right"/>
              <w:rPr>
                <w:rFonts w:ascii="Verdana" w:eastAsia="Verdana" w:hAnsi="Verdana" w:cs="Verdana"/>
                <w:b/>
                <w:noProof/>
                <w:color w:val="000000"/>
                <w:spacing w:val="-6"/>
                <w:sz w:val="16"/>
              </w:rPr>
            </w:pPr>
            <w:r>
              <w:rPr>
                <w:rFonts w:ascii="Verdana" w:hAnsi="Verdana"/>
                <w:b/>
                <w:noProof/>
                <w:color w:val="000000"/>
                <w:spacing w:val="-6"/>
                <w:sz w:val="16"/>
              </w:rPr>
              <w:t xml:space="preserve"> 357</w:t>
            </w:r>
          </w:p>
        </w:tc>
      </w:tr>
    </w:tbl>
    <w:p>
      <w:pPr>
        <w:pStyle w:val="DGTextstand-alone"/>
        <w:spacing w:before="0" w:after="0"/>
        <w:rPr>
          <w:lang w:bidi="en-GB"/>
        </w:rPr>
      </w:pPr>
    </w:p>
    <w:p>
      <w:pPr>
        <w:pStyle w:val="DGTextstand-alone"/>
        <w:rPr>
          <w:lang w:bidi="en-GB"/>
        </w:rPr>
        <w:sectPr>
          <w:headerReference w:type="even" r:id="rId356"/>
          <w:headerReference w:type="default" r:id="rId357"/>
          <w:footerReference w:type="even" r:id="rId358"/>
          <w:footerReference w:type="default" r:id="rId359"/>
          <w:headerReference w:type="first" r:id="rId360"/>
          <w:footerReference w:type="first" r:id="rId361"/>
          <w:type w:val="nextColumn"/>
          <w:pgSz w:w="16840" w:h="11900" w:orient="landscape"/>
          <w:pgMar w:top="1134" w:right="1134" w:bottom="1134" w:left="1134" w:header="720" w:footer="720" w:gutter="0"/>
          <w:cols w:space="720"/>
          <w:docGrid w:linePitch="272"/>
        </w:sectPr>
      </w:pPr>
    </w:p>
    <w:p>
      <w:pPr>
        <w:pStyle w:val="HEADER2PartBUDG"/>
        <w:numPr>
          <w:ilvl w:val="1"/>
          <w:numId w:val="15"/>
        </w:numPr>
        <w:spacing w:before="120" w:after="120"/>
        <w:ind w:left="357" w:hanging="357"/>
        <w:rPr>
          <w:noProof/>
        </w:rPr>
      </w:pPr>
      <w:bookmarkStart w:id="257" w:name="_Toc75518141"/>
      <w:r>
        <w:rPr>
          <w:noProof/>
        </w:rPr>
        <w:t>МФР: ДВИЖЕНИЯ НА НЕИЗПЪЛНЕНИТЕ ПОЕТИ ЗАДЪЛЖЕНИЯ (RAL)</w:t>
      </w:r>
      <w:bookmarkEnd w:id="257"/>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3544"/>
        <w:gridCol w:w="1559"/>
        <w:gridCol w:w="1287"/>
        <w:gridCol w:w="1074"/>
        <w:gridCol w:w="1074"/>
        <w:gridCol w:w="1074"/>
        <w:gridCol w:w="1074"/>
        <w:gridCol w:w="1346"/>
        <w:gridCol w:w="1081"/>
        <w:gridCol w:w="1235"/>
      </w:tblGrid>
      <w:tr>
        <w:trPr>
          <w:cantSplit/>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bookmarkStart w:id="258" w:name="DOC_TBL00110_1_1"/>
            <w:bookmarkEnd w:id="258"/>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340"/>
        </w:trPr>
        <w:tc>
          <w:tcPr>
            <w:tcW w:w="344"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p>
        </w:tc>
        <w:tc>
          <w:tcPr>
            <w:tcW w:w="3544"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p>
        </w:tc>
        <w:tc>
          <w:tcPr>
            <w:tcW w:w="1559"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b/>
                <w:noProof/>
                <w:color w:val="FFFFFF"/>
                <w:sz w:val="16"/>
              </w:rPr>
            </w:pPr>
            <w:r>
              <w:rPr>
                <w:rFonts w:ascii="Verdana" w:hAnsi="Verdana"/>
                <w:b/>
                <w:noProof/>
                <w:color w:val="FFFFFF"/>
                <w:sz w:val="16"/>
              </w:rPr>
              <w:t>Неизпълнени поети задължения към края на предходната година</w:t>
            </w:r>
          </w:p>
        </w:tc>
        <w:tc>
          <w:tcPr>
            <w:tcW w:w="1074"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b/>
                <w:noProof/>
                <w:color w:val="FFFFFF"/>
                <w:sz w:val="16"/>
              </w:rPr>
            </w:pPr>
            <w:r>
              <w:rPr>
                <w:rFonts w:ascii="Verdana" w:hAnsi="Verdana"/>
                <w:b/>
                <w:noProof/>
                <w:color w:val="FFFFFF"/>
                <w:sz w:val="16"/>
              </w:rPr>
              <w:t>Поети задължения за текущата година</w:t>
            </w:r>
          </w:p>
        </w:tc>
        <w:tc>
          <w:tcPr>
            <w:tcW w:w="1235"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b/>
                <w:noProof/>
                <w:color w:val="FFFFFF"/>
                <w:sz w:val="16"/>
              </w:rPr>
            </w:pPr>
            <w:r>
              <w:rPr>
                <w:rFonts w:ascii="Verdana" w:hAnsi="Verdana"/>
                <w:b/>
                <w:noProof/>
                <w:color w:val="FFFFFF"/>
                <w:sz w:val="16"/>
              </w:rPr>
              <w:t>Общо неизпълнени поети задълж. към края на годината</w:t>
            </w:r>
          </w:p>
        </w:tc>
      </w:tr>
      <w:tr>
        <w:trPr>
          <w:cantSplit/>
          <w:trHeight w:val="340"/>
        </w:trPr>
        <w:tc>
          <w:tcPr>
            <w:tcW w:w="344"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p>
        </w:tc>
        <w:tc>
          <w:tcPr>
            <w:tcW w:w="3544"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Функция от МФР</w:t>
            </w:r>
          </w:p>
        </w:tc>
        <w:tc>
          <w:tcPr>
            <w:tcW w:w="1559"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Задължения, пренесени от предходната година</w:t>
            </w:r>
          </w:p>
        </w:tc>
        <w:tc>
          <w:tcPr>
            <w:tcW w:w="1287"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Отменени задълж./</w:t>
            </w:r>
          </w:p>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преоценки/</w:t>
            </w:r>
          </w:p>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отмени</w:t>
            </w:r>
          </w:p>
        </w:tc>
        <w:tc>
          <w:tcPr>
            <w:tcW w:w="1074"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Плащания</w:t>
            </w:r>
          </w:p>
        </w:tc>
        <w:tc>
          <w:tcPr>
            <w:tcW w:w="1074"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Неизпълнени поети задължения към края на годината</w:t>
            </w:r>
          </w:p>
        </w:tc>
        <w:tc>
          <w:tcPr>
            <w:tcW w:w="1074"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Задължения, поети през годината</w:t>
            </w:r>
          </w:p>
        </w:tc>
        <w:tc>
          <w:tcPr>
            <w:tcW w:w="1074"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Плащания</w:t>
            </w:r>
          </w:p>
        </w:tc>
        <w:tc>
          <w:tcPr>
            <w:tcW w:w="1346"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Отмяна на поетите задължения, които не могат да бъдат пренесени</w:t>
            </w:r>
          </w:p>
        </w:tc>
        <w:tc>
          <w:tcPr>
            <w:tcW w:w="1081" w:type="dxa"/>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Неизпълнени поети задължения към края на годината</w:t>
            </w:r>
          </w:p>
        </w:tc>
        <w:tc>
          <w:tcPr>
            <w:tcW w:w="1260"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MFF4Commitmentsoustanding"/>
              <w:jc w:val="center"/>
              <w:rPr>
                <w:rFonts w:ascii="Verdana" w:eastAsia="Verdana" w:hAnsi="Verdana" w:cs="Verdana"/>
                <w:b/>
                <w:noProof/>
                <w:color w:val="FFFFFF"/>
                <w:sz w:val="16"/>
              </w:rPr>
            </w:pPr>
          </w:p>
        </w:tc>
      </w:tr>
      <w:tr>
        <w:trPr>
          <w:cantSplit/>
          <w:trHeight w:val="340"/>
        </w:trPr>
        <w:tc>
          <w:tcPr>
            <w:tcW w:w="344" w:type="dxa"/>
            <w:tcBorders>
              <w:top w:val="nil"/>
              <w:left w:val="nil"/>
              <w:bottom w:val="nil"/>
              <w:right w:val="nil"/>
              <w:tl2br w:val="nil"/>
              <w:tr2bl w:val="nil"/>
            </w:tcBorders>
            <w:shd w:val="solid" w:color="3487A9"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p>
        </w:tc>
        <w:tc>
          <w:tcPr>
            <w:tcW w:w="3544" w:type="dxa"/>
            <w:tcBorders>
              <w:top w:val="nil"/>
              <w:left w:val="nil"/>
              <w:bottom w:val="nil"/>
              <w:right w:val="nil"/>
              <w:tl2br w:val="nil"/>
              <w:tr2bl w:val="nil"/>
            </w:tcBorders>
            <w:shd w:val="solid" w:color="3487A9"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p>
        </w:tc>
        <w:tc>
          <w:tcPr>
            <w:tcW w:w="1559" w:type="dxa"/>
            <w:tcBorders>
              <w:top w:val="nil"/>
              <w:left w:val="nil"/>
              <w:bottom w:val="nil"/>
              <w:right w:val="nil"/>
              <w:tl2br w:val="nil"/>
              <w:tr2bl w:val="nil"/>
            </w:tcBorders>
            <w:shd w:val="solid" w:color="3487A9"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1</w:t>
            </w:r>
          </w:p>
        </w:tc>
        <w:tc>
          <w:tcPr>
            <w:tcW w:w="1287" w:type="dxa"/>
            <w:tcBorders>
              <w:top w:val="nil"/>
              <w:left w:val="nil"/>
              <w:bottom w:val="nil"/>
              <w:right w:val="nil"/>
              <w:tl2br w:val="nil"/>
              <w:tr2bl w:val="nil"/>
            </w:tcBorders>
            <w:shd w:val="solid" w:color="3487A9"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2</w:t>
            </w:r>
          </w:p>
        </w:tc>
        <w:tc>
          <w:tcPr>
            <w:tcW w:w="1074" w:type="dxa"/>
            <w:tcBorders>
              <w:top w:val="nil"/>
              <w:left w:val="nil"/>
              <w:bottom w:val="nil"/>
              <w:right w:val="nil"/>
              <w:tl2br w:val="nil"/>
              <w:tr2bl w:val="nil"/>
            </w:tcBorders>
            <w:shd w:val="solid" w:color="3487A9"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3</w:t>
            </w:r>
          </w:p>
        </w:tc>
        <w:tc>
          <w:tcPr>
            <w:tcW w:w="1074" w:type="dxa"/>
            <w:tcBorders>
              <w:top w:val="nil"/>
              <w:left w:val="nil"/>
              <w:bottom w:val="nil"/>
              <w:right w:val="nil"/>
              <w:tl2br w:val="nil"/>
              <w:tr2bl w:val="nil"/>
            </w:tcBorders>
            <w:shd w:val="solid" w:color="3487A9"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4=1+2+3</w:t>
            </w:r>
          </w:p>
        </w:tc>
        <w:tc>
          <w:tcPr>
            <w:tcW w:w="1074" w:type="dxa"/>
            <w:tcBorders>
              <w:top w:val="nil"/>
              <w:left w:val="nil"/>
              <w:bottom w:val="nil"/>
              <w:right w:val="nil"/>
              <w:tl2br w:val="nil"/>
              <w:tr2bl w:val="nil"/>
            </w:tcBorders>
            <w:shd w:val="solid" w:color="3487A9"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5</w:t>
            </w:r>
          </w:p>
        </w:tc>
        <w:tc>
          <w:tcPr>
            <w:tcW w:w="1074" w:type="dxa"/>
            <w:tcBorders>
              <w:top w:val="nil"/>
              <w:left w:val="nil"/>
              <w:bottom w:val="nil"/>
              <w:right w:val="nil"/>
              <w:tl2br w:val="nil"/>
              <w:tr2bl w:val="nil"/>
            </w:tcBorders>
            <w:shd w:val="solid" w:color="3487A9"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6</w:t>
            </w:r>
          </w:p>
        </w:tc>
        <w:tc>
          <w:tcPr>
            <w:tcW w:w="1346" w:type="dxa"/>
            <w:tcBorders>
              <w:top w:val="nil"/>
              <w:left w:val="nil"/>
              <w:bottom w:val="nil"/>
              <w:right w:val="nil"/>
              <w:tl2br w:val="nil"/>
              <w:tr2bl w:val="nil"/>
            </w:tcBorders>
            <w:shd w:val="solid" w:color="3487A9"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7</w:t>
            </w:r>
          </w:p>
        </w:tc>
        <w:tc>
          <w:tcPr>
            <w:tcW w:w="1081" w:type="dxa"/>
            <w:tcBorders>
              <w:top w:val="nil"/>
              <w:left w:val="nil"/>
              <w:bottom w:val="nil"/>
              <w:right w:val="nil"/>
              <w:tl2br w:val="nil"/>
              <w:tr2bl w:val="nil"/>
            </w:tcBorders>
            <w:shd w:val="solid" w:color="3487A9"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8=5+6+7</w:t>
            </w:r>
          </w:p>
        </w:tc>
        <w:tc>
          <w:tcPr>
            <w:tcW w:w="1235" w:type="dxa"/>
            <w:tcBorders>
              <w:top w:val="nil"/>
              <w:left w:val="nil"/>
              <w:bottom w:val="nil"/>
              <w:right w:val="nil"/>
              <w:tl2br w:val="nil"/>
              <w:tr2bl w:val="nil"/>
            </w:tcBorders>
            <w:shd w:val="solid" w:color="3487A9" w:fill="FFFFFF"/>
            <w:tcMar>
              <w:left w:w="60" w:type="dxa"/>
              <w:right w:w="60" w:type="dxa"/>
            </w:tcMar>
            <w:vAlign w:val="center"/>
          </w:tcPr>
          <w:p>
            <w:pPr>
              <w:pStyle w:val="DMETW19857BIPMFF4Commitmentsoustanding"/>
              <w:jc w:val="center"/>
              <w:rPr>
                <w:rFonts w:ascii="Verdana" w:eastAsia="Verdana" w:hAnsi="Verdana" w:cs="Verdana"/>
                <w:noProof/>
                <w:color w:val="FFFFFF"/>
                <w:sz w:val="16"/>
              </w:rPr>
            </w:pPr>
            <w:r>
              <w:rPr>
                <w:rFonts w:ascii="Verdana" w:hAnsi="Verdana"/>
                <w:noProof/>
                <w:color w:val="FFFFFF"/>
                <w:sz w:val="16"/>
              </w:rPr>
              <w:t>9=4+8</w:t>
            </w:r>
          </w:p>
        </w:tc>
      </w:tr>
      <w:tr>
        <w:trPr>
          <w:cantSplit/>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1</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220 627</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(1 875)</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(71 673)</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147 079</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89 563</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(11 868)</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77 689</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224 769</w:t>
            </w:r>
          </w:p>
        </w:tc>
      </w:tr>
      <w:tr>
        <w:trPr>
          <w:cantSplit/>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i/>
                <w:noProof/>
                <w:color w:val="000000"/>
                <w:sz w:val="16"/>
              </w:rPr>
            </w:pP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40 300</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(954)</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(14 384)</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24 962</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29 315</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(9 673)</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19 636</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44 598</w:t>
            </w:r>
          </w:p>
        </w:tc>
      </w:tr>
      <w:tr>
        <w:trPr>
          <w:cantSplit/>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i/>
                <w:noProof/>
                <w:color w:val="000000"/>
                <w:sz w:val="16"/>
              </w:rPr>
            </w:pP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180 327</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(921)</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(57 289)</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122 117</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60 248</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(2 195)</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(0)</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58 053</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180 170</w:t>
            </w:r>
          </w:p>
        </w:tc>
      </w:tr>
      <w:tr>
        <w:trPr>
          <w:cantSplit/>
          <w:trHeight w:val="397"/>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2</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40 876</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(122)</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(15 695)</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25 058</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60 823</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(44 900)</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15 923</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40 982</w:t>
            </w:r>
          </w:p>
        </w:tc>
      </w:tr>
      <w:tr>
        <w:trPr>
          <w:cantSplit/>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i/>
                <w:noProof/>
                <w:color w:val="000000"/>
                <w:sz w:val="16"/>
              </w:rPr>
            </w:pP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i/>
                <w:noProof/>
                <w:color w:val="000000"/>
                <w:sz w:val="16"/>
              </w:rPr>
            </w:pPr>
            <w:r>
              <w:rPr>
                <w:rFonts w:ascii="Verdana" w:hAnsi="Verdana"/>
                <w:i/>
                <w:noProof/>
                <w:color w:val="000000"/>
                <w:sz w:val="16"/>
              </w:rPr>
              <w:t>от които: разходи, свързани с пазара, и преки плащания</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432</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(5)</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(262)</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165</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44 315</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(44 193)</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122</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286</w:t>
            </w:r>
          </w:p>
        </w:tc>
      </w:tr>
      <w:tr>
        <w:trPr>
          <w:cantSplit/>
          <w:trHeight w:val="51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3</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6 183</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(119)</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(2 225)</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3 839</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7 702</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(4 108)</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3 594</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7 433</w:t>
            </w:r>
          </w:p>
        </w:tc>
      </w:tr>
      <w:tr>
        <w:trPr>
          <w:cantSplit/>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4</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Глобална Европа</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29 154</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(672)</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(7 862)</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20 620</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11 950</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(3 550)</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8 400</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29 020</w:t>
            </w:r>
          </w:p>
        </w:tc>
      </w:tr>
      <w:tr>
        <w:trPr>
          <w:cantSplit/>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5</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Администрация</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854</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(92)</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(757)</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10 548</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(9 563)</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985</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990</w:t>
            </w:r>
          </w:p>
        </w:tc>
      </w:tr>
      <w:tr>
        <w:trPr>
          <w:cantSplit/>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i/>
                <w:noProof/>
                <w:color w:val="000000"/>
                <w:sz w:val="16"/>
              </w:rPr>
            </w:pP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i/>
                <w:noProof/>
                <w:color w:val="000000"/>
                <w:sz w:val="16"/>
              </w:rPr>
            </w:pPr>
            <w:r>
              <w:rPr>
                <w:rFonts w:ascii="Verdana" w:hAnsi="Verdana"/>
                <w:i/>
                <w:noProof/>
                <w:color w:val="000000"/>
                <w:sz w:val="16"/>
              </w:rPr>
              <w:t>от които: административни разходи на институциите</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511</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(70)</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(440)</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2</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4 319</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(3 694)</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0</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625</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i/>
                <w:noProof/>
                <w:color w:val="000000"/>
                <w:sz w:val="16"/>
              </w:rPr>
            </w:pPr>
            <w:r>
              <w:rPr>
                <w:rFonts w:ascii="Verdana" w:hAnsi="Verdana"/>
                <w:i/>
                <w:noProof/>
                <w:color w:val="000000"/>
                <w:sz w:val="16"/>
              </w:rPr>
              <w:t xml:space="preserve"> 627</w:t>
            </w:r>
          </w:p>
        </w:tc>
      </w:tr>
      <w:tr>
        <w:trPr>
          <w:cantSplit/>
          <w:trHeight w:val="45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6</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Компенсации</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8</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 xml:space="preserve">Отрицателен резерв и дефицит, пренесени от предходната финансова година </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r>
      <w:tr>
        <w:trPr>
          <w:cantSplit/>
          <w:trHeight w:val="397"/>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9</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Специални инструменти</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1 108</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(1 108)</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O</w:t>
            </w:r>
          </w:p>
        </w:tc>
        <w:tc>
          <w:tcPr>
            <w:tcW w:w="354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rPr>
                <w:rFonts w:ascii="Verdana" w:eastAsia="Verdana" w:hAnsi="Verdana" w:cs="Verdana"/>
                <w:noProof/>
                <w:color w:val="000000"/>
                <w:sz w:val="16"/>
              </w:rPr>
            </w:pPr>
            <w:r>
              <w:rPr>
                <w:rFonts w:ascii="Verdana" w:hAnsi="Verdana"/>
                <w:noProof/>
                <w:color w:val="000000"/>
                <w:sz w:val="16"/>
              </w:rPr>
              <w:t>Фонд за иновации (ФИ)</w:t>
            </w:r>
          </w:p>
        </w:tc>
        <w:tc>
          <w:tcPr>
            <w:tcW w:w="1559"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87"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074"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46"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35" w:type="dxa"/>
            <w:tcBorders>
              <w:top w:val="nil"/>
              <w:left w:val="nil"/>
              <w:bottom w:val="nil"/>
              <w:right w:val="nil"/>
              <w:tl2br w:val="nil"/>
              <w:tr2bl w:val="nil"/>
            </w:tcBorders>
            <w:shd w:val="clear" w:color="auto" w:fill="auto"/>
            <w:tcMar>
              <w:left w:w="60" w:type="dxa"/>
              <w:right w:w="60" w:type="dxa"/>
            </w:tcMar>
            <w:vAlign w:val="center"/>
          </w:tcPr>
          <w:p>
            <w:pPr>
              <w:pStyle w:val="DMETW19857BIP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340"/>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9857BIPMFF4Commitmentsoustanding"/>
              <w:rPr>
                <w:rFonts w:ascii="Verdana" w:eastAsia="Verdana" w:hAnsi="Verdana" w:cs="Verdana"/>
                <w:b/>
                <w:noProof/>
                <w:color w:val="000000"/>
                <w:sz w:val="16"/>
              </w:rPr>
            </w:pPr>
          </w:p>
        </w:tc>
        <w:tc>
          <w:tcPr>
            <w:tcW w:w="3544" w:type="dxa"/>
            <w:tcBorders>
              <w:top w:val="nil"/>
              <w:left w:val="nil"/>
              <w:bottom w:val="nil"/>
              <w:right w:val="nil"/>
              <w:tl2br w:val="nil"/>
              <w:tr2bl w:val="nil"/>
            </w:tcBorders>
            <w:shd w:val="solid" w:color="CCE1EA" w:fill="FFFFFF"/>
            <w:tcMar>
              <w:left w:w="60" w:type="dxa"/>
              <w:right w:w="60" w:type="dxa"/>
            </w:tcMar>
            <w:vAlign w:val="center"/>
          </w:tcPr>
          <w:p>
            <w:pPr>
              <w:pStyle w:val="DMETW19857BIPMFF4Commitmentsoustanding"/>
              <w:rPr>
                <w:rFonts w:ascii="Verdana" w:eastAsia="Verdana" w:hAnsi="Verdana" w:cs="Verdana"/>
                <w:b/>
                <w:noProof/>
                <w:color w:val="000000"/>
                <w:sz w:val="16"/>
              </w:rPr>
            </w:pPr>
            <w:r>
              <w:rPr>
                <w:rFonts w:ascii="Verdana" w:hAnsi="Verdana"/>
                <w:b/>
                <w:noProof/>
                <w:color w:val="000000"/>
                <w:sz w:val="16"/>
              </w:rPr>
              <w:t>Общо</w:t>
            </w:r>
          </w:p>
        </w:tc>
        <w:tc>
          <w:tcPr>
            <w:tcW w:w="1559" w:type="dxa"/>
            <w:tcBorders>
              <w:top w:val="nil"/>
              <w:left w:val="nil"/>
              <w:bottom w:val="nil"/>
              <w:right w:val="nil"/>
              <w:tl2br w:val="nil"/>
              <w:tr2bl w:val="nil"/>
            </w:tcBorders>
            <w:shd w:val="solid" w:color="CCE1EA" w:fill="FFFFFF"/>
            <w:tcMar>
              <w:left w:w="60" w:type="dxa"/>
              <w:right w:w="60" w:type="dxa"/>
            </w:tcMar>
            <w:vAlign w:val="center"/>
          </w:tcPr>
          <w:p>
            <w:pPr>
              <w:pStyle w:val="DMETW19857BIPMFF4Commitmentsoustanding"/>
              <w:jc w:val="right"/>
              <w:rPr>
                <w:rFonts w:ascii="Verdana" w:eastAsia="Verdana" w:hAnsi="Verdana" w:cs="Verdana"/>
                <w:b/>
                <w:noProof/>
                <w:color w:val="000000"/>
                <w:sz w:val="16"/>
              </w:rPr>
            </w:pPr>
            <w:r>
              <w:rPr>
                <w:rFonts w:ascii="Verdana" w:hAnsi="Verdana"/>
                <w:b/>
                <w:noProof/>
                <w:color w:val="000000"/>
                <w:sz w:val="16"/>
              </w:rPr>
              <w:t>297 695</w:t>
            </w:r>
          </w:p>
        </w:tc>
        <w:tc>
          <w:tcPr>
            <w:tcW w:w="1287" w:type="dxa"/>
            <w:tcBorders>
              <w:top w:val="nil"/>
              <w:left w:val="nil"/>
              <w:bottom w:val="nil"/>
              <w:right w:val="nil"/>
              <w:tl2br w:val="nil"/>
              <w:tr2bl w:val="nil"/>
            </w:tcBorders>
            <w:shd w:val="solid" w:color="CCE1EA" w:fill="FFFFFF"/>
            <w:tcMar>
              <w:left w:w="60" w:type="dxa"/>
              <w:right w:w="60" w:type="dxa"/>
            </w:tcMar>
            <w:vAlign w:val="center"/>
          </w:tcPr>
          <w:p>
            <w:pPr>
              <w:pStyle w:val="DMETW19857BIPMFF4Commitmentsoustanding"/>
              <w:jc w:val="right"/>
              <w:rPr>
                <w:rFonts w:ascii="Verdana" w:eastAsia="Verdana" w:hAnsi="Verdana" w:cs="Verdana"/>
                <w:b/>
                <w:noProof/>
                <w:color w:val="000000"/>
                <w:sz w:val="16"/>
              </w:rPr>
            </w:pPr>
            <w:r>
              <w:rPr>
                <w:rFonts w:ascii="Verdana" w:hAnsi="Verdana"/>
                <w:b/>
                <w:noProof/>
                <w:color w:val="000000"/>
                <w:sz w:val="16"/>
              </w:rPr>
              <w:t>(2 881)</w:t>
            </w:r>
          </w:p>
        </w:tc>
        <w:tc>
          <w:tcPr>
            <w:tcW w:w="1074" w:type="dxa"/>
            <w:tcBorders>
              <w:top w:val="nil"/>
              <w:left w:val="nil"/>
              <w:bottom w:val="nil"/>
              <w:right w:val="nil"/>
              <w:tl2br w:val="nil"/>
              <w:tr2bl w:val="nil"/>
            </w:tcBorders>
            <w:shd w:val="solid" w:color="CCE1EA" w:fill="FFFFFF"/>
            <w:tcMar>
              <w:left w:w="60" w:type="dxa"/>
              <w:right w:w="60" w:type="dxa"/>
            </w:tcMar>
            <w:vAlign w:val="center"/>
          </w:tcPr>
          <w:p>
            <w:pPr>
              <w:pStyle w:val="DMETW19857BIPMFF4Commitmentsoustanding"/>
              <w:jc w:val="right"/>
              <w:rPr>
                <w:rFonts w:ascii="Verdana" w:eastAsia="Verdana" w:hAnsi="Verdana" w:cs="Verdana"/>
                <w:b/>
                <w:noProof/>
                <w:color w:val="000000"/>
                <w:sz w:val="16"/>
              </w:rPr>
            </w:pPr>
            <w:r>
              <w:rPr>
                <w:rFonts w:ascii="Verdana" w:hAnsi="Verdana"/>
                <w:b/>
                <w:noProof/>
                <w:color w:val="000000"/>
                <w:sz w:val="16"/>
              </w:rPr>
              <w:t>(98 213)</w:t>
            </w:r>
          </w:p>
        </w:tc>
        <w:tc>
          <w:tcPr>
            <w:tcW w:w="1074" w:type="dxa"/>
            <w:tcBorders>
              <w:top w:val="nil"/>
              <w:left w:val="nil"/>
              <w:bottom w:val="nil"/>
              <w:right w:val="nil"/>
              <w:tl2br w:val="nil"/>
              <w:tr2bl w:val="nil"/>
            </w:tcBorders>
            <w:shd w:val="solid" w:color="CCE1EA" w:fill="FFFFFF"/>
            <w:tcMar>
              <w:left w:w="60" w:type="dxa"/>
              <w:right w:w="60" w:type="dxa"/>
            </w:tcMar>
            <w:vAlign w:val="center"/>
          </w:tcPr>
          <w:p>
            <w:pPr>
              <w:pStyle w:val="DMETW19857BIPMFF4Commitmentsoustanding"/>
              <w:jc w:val="right"/>
              <w:rPr>
                <w:rFonts w:ascii="Verdana" w:eastAsia="Verdana" w:hAnsi="Verdana" w:cs="Verdana"/>
                <w:b/>
                <w:noProof/>
                <w:color w:val="000000"/>
                <w:sz w:val="16"/>
              </w:rPr>
            </w:pPr>
            <w:r>
              <w:rPr>
                <w:rFonts w:ascii="Verdana" w:hAnsi="Verdana"/>
                <w:b/>
                <w:noProof/>
                <w:color w:val="000000"/>
                <w:sz w:val="16"/>
              </w:rPr>
              <w:t>196 601</w:t>
            </w:r>
          </w:p>
        </w:tc>
        <w:tc>
          <w:tcPr>
            <w:tcW w:w="1074" w:type="dxa"/>
            <w:tcBorders>
              <w:top w:val="nil"/>
              <w:left w:val="nil"/>
              <w:bottom w:val="nil"/>
              <w:right w:val="nil"/>
              <w:tl2br w:val="nil"/>
              <w:tr2bl w:val="nil"/>
            </w:tcBorders>
            <w:shd w:val="solid" w:color="CCE1EA" w:fill="FFFFFF"/>
            <w:tcMar>
              <w:left w:w="60" w:type="dxa"/>
              <w:right w:w="60" w:type="dxa"/>
            </w:tcMar>
            <w:vAlign w:val="center"/>
          </w:tcPr>
          <w:p>
            <w:pPr>
              <w:pStyle w:val="DMETW19857BIPMFF4Commitmentsoustanding"/>
              <w:jc w:val="right"/>
              <w:rPr>
                <w:rFonts w:ascii="Verdana" w:eastAsia="Verdana" w:hAnsi="Verdana" w:cs="Verdana"/>
                <w:b/>
                <w:noProof/>
                <w:color w:val="000000"/>
                <w:sz w:val="16"/>
              </w:rPr>
            </w:pPr>
            <w:r>
              <w:rPr>
                <w:rFonts w:ascii="Verdana" w:hAnsi="Verdana"/>
                <w:b/>
                <w:noProof/>
                <w:color w:val="000000"/>
                <w:sz w:val="16"/>
              </w:rPr>
              <w:t>181 699</w:t>
            </w:r>
          </w:p>
        </w:tc>
        <w:tc>
          <w:tcPr>
            <w:tcW w:w="1074" w:type="dxa"/>
            <w:tcBorders>
              <w:top w:val="nil"/>
              <w:left w:val="nil"/>
              <w:bottom w:val="nil"/>
              <w:right w:val="nil"/>
              <w:tl2br w:val="nil"/>
              <w:tr2bl w:val="nil"/>
            </w:tcBorders>
            <w:shd w:val="solid" w:color="CCE1EA" w:fill="FFFFFF"/>
            <w:tcMar>
              <w:left w:w="60" w:type="dxa"/>
              <w:right w:w="60" w:type="dxa"/>
            </w:tcMar>
            <w:vAlign w:val="center"/>
          </w:tcPr>
          <w:p>
            <w:pPr>
              <w:pStyle w:val="DMETW19857BIPMFF4Commitmentsoustanding"/>
              <w:jc w:val="right"/>
              <w:rPr>
                <w:rFonts w:ascii="Verdana" w:eastAsia="Verdana" w:hAnsi="Verdana" w:cs="Verdana"/>
                <w:b/>
                <w:noProof/>
                <w:color w:val="000000"/>
                <w:sz w:val="16"/>
              </w:rPr>
            </w:pPr>
            <w:r>
              <w:rPr>
                <w:rFonts w:ascii="Verdana" w:hAnsi="Verdana"/>
                <w:b/>
                <w:noProof/>
                <w:color w:val="000000"/>
                <w:sz w:val="16"/>
              </w:rPr>
              <w:t>(75 096)</w:t>
            </w:r>
          </w:p>
        </w:tc>
        <w:tc>
          <w:tcPr>
            <w:tcW w:w="1346" w:type="dxa"/>
            <w:tcBorders>
              <w:top w:val="nil"/>
              <w:left w:val="nil"/>
              <w:bottom w:val="nil"/>
              <w:right w:val="nil"/>
              <w:tl2br w:val="nil"/>
              <w:tr2bl w:val="nil"/>
            </w:tcBorders>
            <w:shd w:val="solid" w:color="CCE1EA" w:fill="FFFFFF"/>
            <w:tcMar>
              <w:left w:w="60" w:type="dxa"/>
              <w:right w:w="60" w:type="dxa"/>
            </w:tcMar>
            <w:vAlign w:val="center"/>
          </w:tcPr>
          <w:p>
            <w:pPr>
              <w:pStyle w:val="DMETW19857BIPMFF4Commitmentsoustanding"/>
              <w:jc w:val="right"/>
              <w:rPr>
                <w:rFonts w:ascii="Verdana" w:eastAsia="Verdana" w:hAnsi="Verdana" w:cs="Verdana"/>
                <w:b/>
                <w:noProof/>
                <w:color w:val="000000"/>
                <w:sz w:val="16"/>
              </w:rPr>
            </w:pPr>
            <w:r>
              <w:rPr>
                <w:rFonts w:ascii="Verdana" w:hAnsi="Verdana"/>
                <w:b/>
                <w:noProof/>
                <w:color w:val="000000"/>
                <w:sz w:val="16"/>
              </w:rPr>
              <w:t xml:space="preserve"> (7)</w:t>
            </w:r>
          </w:p>
        </w:tc>
        <w:tc>
          <w:tcPr>
            <w:tcW w:w="1081" w:type="dxa"/>
            <w:tcBorders>
              <w:top w:val="nil"/>
              <w:left w:val="nil"/>
              <w:bottom w:val="nil"/>
              <w:right w:val="nil"/>
              <w:tl2br w:val="nil"/>
              <w:tr2bl w:val="nil"/>
            </w:tcBorders>
            <w:shd w:val="solid" w:color="CCE1EA" w:fill="FFFFFF"/>
            <w:tcMar>
              <w:left w:w="60" w:type="dxa"/>
              <w:right w:w="60" w:type="dxa"/>
            </w:tcMar>
            <w:vAlign w:val="center"/>
          </w:tcPr>
          <w:p>
            <w:pPr>
              <w:pStyle w:val="DMETW19857BIPMFF4Commitmentsoustanding"/>
              <w:jc w:val="right"/>
              <w:rPr>
                <w:rFonts w:ascii="Verdana" w:eastAsia="Verdana" w:hAnsi="Verdana" w:cs="Verdana"/>
                <w:b/>
                <w:noProof/>
                <w:color w:val="000000"/>
                <w:sz w:val="16"/>
              </w:rPr>
            </w:pPr>
            <w:r>
              <w:rPr>
                <w:rFonts w:ascii="Verdana" w:hAnsi="Verdana"/>
                <w:b/>
                <w:noProof/>
                <w:color w:val="000000"/>
                <w:sz w:val="16"/>
              </w:rPr>
              <w:t>106 596</w:t>
            </w:r>
          </w:p>
        </w:tc>
        <w:tc>
          <w:tcPr>
            <w:tcW w:w="1235" w:type="dxa"/>
            <w:tcBorders>
              <w:top w:val="nil"/>
              <w:left w:val="nil"/>
              <w:bottom w:val="nil"/>
              <w:right w:val="nil"/>
              <w:tl2br w:val="nil"/>
              <w:tr2bl w:val="nil"/>
            </w:tcBorders>
            <w:shd w:val="solid" w:color="CCE1EA" w:fill="FFFFFF"/>
            <w:tcMar>
              <w:left w:w="60" w:type="dxa"/>
              <w:right w:w="60" w:type="dxa"/>
            </w:tcMar>
            <w:vAlign w:val="center"/>
          </w:tcPr>
          <w:p>
            <w:pPr>
              <w:pStyle w:val="DMETW19857BIPMFF4Commitmentsoustanding"/>
              <w:jc w:val="right"/>
              <w:rPr>
                <w:rFonts w:ascii="Verdana" w:eastAsia="Verdana" w:hAnsi="Verdana" w:cs="Verdana"/>
                <w:b/>
                <w:noProof/>
                <w:color w:val="000000"/>
                <w:sz w:val="16"/>
              </w:rPr>
            </w:pPr>
            <w:r>
              <w:rPr>
                <w:rFonts w:ascii="Verdana" w:hAnsi="Verdana"/>
                <w:b/>
                <w:noProof/>
                <w:color w:val="000000"/>
                <w:sz w:val="16"/>
              </w:rPr>
              <w:t>303 197</w:t>
            </w:r>
          </w:p>
        </w:tc>
      </w:tr>
    </w:tbl>
    <w:p>
      <w:pPr>
        <w:pStyle w:val="Textstand-alone"/>
        <w:rPr>
          <w:lang w:bidi="en-GB"/>
        </w:rPr>
      </w:pPr>
    </w:p>
    <w:p>
      <w:pPr>
        <w:pStyle w:val="Textstand-alone"/>
        <w:rPr>
          <w:lang w:bidi="en-GB"/>
        </w:rPr>
        <w:sectPr>
          <w:headerReference w:type="even" r:id="rId362"/>
          <w:headerReference w:type="default" r:id="rId363"/>
          <w:footerReference w:type="even" r:id="rId364"/>
          <w:footerReference w:type="default" r:id="rId365"/>
          <w:headerReference w:type="first" r:id="rId366"/>
          <w:footerReference w:type="first" r:id="rId367"/>
          <w:type w:val="nextColumn"/>
          <w:pgSz w:w="16840" w:h="11900" w:orient="landscape"/>
          <w:pgMar w:top="1134" w:right="1134" w:bottom="1134" w:left="1134" w:header="720" w:footer="720" w:gutter="0"/>
          <w:cols w:space="720"/>
          <w:docGrid w:linePitch="272"/>
        </w:sectPr>
      </w:pPr>
    </w:p>
    <w:p>
      <w:pPr>
        <w:pStyle w:val="HEADER2PartBUDG"/>
        <w:numPr>
          <w:ilvl w:val="1"/>
          <w:numId w:val="15"/>
        </w:numPr>
        <w:rPr>
          <w:noProof/>
        </w:rPr>
      </w:pPr>
      <w:bookmarkStart w:id="259" w:name="_Toc75518142"/>
      <w:r>
        <w:rPr>
          <w:noProof/>
        </w:rPr>
        <w:t>МФР: НЕИЗПЪЛНЕНИ ПОЕТИ ЗАДЪЛЖЕНИЯ ПО ГОДИНИ НА ВЪЗНИКВАНЕ</w:t>
      </w:r>
      <w:bookmarkEnd w:id="259"/>
      <w:r>
        <w:rPr>
          <w:noProof/>
        </w:rPr>
        <w:t xml:space="preserve">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
        <w:gridCol w:w="4922"/>
        <w:gridCol w:w="1217"/>
        <w:gridCol w:w="993"/>
        <w:gridCol w:w="994"/>
        <w:gridCol w:w="993"/>
        <w:gridCol w:w="994"/>
        <w:gridCol w:w="993"/>
        <w:gridCol w:w="994"/>
        <w:gridCol w:w="979"/>
        <w:gridCol w:w="1125"/>
      </w:tblGrid>
      <w:tr>
        <w:trPr>
          <w:cantSplit/>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bookmarkStart w:id="260" w:name="DOC_TBL00111_1_1"/>
            <w:bookmarkEnd w:id="260"/>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340"/>
        </w:trPr>
        <w:tc>
          <w:tcPr>
            <w:tcW w:w="342" w:type="dxa"/>
            <w:tcBorders>
              <w:top w:val="nil"/>
              <w:left w:val="nil"/>
              <w:bottom w:val="nil"/>
              <w:right w:val="nil"/>
              <w:tl2br w:val="nil"/>
              <w:tr2bl w:val="nil"/>
            </w:tcBorders>
            <w:shd w:val="solid" w:color="016794" w:fill="FFFFFF"/>
            <w:tcMar>
              <w:left w:w="60" w:type="dxa"/>
              <w:right w:w="60" w:type="dxa"/>
            </w:tcMar>
            <w:vAlign w:val="center"/>
          </w:tcPr>
          <w:p>
            <w:pPr>
              <w:pStyle w:val="DMETW19857BIPMFF5RALYoO"/>
              <w:jc w:val="center"/>
              <w:rPr>
                <w:rFonts w:ascii="Verdana" w:eastAsia="Verdana" w:hAnsi="Verdana" w:cs="Verdana"/>
                <w:noProof/>
                <w:color w:val="FFFFFF"/>
                <w:sz w:val="16"/>
              </w:rPr>
            </w:pPr>
          </w:p>
        </w:tc>
        <w:tc>
          <w:tcPr>
            <w:tcW w:w="4963" w:type="dxa"/>
            <w:tcBorders>
              <w:top w:val="nil"/>
              <w:left w:val="nil"/>
              <w:bottom w:val="nil"/>
              <w:right w:val="nil"/>
              <w:tl2br w:val="nil"/>
              <w:tr2bl w:val="nil"/>
            </w:tcBorders>
            <w:shd w:val="solid" w:color="016794" w:fill="FFFFFF"/>
            <w:tcMar>
              <w:left w:w="60" w:type="dxa"/>
              <w:right w:w="60" w:type="dxa"/>
            </w:tcMar>
            <w:vAlign w:val="center"/>
          </w:tcPr>
          <w:p>
            <w:pPr>
              <w:pStyle w:val="DMETW19857BIPMFF5RALYoO"/>
              <w:jc w:val="center"/>
              <w:rPr>
                <w:rFonts w:ascii="Verdana" w:eastAsia="Verdana" w:hAnsi="Verdana" w:cs="Verdana"/>
                <w:noProof/>
                <w:color w:val="FFFFFF"/>
                <w:sz w:val="16"/>
              </w:rPr>
            </w:pPr>
            <w:r>
              <w:rPr>
                <w:rFonts w:ascii="Verdana" w:hAnsi="Verdana"/>
                <w:noProof/>
                <w:color w:val="FFFFFF"/>
                <w:sz w:val="16"/>
              </w:rPr>
              <w:t>Функция от МФР</w:t>
            </w:r>
          </w:p>
        </w:tc>
        <w:tc>
          <w:tcPr>
            <w:tcW w:w="1226" w:type="dxa"/>
            <w:tcBorders>
              <w:top w:val="nil"/>
              <w:left w:val="nil"/>
              <w:bottom w:val="nil"/>
              <w:right w:val="nil"/>
              <w:tl2br w:val="nil"/>
              <w:tr2bl w:val="nil"/>
            </w:tcBorders>
            <w:shd w:val="solid" w:color="016794" w:fill="FFFFFF"/>
            <w:tcMar>
              <w:left w:w="60" w:type="dxa"/>
              <w:right w:w="60" w:type="dxa"/>
            </w:tcMar>
            <w:vAlign w:val="center"/>
          </w:tcPr>
          <w:p>
            <w:pPr>
              <w:pStyle w:val="DMETW19857BIPMFF5RALYoO"/>
              <w:jc w:val="center"/>
              <w:rPr>
                <w:rFonts w:ascii="Verdana" w:eastAsia="Verdana" w:hAnsi="Verdana" w:cs="Verdana"/>
                <w:noProof/>
                <w:color w:val="FFFFFF"/>
                <w:sz w:val="16"/>
              </w:rPr>
            </w:pPr>
            <w:r>
              <w:rPr>
                <w:rFonts w:ascii="Verdana" w:hAnsi="Verdana"/>
                <w:noProof/>
                <w:color w:val="FFFFFF"/>
                <w:sz w:val="16"/>
              </w:rPr>
              <w:t>&lt; 2014 г.</w:t>
            </w:r>
          </w:p>
        </w:tc>
        <w:tc>
          <w:tcPr>
            <w:tcW w:w="1001" w:type="dxa"/>
            <w:tcBorders>
              <w:top w:val="nil"/>
              <w:left w:val="nil"/>
              <w:bottom w:val="nil"/>
              <w:right w:val="nil"/>
              <w:tl2br w:val="nil"/>
              <w:tr2bl w:val="nil"/>
            </w:tcBorders>
            <w:shd w:val="solid" w:color="016794" w:fill="FFFFFF"/>
            <w:tcMar>
              <w:left w:w="60" w:type="dxa"/>
              <w:right w:w="60" w:type="dxa"/>
            </w:tcMar>
            <w:vAlign w:val="center"/>
          </w:tcPr>
          <w:p>
            <w:pPr>
              <w:pStyle w:val="DMETW19857BIPMFF5RALYoO"/>
              <w:jc w:val="center"/>
              <w:rPr>
                <w:rFonts w:ascii="Verdana" w:eastAsia="Verdana" w:hAnsi="Verdana" w:cs="Verdana"/>
                <w:noProof/>
                <w:color w:val="FFFFFF"/>
                <w:sz w:val="16"/>
              </w:rPr>
            </w:pPr>
            <w:r>
              <w:rPr>
                <w:rFonts w:ascii="Verdana" w:hAnsi="Verdana"/>
                <w:noProof/>
                <w:color w:val="FFFFFF"/>
                <w:sz w:val="16"/>
              </w:rPr>
              <w:t>2014 г.</w:t>
            </w:r>
          </w:p>
        </w:tc>
        <w:tc>
          <w:tcPr>
            <w:tcW w:w="1002" w:type="dxa"/>
            <w:tcBorders>
              <w:top w:val="nil"/>
              <w:left w:val="nil"/>
              <w:bottom w:val="nil"/>
              <w:right w:val="nil"/>
              <w:tl2br w:val="nil"/>
              <w:tr2bl w:val="nil"/>
            </w:tcBorders>
            <w:shd w:val="solid" w:color="016794" w:fill="FFFFFF"/>
            <w:tcMar>
              <w:left w:w="60" w:type="dxa"/>
              <w:right w:w="60" w:type="dxa"/>
            </w:tcMar>
            <w:vAlign w:val="center"/>
          </w:tcPr>
          <w:p>
            <w:pPr>
              <w:pStyle w:val="DMETW19857BIPMFF5RALYoO"/>
              <w:jc w:val="center"/>
              <w:rPr>
                <w:rFonts w:ascii="Verdana" w:eastAsia="Verdana" w:hAnsi="Verdana" w:cs="Verdana"/>
                <w:noProof/>
                <w:color w:val="FFFFFF"/>
                <w:sz w:val="16"/>
              </w:rPr>
            </w:pPr>
            <w:r>
              <w:rPr>
                <w:rFonts w:ascii="Verdana" w:hAnsi="Verdana"/>
                <w:noProof/>
                <w:color w:val="FFFFFF"/>
                <w:sz w:val="16"/>
              </w:rPr>
              <w:t>2015 г.</w:t>
            </w:r>
          </w:p>
        </w:tc>
        <w:tc>
          <w:tcPr>
            <w:tcW w:w="1001" w:type="dxa"/>
            <w:tcBorders>
              <w:top w:val="nil"/>
              <w:left w:val="nil"/>
              <w:bottom w:val="nil"/>
              <w:right w:val="nil"/>
              <w:tl2br w:val="nil"/>
              <w:tr2bl w:val="nil"/>
            </w:tcBorders>
            <w:shd w:val="solid" w:color="016794" w:fill="FFFFFF"/>
            <w:tcMar>
              <w:left w:w="60" w:type="dxa"/>
              <w:right w:w="60" w:type="dxa"/>
            </w:tcMar>
            <w:vAlign w:val="center"/>
          </w:tcPr>
          <w:p>
            <w:pPr>
              <w:pStyle w:val="DMETW19857BIPMFF5RALYoO"/>
              <w:jc w:val="center"/>
              <w:rPr>
                <w:rFonts w:ascii="Verdana" w:eastAsia="Verdana" w:hAnsi="Verdana" w:cs="Verdana"/>
                <w:noProof/>
                <w:color w:val="FFFFFF"/>
                <w:sz w:val="16"/>
              </w:rPr>
            </w:pPr>
            <w:r>
              <w:rPr>
                <w:rFonts w:ascii="Verdana" w:hAnsi="Verdana"/>
                <w:noProof/>
                <w:color w:val="FFFFFF"/>
                <w:sz w:val="16"/>
              </w:rPr>
              <w:t>2016 г.</w:t>
            </w:r>
          </w:p>
        </w:tc>
        <w:tc>
          <w:tcPr>
            <w:tcW w:w="1002" w:type="dxa"/>
            <w:tcBorders>
              <w:top w:val="nil"/>
              <w:left w:val="nil"/>
              <w:bottom w:val="nil"/>
              <w:right w:val="nil"/>
              <w:tl2br w:val="nil"/>
              <w:tr2bl w:val="nil"/>
            </w:tcBorders>
            <w:shd w:val="solid" w:color="016794" w:fill="FFFFFF"/>
            <w:tcMar>
              <w:left w:w="60" w:type="dxa"/>
              <w:right w:w="60" w:type="dxa"/>
            </w:tcMar>
            <w:vAlign w:val="center"/>
          </w:tcPr>
          <w:p>
            <w:pPr>
              <w:pStyle w:val="DMETW19857BIPMFF5RALYoO"/>
              <w:jc w:val="center"/>
              <w:rPr>
                <w:rFonts w:ascii="Verdana" w:eastAsia="Verdana" w:hAnsi="Verdana" w:cs="Verdana"/>
                <w:noProof/>
                <w:color w:val="FFFFFF"/>
                <w:sz w:val="16"/>
              </w:rPr>
            </w:pPr>
            <w:r>
              <w:rPr>
                <w:rFonts w:ascii="Verdana" w:hAnsi="Verdana"/>
                <w:noProof/>
                <w:color w:val="FFFFFF"/>
                <w:sz w:val="16"/>
              </w:rPr>
              <w:t>2017 г.</w:t>
            </w:r>
          </w:p>
        </w:tc>
        <w:tc>
          <w:tcPr>
            <w:tcW w:w="1001" w:type="dxa"/>
            <w:tcBorders>
              <w:top w:val="nil"/>
              <w:left w:val="nil"/>
              <w:bottom w:val="nil"/>
              <w:right w:val="nil"/>
              <w:tl2br w:val="nil"/>
              <w:tr2bl w:val="nil"/>
            </w:tcBorders>
            <w:shd w:val="solid" w:color="016794" w:fill="FFFFFF"/>
            <w:tcMar>
              <w:left w:w="60" w:type="dxa"/>
              <w:right w:w="60" w:type="dxa"/>
            </w:tcMar>
            <w:vAlign w:val="center"/>
          </w:tcPr>
          <w:p>
            <w:pPr>
              <w:pStyle w:val="DMETW19857BIPMFF5RALYoO"/>
              <w:jc w:val="center"/>
              <w:rPr>
                <w:rFonts w:ascii="Verdana" w:eastAsia="Verdana" w:hAnsi="Verdana" w:cs="Verdana"/>
                <w:noProof/>
                <w:color w:val="FFFFFF"/>
                <w:sz w:val="16"/>
              </w:rPr>
            </w:pPr>
            <w:r>
              <w:rPr>
                <w:rFonts w:ascii="Verdana" w:hAnsi="Verdana"/>
                <w:noProof/>
                <w:color w:val="FFFFFF"/>
                <w:sz w:val="16"/>
              </w:rPr>
              <w:t>2018 г.</w:t>
            </w:r>
          </w:p>
        </w:tc>
        <w:tc>
          <w:tcPr>
            <w:tcW w:w="1002" w:type="dxa"/>
            <w:tcBorders>
              <w:top w:val="nil"/>
              <w:left w:val="nil"/>
              <w:bottom w:val="nil"/>
              <w:right w:val="nil"/>
              <w:tl2br w:val="nil"/>
              <w:tr2bl w:val="nil"/>
            </w:tcBorders>
            <w:shd w:val="solid" w:color="016794" w:fill="FFFFFF"/>
            <w:tcMar>
              <w:left w:w="60" w:type="dxa"/>
              <w:right w:w="60" w:type="dxa"/>
            </w:tcMar>
            <w:vAlign w:val="center"/>
          </w:tcPr>
          <w:p>
            <w:pPr>
              <w:pStyle w:val="DMETW19857BIPMFF5RALYoO"/>
              <w:jc w:val="center"/>
              <w:rPr>
                <w:rFonts w:ascii="Verdana" w:eastAsia="Verdana" w:hAnsi="Verdana" w:cs="Verdana"/>
                <w:noProof/>
                <w:color w:val="FFFFFF"/>
                <w:sz w:val="16"/>
              </w:rPr>
            </w:pPr>
            <w:r>
              <w:rPr>
                <w:rFonts w:ascii="Verdana" w:hAnsi="Verdana"/>
                <w:noProof/>
                <w:color w:val="FFFFFF"/>
                <w:sz w:val="16"/>
              </w:rPr>
              <w:t>2019 г.</w:t>
            </w:r>
          </w:p>
        </w:tc>
        <w:tc>
          <w:tcPr>
            <w:tcW w:w="986" w:type="dxa"/>
            <w:tcBorders>
              <w:top w:val="nil"/>
              <w:left w:val="nil"/>
              <w:bottom w:val="nil"/>
              <w:right w:val="nil"/>
              <w:tl2br w:val="nil"/>
              <w:tr2bl w:val="nil"/>
            </w:tcBorders>
            <w:shd w:val="solid" w:color="016794" w:fill="FFFFFF"/>
            <w:tcMar>
              <w:left w:w="60" w:type="dxa"/>
              <w:right w:w="60" w:type="dxa"/>
            </w:tcMar>
            <w:vAlign w:val="center"/>
          </w:tcPr>
          <w:p>
            <w:pPr>
              <w:pStyle w:val="DMETW19857BIPMFF5RALYoO"/>
              <w:jc w:val="center"/>
              <w:rPr>
                <w:rFonts w:ascii="Verdana" w:eastAsia="Verdana" w:hAnsi="Verdana" w:cs="Verdana"/>
                <w:noProof/>
                <w:color w:val="FFFFFF"/>
                <w:sz w:val="16"/>
              </w:rPr>
            </w:pPr>
            <w:r>
              <w:rPr>
                <w:rFonts w:ascii="Verdana" w:hAnsi="Verdana"/>
                <w:noProof/>
                <w:color w:val="FFFFFF"/>
                <w:sz w:val="16"/>
              </w:rPr>
              <w:t>2020 г.</w:t>
            </w:r>
          </w:p>
        </w:tc>
        <w:tc>
          <w:tcPr>
            <w:tcW w:w="1134" w:type="dxa"/>
            <w:tcBorders>
              <w:top w:val="nil"/>
              <w:left w:val="nil"/>
              <w:bottom w:val="nil"/>
              <w:right w:val="nil"/>
              <w:tl2br w:val="nil"/>
              <w:tr2bl w:val="nil"/>
            </w:tcBorders>
            <w:shd w:val="solid" w:color="016794" w:fill="FFFFFF"/>
            <w:tcMar>
              <w:left w:w="60" w:type="dxa"/>
              <w:right w:w="60" w:type="dxa"/>
            </w:tcMar>
            <w:vAlign w:val="center"/>
          </w:tcPr>
          <w:p>
            <w:pPr>
              <w:pStyle w:val="DMETW19857BIPMFF5RALYoO"/>
              <w:jc w:val="center"/>
              <w:rPr>
                <w:rFonts w:ascii="Verdana" w:eastAsia="Verdana" w:hAnsi="Verdana" w:cs="Verdana"/>
                <w:noProof/>
                <w:color w:val="FFFFFF"/>
                <w:sz w:val="16"/>
              </w:rPr>
            </w:pPr>
            <w:r>
              <w:rPr>
                <w:rFonts w:ascii="Verdana" w:hAnsi="Verdana"/>
                <w:noProof/>
                <w:color w:val="FFFFFF"/>
                <w:sz w:val="16"/>
              </w:rPr>
              <w:t>Общо</w:t>
            </w:r>
          </w:p>
        </w:tc>
      </w:tr>
      <w:tr>
        <w:trPr>
          <w:cantSplit/>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1</w:t>
            </w:r>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3 347</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878</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1 741</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4 079</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21 655</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46 203</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68 942</w:t>
            </w: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77 924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224 769</w:t>
            </w:r>
          </w:p>
        </w:tc>
      </w:tr>
      <w:tr>
        <w:trPr>
          <w:cantSplit/>
          <w:trHeight w:val="283"/>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683</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570</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903</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1 748</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3 530</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6 544</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10 749</w:t>
            </w: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19 871</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44 598</w:t>
            </w:r>
          </w:p>
        </w:tc>
      </w:tr>
      <w:tr>
        <w:trPr>
          <w:cantSplit/>
          <w:trHeight w:val="283"/>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2 664</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308</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838</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2 330</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18 125</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39 659</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58 193</w:t>
            </w: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58 053</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180 170</w:t>
            </w:r>
          </w:p>
        </w:tc>
      </w:tr>
      <w:tr>
        <w:trPr>
          <w:cantSplit/>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2</w:t>
            </w:r>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120</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271</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1 286</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1 209</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2 388</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7 633</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12 142</w:t>
            </w: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15 934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40 982</w:t>
            </w:r>
          </w:p>
        </w:tc>
      </w:tr>
      <w:tr>
        <w:trPr>
          <w:cantSplit/>
          <w:trHeight w:val="283"/>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i/>
                <w:noProof/>
                <w:color w:val="000000"/>
                <w:sz w:val="16"/>
              </w:rPr>
            </w:pPr>
            <w:r>
              <w:rPr>
                <w:rFonts w:ascii="Verdana" w:hAnsi="Verdana"/>
                <w:i/>
                <w:noProof/>
                <w:color w:val="000000"/>
                <w:sz w:val="16"/>
              </w:rPr>
              <w:t>от които: разходи, свързани с пазара, и преки плащания</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1</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9</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44</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110</w:t>
            </w: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122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286</w:t>
            </w:r>
          </w:p>
        </w:tc>
      </w:tr>
      <w:tr>
        <w:trPr>
          <w:cantSplit/>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3</w:t>
            </w:r>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24</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34</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231</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637</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1 251</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1 652</w:t>
            </w: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3 594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7 433</w:t>
            </w:r>
          </w:p>
        </w:tc>
      </w:tr>
      <w:tr>
        <w:trPr>
          <w:cantSplit/>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4</w:t>
            </w:r>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Глобална Европа</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1 339</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607</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1 140</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2 122</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3 351</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4 733</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7 304</w:t>
            </w: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8 423</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29 020</w:t>
            </w:r>
          </w:p>
        </w:tc>
      </w:tr>
      <w:tr>
        <w:trPr>
          <w:cantSplit/>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5</w:t>
            </w:r>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Администрация</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987</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990</w:t>
            </w:r>
          </w:p>
        </w:tc>
      </w:tr>
      <w:tr>
        <w:trPr>
          <w:cantSplit/>
          <w:trHeight w:val="283"/>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i/>
                <w:noProof/>
                <w:color w:val="000000"/>
                <w:sz w:val="16"/>
              </w:rPr>
            </w:pPr>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i/>
                <w:noProof/>
                <w:color w:val="000000"/>
                <w:sz w:val="16"/>
              </w:rPr>
            </w:pPr>
            <w:r>
              <w:rPr>
                <w:rFonts w:ascii="Verdana" w:hAnsi="Verdana"/>
                <w:i/>
                <w:noProof/>
                <w:color w:val="000000"/>
                <w:sz w:val="16"/>
              </w:rPr>
              <w:t>от които: административни разходи на институциите</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0</w:t>
            </w: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627</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i/>
                <w:noProof/>
                <w:color w:val="000000"/>
                <w:sz w:val="16"/>
              </w:rPr>
            </w:pPr>
            <w:r>
              <w:rPr>
                <w:rFonts w:ascii="Verdana" w:hAnsi="Verdana"/>
                <w:i/>
                <w:noProof/>
                <w:color w:val="000000"/>
                <w:sz w:val="16"/>
              </w:rPr>
              <w:t xml:space="preserve"> 627</w:t>
            </w:r>
          </w:p>
        </w:tc>
      </w:tr>
      <w:tr>
        <w:trPr>
          <w:cantSplit/>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9</w:t>
            </w:r>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Специални инструменти</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34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O</w:t>
            </w:r>
          </w:p>
        </w:tc>
        <w:tc>
          <w:tcPr>
            <w:tcW w:w="4963"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rPr>
                <w:rFonts w:ascii="Verdana" w:eastAsia="Verdana" w:hAnsi="Verdana" w:cs="Verdana"/>
                <w:noProof/>
                <w:color w:val="000000"/>
                <w:sz w:val="16"/>
              </w:rPr>
            </w:pPr>
            <w:r>
              <w:rPr>
                <w:rFonts w:ascii="Verdana" w:hAnsi="Verdana"/>
                <w:noProof/>
                <w:color w:val="000000"/>
                <w:sz w:val="16"/>
              </w:rPr>
              <w:t>Фонд за иновации (ФИ)</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w:t>
            </w:r>
          </w:p>
        </w:tc>
        <w:tc>
          <w:tcPr>
            <w:tcW w:w="986"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MFF5RALYoO"/>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340"/>
        </w:trPr>
        <w:tc>
          <w:tcPr>
            <w:tcW w:w="342" w:type="dxa"/>
            <w:tcBorders>
              <w:top w:val="nil"/>
              <w:left w:val="nil"/>
              <w:bottom w:val="nil"/>
              <w:right w:val="nil"/>
              <w:tl2br w:val="nil"/>
              <w:tr2bl w:val="nil"/>
            </w:tcBorders>
            <w:shd w:val="solid" w:color="CCE1EA" w:fill="FFFFFF"/>
            <w:tcMar>
              <w:left w:w="60" w:type="dxa"/>
              <w:right w:w="60" w:type="dxa"/>
            </w:tcMar>
            <w:vAlign w:val="center"/>
          </w:tcPr>
          <w:p>
            <w:pPr>
              <w:pStyle w:val="DMETW19857BIPMFF5RALYoO"/>
              <w:rPr>
                <w:rFonts w:ascii="Verdana" w:eastAsia="Verdana" w:hAnsi="Verdana" w:cs="Verdana"/>
                <w:b/>
                <w:noProof/>
                <w:color w:val="000000"/>
                <w:sz w:val="16"/>
              </w:rPr>
            </w:pPr>
          </w:p>
        </w:tc>
        <w:tc>
          <w:tcPr>
            <w:tcW w:w="4963" w:type="dxa"/>
            <w:tcBorders>
              <w:top w:val="nil"/>
              <w:left w:val="nil"/>
              <w:bottom w:val="nil"/>
              <w:right w:val="nil"/>
              <w:tl2br w:val="nil"/>
              <w:tr2bl w:val="nil"/>
            </w:tcBorders>
            <w:shd w:val="solid" w:color="CCE1EA" w:fill="FFFFFF"/>
            <w:tcMar>
              <w:left w:w="60" w:type="dxa"/>
              <w:right w:w="60" w:type="dxa"/>
            </w:tcMar>
            <w:vAlign w:val="center"/>
          </w:tcPr>
          <w:p>
            <w:pPr>
              <w:pStyle w:val="DMETW19857BIPMFF5RALYoO"/>
              <w:rPr>
                <w:rFonts w:ascii="Verdana" w:eastAsia="Verdana" w:hAnsi="Verdana" w:cs="Verdana"/>
                <w:b/>
                <w:noProof/>
                <w:color w:val="000000"/>
                <w:sz w:val="16"/>
              </w:rPr>
            </w:pPr>
            <w:r>
              <w:rPr>
                <w:rFonts w:ascii="Verdana" w:hAnsi="Verdana"/>
                <w:b/>
                <w:noProof/>
                <w:color w:val="000000"/>
                <w:sz w:val="16"/>
              </w:rPr>
              <w:t>Общо</w:t>
            </w:r>
          </w:p>
        </w:tc>
        <w:tc>
          <w:tcPr>
            <w:tcW w:w="1226" w:type="dxa"/>
            <w:tcBorders>
              <w:top w:val="nil"/>
              <w:left w:val="nil"/>
              <w:bottom w:val="nil"/>
              <w:right w:val="nil"/>
              <w:tl2br w:val="nil"/>
              <w:tr2bl w:val="nil"/>
            </w:tcBorders>
            <w:shd w:val="solid" w:color="CCE1EA" w:fill="FFFFFF"/>
            <w:tcMar>
              <w:left w:w="60" w:type="dxa"/>
              <w:right w:w="60" w:type="dxa"/>
            </w:tcMar>
            <w:vAlign w:val="center"/>
          </w:tcPr>
          <w:p>
            <w:pPr>
              <w:pStyle w:val="DMETW19857BIPMFF5RALYoO"/>
              <w:jc w:val="right"/>
              <w:rPr>
                <w:rFonts w:ascii="Verdana" w:eastAsia="Verdana" w:hAnsi="Verdana" w:cs="Verdana"/>
                <w:b/>
                <w:noProof/>
                <w:color w:val="000000"/>
                <w:sz w:val="16"/>
              </w:rPr>
            </w:pPr>
            <w:r>
              <w:rPr>
                <w:rFonts w:ascii="Verdana" w:hAnsi="Verdana"/>
                <w:b/>
                <w:noProof/>
                <w:color w:val="000000"/>
                <w:sz w:val="16"/>
              </w:rPr>
              <w:t>4 830</w:t>
            </w:r>
          </w:p>
        </w:tc>
        <w:tc>
          <w:tcPr>
            <w:tcW w:w="1001" w:type="dxa"/>
            <w:tcBorders>
              <w:top w:val="nil"/>
              <w:left w:val="nil"/>
              <w:bottom w:val="nil"/>
              <w:right w:val="nil"/>
              <w:tl2br w:val="nil"/>
              <w:tr2bl w:val="nil"/>
            </w:tcBorders>
            <w:shd w:val="solid" w:color="CCE1EA" w:fill="FFFFFF"/>
            <w:tcMar>
              <w:left w:w="60" w:type="dxa"/>
              <w:right w:w="60" w:type="dxa"/>
            </w:tcMar>
            <w:vAlign w:val="center"/>
          </w:tcPr>
          <w:p>
            <w:pPr>
              <w:pStyle w:val="DMETW19857BIPMFF5RALYoO"/>
              <w:jc w:val="right"/>
              <w:rPr>
                <w:rFonts w:ascii="Verdana" w:eastAsia="Verdana" w:hAnsi="Verdana" w:cs="Verdana"/>
                <w:b/>
                <w:noProof/>
                <w:color w:val="000000"/>
                <w:sz w:val="16"/>
              </w:rPr>
            </w:pPr>
            <w:r>
              <w:rPr>
                <w:rFonts w:ascii="Verdana" w:hAnsi="Verdana"/>
                <w:b/>
                <w:noProof/>
                <w:color w:val="000000"/>
                <w:sz w:val="16"/>
              </w:rPr>
              <w:t>1 765</w:t>
            </w:r>
          </w:p>
        </w:tc>
        <w:tc>
          <w:tcPr>
            <w:tcW w:w="1002" w:type="dxa"/>
            <w:tcBorders>
              <w:top w:val="nil"/>
              <w:left w:val="nil"/>
              <w:bottom w:val="nil"/>
              <w:right w:val="nil"/>
              <w:tl2br w:val="nil"/>
              <w:tr2bl w:val="nil"/>
            </w:tcBorders>
            <w:shd w:val="solid" w:color="CCE1EA" w:fill="FFFFFF"/>
            <w:tcMar>
              <w:left w:w="60" w:type="dxa"/>
              <w:right w:w="60" w:type="dxa"/>
            </w:tcMar>
            <w:vAlign w:val="center"/>
          </w:tcPr>
          <w:p>
            <w:pPr>
              <w:pStyle w:val="DMETW19857BIPMFF5RALYoO"/>
              <w:jc w:val="right"/>
              <w:rPr>
                <w:rFonts w:ascii="Verdana" w:eastAsia="Verdana" w:hAnsi="Verdana" w:cs="Verdana"/>
                <w:b/>
                <w:noProof/>
                <w:color w:val="000000"/>
                <w:sz w:val="16"/>
              </w:rPr>
            </w:pPr>
            <w:r>
              <w:rPr>
                <w:rFonts w:ascii="Verdana" w:hAnsi="Verdana"/>
                <w:b/>
                <w:noProof/>
                <w:color w:val="000000"/>
                <w:sz w:val="16"/>
              </w:rPr>
              <w:t>4 201</w:t>
            </w:r>
          </w:p>
        </w:tc>
        <w:tc>
          <w:tcPr>
            <w:tcW w:w="1001" w:type="dxa"/>
            <w:tcBorders>
              <w:top w:val="nil"/>
              <w:left w:val="nil"/>
              <w:bottom w:val="nil"/>
              <w:right w:val="nil"/>
              <w:tl2br w:val="nil"/>
              <w:tr2bl w:val="nil"/>
            </w:tcBorders>
            <w:shd w:val="solid" w:color="CCE1EA" w:fill="FFFFFF"/>
            <w:tcMar>
              <w:left w:w="60" w:type="dxa"/>
              <w:right w:w="60" w:type="dxa"/>
            </w:tcMar>
            <w:vAlign w:val="center"/>
          </w:tcPr>
          <w:p>
            <w:pPr>
              <w:pStyle w:val="DMETW19857BIPMFF5RALYoO"/>
              <w:jc w:val="right"/>
              <w:rPr>
                <w:rFonts w:ascii="Verdana" w:eastAsia="Verdana" w:hAnsi="Verdana" w:cs="Verdana"/>
                <w:b/>
                <w:noProof/>
                <w:color w:val="000000"/>
                <w:sz w:val="16"/>
              </w:rPr>
            </w:pPr>
            <w:r>
              <w:rPr>
                <w:rFonts w:ascii="Verdana" w:hAnsi="Verdana"/>
                <w:b/>
                <w:noProof/>
                <w:color w:val="000000"/>
                <w:sz w:val="16"/>
              </w:rPr>
              <w:t>7 640</w:t>
            </w:r>
          </w:p>
        </w:tc>
        <w:tc>
          <w:tcPr>
            <w:tcW w:w="1002" w:type="dxa"/>
            <w:tcBorders>
              <w:top w:val="nil"/>
              <w:left w:val="nil"/>
              <w:bottom w:val="nil"/>
              <w:right w:val="nil"/>
              <w:tl2br w:val="nil"/>
              <w:tr2bl w:val="nil"/>
            </w:tcBorders>
            <w:shd w:val="solid" w:color="CCE1EA" w:fill="FFFFFF"/>
            <w:tcMar>
              <w:left w:w="60" w:type="dxa"/>
              <w:right w:w="60" w:type="dxa"/>
            </w:tcMar>
            <w:vAlign w:val="center"/>
          </w:tcPr>
          <w:p>
            <w:pPr>
              <w:pStyle w:val="DMETW19857BIPMFF5RALYoO"/>
              <w:jc w:val="right"/>
              <w:rPr>
                <w:rFonts w:ascii="Verdana" w:eastAsia="Verdana" w:hAnsi="Verdana" w:cs="Verdana"/>
                <w:b/>
                <w:noProof/>
                <w:color w:val="000000"/>
                <w:sz w:val="16"/>
              </w:rPr>
            </w:pPr>
            <w:r>
              <w:rPr>
                <w:rFonts w:ascii="Verdana" w:hAnsi="Verdana"/>
                <w:b/>
                <w:noProof/>
                <w:color w:val="000000"/>
                <w:sz w:val="16"/>
              </w:rPr>
              <w:t>28 030</w:t>
            </w:r>
          </w:p>
        </w:tc>
        <w:tc>
          <w:tcPr>
            <w:tcW w:w="1001" w:type="dxa"/>
            <w:tcBorders>
              <w:top w:val="nil"/>
              <w:left w:val="nil"/>
              <w:bottom w:val="nil"/>
              <w:right w:val="nil"/>
              <w:tl2br w:val="nil"/>
              <w:tr2bl w:val="nil"/>
            </w:tcBorders>
            <w:shd w:val="solid" w:color="CCE1EA" w:fill="FFFFFF"/>
            <w:tcMar>
              <w:left w:w="60" w:type="dxa"/>
              <w:right w:w="60" w:type="dxa"/>
            </w:tcMar>
            <w:vAlign w:val="center"/>
          </w:tcPr>
          <w:p>
            <w:pPr>
              <w:pStyle w:val="DMETW19857BIPMFF5RALYoO"/>
              <w:jc w:val="right"/>
              <w:rPr>
                <w:rFonts w:ascii="Verdana" w:eastAsia="Verdana" w:hAnsi="Verdana" w:cs="Verdana"/>
                <w:b/>
                <w:noProof/>
                <w:color w:val="000000"/>
                <w:sz w:val="16"/>
              </w:rPr>
            </w:pPr>
            <w:r>
              <w:rPr>
                <w:rFonts w:ascii="Verdana" w:hAnsi="Verdana"/>
                <w:b/>
                <w:noProof/>
                <w:color w:val="000000"/>
                <w:sz w:val="16"/>
              </w:rPr>
              <w:t>59 820</w:t>
            </w:r>
          </w:p>
        </w:tc>
        <w:tc>
          <w:tcPr>
            <w:tcW w:w="1002" w:type="dxa"/>
            <w:tcBorders>
              <w:top w:val="nil"/>
              <w:left w:val="nil"/>
              <w:bottom w:val="nil"/>
              <w:right w:val="nil"/>
              <w:tl2br w:val="nil"/>
              <w:tr2bl w:val="nil"/>
            </w:tcBorders>
            <w:shd w:val="solid" w:color="CCE1EA" w:fill="FFFFFF"/>
            <w:tcMar>
              <w:left w:w="60" w:type="dxa"/>
              <w:right w:w="60" w:type="dxa"/>
            </w:tcMar>
            <w:vAlign w:val="center"/>
          </w:tcPr>
          <w:p>
            <w:pPr>
              <w:pStyle w:val="DMETW19857BIPMFF5RALYoO"/>
              <w:jc w:val="right"/>
              <w:rPr>
                <w:rFonts w:ascii="Verdana" w:eastAsia="Verdana" w:hAnsi="Verdana" w:cs="Verdana"/>
                <w:b/>
                <w:noProof/>
                <w:color w:val="000000"/>
                <w:sz w:val="16"/>
              </w:rPr>
            </w:pPr>
            <w:r>
              <w:rPr>
                <w:rFonts w:ascii="Verdana" w:hAnsi="Verdana"/>
                <w:b/>
                <w:noProof/>
                <w:color w:val="000000"/>
                <w:sz w:val="16"/>
              </w:rPr>
              <w:t>90 044</w:t>
            </w:r>
          </w:p>
        </w:tc>
        <w:tc>
          <w:tcPr>
            <w:tcW w:w="986" w:type="dxa"/>
            <w:tcBorders>
              <w:top w:val="nil"/>
              <w:left w:val="nil"/>
              <w:bottom w:val="nil"/>
              <w:right w:val="nil"/>
              <w:tl2br w:val="nil"/>
              <w:tr2bl w:val="nil"/>
            </w:tcBorders>
            <w:shd w:val="solid" w:color="CCE1EA" w:fill="FFFFFF"/>
            <w:tcMar>
              <w:left w:w="60" w:type="dxa"/>
              <w:right w:w="60" w:type="dxa"/>
            </w:tcMar>
            <w:vAlign w:val="center"/>
          </w:tcPr>
          <w:p>
            <w:pPr>
              <w:pStyle w:val="DMETW19857BIPMFF5RALYoO"/>
              <w:jc w:val="right"/>
              <w:rPr>
                <w:rFonts w:ascii="Verdana" w:eastAsia="Verdana" w:hAnsi="Verdana" w:cs="Verdana"/>
                <w:b/>
                <w:noProof/>
                <w:color w:val="000000"/>
                <w:sz w:val="16"/>
              </w:rPr>
            </w:pPr>
            <w:r>
              <w:rPr>
                <w:rFonts w:ascii="Verdana" w:hAnsi="Verdana"/>
                <w:b/>
                <w:noProof/>
                <w:color w:val="000000"/>
                <w:sz w:val="16"/>
              </w:rPr>
              <w:t>106 867</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57BIPMFF5RALYoO"/>
              <w:jc w:val="right"/>
              <w:rPr>
                <w:rFonts w:ascii="Verdana" w:eastAsia="Verdana" w:hAnsi="Verdana" w:cs="Verdana"/>
                <w:b/>
                <w:noProof/>
                <w:color w:val="000000"/>
                <w:sz w:val="16"/>
              </w:rPr>
            </w:pPr>
            <w:r>
              <w:rPr>
                <w:rFonts w:ascii="Verdana" w:hAnsi="Verdana"/>
                <w:b/>
                <w:noProof/>
                <w:color w:val="000000"/>
                <w:sz w:val="16"/>
              </w:rPr>
              <w:t>303 197</w:t>
            </w:r>
          </w:p>
        </w:tc>
      </w:tr>
    </w:tbl>
    <w:p>
      <w:pPr>
        <w:pStyle w:val="Textstand-alone"/>
      </w:pPr>
    </w:p>
    <w:p>
      <w:pPr>
        <w:pStyle w:val="Textstand-alone"/>
      </w:pPr>
    </w:p>
    <w:p>
      <w:pPr>
        <w:pStyle w:val="Textstand-alone"/>
      </w:pPr>
    </w:p>
    <w:p>
      <w:pPr>
        <w:pStyle w:val="Textstand-alone"/>
      </w:pPr>
    </w:p>
    <w:p>
      <w:pPr>
        <w:pStyle w:val="Textstand-alone"/>
        <w:spacing w:after="0"/>
        <w:jc w:val="left"/>
        <w:rPr>
          <w:rFonts w:cs="Calibri"/>
          <w:sz w:val="16"/>
          <w:szCs w:val="20"/>
          <w:lang w:val="en-IE"/>
        </w:rPr>
      </w:pPr>
    </w:p>
    <w:p>
      <w:pPr>
        <w:pStyle w:val="Textstand-alone"/>
        <w:spacing w:after="0"/>
        <w:jc w:val="left"/>
        <w:rPr>
          <w:rFonts w:cs="Calibri"/>
          <w:sz w:val="16"/>
          <w:szCs w:val="20"/>
        </w:rPr>
      </w:pPr>
      <w:r>
        <w:rPr>
          <w:sz w:val="16"/>
          <w:szCs w:val="20"/>
        </w:rPr>
        <w:t>Новата Комисия извърши вътрешна реорганизация на службите. Преразпределението на съответните операции доведе до прехвърляне на неизпълнени поети задължения от една година в друга. Общият размер на неизпълнените поети задължения остава непроменен.</w:t>
      </w:r>
    </w:p>
    <w:p>
      <w:pPr>
        <w:pStyle w:val="Textstand-alone"/>
        <w:spacing w:before="0" w:after="0"/>
        <w:jc w:val="left"/>
        <w:rPr>
          <w:sz w:val="16"/>
        </w:rPr>
      </w:pPr>
    </w:p>
    <w:p>
      <w:pPr>
        <w:pStyle w:val="HEADER2PartBUDG"/>
        <w:numPr>
          <w:ilvl w:val="1"/>
          <w:numId w:val="15"/>
        </w:numPr>
        <w:rPr>
          <w:noProof/>
          <w:sz w:val="18"/>
          <w:szCs w:val="18"/>
        </w:rPr>
      </w:pPr>
      <w:r>
        <w:rPr>
          <w:noProof/>
        </w:rPr>
        <w:br w:type="page"/>
      </w:r>
      <w:bookmarkStart w:id="261" w:name="_Toc75518143"/>
      <w:r>
        <w:rPr>
          <w:noProof/>
        </w:rPr>
        <w:t>МФР: НЕИЗПЪЛНЕНИ ПОЕТИ ЗАДЪЛЖЕНИЯ ПО ВИДОВЕ БЮДЖЕТНИ КРЕДИТИ</w:t>
      </w:r>
      <w:bookmarkEnd w:id="261"/>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943"/>
        <w:gridCol w:w="1134"/>
        <w:gridCol w:w="850"/>
        <w:gridCol w:w="993"/>
        <w:gridCol w:w="992"/>
        <w:gridCol w:w="1272"/>
        <w:gridCol w:w="1039"/>
        <w:gridCol w:w="807"/>
        <w:gridCol w:w="993"/>
        <w:gridCol w:w="992"/>
        <w:gridCol w:w="1134"/>
        <w:gridCol w:w="1307"/>
      </w:tblGrid>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bookmarkStart w:id="262" w:name="DOC_TBL00112_1_1"/>
            <w:bookmarkEnd w:id="262"/>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p>
        </w:tc>
        <w:tc>
          <w:tcPr>
            <w:tcW w:w="2943"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p>
        </w:tc>
        <w:tc>
          <w:tcPr>
            <w:tcW w:w="1134"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b/>
                <w:noProof/>
                <w:color w:val="FFFFFF"/>
                <w:sz w:val="16"/>
              </w:rPr>
            </w:pPr>
            <w:r>
              <w:rPr>
                <w:rFonts w:ascii="Verdana" w:hAnsi="Verdana"/>
                <w:b/>
                <w:noProof/>
                <w:color w:val="FFFFFF"/>
                <w:sz w:val="16"/>
              </w:rPr>
              <w:t>От бюджетни кредити</w:t>
            </w:r>
          </w:p>
        </w:tc>
        <w:tc>
          <w:tcPr>
            <w:tcW w:w="1039"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b/>
                <w:noProof/>
                <w:color w:val="FFFFFF"/>
                <w:sz w:val="16"/>
              </w:rPr>
            </w:pPr>
            <w:r>
              <w:rPr>
                <w:rFonts w:ascii="Verdana" w:hAnsi="Verdana"/>
                <w:b/>
                <w:noProof/>
                <w:color w:val="FFFFFF"/>
                <w:sz w:val="16"/>
              </w:rPr>
              <w:t>От бюджетни кредити от целеви приходи</w:t>
            </w:r>
          </w:p>
        </w:tc>
        <w:tc>
          <w:tcPr>
            <w:tcW w:w="1307"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b/>
                <w:noProof/>
                <w:color w:val="FFFFFF"/>
                <w:sz w:val="16"/>
              </w:rPr>
            </w:pPr>
            <w:r>
              <w:rPr>
                <w:rFonts w:ascii="Verdana" w:hAnsi="Verdana"/>
                <w:b/>
                <w:noProof/>
                <w:color w:val="FFFFFF"/>
                <w:sz w:val="16"/>
              </w:rPr>
              <w:t>Общо неизпълнени поети задължения към края на 2020 г.</w:t>
            </w:r>
          </w:p>
        </w:tc>
      </w:tr>
      <w:tr>
        <w:trPr>
          <w:cantSplit/>
          <w:trHeight w:val="284"/>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p>
        </w:tc>
        <w:tc>
          <w:tcPr>
            <w:tcW w:w="2943"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Функция</w:t>
            </w:r>
          </w:p>
        </w:tc>
        <w:tc>
          <w:tcPr>
            <w:tcW w:w="1134"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Поети задължения, пренесени от 2019 г.</w:t>
            </w:r>
          </w:p>
        </w:tc>
        <w:tc>
          <w:tcPr>
            <w:tcW w:w="850"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Корекции</w:t>
            </w:r>
          </w:p>
          <w:p>
            <w:pPr>
              <w:pStyle w:val="DMETW19857BIPRALbyTypebyHeading"/>
              <w:jc w:val="center"/>
              <w:rPr>
                <w:rFonts w:ascii="Verdana" w:eastAsia="Verdana" w:hAnsi="Verdana" w:cs="Verdana"/>
                <w:noProof/>
                <w:color w:val="FFFFFF"/>
                <w:sz w:val="16"/>
              </w:rPr>
            </w:pPr>
            <w:r>
              <w:rPr>
                <w:rFonts w:ascii="Verdana" w:hAnsi="Verdana"/>
                <w:noProof/>
                <w:color w:val="FFFFFF"/>
                <w:sz w:val="16"/>
              </w:rPr>
              <w:t xml:space="preserve"> </w:t>
            </w:r>
          </w:p>
        </w:tc>
        <w:tc>
          <w:tcPr>
            <w:tcW w:w="993"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Поети задължения</w:t>
            </w: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Извършени плащания</w:t>
            </w:r>
          </w:p>
        </w:tc>
        <w:tc>
          <w:tcPr>
            <w:tcW w:w="1272"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Оставаща за плащане сума</w:t>
            </w:r>
          </w:p>
        </w:tc>
        <w:tc>
          <w:tcPr>
            <w:tcW w:w="1039"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Поети задължения, пренесени от 2019 г.</w:t>
            </w:r>
          </w:p>
        </w:tc>
        <w:tc>
          <w:tcPr>
            <w:tcW w:w="807"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Корекции</w:t>
            </w:r>
          </w:p>
          <w:p>
            <w:pPr>
              <w:pStyle w:val="DMETW19857BIPRALbyTypebyHeading"/>
              <w:jc w:val="center"/>
              <w:rPr>
                <w:rFonts w:ascii="Verdana" w:eastAsia="Verdana" w:hAnsi="Verdana" w:cs="Verdana"/>
                <w:noProof/>
                <w:color w:val="FFFFFF"/>
                <w:sz w:val="16"/>
              </w:rPr>
            </w:pPr>
            <w:r>
              <w:rPr>
                <w:rFonts w:ascii="Verdana" w:hAnsi="Verdana"/>
                <w:noProof/>
                <w:color w:val="FFFFFF"/>
                <w:sz w:val="16"/>
              </w:rPr>
              <w:t xml:space="preserve"> </w:t>
            </w:r>
          </w:p>
        </w:tc>
        <w:tc>
          <w:tcPr>
            <w:tcW w:w="993"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Поети задължения</w:t>
            </w: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Извършени плащания</w:t>
            </w:r>
          </w:p>
        </w:tc>
        <w:tc>
          <w:tcPr>
            <w:tcW w:w="1134"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Оставаща за плащане сума</w:t>
            </w:r>
          </w:p>
        </w:tc>
        <w:tc>
          <w:tcPr>
            <w:tcW w:w="1260"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RALbyTypebyHeading"/>
              <w:jc w:val="center"/>
              <w:rPr>
                <w:rFonts w:ascii="Verdana" w:eastAsia="Verdana" w:hAnsi="Verdana" w:cs="Verdana"/>
                <w:b/>
                <w:noProof/>
                <w:color w:val="FFFFFF"/>
                <w:sz w:val="16"/>
              </w:rPr>
            </w:pPr>
          </w:p>
        </w:tc>
      </w:tr>
      <w:tr>
        <w:trPr>
          <w:cantSplit/>
          <w:trHeight w:val="284"/>
        </w:trPr>
        <w:tc>
          <w:tcPr>
            <w:tcW w:w="236"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p>
        </w:tc>
        <w:tc>
          <w:tcPr>
            <w:tcW w:w="2943"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p>
        </w:tc>
        <w:tc>
          <w:tcPr>
            <w:tcW w:w="1134"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1</w:t>
            </w:r>
          </w:p>
        </w:tc>
        <w:tc>
          <w:tcPr>
            <w:tcW w:w="850"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2</w:t>
            </w:r>
          </w:p>
        </w:tc>
        <w:tc>
          <w:tcPr>
            <w:tcW w:w="993"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3</w:t>
            </w:r>
          </w:p>
        </w:tc>
        <w:tc>
          <w:tcPr>
            <w:tcW w:w="992"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4</w:t>
            </w:r>
          </w:p>
        </w:tc>
        <w:tc>
          <w:tcPr>
            <w:tcW w:w="1272"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5=1+2+3-4</w:t>
            </w:r>
          </w:p>
        </w:tc>
        <w:tc>
          <w:tcPr>
            <w:tcW w:w="1039"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6</w:t>
            </w:r>
          </w:p>
        </w:tc>
        <w:tc>
          <w:tcPr>
            <w:tcW w:w="807"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7</w:t>
            </w:r>
          </w:p>
        </w:tc>
        <w:tc>
          <w:tcPr>
            <w:tcW w:w="993"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8</w:t>
            </w:r>
          </w:p>
        </w:tc>
        <w:tc>
          <w:tcPr>
            <w:tcW w:w="992"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9</w:t>
            </w:r>
          </w:p>
        </w:tc>
        <w:tc>
          <w:tcPr>
            <w:tcW w:w="1134"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10=6+7+8-9</w:t>
            </w:r>
          </w:p>
        </w:tc>
        <w:tc>
          <w:tcPr>
            <w:tcW w:w="1307"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Heading"/>
              <w:jc w:val="center"/>
              <w:rPr>
                <w:rFonts w:ascii="Verdana" w:eastAsia="Verdana" w:hAnsi="Verdana" w:cs="Verdana"/>
                <w:noProof/>
                <w:color w:val="FFFFFF"/>
                <w:sz w:val="16"/>
              </w:rPr>
            </w:pPr>
            <w:r>
              <w:rPr>
                <w:rFonts w:ascii="Verdana" w:hAnsi="Verdana"/>
                <w:noProof/>
                <w:color w:val="FFFFFF"/>
                <w:sz w:val="16"/>
              </w:rPr>
              <w:t>11=5+10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1</w:t>
            </w:r>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195 138</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(1 648)</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84 411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81 035</w:t>
            </w: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196 865</w:t>
            </w: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25 490</w:t>
            </w: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(232)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5 152</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2 506</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27 904</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224 769</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37 087</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(736)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25 257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21 846</w:t>
            </w: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39 762</w:t>
            </w: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3 213</w:t>
            </w: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(223)</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4 058</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2 212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4 837</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44 598</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158 051</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(912)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59 154</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59 190</w:t>
            </w: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157 103</w:t>
            </w: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22 277</w:t>
            </w: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(10)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1 095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294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23 067</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180 170</w:t>
            </w:r>
          </w:p>
        </w:tc>
      </w:tr>
      <w:tr>
        <w:trPr>
          <w:cantSplit/>
          <w:trHeight w:val="56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2</w:t>
            </w:r>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40 451</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(122)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59 937</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59 707</w:t>
            </w: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40 559</w:t>
            </w: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425</w:t>
            </w: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886</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888</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423</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40 982</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i/>
                <w:noProof/>
                <w:color w:val="000000"/>
                <w:sz w:val="16"/>
              </w:rPr>
            </w:pPr>
            <w:r>
              <w:rPr>
                <w:rFonts w:ascii="Verdana" w:hAnsi="Verdana"/>
                <w:i/>
                <w:noProof/>
                <w:color w:val="000000"/>
                <w:sz w:val="16"/>
              </w:rPr>
              <w:t xml:space="preserve">   от които: разходи, свързани с пазара, и преки плащания</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431</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(5)</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43 441</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43 582</w:t>
            </w: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286</w:t>
            </w: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1</w:t>
            </w: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873</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874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286</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3</w:t>
            </w:r>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6 004</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(118)</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7 152</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5 919</w:t>
            </w: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7 119</w:t>
            </w: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179</w:t>
            </w: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550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414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314</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7 433</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4</w:t>
            </w:r>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Глобална Европа</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27 633</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(627)</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11 395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10 468</w:t>
            </w: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27 933</w:t>
            </w: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1 521</w:t>
            </w: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(46)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555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943</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1 087</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29 020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5</w:t>
            </w:r>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Администрация</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761</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(41)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10 009</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9 818</w:t>
            </w: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910</w:t>
            </w: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93</w:t>
            </w: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(51)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540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502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80</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990</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i/>
                <w:noProof/>
                <w:color w:val="000000"/>
                <w:sz w:val="16"/>
              </w:rPr>
            </w:pPr>
            <w:r>
              <w:rPr>
                <w:rFonts w:ascii="Verdana" w:hAnsi="Verdana"/>
                <w:i/>
                <w:noProof/>
                <w:color w:val="000000"/>
                <w:sz w:val="16"/>
              </w:rPr>
              <w:t xml:space="preserve">   от които: административни разходи на институциите</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464</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(22)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4 024</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3 875</w:t>
            </w: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591</w:t>
            </w: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47</w:t>
            </w: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(47)</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294</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258</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36</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i/>
                <w:noProof/>
                <w:color w:val="000000"/>
                <w:sz w:val="16"/>
              </w:rPr>
            </w:pPr>
            <w:r>
              <w:rPr>
                <w:rFonts w:ascii="Verdana" w:hAnsi="Verdana"/>
                <w:i/>
                <w:noProof/>
                <w:color w:val="000000"/>
                <w:sz w:val="16"/>
              </w:rPr>
              <w:t xml:space="preserve"> 627</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9</w:t>
            </w:r>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Специални инструменти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1</w:t>
            </w: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1 108</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1 108</w:t>
            </w: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0</w:t>
            </w: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O</w:t>
            </w:r>
          </w:p>
        </w:tc>
        <w:tc>
          <w:tcPr>
            <w:tcW w:w="294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rPr>
                <w:rFonts w:ascii="Verdana" w:eastAsia="Verdana" w:hAnsi="Verdana" w:cs="Verdana"/>
                <w:noProof/>
                <w:color w:val="000000"/>
                <w:sz w:val="16"/>
              </w:rPr>
            </w:pPr>
            <w:r>
              <w:rPr>
                <w:rFonts w:ascii="Verdana" w:hAnsi="Verdana"/>
                <w:noProof/>
                <w:color w:val="000000"/>
                <w:sz w:val="16"/>
              </w:rPr>
              <w:t>Фонд за иновации (ФИ)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p>
        </w:tc>
        <w:tc>
          <w:tcPr>
            <w:tcW w:w="850"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w:t>
            </w:r>
          </w:p>
        </w:tc>
        <w:tc>
          <w:tcPr>
            <w:tcW w:w="127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w:t>
            </w:r>
          </w:p>
        </w:tc>
        <w:tc>
          <w:tcPr>
            <w:tcW w:w="1039"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5</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1</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4</w:t>
            </w:r>
          </w:p>
        </w:tc>
        <w:tc>
          <w:tcPr>
            <w:tcW w:w="1307"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Heading"/>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284"/>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rPr>
                <w:rFonts w:ascii="Verdana" w:eastAsia="Verdana" w:hAnsi="Verdana" w:cs="Verdana"/>
                <w:b/>
                <w:noProof/>
                <w:color w:val="000000"/>
                <w:sz w:val="16"/>
              </w:rPr>
            </w:pPr>
          </w:p>
        </w:tc>
        <w:tc>
          <w:tcPr>
            <w:tcW w:w="294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rPr>
                <w:rFonts w:ascii="Verdana" w:eastAsia="Verdana" w:hAnsi="Verdana" w:cs="Verdana"/>
                <w:b/>
                <w:noProof/>
                <w:color w:val="000000"/>
                <w:sz w:val="16"/>
              </w:rPr>
            </w:pPr>
            <w:r>
              <w:rPr>
                <w:rFonts w:ascii="Verdana" w:hAnsi="Verdana"/>
                <w:b/>
                <w:noProof/>
                <w:color w:val="000000"/>
                <w:sz w:val="16"/>
              </w:rPr>
              <w:t>Общо</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jc w:val="right"/>
              <w:rPr>
                <w:rFonts w:ascii="Verdana" w:eastAsia="Verdana" w:hAnsi="Verdana" w:cs="Verdana"/>
                <w:b/>
                <w:noProof/>
                <w:color w:val="000000"/>
                <w:sz w:val="16"/>
              </w:rPr>
            </w:pPr>
            <w:r>
              <w:rPr>
                <w:rFonts w:ascii="Verdana" w:hAnsi="Verdana"/>
                <w:b/>
                <w:noProof/>
                <w:color w:val="000000"/>
                <w:sz w:val="16"/>
              </w:rPr>
              <w:t>269 987</w:t>
            </w:r>
          </w:p>
        </w:tc>
        <w:tc>
          <w:tcPr>
            <w:tcW w:w="850"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jc w:val="right"/>
              <w:rPr>
                <w:rFonts w:ascii="Verdana" w:eastAsia="Verdana" w:hAnsi="Verdana" w:cs="Verdana"/>
                <w:b/>
                <w:noProof/>
                <w:color w:val="000000"/>
                <w:sz w:val="16"/>
              </w:rPr>
            </w:pPr>
            <w:r>
              <w:rPr>
                <w:rFonts w:ascii="Verdana" w:hAnsi="Verdana"/>
                <w:b/>
                <w:noProof/>
                <w:color w:val="000000"/>
                <w:sz w:val="16"/>
              </w:rPr>
              <w:t>(2 557)</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jc w:val="right"/>
              <w:rPr>
                <w:rFonts w:ascii="Verdana" w:eastAsia="Verdana" w:hAnsi="Verdana" w:cs="Verdana"/>
                <w:b/>
                <w:noProof/>
                <w:color w:val="000000"/>
                <w:sz w:val="16"/>
              </w:rPr>
            </w:pPr>
            <w:r>
              <w:rPr>
                <w:rFonts w:ascii="Verdana" w:hAnsi="Verdana"/>
                <w:b/>
                <w:noProof/>
                <w:color w:val="000000"/>
                <w:sz w:val="16"/>
              </w:rPr>
              <w:t>174 012</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jc w:val="right"/>
              <w:rPr>
                <w:rFonts w:ascii="Verdana" w:eastAsia="Verdana" w:hAnsi="Verdana" w:cs="Verdana"/>
                <w:b/>
                <w:noProof/>
                <w:color w:val="000000"/>
                <w:sz w:val="16"/>
              </w:rPr>
            </w:pPr>
            <w:r>
              <w:rPr>
                <w:rFonts w:ascii="Verdana" w:hAnsi="Verdana"/>
                <w:b/>
                <w:noProof/>
                <w:color w:val="000000"/>
                <w:sz w:val="16"/>
              </w:rPr>
              <w:t>168 056</w:t>
            </w:r>
          </w:p>
        </w:tc>
        <w:tc>
          <w:tcPr>
            <w:tcW w:w="127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jc w:val="right"/>
              <w:rPr>
                <w:rFonts w:ascii="Verdana" w:eastAsia="Verdana" w:hAnsi="Verdana" w:cs="Verdana"/>
                <w:b/>
                <w:noProof/>
                <w:color w:val="000000"/>
                <w:sz w:val="16"/>
              </w:rPr>
            </w:pPr>
            <w:r>
              <w:rPr>
                <w:rFonts w:ascii="Verdana" w:hAnsi="Verdana"/>
                <w:b/>
                <w:noProof/>
                <w:color w:val="000000"/>
                <w:sz w:val="16"/>
              </w:rPr>
              <w:t>273 386</w:t>
            </w:r>
          </w:p>
        </w:tc>
        <w:tc>
          <w:tcPr>
            <w:tcW w:w="1039"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jc w:val="right"/>
              <w:rPr>
                <w:rFonts w:ascii="Verdana" w:eastAsia="Verdana" w:hAnsi="Verdana" w:cs="Verdana"/>
                <w:b/>
                <w:noProof/>
                <w:color w:val="000000"/>
                <w:sz w:val="16"/>
              </w:rPr>
            </w:pPr>
            <w:r>
              <w:rPr>
                <w:rFonts w:ascii="Verdana" w:hAnsi="Verdana"/>
                <w:b/>
                <w:noProof/>
                <w:color w:val="000000"/>
                <w:sz w:val="16"/>
              </w:rPr>
              <w:t>27 708</w:t>
            </w:r>
          </w:p>
        </w:tc>
        <w:tc>
          <w:tcPr>
            <w:tcW w:w="807"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jc w:val="right"/>
              <w:rPr>
                <w:rFonts w:ascii="Verdana" w:eastAsia="Verdana" w:hAnsi="Verdana" w:cs="Verdana"/>
                <w:b/>
                <w:noProof/>
                <w:color w:val="000000"/>
                <w:sz w:val="16"/>
              </w:rPr>
            </w:pPr>
            <w:r>
              <w:rPr>
                <w:rFonts w:ascii="Verdana" w:hAnsi="Verdana"/>
                <w:b/>
                <w:noProof/>
                <w:color w:val="000000"/>
                <w:sz w:val="16"/>
              </w:rPr>
              <w:t xml:space="preserve"> (330)</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jc w:val="right"/>
              <w:rPr>
                <w:rFonts w:ascii="Verdana" w:eastAsia="Verdana" w:hAnsi="Verdana" w:cs="Verdana"/>
                <w:b/>
                <w:noProof/>
                <w:color w:val="000000"/>
                <w:sz w:val="16"/>
              </w:rPr>
            </w:pPr>
            <w:r>
              <w:rPr>
                <w:rFonts w:ascii="Verdana" w:hAnsi="Verdana"/>
                <w:b/>
                <w:noProof/>
                <w:color w:val="000000"/>
                <w:sz w:val="16"/>
              </w:rPr>
              <w:t>7 688</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jc w:val="right"/>
              <w:rPr>
                <w:rFonts w:ascii="Verdana" w:eastAsia="Verdana" w:hAnsi="Verdana" w:cs="Verdana"/>
                <w:b/>
                <w:noProof/>
                <w:color w:val="000000"/>
                <w:sz w:val="16"/>
              </w:rPr>
            </w:pPr>
            <w:r>
              <w:rPr>
                <w:rFonts w:ascii="Verdana" w:hAnsi="Verdana"/>
                <w:b/>
                <w:noProof/>
                <w:color w:val="000000"/>
                <w:sz w:val="16"/>
              </w:rPr>
              <w:t>5 254</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jc w:val="right"/>
              <w:rPr>
                <w:rFonts w:ascii="Verdana" w:eastAsia="Verdana" w:hAnsi="Verdana" w:cs="Verdana"/>
                <w:b/>
                <w:noProof/>
                <w:color w:val="000000"/>
                <w:sz w:val="16"/>
              </w:rPr>
            </w:pPr>
            <w:r>
              <w:rPr>
                <w:rFonts w:ascii="Verdana" w:hAnsi="Verdana"/>
                <w:b/>
                <w:noProof/>
                <w:color w:val="000000"/>
                <w:sz w:val="16"/>
              </w:rPr>
              <w:t>29 811</w:t>
            </w:r>
          </w:p>
        </w:tc>
        <w:tc>
          <w:tcPr>
            <w:tcW w:w="1307"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Heading"/>
              <w:jc w:val="right"/>
              <w:rPr>
                <w:rFonts w:ascii="Verdana" w:eastAsia="Verdana" w:hAnsi="Verdana" w:cs="Verdana"/>
                <w:b/>
                <w:noProof/>
                <w:color w:val="000000"/>
                <w:sz w:val="16"/>
              </w:rPr>
            </w:pPr>
            <w:r>
              <w:rPr>
                <w:rFonts w:ascii="Verdana" w:hAnsi="Verdana"/>
                <w:b/>
                <w:noProof/>
                <w:color w:val="000000"/>
                <w:sz w:val="16"/>
              </w:rPr>
              <w:t>303 197</w:t>
            </w:r>
          </w:p>
        </w:tc>
      </w:tr>
    </w:tbl>
    <w:p>
      <w:pPr>
        <w:pStyle w:val="Textstand-alone"/>
      </w:pPr>
    </w:p>
    <w:p>
      <w:pPr>
        <w:pStyle w:val="Textstand-alone"/>
      </w:pPr>
    </w:p>
    <w:p>
      <w:pPr>
        <w:pStyle w:val="Textstand-alone"/>
        <w:sectPr>
          <w:headerReference w:type="even" r:id="rId368"/>
          <w:headerReference w:type="default" r:id="rId369"/>
          <w:footerReference w:type="even" r:id="rId370"/>
          <w:footerReference w:type="default" r:id="rId371"/>
          <w:headerReference w:type="first" r:id="rId372"/>
          <w:footerReference w:type="first" r:id="rId373"/>
          <w:type w:val="nextColumn"/>
          <w:pgSz w:w="16840" w:h="11900" w:orient="landscape"/>
          <w:pgMar w:top="1134" w:right="1134" w:bottom="1134" w:left="1134" w:header="720" w:footer="720" w:gutter="0"/>
          <w:cols w:space="720"/>
          <w:docGrid w:linePitch="272"/>
        </w:sectPr>
      </w:pPr>
    </w:p>
    <w:p>
      <w:pPr>
        <w:pStyle w:val="HEADER2PartBUDG"/>
        <w:numPr>
          <w:ilvl w:val="1"/>
          <w:numId w:val="15"/>
        </w:numPr>
        <w:rPr>
          <w:noProof/>
        </w:rPr>
      </w:pPr>
      <w:bookmarkStart w:id="263" w:name="_Toc75518144"/>
      <w:r>
        <w:rPr>
          <w:noProof/>
        </w:rPr>
        <w:t>ПОДРОБНА МФР: РАЗБИВКА И ПРОМЕНИ НА БЮДЖЕТНИТЕ КРЕДИТИ ЗА ПОЕТИ ЗАДЪЛЖЕНИЯ И ЗА ПЛАЩАНИЯ</w:t>
      </w:r>
      <w:bookmarkEnd w:id="26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085"/>
        <w:gridCol w:w="992"/>
        <w:gridCol w:w="1058"/>
        <w:gridCol w:w="917"/>
        <w:gridCol w:w="917"/>
        <w:gridCol w:w="917"/>
        <w:gridCol w:w="917"/>
        <w:gridCol w:w="917"/>
        <w:gridCol w:w="950"/>
        <w:gridCol w:w="917"/>
        <w:gridCol w:w="711"/>
        <w:gridCol w:w="993"/>
        <w:gridCol w:w="1165"/>
      </w:tblGrid>
      <w:tr>
        <w:trPr>
          <w:cantSplit/>
          <w:trHeight w:val="340"/>
          <w:tblHeader/>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bookmarkStart w:id="264" w:name="DOC_TBL00113_1_1"/>
            <w:bookmarkEnd w:id="264"/>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p>
        </w:tc>
        <w:tc>
          <w:tcPr>
            <w:tcW w:w="3085"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p>
        </w:tc>
        <w:tc>
          <w:tcPr>
            <w:tcW w:w="992" w:type="dxa"/>
            <w:gridSpan w:val="6"/>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b/>
                <w:noProof/>
                <w:color w:val="FFFFFF"/>
                <w:sz w:val="16"/>
              </w:rPr>
            </w:pPr>
            <w:r>
              <w:rPr>
                <w:rFonts w:ascii="Verdana" w:hAnsi="Verdana"/>
                <w:b/>
                <w:noProof/>
                <w:color w:val="FFFFFF"/>
                <w:sz w:val="16"/>
              </w:rPr>
              <w:t>Бюджетни кредити за поети задължения</w:t>
            </w:r>
          </w:p>
        </w:tc>
        <w:tc>
          <w:tcPr>
            <w:tcW w:w="917"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b/>
                <w:noProof/>
                <w:color w:val="FFFFFF"/>
                <w:sz w:val="16"/>
              </w:rPr>
            </w:pPr>
            <w:r>
              <w:rPr>
                <w:rFonts w:ascii="Verdana" w:hAnsi="Verdana"/>
                <w:b/>
                <w:noProof/>
                <w:color w:val="FFFFFF"/>
                <w:sz w:val="16"/>
              </w:rPr>
              <w:t>Бюджетни кредити за плащания</w:t>
            </w:r>
          </w:p>
        </w:tc>
        <w:tc>
          <w:tcPr>
            <w:tcW w:w="1165"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lang w:bidi="en-GB"/>
              </w:rPr>
            </w:pPr>
          </w:p>
        </w:tc>
      </w:tr>
      <w:tr>
        <w:trPr>
          <w:cantSplit/>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p>
        </w:tc>
        <w:tc>
          <w:tcPr>
            <w:tcW w:w="3085"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p>
        </w:tc>
        <w:tc>
          <w:tcPr>
            <w:tcW w:w="992"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Бюджетни кредити</w:t>
            </w:r>
          </w:p>
        </w:tc>
        <w:tc>
          <w:tcPr>
            <w:tcW w:w="917"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Допълнителни бюджетни кредити</w:t>
            </w:r>
          </w:p>
        </w:tc>
        <w:tc>
          <w:tcPr>
            <w:tcW w:w="917"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c>
          <w:tcPr>
            <w:tcW w:w="917"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Бюджетни кредити</w:t>
            </w:r>
          </w:p>
        </w:tc>
        <w:tc>
          <w:tcPr>
            <w:tcW w:w="711"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Допълнителни бюджетни кредити</w:t>
            </w:r>
          </w:p>
        </w:tc>
        <w:tc>
          <w:tcPr>
            <w:tcW w:w="1165"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r>
      <w:tr>
        <w:trPr>
          <w:cantSplit/>
          <w:trHeight w:val="624"/>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p>
        </w:tc>
        <w:tc>
          <w:tcPr>
            <w:tcW w:w="3085"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Програма</w:t>
            </w:r>
          </w:p>
        </w:tc>
        <w:tc>
          <w:tcPr>
            <w:tcW w:w="99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058"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Коригиращи бюджети и трансфери</w:t>
            </w:r>
          </w:p>
        </w:tc>
        <w:tc>
          <w:tcPr>
            <w:tcW w:w="917"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917"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Пренасяния</w:t>
            </w:r>
          </w:p>
        </w:tc>
        <w:tc>
          <w:tcPr>
            <w:tcW w:w="917"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Целеви приходи</w:t>
            </w:r>
          </w:p>
        </w:tc>
        <w:tc>
          <w:tcPr>
            <w:tcW w:w="960"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p>
        </w:tc>
        <w:tc>
          <w:tcPr>
            <w:tcW w:w="917"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950"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Коригиращи бюджети и трансфери</w:t>
            </w:r>
          </w:p>
        </w:tc>
        <w:tc>
          <w:tcPr>
            <w:tcW w:w="917"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71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Пренасяния</w:t>
            </w:r>
          </w:p>
        </w:tc>
        <w:tc>
          <w:tcPr>
            <w:tcW w:w="993"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Целеви приходи</w:t>
            </w:r>
          </w:p>
        </w:tc>
        <w:tc>
          <w:tcPr>
            <w:tcW w:w="1065"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p>
        </w:tc>
      </w:tr>
      <w:tr>
        <w:trPr>
          <w:cantSplit/>
          <w:trHeight w:val="340"/>
          <w:tblHeader/>
        </w:trPr>
        <w:tc>
          <w:tcPr>
            <w:tcW w:w="23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p>
        </w:tc>
        <w:tc>
          <w:tcPr>
            <w:tcW w:w="3085"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p>
        </w:tc>
        <w:tc>
          <w:tcPr>
            <w:tcW w:w="99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1</w:t>
            </w:r>
          </w:p>
        </w:tc>
        <w:tc>
          <w:tcPr>
            <w:tcW w:w="1058"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2</w:t>
            </w:r>
          </w:p>
        </w:tc>
        <w:tc>
          <w:tcPr>
            <w:tcW w:w="917"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3=1+2</w:t>
            </w:r>
          </w:p>
        </w:tc>
        <w:tc>
          <w:tcPr>
            <w:tcW w:w="917"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4</w:t>
            </w:r>
          </w:p>
        </w:tc>
        <w:tc>
          <w:tcPr>
            <w:tcW w:w="917"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5</w:t>
            </w:r>
          </w:p>
        </w:tc>
        <w:tc>
          <w:tcPr>
            <w:tcW w:w="917"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6=3+</w:t>
            </w:r>
          </w:p>
          <w:p>
            <w:pPr>
              <w:pStyle w:val="DMETW19857BIPDetailedMFF1Breakdown"/>
              <w:jc w:val="center"/>
              <w:rPr>
                <w:rFonts w:ascii="Verdana" w:eastAsia="Verdana" w:hAnsi="Verdana" w:cs="Verdana"/>
                <w:noProof/>
                <w:color w:val="FFFFFF"/>
                <w:sz w:val="16"/>
              </w:rPr>
            </w:pPr>
            <w:r>
              <w:rPr>
                <w:rFonts w:ascii="Verdana" w:hAnsi="Verdana"/>
                <w:noProof/>
                <w:color w:val="FFFFFF"/>
                <w:sz w:val="16"/>
              </w:rPr>
              <w:t>4+5</w:t>
            </w:r>
          </w:p>
        </w:tc>
        <w:tc>
          <w:tcPr>
            <w:tcW w:w="917"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7</w:t>
            </w:r>
          </w:p>
        </w:tc>
        <w:tc>
          <w:tcPr>
            <w:tcW w:w="950"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8</w:t>
            </w:r>
          </w:p>
        </w:tc>
        <w:tc>
          <w:tcPr>
            <w:tcW w:w="917"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9=7+8</w:t>
            </w:r>
          </w:p>
        </w:tc>
        <w:tc>
          <w:tcPr>
            <w:tcW w:w="711"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10</w:t>
            </w:r>
          </w:p>
        </w:tc>
        <w:tc>
          <w:tcPr>
            <w:tcW w:w="993"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11</w:t>
            </w:r>
          </w:p>
        </w:tc>
        <w:tc>
          <w:tcPr>
            <w:tcW w:w="1165"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1Breakdown"/>
              <w:jc w:val="center"/>
              <w:rPr>
                <w:rFonts w:ascii="Verdana" w:eastAsia="Verdana" w:hAnsi="Verdana" w:cs="Verdana"/>
                <w:noProof/>
                <w:color w:val="FFFFFF"/>
                <w:sz w:val="16"/>
              </w:rPr>
            </w:pPr>
            <w:r>
              <w:rPr>
                <w:rFonts w:ascii="Verdana" w:hAnsi="Verdana"/>
                <w:noProof/>
                <w:color w:val="FFFFFF"/>
                <w:sz w:val="16"/>
              </w:rPr>
              <w:t>12=9+</w:t>
            </w:r>
          </w:p>
          <w:p>
            <w:pPr>
              <w:pStyle w:val="DMETW19857BIPDetailedMFF1Breakdown"/>
              <w:jc w:val="center"/>
              <w:rPr>
                <w:rFonts w:ascii="Verdana" w:eastAsia="Verdana" w:hAnsi="Verdana" w:cs="Verdana"/>
                <w:noProof/>
                <w:color w:val="FFFFFF"/>
                <w:sz w:val="16"/>
              </w:rPr>
            </w:pPr>
            <w:r>
              <w:rPr>
                <w:rFonts w:ascii="Verdana" w:hAnsi="Verdana"/>
                <w:noProof/>
                <w:color w:val="FFFFFF"/>
                <w:sz w:val="16"/>
              </w:rPr>
              <w:t>10+11</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1</w:t>
            </w: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Европейски фонд за стратегически инвестиции (ЕФСИ)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173</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329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1 105</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1 103</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184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1 287</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Европейска спътникова навигация (EGNOS и „Галилео“)</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1 207</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1 207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1 328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954</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973</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272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1 247</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Международен термоядрен реактор (ITER)</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365</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367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412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639</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638</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684</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Европейска програма за наблюдение на Земята („Коперник“)</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647</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647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663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552</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553</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569</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Европейски корпус за солидарност (ЕКС)</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166</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154</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126</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r>
      <w:tr>
        <w:trPr>
          <w:cantSplit/>
          <w:trHeight w:val="68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Европейска програма за промишлено развитие в областта на отбраната (EDIDP)</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255</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201</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177</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178</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Ядрена безопасност и извеждане от експлоатация на ядрени съоръжения</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147</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171</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117</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117</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„Хоризонт 2020“</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13 486</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13 486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3 233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16 719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11 796</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(181)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11 615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79</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4 776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16 470</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Програма на Евратом за научни изследвания и обучение</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398</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398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492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417</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346</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519</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Конкурентоспособност на предприятията и на МСП (COSME)</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418</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418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460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386</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488</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549</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Образование, обучение и спорт („Еразъм+“)</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2 885</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2 885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678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3 563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2 739</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2 748</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787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3 543</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Заетост и социални иновации (ЗиСИ)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117</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117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105</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99</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181</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„Митници“, „Фискалис“ и „Борба с измамите“</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133</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124</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МСЕ — Енергетика</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1 281</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1 281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1 287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420</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390</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399</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МСЕ — Транспорт</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2 579</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2 580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2 602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1 477</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1 225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1 250</w:t>
            </w:r>
          </w:p>
        </w:tc>
      </w:tr>
      <w:tr>
        <w:trPr>
          <w:cantSplit/>
          <w:trHeight w:val="68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МСЕ — Информационни и комуникационни технологии (ИКТ)</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210</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208</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240</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246</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Енергийни проекти за икономическо възстановяване (EERP)</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60</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31</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33</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400</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386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410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401</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377</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401</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196</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477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673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185</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380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557</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85</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95</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66</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Специфични правомощия на Комисията</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136</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122</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122</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127</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Регионално сближаване (по-слабо развити региони)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28 762</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28 758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389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687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29 834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25 414</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2 948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28 362</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1 629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29 990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Региони в преход</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5 964</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6 047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6 147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4 777</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4 981</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117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5 097</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Конкурентоспособност (по-развити региони)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8 822</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1 757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10 580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390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11 021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7 698</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999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8 697</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737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9 434</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Най-отдалечени и слабо населени региони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236</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202</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300</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319</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Кохезионен фонд</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10 065</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(1 827)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8 237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8 416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8 300</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589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8 889</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1 276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10 165</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Европейско териториално сътрудничество</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2 012</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2 012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2 023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1 285</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1 516</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1 671</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Техническа помощ</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274</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279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284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231</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217</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235</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Фонд за европейско подпомагане на най-нуждаещите се лица (FEAD)</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579</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579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580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411</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520</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522</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Инициатива за младежка заетост</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603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539</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665</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Механизъм за свързване на Европа (МСЕ)</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1 781</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1 781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1 784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1 113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388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1 502</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1 506</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r>
      <w:tr>
        <w:trPr>
          <w:cantSplit/>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Общо функция 1 от МФР</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83 931</w:t>
            </w:r>
          </w:p>
        </w:tc>
        <w:tc>
          <w:tcPr>
            <w:tcW w:w="10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83 918</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520</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6 431</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90 870</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72 354</w:t>
            </w:r>
          </w:p>
        </w:tc>
        <w:tc>
          <w:tcPr>
            <w:tcW w:w="95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4 925</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77 278</w:t>
            </w:r>
          </w:p>
        </w:tc>
        <w:tc>
          <w:tcPr>
            <w:tcW w:w="7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151</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10 904</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88 334</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2</w:t>
            </w: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Европейски фонд за гарантиране на земеделието (ЕФГЗ)</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43 410</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43 459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467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929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44 855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43 380</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43 419</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670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929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45 018</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Земеделски фонд за развитие на селските райони (ЕЗФРСР)</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14 709</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14 709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1 163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15 871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13 141</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799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13 940</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910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14 852</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Европейски фонд за морско дело и рибарство (ЕФМДР)</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960</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960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1 165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770</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762</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913</w:t>
            </w:r>
          </w:p>
        </w:tc>
      </w:tr>
      <w:tr>
        <w:trPr>
          <w:cantSplit/>
          <w:trHeight w:val="90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Споразумения за партньорство в областта на устойчивото рибарство (СПОУР) и организации за управление на рибарството (РОУР)</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Околна среда и действия по климата (LIFE)</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590</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590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593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383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429</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435</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75</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Други дейности и мерки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Специфични дейности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Общо функция 2 от МФР</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59 907</w:t>
            </w:r>
          </w:p>
        </w:tc>
        <w:tc>
          <w:tcPr>
            <w:tcW w:w="10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49</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59 956</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467</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2 308</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62 730</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57 904</w:t>
            </w:r>
          </w:p>
        </w:tc>
        <w:tc>
          <w:tcPr>
            <w:tcW w:w="95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867</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58 772</w:t>
            </w:r>
          </w:p>
        </w:tc>
        <w:tc>
          <w:tcPr>
            <w:tcW w:w="7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677</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1 999</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61 448</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3</w:t>
            </w: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Фонд „Убежище, миграция и интеграция“ (ФУМИ)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949</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441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1 389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1 406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953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1 123</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1 142</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„Потребители“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31</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„Творческа Европа“</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252</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265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215</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200</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216</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Спешна подкрепа в рамките на Съюза (IES)</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2 700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2 700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750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3 450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2 610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2 610</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750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3 360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Фонд „Вътрешна сигурност“</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501</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528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655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670</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454</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616</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Информационни системи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Правосъдие</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47</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54</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55</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Права, равенство и гражданство</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71</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77</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141</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370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511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526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62</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194</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203</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„Европа за гражданите“</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31</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26</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Храни и фуражи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279</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233</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237</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Здравеопазване</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65</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1 233</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1 139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1 206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1 184</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1 128</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1 195</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Специфични дейности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106</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105</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92</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94</w:t>
            </w:r>
          </w:p>
        </w:tc>
      </w:tr>
      <w:tr>
        <w:trPr>
          <w:cantSplit/>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Общо функция 3 от МФР</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3 729</w:t>
            </w:r>
          </w:p>
        </w:tc>
        <w:tc>
          <w:tcPr>
            <w:tcW w:w="10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3 423</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7 152</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1 000</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8 152</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3 685</w:t>
            </w:r>
          </w:p>
        </w:tc>
        <w:tc>
          <w:tcPr>
            <w:tcW w:w="95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2 607</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6 293</w:t>
            </w:r>
          </w:p>
        </w:tc>
        <w:tc>
          <w:tcPr>
            <w:tcW w:w="7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1 030</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7 331</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4</w:t>
            </w: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Предприсъединителна помощ (ИПП II)</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1 571</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1 609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1 858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1 432</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264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1 696</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448</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2 150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Макрофинансова помощ (МФП)</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Гаранционен фонд за външни дейности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233</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233</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37</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Инициатива „Доброволци на ЕС за хуманитарна помощ“ (EUAV)</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w:t>
            </w:r>
          </w:p>
        </w:tc>
      </w:tr>
      <w:tr>
        <w:trPr>
          <w:cantSplit/>
          <w:trHeight w:val="56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Фонд за устойчиво развитие (ЕФУР)</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199</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Европейски инструмент за съседство (ЕИС)</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2 671</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2 845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2 909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1 966</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639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2 605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2 681</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Инструмент за сътрудничество за развитие (ИСР)</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3 272</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3 206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3 294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2 797</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2 965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3 112</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Инструмент за партньорство (ИП)</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162</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131</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140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Демокрация и права на човека (ЕИДПЧ)</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196</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175</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151</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161</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Стабилност и мир (IcSP)</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394</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408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413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350</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379</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389</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Хуманитарна помощ</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1 102</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936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2 038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2 103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1 207</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407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1 614</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336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1 956</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Обща външна политика и политика на сигурност (ОВППС)</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336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402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329</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334</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399</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Сътрудничество в областта на ядрената безопасност (INSC)</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33</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85</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327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86</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87</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244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331</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Специфични дейности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78</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69</w:t>
            </w:r>
          </w:p>
        </w:tc>
      </w:tr>
      <w:tr>
        <w:trPr>
          <w:cantSplit/>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Общо функция 4 от МФР</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10 262</w:t>
            </w:r>
          </w:p>
        </w:tc>
        <w:tc>
          <w:tcPr>
            <w:tcW w:w="10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1 089</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11 350</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47</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843</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12 240</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8 929</w:t>
            </w:r>
          </w:p>
        </w:tc>
        <w:tc>
          <w:tcPr>
            <w:tcW w:w="95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1 457</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10 386</w:t>
            </w:r>
          </w:p>
        </w:tc>
        <w:tc>
          <w:tcPr>
            <w:tcW w:w="7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38</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1 503</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11 928</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5</w:t>
            </w: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Пенсии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2 123</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2 104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2 104</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2 123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2 104</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2 104</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Европейски училища</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192</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183</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192</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183</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201</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w:t>
            </w:r>
          </w:p>
        </w:tc>
      </w:tr>
      <w:tr>
        <w:trPr>
          <w:cantSplit/>
          <w:trHeight w:val="56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Административни разходи на Комисията</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3 731</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3 759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378</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4 137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3 731</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3 757</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328</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379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4 464</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Административни разходи на другите институции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4 226</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4 225</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442</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4 667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4 226</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4 225</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499</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443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5 168</w:t>
            </w:r>
          </w:p>
        </w:tc>
      </w:tr>
      <w:tr>
        <w:trPr>
          <w:cantSplit/>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Общо функция 5 от МФР</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10 272</w:t>
            </w:r>
          </w:p>
        </w:tc>
        <w:tc>
          <w:tcPr>
            <w:tcW w:w="10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10 271</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837</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11 108</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10 275</w:t>
            </w:r>
          </w:p>
        </w:tc>
        <w:tc>
          <w:tcPr>
            <w:tcW w:w="95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10 273</w:t>
            </w:r>
          </w:p>
        </w:tc>
        <w:tc>
          <w:tcPr>
            <w:tcW w:w="7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828</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839</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11 941</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6</w:t>
            </w: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Компенсации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Общо функция 6 от МФР</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8</w:t>
            </w: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Отрицателен резерв</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Пренесен дефицит</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Общо функция 8 от МФР</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9</w:t>
            </w: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Резерв за спешна помощ (РСП)</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359</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(359)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359</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(359)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Европейски фонд за приспособяване към глобализацията (ЕФПГ)</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179</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179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200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22</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Фонд „Солидарност“ на Европейския съюз (ФСЕС)</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1 007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1 057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49</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1 106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1 056</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1 106</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1 106</w:t>
            </w:r>
          </w:p>
        </w:tc>
      </w:tr>
      <w:tr>
        <w:trPr>
          <w:cantSplit/>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Общо функция 9 от МФР</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588</w:t>
            </w:r>
          </w:p>
        </w:tc>
        <w:tc>
          <w:tcPr>
            <w:tcW w:w="10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649</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1 236</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49</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1 306</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419</w:t>
            </w:r>
          </w:p>
        </w:tc>
        <w:tc>
          <w:tcPr>
            <w:tcW w:w="95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688</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1 106</w:t>
            </w:r>
          </w:p>
        </w:tc>
        <w:tc>
          <w:tcPr>
            <w:tcW w:w="7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1 128</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O</w:t>
            </w:r>
          </w:p>
        </w:tc>
        <w:tc>
          <w:tcPr>
            <w:tcW w:w="308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Фонд за иновации (ФИ)</w:t>
            </w:r>
          </w:p>
        </w:tc>
        <w:tc>
          <w:tcPr>
            <w:tcW w:w="99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1 337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1 337</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1 337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1 337</w:t>
            </w:r>
          </w:p>
        </w:tc>
      </w:tr>
      <w:tr>
        <w:trPr>
          <w:cantSplit/>
          <w:trHeight w:val="340"/>
        </w:trPr>
        <w:tc>
          <w:tcPr>
            <w:tcW w:w="236" w:type="dxa"/>
            <w:tcBorders>
              <w:top w:val="nil"/>
              <w:left w:val="nil"/>
              <w:bottom w:val="nil"/>
              <w:right w:val="nil"/>
              <w:tl2br w:val="nil"/>
              <w:tr2bl w:val="nil"/>
            </w:tcBorders>
            <w:shd w:val="solid" w:color="CCE1EB" w:fill="FFFFFF"/>
            <w:tcMar>
              <w:left w:w="60" w:type="dxa"/>
              <w:right w:w="60" w:type="dxa"/>
            </w:tcMar>
            <w:vAlign w:val="center"/>
          </w:tcPr>
          <w:p>
            <w:pPr>
              <w:pStyle w:val="DMETW19857BIPDetailedMFF1Breakdown"/>
              <w:rPr>
                <w:rFonts w:ascii="Verdana" w:eastAsia="Verdana" w:hAnsi="Verdana" w:cs="Verdana"/>
                <w:noProof/>
                <w:color w:val="000000"/>
                <w:sz w:val="16"/>
              </w:rPr>
            </w:pPr>
          </w:p>
        </w:tc>
        <w:tc>
          <w:tcPr>
            <w:tcW w:w="3085" w:type="dxa"/>
            <w:tcBorders>
              <w:top w:val="nil"/>
              <w:left w:val="nil"/>
              <w:bottom w:val="nil"/>
              <w:right w:val="nil"/>
              <w:tl2br w:val="nil"/>
              <w:tr2bl w:val="nil"/>
            </w:tcBorders>
            <w:shd w:val="solid" w:color="CCE1EB" w:fill="FFFFFF"/>
            <w:tcMar>
              <w:left w:w="60" w:type="dxa"/>
              <w:right w:w="60" w:type="dxa"/>
            </w:tcMar>
            <w:vAlign w:val="center"/>
          </w:tcPr>
          <w:p>
            <w:pPr>
              <w:pStyle w:val="DMETW19857BIPDetailedMFF1Breakdown"/>
              <w:rPr>
                <w:rFonts w:ascii="Verdana" w:eastAsia="Verdana" w:hAnsi="Verdana" w:cs="Verdana"/>
                <w:noProof/>
                <w:color w:val="000000"/>
                <w:sz w:val="16"/>
              </w:rPr>
            </w:pPr>
            <w:r>
              <w:rPr>
                <w:rFonts w:ascii="Verdana" w:hAnsi="Verdana"/>
                <w:noProof/>
                <w:color w:val="000000"/>
                <w:sz w:val="16"/>
              </w:rPr>
              <w:t>Общо функция O от МФР</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10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1 337</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1 337</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5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1 337</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noProof/>
                <w:color w:val="000000"/>
                <w:sz w:val="16"/>
              </w:rPr>
            </w:pPr>
            <w:r>
              <w:rPr>
                <w:rFonts w:ascii="Verdana" w:hAnsi="Verdana"/>
                <w:noProof/>
                <w:color w:val="000000"/>
                <w:sz w:val="16"/>
              </w:rPr>
              <w:t>1 337</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b/>
                <w:noProof/>
                <w:color w:val="000000"/>
                <w:sz w:val="16"/>
              </w:rPr>
            </w:pPr>
          </w:p>
        </w:tc>
        <w:tc>
          <w:tcPr>
            <w:tcW w:w="308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rPr>
                <w:rFonts w:ascii="Verdana" w:eastAsia="Verdana" w:hAnsi="Verdana" w:cs="Verdana"/>
                <w:b/>
                <w:noProof/>
                <w:color w:val="000000"/>
                <w:sz w:val="16"/>
              </w:rPr>
            </w:pPr>
            <w:r>
              <w:rPr>
                <w:rFonts w:ascii="Verdana" w:hAnsi="Verdana"/>
                <w:b/>
                <w:noProof/>
                <w:color w:val="000000"/>
                <w:sz w:val="16"/>
              </w:rPr>
              <w:t>Общо</w:t>
            </w:r>
          </w:p>
        </w:tc>
        <w:tc>
          <w:tcPr>
            <w:tcW w:w="99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168 688</w:t>
            </w:r>
          </w:p>
        </w:tc>
        <w:tc>
          <w:tcPr>
            <w:tcW w:w="10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5 196</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173 884</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1 083</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12 775</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187 742</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153 566</w:t>
            </w:r>
          </w:p>
        </w:tc>
        <w:tc>
          <w:tcPr>
            <w:tcW w:w="95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10 542</w:t>
            </w:r>
          </w:p>
        </w:tc>
        <w:tc>
          <w:tcPr>
            <w:tcW w:w="917"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164 108</w:t>
            </w:r>
          </w:p>
        </w:tc>
        <w:tc>
          <w:tcPr>
            <w:tcW w:w="7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1 704</w:t>
            </w:r>
          </w:p>
        </w:tc>
        <w:tc>
          <w:tcPr>
            <w:tcW w:w="99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17 634</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1Breakdown"/>
              <w:jc w:val="right"/>
              <w:rPr>
                <w:rFonts w:ascii="Verdana" w:eastAsia="Verdana" w:hAnsi="Verdana" w:cs="Verdana"/>
                <w:b/>
                <w:noProof/>
                <w:color w:val="000000"/>
                <w:sz w:val="16"/>
              </w:rPr>
            </w:pPr>
            <w:r>
              <w:rPr>
                <w:rFonts w:ascii="Verdana" w:hAnsi="Verdana"/>
                <w:b/>
                <w:noProof/>
                <w:color w:val="000000"/>
                <w:sz w:val="16"/>
              </w:rPr>
              <w:t>183 446</w:t>
            </w:r>
          </w:p>
        </w:tc>
      </w:tr>
    </w:tbl>
    <w:p>
      <w:pPr>
        <w:pStyle w:val="Textstand-alone"/>
        <w:rPr>
          <w:lang w:bidi="en-GB"/>
        </w:rPr>
        <w:sectPr>
          <w:headerReference w:type="even" r:id="rId374"/>
          <w:headerReference w:type="default" r:id="rId375"/>
          <w:footerReference w:type="even" r:id="rId376"/>
          <w:footerReference w:type="default" r:id="rId377"/>
          <w:headerReference w:type="first" r:id="rId378"/>
          <w:footerReference w:type="first" r:id="rId379"/>
          <w:type w:val="nextColumn"/>
          <w:pgSz w:w="16840" w:h="11900" w:orient="landscape"/>
          <w:pgMar w:top="1134" w:right="1134" w:bottom="1134" w:left="1134" w:header="720" w:footer="720" w:gutter="0"/>
          <w:cols w:space="720"/>
          <w:docGrid w:linePitch="272"/>
        </w:sectPr>
      </w:pPr>
    </w:p>
    <w:p>
      <w:pPr>
        <w:pStyle w:val="HEADER2PartBUDG"/>
        <w:numPr>
          <w:ilvl w:val="1"/>
          <w:numId w:val="15"/>
        </w:numPr>
        <w:spacing w:before="120" w:after="240"/>
        <w:ind w:left="357" w:hanging="357"/>
        <w:rPr>
          <w:noProof/>
        </w:rPr>
      </w:pPr>
      <w:bookmarkStart w:id="265" w:name="_Toc75518145"/>
      <w:r>
        <w:rPr>
          <w:noProof/>
        </w:rPr>
        <w:t>ПОДРОБНА МФР: ИЗПЪЛНЕНИЕ НА БЮДЖЕТНИТЕ КРЕДИТИ ЗА ПОЕТИ ЗАДЪЛЖЕНИЯ</w:t>
      </w:r>
      <w:bookmarkEnd w:id="265"/>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801"/>
        <w:gridCol w:w="1078"/>
        <w:gridCol w:w="873"/>
        <w:gridCol w:w="872"/>
        <w:gridCol w:w="872"/>
        <w:gridCol w:w="872"/>
        <w:gridCol w:w="872"/>
        <w:gridCol w:w="872"/>
        <w:gridCol w:w="872"/>
        <w:gridCol w:w="872"/>
        <w:gridCol w:w="872"/>
        <w:gridCol w:w="712"/>
        <w:gridCol w:w="851"/>
        <w:gridCol w:w="1165"/>
      </w:tblGrid>
      <w:tr>
        <w:trPr>
          <w:cantSplit/>
          <w:trHeight w:val="284"/>
          <w:tblHeader/>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bookmarkStart w:id="266" w:name="DOC_TBL00114_1_1"/>
            <w:bookmarkEnd w:id="266"/>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284"/>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b/>
                <w:noProof/>
                <w:color w:val="FFFFFF"/>
                <w:sz w:val="16"/>
              </w:rPr>
            </w:pPr>
          </w:p>
        </w:tc>
        <w:tc>
          <w:tcPr>
            <w:tcW w:w="280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b/>
                <w:noProof/>
                <w:color w:val="FFFFFF"/>
                <w:sz w:val="16"/>
              </w:rPr>
            </w:pPr>
          </w:p>
        </w:tc>
        <w:tc>
          <w:tcPr>
            <w:tcW w:w="1078"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b/>
                <w:noProof/>
                <w:color w:val="FFFFFF"/>
                <w:sz w:val="16"/>
              </w:rPr>
            </w:pPr>
            <w:r>
              <w:rPr>
                <w:rFonts w:ascii="Verdana" w:hAnsi="Verdana"/>
                <w:b/>
                <w:noProof/>
                <w:color w:val="FFFFFF"/>
                <w:sz w:val="16"/>
              </w:rPr>
              <w:t>Общо</w:t>
            </w:r>
          </w:p>
          <w:p>
            <w:pPr>
              <w:pStyle w:val="DMETW19857BIPDetailedMFF2ImplementCommitments"/>
              <w:jc w:val="center"/>
              <w:rPr>
                <w:rFonts w:ascii="Verdana" w:eastAsia="Verdana" w:hAnsi="Verdana" w:cs="Verdana"/>
                <w:b/>
                <w:noProof/>
                <w:color w:val="FFFFFF"/>
                <w:sz w:val="16"/>
              </w:rPr>
            </w:pPr>
            <w:r>
              <w:rPr>
                <w:rFonts w:ascii="Verdana" w:hAnsi="Verdana"/>
                <w:b/>
                <w:noProof/>
                <w:color w:val="FFFFFF"/>
                <w:sz w:val="16"/>
              </w:rPr>
              <w:t xml:space="preserve">налични </w:t>
            </w:r>
          </w:p>
          <w:p>
            <w:pPr>
              <w:pStyle w:val="DMETW19857BIPDetailed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w:t>
            </w:r>
          </w:p>
        </w:tc>
        <w:tc>
          <w:tcPr>
            <w:tcW w:w="873"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b/>
                <w:noProof/>
                <w:color w:val="FFFFFF"/>
                <w:sz w:val="16"/>
              </w:rPr>
            </w:pPr>
            <w:r>
              <w:rPr>
                <w:rFonts w:ascii="Verdana" w:hAnsi="Verdana"/>
                <w:b/>
                <w:noProof/>
                <w:color w:val="FFFFFF"/>
                <w:sz w:val="16"/>
              </w:rPr>
              <w:t>Поети задължения</w:t>
            </w:r>
          </w:p>
        </w:tc>
        <w:tc>
          <w:tcPr>
            <w:tcW w:w="872"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 пренесени за 2021 г.</w:t>
            </w:r>
          </w:p>
        </w:tc>
        <w:tc>
          <w:tcPr>
            <w:tcW w:w="872"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 които губят сила</w:t>
            </w:r>
          </w:p>
        </w:tc>
      </w:tr>
      <w:tr>
        <w:trPr>
          <w:cantSplit/>
          <w:trHeight w:val="284"/>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p>
        </w:tc>
        <w:tc>
          <w:tcPr>
            <w:tcW w:w="280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Програма</w:t>
            </w:r>
          </w:p>
        </w:tc>
        <w:tc>
          <w:tcPr>
            <w:tcW w:w="1035"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b/>
                <w:noProof/>
                <w:color w:val="FFFFFF"/>
                <w:sz w:val="16"/>
              </w:rPr>
            </w:pPr>
          </w:p>
        </w:tc>
        <w:tc>
          <w:tcPr>
            <w:tcW w:w="873"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87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7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87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Общо</w:t>
            </w:r>
          </w:p>
        </w:tc>
        <w:tc>
          <w:tcPr>
            <w:tcW w:w="87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w:t>
            </w:r>
          </w:p>
        </w:tc>
        <w:tc>
          <w:tcPr>
            <w:tcW w:w="87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целеви приходи</w:t>
            </w:r>
          </w:p>
        </w:tc>
        <w:tc>
          <w:tcPr>
            <w:tcW w:w="87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пренасяния с решение</w:t>
            </w:r>
          </w:p>
        </w:tc>
        <w:tc>
          <w:tcPr>
            <w:tcW w:w="87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Общо</w:t>
            </w:r>
          </w:p>
        </w:tc>
        <w:tc>
          <w:tcPr>
            <w:tcW w:w="87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71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5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1165"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Общо</w:t>
            </w:r>
          </w:p>
        </w:tc>
      </w:tr>
      <w:tr>
        <w:trPr>
          <w:cantSplit/>
          <w:trHeight w:val="284"/>
          <w:tblHeader/>
        </w:trPr>
        <w:tc>
          <w:tcPr>
            <w:tcW w:w="23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p>
        </w:tc>
        <w:tc>
          <w:tcPr>
            <w:tcW w:w="2801"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p>
        </w:tc>
        <w:tc>
          <w:tcPr>
            <w:tcW w:w="1078"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1</w:t>
            </w:r>
          </w:p>
        </w:tc>
        <w:tc>
          <w:tcPr>
            <w:tcW w:w="873"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2</w:t>
            </w:r>
          </w:p>
        </w:tc>
        <w:tc>
          <w:tcPr>
            <w:tcW w:w="87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3</w:t>
            </w:r>
          </w:p>
        </w:tc>
        <w:tc>
          <w:tcPr>
            <w:tcW w:w="87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4</w:t>
            </w:r>
          </w:p>
        </w:tc>
        <w:tc>
          <w:tcPr>
            <w:tcW w:w="87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5=2+3</w:t>
            </w:r>
          </w:p>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+4</w:t>
            </w:r>
          </w:p>
        </w:tc>
        <w:tc>
          <w:tcPr>
            <w:tcW w:w="87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6=5/1</w:t>
            </w:r>
          </w:p>
        </w:tc>
        <w:tc>
          <w:tcPr>
            <w:tcW w:w="87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7</w:t>
            </w:r>
          </w:p>
        </w:tc>
        <w:tc>
          <w:tcPr>
            <w:tcW w:w="87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8</w:t>
            </w:r>
          </w:p>
        </w:tc>
        <w:tc>
          <w:tcPr>
            <w:tcW w:w="87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9=7+8</w:t>
            </w:r>
          </w:p>
        </w:tc>
        <w:tc>
          <w:tcPr>
            <w:tcW w:w="87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10</w:t>
            </w:r>
          </w:p>
        </w:tc>
        <w:tc>
          <w:tcPr>
            <w:tcW w:w="71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11</w:t>
            </w:r>
          </w:p>
        </w:tc>
        <w:tc>
          <w:tcPr>
            <w:tcW w:w="851"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12</w:t>
            </w:r>
          </w:p>
        </w:tc>
        <w:tc>
          <w:tcPr>
            <w:tcW w:w="1165"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13=10+</w:t>
            </w:r>
          </w:p>
          <w:p>
            <w:pPr>
              <w:pStyle w:val="DMETW19857BIPDetailedMFF2ImplementCommitments"/>
              <w:jc w:val="center"/>
              <w:rPr>
                <w:rFonts w:ascii="Verdana" w:eastAsia="Verdana" w:hAnsi="Verdana" w:cs="Verdana"/>
                <w:noProof/>
                <w:color w:val="FFFFFF"/>
                <w:sz w:val="16"/>
              </w:rPr>
            </w:pPr>
            <w:r>
              <w:rPr>
                <w:rFonts w:ascii="Verdana" w:hAnsi="Verdana"/>
                <w:noProof/>
                <w:color w:val="FFFFFF"/>
                <w:sz w:val="16"/>
              </w:rPr>
              <w:t>11+12</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1</w:t>
            </w: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Европейски фонд за стратегически инвестиции (ЕФСИ)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329</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321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Европейска спътникова навигация (EGNOS и „Галилео“)</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1 328</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1 207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1 312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56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Международен термоядрен реактор (ITER)</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412</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367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396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Европейска програма за наблюдение на Земята („Коперник“)</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663</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647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663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Европейски корпус за солидарност (ЕКС)</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177</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166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68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Европейска програма за промишлено развитие в областта на отбраната (EDIDP)</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Ядрена безопасност и извеждане от експлоатация на ядрени съоръжения</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147</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„Хоризонт 2020“</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16 719</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13 485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2 925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16 411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307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307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Програма на Евратом за научни изследвания и обучение</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492</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386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415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84 %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Конкурентоспособност на предприятията и на МСП (COSME)</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460</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418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448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Образование, обучение и спорт („Еразъм+“)</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3 563</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2 885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595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3 481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Заетост и социални иновации (ЗиСИ)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178</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116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164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„Митници“, „Фискалис“ и „Борба с измамите“</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145</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133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МСЕ — Енергетика</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1 287</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1 281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1 282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МСЕ — Транспорт</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2 602</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2 580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2 584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МСЕ — Информационни и комуникационни технологии (ИКТ)</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216</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210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216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Енергийни проекти за икономическо възстановяване (EERP)</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410</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385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403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673</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195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278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41 %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394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394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85</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cantSplit/>
          <w:trHeight w:val="56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Специфични правомощия на Комисията</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135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138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Регионално сближаване (по-слабо развити региони)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29 834</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28 758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389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579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29 726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Региони в преход</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6 147</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6 047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6 147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Конкурентоспособност (по-развити региони)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11 021</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10 571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197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10 819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185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193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Най-отдалечени и слабо населени региони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236</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236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236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Кохезионен фонд</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8 416</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8 237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165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8 404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Европейско териториално сътрудничество</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2 023</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2 012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2 012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Техническа помощ</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284</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278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282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Фонд за европейско подпомагане на най-нуждаещите се лица (FEAD)</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580</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579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579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Инициатива за младежка заетост</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252</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131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252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Механизъм за свързване на Европа (МСЕ)</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1 784</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1 781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1 784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Общо функция 1 от МФР</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90 870</w:t>
            </w:r>
          </w:p>
        </w:tc>
        <w:tc>
          <w:tcPr>
            <w:tcW w:w="87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83 890</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520</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5 152</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89 563</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99 %</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1 219</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22</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1 241</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7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59</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65</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2</w:t>
            </w: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Европейски фонд за гарантиране на земеделието (ЕФГЗ)</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44 855</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42 979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463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873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44 315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475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531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Земеделски фонд за развитие на селските райони (ЕЗФРСР)</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15 871</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14 708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14 709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93 %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260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260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903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903</w:t>
            </w:r>
          </w:p>
        </w:tc>
      </w:tr>
      <w:tr>
        <w:trPr>
          <w:cantSplit/>
          <w:trHeight w:val="56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Европейски фонд за морско дело и рибарство (ЕФМДР)</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1 165</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960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963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83 %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129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129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74</w:t>
            </w:r>
          </w:p>
        </w:tc>
      </w:tr>
      <w:tr>
        <w:trPr>
          <w:cantSplit/>
          <w:trHeight w:val="90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Споразумения за партньорство в областта на устойчивото рибарство (СПОУР) и организации за управление на рибарството (РОУР)</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Околна среда и действия по климата (LIFE)</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593</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590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592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75</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Други дейности и мерки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Специфични дейности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284"/>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Общо функция 2 от МФР</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62 730</w:t>
            </w:r>
          </w:p>
        </w:tc>
        <w:tc>
          <w:tcPr>
            <w:tcW w:w="87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59 475</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463</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886</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60 823</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97 %</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445</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475</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920</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7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976</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986</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3</w:t>
            </w: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Фонд „Убежище, миграция и интеграция“ (ФУМИ)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1 406</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1 389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1 404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„Потребители“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31</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„Творческа Европа“</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265</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252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263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Спешна подкрепа в рамките на Съюза (IES)</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3 450</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2 700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333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3 033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417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417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Фонд „Вътрешна сигурност“</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655</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528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124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652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Информационни системи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Правосъдие</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47</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Права, равенство и гражданство</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72</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526</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511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525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„Европа за гражданите“</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38</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Храни и фуражи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251</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247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249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Здравеопазване</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75</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1 206</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1 139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1 186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Специфични дейности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108</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Общо функция 3 от МФР</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8 152</w:t>
            </w:r>
          </w:p>
        </w:tc>
        <w:tc>
          <w:tcPr>
            <w:tcW w:w="87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7 152</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550</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7 702</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94 %</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450</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450</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4</w:t>
            </w: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Предприсъединителна помощ (ИПП II)</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1 858</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1 609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1 780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Макрофинансова помощ (МФП)</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Гаранционен фонд за външни дейности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240</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233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240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89</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Инициатива „Доброволци на ЕС за хуманитарна помощ“ (EUAV)</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Фонд за устойчиво развитие (ЕФУР)</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105</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Европейски инструмент за съседство (ЕИС)</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2 909</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2 845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2 861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Инструмент за сътрудничество за развитие (ИСР)</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3 294</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3 206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3 268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Инструмент за партньорство (ИП)</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172</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164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168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Демокрация и права на човека (ЕИДПЧ)</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179</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Стабилност и мир (IcSP)</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413</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408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413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Хуманитарна помощ</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2 103</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2 038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2 097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Обща външна политика и политика на сигурност (ОВППС)</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402</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336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379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Сътрудничество в областта на ядрената безопасност (INSC)</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33</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327</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228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70 %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Специфични дейности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88</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88</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Общо функция 4 от МФР</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12 240</w:t>
            </w:r>
          </w:p>
        </w:tc>
        <w:tc>
          <w:tcPr>
            <w:tcW w:w="87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11 349</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47</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555</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11 950</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98 %</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288</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288</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5</w:t>
            </w: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Пенсии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2 104</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2 096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2 096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Европейски училища</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200</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183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197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Административни разходи на Комисията</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4 137</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3 705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231</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3 937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53</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54</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Административни разходи на другите институции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4 667</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4 024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0</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294</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4 319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93 %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226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116</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0</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122</w:t>
            </w:r>
          </w:p>
        </w:tc>
      </w:tr>
      <w:tr>
        <w:trPr>
          <w:cantSplit/>
          <w:trHeight w:val="284"/>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Общо функция 5 от МФР</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11 108</w:t>
            </w:r>
          </w:p>
        </w:tc>
        <w:tc>
          <w:tcPr>
            <w:tcW w:w="87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10 009</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540</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10 548</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95 %</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291</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85</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376</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178</w:t>
            </w:r>
          </w:p>
        </w:tc>
        <w:tc>
          <w:tcPr>
            <w:tcW w:w="7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184</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6</w:t>
            </w: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Компенсации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284"/>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Общо функция 6 от МФР</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28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8</w:t>
            </w: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Отрицателен резерв</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Пренесен дефицит</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284"/>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Общо функция 8 от МФР</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9</w:t>
            </w: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Резерв за спешна помощ (РСП)</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Европейски фонд за приспособяване към глобализацията (ЕФПГ)</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200</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177</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185</w:t>
            </w:r>
          </w:p>
        </w:tc>
      </w:tr>
      <w:tr>
        <w:trPr>
          <w:cantSplit/>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Фонд „Солидарност“ на Европейския съюз (ФСЕС)</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1 106</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1 057</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49</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1 106</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solid" w:color="CCE1EB" w:fill="FFFFFF"/>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Общо функция 9 от МФР</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1 306</w:t>
            </w:r>
          </w:p>
        </w:tc>
        <w:tc>
          <w:tcPr>
            <w:tcW w:w="87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1 059</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49</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1 108</w:t>
            </w:r>
          </w:p>
        </w:tc>
        <w:tc>
          <w:tcPr>
            <w:tcW w:w="872" w:type="dxa"/>
            <w:tcBorders>
              <w:top w:val="nil"/>
              <w:left w:val="nil"/>
              <w:bottom w:val="nil"/>
              <w:right w:val="nil"/>
              <w:tl2br w:val="nil"/>
              <w:tr2bl w:val="nil"/>
            </w:tcBorders>
            <w:shd w:val="solid" w:color="CCE1EB"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85 %</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177</w:t>
            </w:r>
          </w:p>
        </w:tc>
        <w:tc>
          <w:tcPr>
            <w:tcW w:w="7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185</w:t>
            </w:r>
          </w:p>
        </w:tc>
      </w:tr>
      <w:tr>
        <w:trPr>
          <w:cantSplit/>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O</w:t>
            </w:r>
          </w:p>
        </w:tc>
        <w:tc>
          <w:tcPr>
            <w:tcW w:w="280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Фонд за иновации (ФИ)</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1 337</w:t>
            </w:r>
          </w:p>
        </w:tc>
        <w:tc>
          <w:tcPr>
            <w:tcW w:w="87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0 %</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1 332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1 332</w:t>
            </w:r>
          </w:p>
        </w:tc>
        <w:tc>
          <w:tcPr>
            <w:tcW w:w="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cantSplit/>
          <w:trHeight w:val="284"/>
        </w:trPr>
        <w:tc>
          <w:tcPr>
            <w:tcW w:w="236" w:type="dxa"/>
            <w:tcBorders>
              <w:top w:val="nil"/>
              <w:left w:val="nil"/>
              <w:bottom w:val="nil"/>
              <w:right w:val="nil"/>
              <w:tl2br w:val="nil"/>
              <w:tr2bl w:val="nil"/>
            </w:tcBorders>
            <w:shd w:val="solid" w:color="CCE1EB" w:fill="FFFFFF"/>
            <w:tcMar>
              <w:left w:w="60" w:type="dxa"/>
              <w:right w:w="60" w:type="dxa"/>
            </w:tcMar>
            <w:vAlign w:val="center"/>
          </w:tcPr>
          <w:p>
            <w:pPr>
              <w:pStyle w:val="DMETW19857BIPDetailedMFF2ImplementCommitments"/>
              <w:rPr>
                <w:rFonts w:ascii="Verdana" w:eastAsia="Verdana" w:hAnsi="Verdana" w:cs="Verdana"/>
                <w:noProof/>
                <w:color w:val="000000"/>
                <w:sz w:val="16"/>
              </w:rPr>
            </w:pPr>
          </w:p>
        </w:tc>
        <w:tc>
          <w:tcPr>
            <w:tcW w:w="2801" w:type="dxa"/>
            <w:tcBorders>
              <w:top w:val="nil"/>
              <w:left w:val="nil"/>
              <w:bottom w:val="nil"/>
              <w:right w:val="nil"/>
              <w:tl2br w:val="nil"/>
              <w:tr2bl w:val="nil"/>
            </w:tcBorders>
            <w:shd w:val="solid" w:color="CCE1EB" w:fill="FFFFFF"/>
            <w:tcMar>
              <w:left w:w="60" w:type="dxa"/>
              <w:right w:w="60" w:type="dxa"/>
            </w:tcMar>
            <w:vAlign w:val="center"/>
          </w:tcPr>
          <w:p>
            <w:pPr>
              <w:pStyle w:val="DMETW19857BIPDetailedMFF2ImplementCommitments"/>
              <w:rPr>
                <w:rFonts w:ascii="Verdana" w:eastAsia="Verdana" w:hAnsi="Verdana" w:cs="Verdana"/>
                <w:noProof/>
                <w:color w:val="000000"/>
                <w:sz w:val="16"/>
              </w:rPr>
            </w:pPr>
            <w:r>
              <w:rPr>
                <w:rFonts w:ascii="Verdana" w:hAnsi="Verdana"/>
                <w:noProof/>
                <w:color w:val="000000"/>
                <w:sz w:val="16"/>
              </w:rPr>
              <w:t>Общо функция O от МФР</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1 337</w:t>
            </w:r>
          </w:p>
        </w:tc>
        <w:tc>
          <w:tcPr>
            <w:tcW w:w="87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872" w:type="dxa"/>
            <w:tcBorders>
              <w:top w:val="nil"/>
              <w:left w:val="nil"/>
              <w:bottom w:val="nil"/>
              <w:right w:val="nil"/>
              <w:tl2br w:val="nil"/>
              <w:tr2bl w:val="nil"/>
            </w:tcBorders>
            <w:shd w:val="solid" w:color="CCE1EB"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0 %</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1 332</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1 332</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b/>
                <w:noProof/>
                <w:color w:val="000000"/>
                <w:sz w:val="16"/>
              </w:rPr>
            </w:pPr>
          </w:p>
        </w:tc>
        <w:tc>
          <w:tcPr>
            <w:tcW w:w="280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rPr>
                <w:rFonts w:ascii="Verdana" w:eastAsia="Verdana" w:hAnsi="Verdana" w:cs="Verdana"/>
                <w:b/>
                <w:noProof/>
                <w:color w:val="000000"/>
                <w:sz w:val="16"/>
              </w:rPr>
            </w:pPr>
            <w:r>
              <w:rPr>
                <w:rFonts w:ascii="Verdana" w:hAnsi="Verdana"/>
                <w:b/>
                <w:noProof/>
                <w:color w:val="000000"/>
                <w:sz w:val="16"/>
              </w:rPr>
              <w:t>Общо</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187 742</w:t>
            </w:r>
          </w:p>
        </w:tc>
        <w:tc>
          <w:tcPr>
            <w:tcW w:w="87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172 933</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1 078</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7 688</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181 699</w:t>
            </w:r>
          </w:p>
        </w:tc>
        <w:tc>
          <w:tcPr>
            <w:tcW w:w="872" w:type="dxa"/>
            <w:tcBorders>
              <w:top w:val="nil"/>
              <w:left w:val="nil"/>
              <w:bottom w:val="nil"/>
              <w:right w:val="nil"/>
              <w:tl2br w:val="nil"/>
              <w:tr2bl w:val="nil"/>
            </w:tcBorders>
            <w:shd w:val="solid" w:color="CCE1EB"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97 %</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4 038</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582</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4 620</w:t>
            </w:r>
          </w:p>
        </w:tc>
        <w:tc>
          <w:tcPr>
            <w:tcW w:w="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369</w:t>
            </w:r>
          </w:p>
        </w:tc>
        <w:tc>
          <w:tcPr>
            <w:tcW w:w="7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4</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1 050</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2ImplementCommitments"/>
              <w:jc w:val="right"/>
              <w:rPr>
                <w:rFonts w:ascii="Verdana" w:eastAsia="Verdana" w:hAnsi="Verdana" w:cs="Verdana"/>
                <w:b/>
                <w:noProof/>
                <w:color w:val="000000"/>
                <w:sz w:val="16"/>
              </w:rPr>
            </w:pPr>
            <w:r>
              <w:rPr>
                <w:rFonts w:ascii="Verdana" w:hAnsi="Verdana"/>
                <w:b/>
                <w:noProof/>
                <w:color w:val="000000"/>
                <w:sz w:val="16"/>
              </w:rPr>
              <w:t>1 423</w:t>
            </w:r>
          </w:p>
        </w:tc>
      </w:tr>
    </w:tbl>
    <w:p>
      <w:pPr>
        <w:pStyle w:val="HEADER2PartBUDG"/>
        <w:pageBreakBefore/>
        <w:numPr>
          <w:ilvl w:val="1"/>
          <w:numId w:val="15"/>
        </w:numPr>
        <w:spacing w:before="0" w:after="240"/>
        <w:ind w:left="357" w:hanging="357"/>
        <w:rPr>
          <w:noProof/>
        </w:rPr>
      </w:pPr>
      <w:bookmarkStart w:id="267" w:name="_Toc75518146"/>
      <w:r>
        <w:rPr>
          <w:noProof/>
        </w:rPr>
        <w:t>ПОДРОБНА МФР: ИЗПЪЛНЕНИЕ НА БЮДЖЕТНИТЕ КРЕДИТИ ЗА ПЛАЩАНИЯ</w:t>
      </w:r>
      <w:bookmarkEnd w:id="267"/>
    </w:p>
    <w:tbl>
      <w:tblPr>
        <w:tblW w:w="503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5"/>
        <w:gridCol w:w="2234"/>
        <w:gridCol w:w="982"/>
        <w:gridCol w:w="861"/>
        <w:gridCol w:w="853"/>
        <w:gridCol w:w="856"/>
        <w:gridCol w:w="984"/>
        <w:gridCol w:w="728"/>
        <w:gridCol w:w="856"/>
        <w:gridCol w:w="856"/>
        <w:gridCol w:w="856"/>
        <w:gridCol w:w="856"/>
        <w:gridCol w:w="856"/>
        <w:gridCol w:w="856"/>
        <w:gridCol w:w="856"/>
        <w:gridCol w:w="1076"/>
      </w:tblGrid>
      <w:tr>
        <w:trPr>
          <w:trHeight w:val="340"/>
          <w:tblHeader/>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bookmarkStart w:id="268" w:name="DOC_TBL00115_1_1"/>
            <w:bookmarkEnd w:id="268"/>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p>
        </w:tc>
        <w:tc>
          <w:tcPr>
            <w:tcW w:w="2234"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b/>
                <w:noProof/>
                <w:color w:val="FFFFFF"/>
                <w:sz w:val="16"/>
              </w:rPr>
            </w:pPr>
          </w:p>
        </w:tc>
        <w:tc>
          <w:tcPr>
            <w:tcW w:w="982"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b/>
                <w:noProof/>
                <w:color w:val="FFFFFF"/>
                <w:sz w:val="16"/>
              </w:rPr>
            </w:pPr>
            <w:r>
              <w:rPr>
                <w:rFonts w:ascii="Verdana" w:hAnsi="Verdana"/>
                <w:b/>
                <w:noProof/>
                <w:color w:val="FFFFFF"/>
                <w:sz w:val="16"/>
              </w:rPr>
              <w:t>Общо</w:t>
            </w:r>
          </w:p>
          <w:p>
            <w:pPr>
              <w:pStyle w:val="DMETW19857BIPDetailedMFF3ImplementPayments"/>
              <w:jc w:val="center"/>
              <w:rPr>
                <w:rFonts w:ascii="Verdana" w:eastAsia="Verdana" w:hAnsi="Verdana" w:cs="Verdana"/>
                <w:b/>
                <w:noProof/>
                <w:color w:val="FFFFFF"/>
                <w:sz w:val="16"/>
              </w:rPr>
            </w:pPr>
            <w:r>
              <w:rPr>
                <w:rFonts w:ascii="Verdana" w:hAnsi="Verdana"/>
                <w:b/>
                <w:noProof/>
                <w:color w:val="FFFFFF"/>
                <w:sz w:val="16"/>
              </w:rPr>
              <w:t>налични</w:t>
            </w:r>
          </w:p>
          <w:p>
            <w:pPr>
              <w:pStyle w:val="DMETW19857BIPDetailedMFF3ImplementPayments"/>
              <w:jc w:val="center"/>
              <w:rPr>
                <w:rFonts w:ascii="Verdana" w:eastAsia="Verdana" w:hAnsi="Verdana" w:cs="Verdana"/>
                <w:b/>
                <w:noProof/>
                <w:color w:val="FFFFFF"/>
                <w:sz w:val="16"/>
              </w:rPr>
            </w:pPr>
            <w:r>
              <w:rPr>
                <w:rFonts w:ascii="Verdana" w:hAnsi="Verdana"/>
                <w:b/>
                <w:noProof/>
                <w:color w:val="FFFFFF"/>
                <w:sz w:val="16"/>
              </w:rPr>
              <w:t>бюджетни кредити</w:t>
            </w:r>
          </w:p>
        </w:tc>
        <w:tc>
          <w:tcPr>
            <w:tcW w:w="861"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b/>
                <w:noProof/>
                <w:color w:val="FFFFFF"/>
                <w:sz w:val="16"/>
              </w:rPr>
            </w:pPr>
            <w:r>
              <w:rPr>
                <w:rFonts w:ascii="Verdana" w:hAnsi="Verdana"/>
                <w:b/>
                <w:noProof/>
                <w:color w:val="FFFFFF"/>
                <w:sz w:val="16"/>
              </w:rPr>
              <w:t>Извършени плащания</w:t>
            </w:r>
          </w:p>
        </w:tc>
        <w:tc>
          <w:tcPr>
            <w:tcW w:w="856"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b/>
                <w:noProof/>
                <w:color w:val="FFFFFF"/>
                <w:sz w:val="16"/>
              </w:rPr>
            </w:pPr>
            <w:r>
              <w:rPr>
                <w:rFonts w:ascii="Verdana" w:hAnsi="Verdana"/>
                <w:b/>
                <w:noProof/>
                <w:color w:val="FFFFFF"/>
                <w:sz w:val="16"/>
              </w:rPr>
              <w:t>Бюджетни кредити, пренесени за 2021 г.</w:t>
            </w:r>
          </w:p>
        </w:tc>
        <w:tc>
          <w:tcPr>
            <w:tcW w:w="856"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b/>
                <w:noProof/>
                <w:color w:val="FFFFFF"/>
                <w:sz w:val="16"/>
              </w:rPr>
            </w:pPr>
            <w:r>
              <w:rPr>
                <w:rFonts w:ascii="Verdana" w:hAnsi="Verdana"/>
                <w:b/>
                <w:noProof/>
                <w:color w:val="FFFFFF"/>
                <w:sz w:val="16"/>
              </w:rPr>
              <w:t>Бюджетни кредити, които губят сила</w:t>
            </w:r>
          </w:p>
        </w:tc>
      </w:tr>
      <w:tr>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p>
        </w:tc>
        <w:tc>
          <w:tcPr>
            <w:tcW w:w="2234"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Програма</w:t>
            </w:r>
          </w:p>
        </w:tc>
        <w:tc>
          <w:tcPr>
            <w:tcW w:w="1080"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b/>
                <w:noProof/>
                <w:color w:val="FFFFFF"/>
                <w:sz w:val="16"/>
              </w:rPr>
            </w:pPr>
          </w:p>
        </w:tc>
        <w:tc>
          <w:tcPr>
            <w:tcW w:w="86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853"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5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984"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Общо</w:t>
            </w:r>
          </w:p>
        </w:tc>
        <w:tc>
          <w:tcPr>
            <w:tcW w:w="728"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w:t>
            </w:r>
          </w:p>
        </w:tc>
        <w:tc>
          <w:tcPr>
            <w:tcW w:w="85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автоматични пренасяния</w:t>
            </w:r>
          </w:p>
        </w:tc>
        <w:tc>
          <w:tcPr>
            <w:tcW w:w="85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пренасяния с решение</w:t>
            </w:r>
          </w:p>
        </w:tc>
        <w:tc>
          <w:tcPr>
            <w:tcW w:w="85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целеви приходи</w:t>
            </w:r>
          </w:p>
        </w:tc>
        <w:tc>
          <w:tcPr>
            <w:tcW w:w="85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Общо</w:t>
            </w:r>
          </w:p>
        </w:tc>
        <w:tc>
          <w:tcPr>
            <w:tcW w:w="85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85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5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107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Общо</w:t>
            </w:r>
          </w:p>
        </w:tc>
      </w:tr>
      <w:tr>
        <w:trPr>
          <w:trHeight w:val="340"/>
          <w:tblHeader/>
        </w:trPr>
        <w:tc>
          <w:tcPr>
            <w:tcW w:w="23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p>
        </w:tc>
        <w:tc>
          <w:tcPr>
            <w:tcW w:w="2234"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p>
        </w:tc>
        <w:tc>
          <w:tcPr>
            <w:tcW w:w="98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1</w:t>
            </w:r>
          </w:p>
        </w:tc>
        <w:tc>
          <w:tcPr>
            <w:tcW w:w="861"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2</w:t>
            </w:r>
          </w:p>
        </w:tc>
        <w:tc>
          <w:tcPr>
            <w:tcW w:w="853"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3</w:t>
            </w:r>
          </w:p>
        </w:tc>
        <w:tc>
          <w:tcPr>
            <w:tcW w:w="85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4</w:t>
            </w:r>
          </w:p>
        </w:tc>
        <w:tc>
          <w:tcPr>
            <w:tcW w:w="984"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5=2+</w:t>
            </w:r>
          </w:p>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3+4</w:t>
            </w:r>
          </w:p>
        </w:tc>
        <w:tc>
          <w:tcPr>
            <w:tcW w:w="728"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6=5/1</w:t>
            </w:r>
          </w:p>
        </w:tc>
        <w:tc>
          <w:tcPr>
            <w:tcW w:w="85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7</w:t>
            </w:r>
          </w:p>
        </w:tc>
        <w:tc>
          <w:tcPr>
            <w:tcW w:w="85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8</w:t>
            </w:r>
          </w:p>
        </w:tc>
        <w:tc>
          <w:tcPr>
            <w:tcW w:w="85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9</w:t>
            </w:r>
          </w:p>
        </w:tc>
        <w:tc>
          <w:tcPr>
            <w:tcW w:w="85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10=7+</w:t>
            </w:r>
          </w:p>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8+9</w:t>
            </w:r>
          </w:p>
        </w:tc>
        <w:tc>
          <w:tcPr>
            <w:tcW w:w="85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11</w:t>
            </w:r>
          </w:p>
        </w:tc>
        <w:tc>
          <w:tcPr>
            <w:tcW w:w="85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12</w:t>
            </w:r>
          </w:p>
        </w:tc>
        <w:tc>
          <w:tcPr>
            <w:tcW w:w="85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13</w:t>
            </w:r>
          </w:p>
        </w:tc>
        <w:tc>
          <w:tcPr>
            <w:tcW w:w="107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14=11+</w:t>
            </w:r>
          </w:p>
          <w:p>
            <w:pPr>
              <w:pStyle w:val="DMETW19857BIPDetailedMFF3ImplementPayments"/>
              <w:jc w:val="center"/>
              <w:rPr>
                <w:rFonts w:ascii="Verdana" w:eastAsia="Verdana" w:hAnsi="Verdana" w:cs="Verdana"/>
                <w:noProof/>
                <w:color w:val="FFFFFF"/>
                <w:sz w:val="16"/>
              </w:rPr>
            </w:pPr>
            <w:r>
              <w:rPr>
                <w:rFonts w:ascii="Verdana" w:hAnsi="Verdana"/>
                <w:noProof/>
                <w:color w:val="FFFFFF"/>
                <w:sz w:val="16"/>
              </w:rPr>
              <w:t>12+13</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1</w:t>
            </w: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Европейски фонд за стратегически инвестиции (ЕФСИ)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1 287</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1 103</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156</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1 259</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73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Европейска спътникова навигация (EGNOS и „Галилео“)</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1 247</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971</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1 003</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242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244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62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Международен термоядрен реактор (ITER)</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684</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637</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639</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68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Европейска програма за наблюдение на Земята („Коперник“)</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569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551</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566</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Европейски корпус за солидарност (ЕКС)</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144</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125</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134</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92 %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68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Европейска програма за промишлено развитие в областта на отбраната (EDIDP)</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178</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176</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178</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Ядрена безопасност и извеждане от експлоатация на ядрени съоръжения</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117</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117</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117</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„Хоризонт 2020“</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16 470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11 524</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69</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1 615</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13 207</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3 160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3 243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Програма на Евратом за научни изследвания и обучение</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519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302</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29</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344</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66 %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167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68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Конкурентоспособност на предприятията и на МСП (COSME)</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549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486</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522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Образование, обучение и спорт („Еразъм+“)</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3 543</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2 742</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320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3 068</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87 %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467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474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Заетост и социални иновации (ЗиСИ)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181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96</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37</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134</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74 %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36</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„Митници“, „Фискалис“ и „Борба с измамите“</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160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143</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152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МСЕ — Енергетика</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399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389</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390</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МСЕ — Транспорт</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1 250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1 224</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1 237</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68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МСЕ — Информационни и комуникационни технологии (ИКТ)</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246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240</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246</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68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Енергийни проекти за икономическо възстановяване (EERP)</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33</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30</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30</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92 %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401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377</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17</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394</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557</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172</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77</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250</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45 %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303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304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56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64</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65</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Специфични правомощия на Комисията</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127</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120</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68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Регионално сближаване (по-слабо развити региони)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29 990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28 362</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1 587</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29 949</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Региони в преход</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5 097</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4 981</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116</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5 097</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Конкурентоспособност (по-развити региони)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9 434</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8 697</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737</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9 434</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68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Най-отдалечени и слабо населени региони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319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300</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319</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Кохезионен фонд</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10 165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8 889</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1 276</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10 165</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Европейско териториално сътрудничество</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1 671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1 516</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155</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1 671</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Техническа помощ</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235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202</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217</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92 %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Фонд за европейско подпомагане на най-нуждаещите се лица (FEAD)</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522</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519</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522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Инициатива за младежка заетост</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665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539</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63</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602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Механизъм за свързване на Европа (МСЕ)</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1 506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1 502</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1 505</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Общо функция 1 от МФР</w:t>
            </w:r>
          </w:p>
        </w:tc>
        <w:tc>
          <w:tcPr>
            <w:tcW w:w="98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88 334</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77 097</w:t>
            </w:r>
          </w:p>
        </w:tc>
        <w:tc>
          <w:tcPr>
            <w:tcW w:w="85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129</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6 316</w:t>
            </w:r>
          </w:p>
        </w:tc>
        <w:tc>
          <w:tcPr>
            <w:tcW w:w="98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83 541</w:t>
            </w:r>
          </w:p>
        </w:tc>
        <w:tc>
          <w:tcPr>
            <w:tcW w:w="72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95 %</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149</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4 579</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4 740</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21</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23</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107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53</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2</w:t>
            </w: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Европейски фонд за гарантиране на земеделието (ЕФГЗ)</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45 018</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42 919</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664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873</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44 456</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475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56</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548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Земеделски фонд за развитие на селските райони (ЕЗФРСР)</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14 852</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13 938</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670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14 609</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240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242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Европейски фонд за морско дело и рибарство (ЕФМДР)</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913</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760</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871</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113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Споразумения за партньорство в областта на устойчивото рибарство (СПОУР) и организации за управление на рибарството (РОУР)</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144</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144</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144</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Околна среда и действия по климата (LIFE)</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435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426</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431</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68</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75</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Други дейности и мерки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Специфични дейности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Общо функция 2 от МФР</w:t>
            </w:r>
          </w:p>
        </w:tc>
        <w:tc>
          <w:tcPr>
            <w:tcW w:w="98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61 448</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58 263</w:t>
            </w:r>
          </w:p>
        </w:tc>
        <w:tc>
          <w:tcPr>
            <w:tcW w:w="85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670</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1 662</w:t>
            </w:r>
          </w:p>
        </w:tc>
        <w:tc>
          <w:tcPr>
            <w:tcW w:w="98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60 595</w:t>
            </w:r>
          </w:p>
        </w:tc>
        <w:tc>
          <w:tcPr>
            <w:tcW w:w="72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99 %</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24</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475</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338</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837</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16</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3</w:t>
            </w: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Фонд „Убежище, миграция и интеграция“ (ФУМИ)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1 142</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1 121</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15</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1 137</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„Потребители“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29</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30</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„Творческа Европа“</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216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198</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206</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Спешна подкрепа в рамките на Съюза (IES)</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3 360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2 231</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333</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2 565</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76 %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379</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417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795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Фонд „Вътрешна сигурност“</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616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451</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467</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76 %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149</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Информационни системи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Правосъдие</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51</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Права, равенство и гражданство</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75</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76</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203</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194</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202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„Европа за гражданите“</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Храни и фуражи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237</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232</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234</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Здравеопазване</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59</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1 195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1 126</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47</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1 173</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Специфични дейности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94</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91</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Общо функция 3 от МФР</w:t>
            </w:r>
          </w:p>
        </w:tc>
        <w:tc>
          <w:tcPr>
            <w:tcW w:w="98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7 331</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5 896</w:t>
            </w:r>
          </w:p>
        </w:tc>
        <w:tc>
          <w:tcPr>
            <w:tcW w:w="85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430</w:t>
            </w:r>
          </w:p>
        </w:tc>
        <w:tc>
          <w:tcPr>
            <w:tcW w:w="98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6 333</w:t>
            </w:r>
          </w:p>
        </w:tc>
        <w:tc>
          <w:tcPr>
            <w:tcW w:w="72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86 %</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381</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600</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991</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4</w:t>
            </w: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Предприсъединителна помощ (ИПП II)</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2 150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1 688</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236</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1 930</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212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219</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Макрофинансова помощ (МФП)</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15</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15</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56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Гаранционен фонд за външни дейности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240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233</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240</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21</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21</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53 %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19</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Инициатива „Доброволци на ЕС за хуманитарна помощ“ (EUAV)</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87 %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Фонд за устойчиво развитие (ЕФУР)</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199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174</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199</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62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Европейски инструмент за съседство (ЕИС)</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2 681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2 600</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43</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2 649</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73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Инструмент за сътрудничество за развитие (ИСР)</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3 112</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2 954</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77</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3 043</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Инструмент за партньорство (ИП)</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140</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130</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134</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96 %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56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Демокрация и права на човека (ЕИДПЧ)</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161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147</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152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Стабилност и мир (IcSP)</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389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376</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382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Хуманитарна помощ</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1 956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1 609</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304</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1 918</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Обща външна политика и политика на сигурност (ОВППС)</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399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333</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56</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390</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Сътрудничество в областта на ядрената безопасност (INSC)</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15</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15</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92 %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20</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20</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331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87</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140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227</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87 %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Специфични дейности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69</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67</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68</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Общо функция 4 от МФР</w:t>
            </w:r>
          </w:p>
        </w:tc>
        <w:tc>
          <w:tcPr>
            <w:tcW w:w="98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11 928</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10 328</w:t>
            </w:r>
          </w:p>
        </w:tc>
        <w:tc>
          <w:tcPr>
            <w:tcW w:w="85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1 049</w:t>
            </w:r>
          </w:p>
        </w:tc>
        <w:tc>
          <w:tcPr>
            <w:tcW w:w="98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11 412</w:t>
            </w:r>
          </w:p>
        </w:tc>
        <w:tc>
          <w:tcPr>
            <w:tcW w:w="72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96 %</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37</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17</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454</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508</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107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5</w:t>
            </w: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Пенсии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2 104</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2 096</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2 096</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Европейски училища</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201</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183</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197</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98 %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99 %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73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Административни разходи на Комисията</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4 464</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3 393</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307</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189</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3 889</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87 %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311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188</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499</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21</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76</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Административни разходи на другите институции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5 168</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3 435</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440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258</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4 134</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585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85</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182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852</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120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59</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182</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Общо функция 5 от МФР</w:t>
            </w:r>
          </w:p>
        </w:tc>
        <w:tc>
          <w:tcPr>
            <w:tcW w:w="98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11 941</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9 111</w:t>
            </w:r>
          </w:p>
        </w:tc>
        <w:tc>
          <w:tcPr>
            <w:tcW w:w="85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748</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460</w:t>
            </w:r>
          </w:p>
        </w:tc>
        <w:tc>
          <w:tcPr>
            <w:tcW w:w="98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10 319</w:t>
            </w:r>
          </w:p>
        </w:tc>
        <w:tc>
          <w:tcPr>
            <w:tcW w:w="72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86 %</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895</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85</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375</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1 355</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182</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80</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5</w:t>
            </w:r>
          </w:p>
        </w:tc>
        <w:tc>
          <w:tcPr>
            <w:tcW w:w="107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266</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6</w:t>
            </w: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Компенсации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Общо функция 6 от МФР</w:t>
            </w:r>
          </w:p>
        </w:tc>
        <w:tc>
          <w:tcPr>
            <w:tcW w:w="98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2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8</w:t>
            </w: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Отрицателен резерв</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Пренесен дефицит</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Общо функция 8 от МФР</w:t>
            </w:r>
          </w:p>
        </w:tc>
        <w:tc>
          <w:tcPr>
            <w:tcW w:w="98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2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9</w:t>
            </w: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Резерв за спешна помощ (РСП)</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56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Европейски фонд за приспособяване към глобализацията (ЕФПГ)</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22</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11 %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Фонд „Солидарност“ на Европейския съюз (ФСЕС)</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1 106</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1 106</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1 106</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100 %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Общо функция 9 от МФР</w:t>
            </w:r>
          </w:p>
        </w:tc>
        <w:tc>
          <w:tcPr>
            <w:tcW w:w="98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1 128</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1 106</w:t>
            </w:r>
          </w:p>
        </w:tc>
        <w:tc>
          <w:tcPr>
            <w:tcW w:w="85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98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1 108</w:t>
            </w:r>
          </w:p>
        </w:tc>
        <w:tc>
          <w:tcPr>
            <w:tcW w:w="72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98 %</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107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6</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O</w:t>
            </w:r>
          </w:p>
        </w:tc>
        <w:tc>
          <w:tcPr>
            <w:tcW w:w="223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Фонд за иновации (ФИ)</w:t>
            </w:r>
          </w:p>
        </w:tc>
        <w:tc>
          <w:tcPr>
            <w:tcW w:w="98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1 337</w:t>
            </w:r>
          </w:p>
        </w:tc>
        <w:tc>
          <w:tcPr>
            <w:tcW w:w="86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8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72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0 %</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1 336</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1 336</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p>
        </w:tc>
        <w:tc>
          <w:tcPr>
            <w:tcW w:w="223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noProof/>
                <w:color w:val="000000"/>
                <w:sz w:val="16"/>
              </w:rPr>
            </w:pPr>
            <w:r>
              <w:rPr>
                <w:rFonts w:ascii="Verdana" w:hAnsi="Verdana"/>
                <w:noProof/>
                <w:color w:val="000000"/>
                <w:sz w:val="16"/>
              </w:rPr>
              <w:t>Общо функция O от МФР</w:t>
            </w:r>
          </w:p>
        </w:tc>
        <w:tc>
          <w:tcPr>
            <w:tcW w:w="98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1 337</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8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72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0 %</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1 336</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1 336</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c>
          <w:tcPr>
            <w:tcW w:w="107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b/>
                <w:noProof/>
                <w:color w:val="000000"/>
                <w:sz w:val="16"/>
              </w:rPr>
            </w:pPr>
          </w:p>
        </w:tc>
        <w:tc>
          <w:tcPr>
            <w:tcW w:w="223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rPr>
                <w:rFonts w:ascii="Verdana" w:eastAsia="Verdana" w:hAnsi="Verdana" w:cs="Verdana"/>
                <w:b/>
                <w:noProof/>
                <w:color w:val="000000"/>
                <w:sz w:val="16"/>
              </w:rPr>
            </w:pPr>
            <w:r>
              <w:rPr>
                <w:rFonts w:ascii="Verdana" w:hAnsi="Verdana"/>
                <w:b/>
                <w:noProof/>
                <w:color w:val="000000"/>
                <w:sz w:val="16"/>
              </w:rPr>
              <w:t>Общо</w:t>
            </w:r>
          </w:p>
        </w:tc>
        <w:tc>
          <w:tcPr>
            <w:tcW w:w="98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183 446</w:t>
            </w:r>
          </w:p>
        </w:tc>
        <w:tc>
          <w:tcPr>
            <w:tcW w:w="86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161 801</w:t>
            </w:r>
          </w:p>
        </w:tc>
        <w:tc>
          <w:tcPr>
            <w:tcW w:w="853"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1 589</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9 920</w:t>
            </w:r>
          </w:p>
        </w:tc>
        <w:tc>
          <w:tcPr>
            <w:tcW w:w="98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173 310</w:t>
            </w:r>
          </w:p>
        </w:tc>
        <w:tc>
          <w:tcPr>
            <w:tcW w:w="728" w:type="dxa"/>
            <w:tcBorders>
              <w:top w:val="nil"/>
              <w:left w:val="nil"/>
              <w:bottom w:val="nil"/>
              <w:right w:val="nil"/>
              <w:tl2br w:val="nil"/>
              <w:tr2bl w:val="nil"/>
            </w:tcBorders>
            <w:shd w:val="solid" w:color="CCE1EB"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94 %</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1 116</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 xml:space="preserve"> 969</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7 694</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9 779</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 xml:space="preserve"> 221</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 xml:space="preserve"> 115</w:t>
            </w:r>
          </w:p>
        </w:tc>
        <w:tc>
          <w:tcPr>
            <w:tcW w:w="85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 xml:space="preserve"> 20</w:t>
            </w:r>
          </w:p>
        </w:tc>
        <w:tc>
          <w:tcPr>
            <w:tcW w:w="107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3ImplementPayments"/>
              <w:jc w:val="right"/>
              <w:rPr>
                <w:rFonts w:ascii="Verdana" w:eastAsia="Verdana" w:hAnsi="Verdana" w:cs="Verdana"/>
                <w:b/>
                <w:noProof/>
                <w:color w:val="000000"/>
                <w:sz w:val="16"/>
              </w:rPr>
            </w:pPr>
            <w:r>
              <w:rPr>
                <w:rFonts w:ascii="Verdana" w:hAnsi="Verdana"/>
                <w:b/>
                <w:noProof/>
                <w:color w:val="000000"/>
                <w:sz w:val="16"/>
              </w:rPr>
              <w:t xml:space="preserve"> 357</w:t>
            </w:r>
          </w:p>
        </w:tc>
      </w:tr>
    </w:tbl>
    <w:p>
      <w:pPr>
        <w:pStyle w:val="Textstand-alone"/>
        <w:rPr>
          <w:lang w:bidi="en-GB"/>
        </w:rPr>
      </w:pPr>
    </w:p>
    <w:p>
      <w:pPr>
        <w:pStyle w:val="HEADER2PartBUDG"/>
        <w:pageBreakBefore/>
        <w:numPr>
          <w:ilvl w:val="1"/>
          <w:numId w:val="15"/>
        </w:numPr>
        <w:spacing w:before="240" w:after="240"/>
        <w:ind w:left="357" w:hanging="357"/>
        <w:rPr>
          <w:noProof/>
        </w:rPr>
      </w:pPr>
      <w:bookmarkStart w:id="269" w:name="_Toc75518147"/>
      <w:r>
        <w:rPr>
          <w:noProof/>
        </w:rPr>
        <w:t>ПОДРОБНА МФР: ДВИЖЕНИЯ НА НЕИЗПЪЛНЕНИТЕ ПОЕТИ ЗАДЪЛЖЕНИЯ (RAL)</w:t>
      </w:r>
      <w:bookmarkEnd w:id="269"/>
    </w:p>
    <w:tbl>
      <w:tblPr>
        <w:tblW w:w="4989"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3872"/>
        <w:gridCol w:w="1289"/>
        <w:gridCol w:w="1351"/>
        <w:gridCol w:w="970"/>
        <w:gridCol w:w="1219"/>
        <w:gridCol w:w="1081"/>
        <w:gridCol w:w="970"/>
        <w:gridCol w:w="1212"/>
        <w:gridCol w:w="1171"/>
        <w:gridCol w:w="1289"/>
      </w:tblGrid>
      <w:tr>
        <w:trPr>
          <w:trHeight w:val="340"/>
          <w:tblHeader/>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bookmarkStart w:id="270" w:name="DOC_TBL00116_1_1"/>
            <w:bookmarkEnd w:id="270"/>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p>
        </w:tc>
        <w:tc>
          <w:tcPr>
            <w:tcW w:w="387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p>
        </w:tc>
        <w:tc>
          <w:tcPr>
            <w:tcW w:w="1289"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b/>
                <w:noProof/>
                <w:color w:val="FFFFFF"/>
                <w:sz w:val="16"/>
              </w:rPr>
            </w:pPr>
            <w:r>
              <w:rPr>
                <w:rFonts w:ascii="Verdana" w:hAnsi="Verdana"/>
                <w:b/>
                <w:noProof/>
                <w:color w:val="FFFFFF"/>
                <w:sz w:val="16"/>
              </w:rPr>
              <w:t>Неизпълнени поети задължения към края на предходната година</w:t>
            </w:r>
          </w:p>
        </w:tc>
        <w:tc>
          <w:tcPr>
            <w:tcW w:w="1081"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b/>
                <w:noProof/>
                <w:color w:val="FFFFFF"/>
                <w:sz w:val="16"/>
              </w:rPr>
            </w:pPr>
            <w:r>
              <w:rPr>
                <w:rFonts w:ascii="Verdana" w:hAnsi="Verdana"/>
                <w:b/>
                <w:noProof/>
                <w:color w:val="FFFFFF"/>
                <w:sz w:val="16"/>
              </w:rPr>
              <w:t>Поети задължения за текущата година</w:t>
            </w:r>
          </w:p>
        </w:tc>
        <w:tc>
          <w:tcPr>
            <w:tcW w:w="1289"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b/>
                <w:noProof/>
                <w:color w:val="FFFFFF"/>
                <w:sz w:val="16"/>
              </w:rPr>
            </w:pPr>
            <w:r>
              <w:rPr>
                <w:rFonts w:ascii="Verdana" w:hAnsi="Verdana"/>
                <w:b/>
                <w:noProof/>
                <w:color w:val="FFFFFF"/>
                <w:sz w:val="16"/>
              </w:rPr>
              <w:t>Общо неизпълнени поети задълж. към края на годината</w:t>
            </w:r>
          </w:p>
        </w:tc>
      </w:tr>
      <w:tr>
        <w:trPr>
          <w:trHeight w:val="340"/>
          <w:tblHeader/>
        </w:trPr>
        <w:tc>
          <w:tcPr>
            <w:tcW w:w="236"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p>
        </w:tc>
        <w:tc>
          <w:tcPr>
            <w:tcW w:w="387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Програма</w:t>
            </w:r>
          </w:p>
        </w:tc>
        <w:tc>
          <w:tcPr>
            <w:tcW w:w="1289"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Задължения, пренесени от предходната година</w:t>
            </w:r>
          </w:p>
        </w:tc>
        <w:tc>
          <w:tcPr>
            <w:tcW w:w="135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Отменени задълж./</w:t>
            </w:r>
          </w:p>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преоценки/</w:t>
            </w:r>
          </w:p>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отмени</w:t>
            </w:r>
          </w:p>
        </w:tc>
        <w:tc>
          <w:tcPr>
            <w:tcW w:w="970"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Плащания</w:t>
            </w:r>
          </w:p>
        </w:tc>
        <w:tc>
          <w:tcPr>
            <w:tcW w:w="1219"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Неизпълнени поети задължения към края на годината</w:t>
            </w:r>
          </w:p>
        </w:tc>
        <w:tc>
          <w:tcPr>
            <w:tcW w:w="108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Задължения, поети през годината</w:t>
            </w:r>
          </w:p>
        </w:tc>
        <w:tc>
          <w:tcPr>
            <w:tcW w:w="970"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Плащания</w:t>
            </w:r>
          </w:p>
        </w:tc>
        <w:tc>
          <w:tcPr>
            <w:tcW w:w="121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Отмяна на поетите задължения, които не могат да бъдат пренесени</w:t>
            </w:r>
          </w:p>
        </w:tc>
        <w:tc>
          <w:tcPr>
            <w:tcW w:w="117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Неизпълнени поети задължения към края на годината</w:t>
            </w:r>
          </w:p>
        </w:tc>
        <w:tc>
          <w:tcPr>
            <w:tcW w:w="1260"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DetailedMFF4Commitmentsoustanding"/>
              <w:jc w:val="center"/>
              <w:rPr>
                <w:rFonts w:ascii="Verdana" w:eastAsia="Verdana" w:hAnsi="Verdana" w:cs="Verdana"/>
                <w:b/>
                <w:noProof/>
                <w:color w:val="FFFFFF"/>
                <w:sz w:val="16"/>
              </w:rPr>
            </w:pPr>
          </w:p>
        </w:tc>
      </w:tr>
      <w:tr>
        <w:trPr>
          <w:trHeight w:val="340"/>
          <w:tblHeader/>
        </w:trPr>
        <w:tc>
          <w:tcPr>
            <w:tcW w:w="236"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p>
        </w:tc>
        <w:tc>
          <w:tcPr>
            <w:tcW w:w="387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p>
        </w:tc>
        <w:tc>
          <w:tcPr>
            <w:tcW w:w="1289"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1</w:t>
            </w:r>
          </w:p>
        </w:tc>
        <w:tc>
          <w:tcPr>
            <w:tcW w:w="1351"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2</w:t>
            </w:r>
          </w:p>
        </w:tc>
        <w:tc>
          <w:tcPr>
            <w:tcW w:w="970"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3</w:t>
            </w:r>
          </w:p>
        </w:tc>
        <w:tc>
          <w:tcPr>
            <w:tcW w:w="1219"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4=1+2+3</w:t>
            </w:r>
          </w:p>
        </w:tc>
        <w:tc>
          <w:tcPr>
            <w:tcW w:w="1081"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5</w:t>
            </w:r>
          </w:p>
        </w:tc>
        <w:tc>
          <w:tcPr>
            <w:tcW w:w="970"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6</w:t>
            </w:r>
          </w:p>
        </w:tc>
        <w:tc>
          <w:tcPr>
            <w:tcW w:w="1212"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7</w:t>
            </w:r>
          </w:p>
        </w:tc>
        <w:tc>
          <w:tcPr>
            <w:tcW w:w="1171"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8=5+6+7</w:t>
            </w:r>
          </w:p>
        </w:tc>
        <w:tc>
          <w:tcPr>
            <w:tcW w:w="1289" w:type="dxa"/>
            <w:tcBorders>
              <w:top w:val="nil"/>
              <w:left w:val="nil"/>
              <w:bottom w:val="nil"/>
              <w:right w:val="nil"/>
              <w:tl2br w:val="nil"/>
              <w:tr2bl w:val="nil"/>
            </w:tcBorders>
            <w:shd w:val="solid" w:color="3487A9" w:fill="FFFFFF"/>
            <w:tcMar>
              <w:left w:w="60" w:type="dxa"/>
              <w:right w:w="60" w:type="dxa"/>
            </w:tcMar>
            <w:vAlign w:val="center"/>
          </w:tcPr>
          <w:p>
            <w:pPr>
              <w:pStyle w:val="DMETW19857BIPDetailedMFF4Commitmentsoustanding"/>
              <w:jc w:val="center"/>
              <w:rPr>
                <w:rFonts w:ascii="Verdana" w:eastAsia="Verdana" w:hAnsi="Verdana" w:cs="Verdana"/>
                <w:noProof/>
                <w:color w:val="FFFFFF"/>
                <w:sz w:val="16"/>
              </w:rPr>
            </w:pPr>
            <w:r>
              <w:rPr>
                <w:rFonts w:ascii="Verdana" w:hAnsi="Verdana"/>
                <w:noProof/>
                <w:color w:val="FFFFFF"/>
                <w:sz w:val="16"/>
              </w:rPr>
              <w:t>9=4+8</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1</w:t>
            </w: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Европейски фонд за стратегически инвестиции (ЕФСИ)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1 905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(1 123)</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782</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321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(136)</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185</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967</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Европейска спътникова навигация (EGNOS и „Галилео“)</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957</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(518)</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437</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1 312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(486)</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826</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1 263</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Международен термоядрен реактор (ITER)</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1 305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(580)</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725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396</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(59)</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337</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1 062</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Европейска програма за наблюдение на Земята („Коперник“)</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507</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(468)</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38</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663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(98)</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564</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602</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Европейски корпус за солидарност (ЕКС)</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(16)</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38</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(118)</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55</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93</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Европейска програма за промишлено развитие в областта на отбраната (EDIDP)</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(178)</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67</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255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255</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322</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Ядрена безопасност и извеждане от експлоатация на ядрени съоръжения</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583</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(114)</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469</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147</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144</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613</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„Хоризонт 2020“</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22 356</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(595)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(8 146)</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13 615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16 411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(5 061)</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11 345</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24 959</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Програма на Евратом за научни изследвания и обучение</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(122)</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166</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415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(222)</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192</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358</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Конкурентоспособност на предприятията и на МСП (COSME)</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993</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(456)</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514</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448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(66)</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382</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896</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Образование, обучение и спорт („Еразъм+“)</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997</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(446)</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488</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3 481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(2 623)</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858</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1 346</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Заетост и социални иновации (ЗиСИ)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230</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(86)</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125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164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(47)</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117</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243</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„Митници“, „Фискалис“ и „Борба с измамите“</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(104)</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63</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(49)</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96</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159</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МСЕ — Енергетика</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2 721</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(282)</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2 424</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1 282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(107)</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1 175</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3 599</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МСЕ — Транспорт</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5 556</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(1 191)</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4 270</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2 584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2 539</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6 809</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МСЕ — Информационни и комуникационни технологии (ИКТ)</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490</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(169)</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302</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216</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(77)</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139</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442</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Енергийни проекти за икономическо възстановяване (EERP)</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172</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94</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94</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(34)</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403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(360)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44</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410</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(177)</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203</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278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(73)</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206</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408</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133</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(60)</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69</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79</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147</w:t>
            </w:r>
          </w:p>
        </w:tc>
      </w:tr>
      <w:tr>
        <w:trPr>
          <w:trHeight w:val="56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Специфични правомощия на Комисията</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166</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(85)</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68</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138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(38)</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100</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168</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Регионално сближаване (по-слабо развити региони)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88 615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(678)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(29 709)</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58 227</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29 726</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(240)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29 486</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87 714</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Региони в преход</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19 984</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(4 637)</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15 322</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6 147</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(460)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5 687</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21 009</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Конкурентоспособност (по-развити региони)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27 824</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(8 579)</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19 133</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10 819</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(854)</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9 965</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29 098</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Най-отдалечени и слабо населени региони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618</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(304)</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313</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236</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221</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535</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Кохезионен фонд</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28 582</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(9 731)</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18 841</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8 404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(433)</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7 971</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26 812</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Европейско териториално сътрудничество</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5 142</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(1 666)</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3 475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2 012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2 008</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5 483</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Техническа помощ</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273</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(106)</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156</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282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172</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327</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Фонд за европейско подпомагане на най-нуждаещите се лица (FEAD)</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1 390</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(502)</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887</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579</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560</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1 446</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Инициатива за младежка заетост</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1 450</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(577)</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874</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252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(26)</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227</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1 101</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Механизъм за свързване на Европа (МСЕ)</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6 439</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(1 473)</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4 883</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1 784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(32)</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1 752</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6 635</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Общо функция 1 от МФР</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220 627</w:t>
            </w:r>
          </w:p>
        </w:tc>
        <w:tc>
          <w:tcPr>
            <w:tcW w:w="13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(1 875)</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(71 673)</w:t>
            </w:r>
          </w:p>
        </w:tc>
        <w:tc>
          <w:tcPr>
            <w:tcW w:w="121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147 079</w:t>
            </w:r>
          </w:p>
        </w:tc>
        <w:tc>
          <w:tcPr>
            <w:tcW w:w="108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89 563</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(11 868)</w:t>
            </w:r>
          </w:p>
        </w:tc>
        <w:tc>
          <w:tcPr>
            <w:tcW w:w="12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17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77 689</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224 769</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2</w:t>
            </w: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Европейски фонд за гарантиране на земеделието (ЕФГЗ)</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432</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(262)</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165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44 315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(44 193)</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122</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286</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Земеделски фонд за развитие на селските райони (ЕЗФРСР)</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35 108</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(14 154)</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20 935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14 709</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(455)</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14 253</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35 189</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Европейски фонд за морско дело и рибарство (ЕФМДР)</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3 441</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(851)</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2 516</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963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943</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3 459</w:t>
            </w:r>
          </w:p>
        </w:tc>
      </w:tr>
      <w:tr>
        <w:trPr>
          <w:trHeight w:val="62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Споразумения за партньорство в областта на устойчивото рибарство (СПОУР) и организации за управление на рибарството (РОУР)</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(130)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Околна среда и действия по климата (LIFE)</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1 841</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(403)</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1 417</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592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564</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1 981</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(72)</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Други дейности и мерки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31</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43</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Специфични дейности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Общо функция 2 от МФР</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40 876</w:t>
            </w:r>
          </w:p>
        </w:tc>
        <w:tc>
          <w:tcPr>
            <w:tcW w:w="13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(122)</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(15 695)</w:t>
            </w:r>
          </w:p>
        </w:tc>
        <w:tc>
          <w:tcPr>
            <w:tcW w:w="121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25 058</w:t>
            </w:r>
          </w:p>
        </w:tc>
        <w:tc>
          <w:tcPr>
            <w:tcW w:w="108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60 823</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(44 900)</w:t>
            </w:r>
          </w:p>
        </w:tc>
        <w:tc>
          <w:tcPr>
            <w:tcW w:w="12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15 923</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40 982</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3</w:t>
            </w: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Фонд „Убежище, миграция и интеграция“ (ФУМИ)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2 870</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(1 048)</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1 807</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1 404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1 314</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3 122</w:t>
            </w:r>
          </w:p>
        </w:tc>
      </w:tr>
      <w:tr>
        <w:trPr>
          <w:trHeight w:val="283"/>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„Потребители“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43</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39</w:t>
            </w:r>
          </w:p>
        </w:tc>
      </w:tr>
      <w:tr>
        <w:trPr>
          <w:trHeight w:val="283"/>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„Творческа Европа“</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256</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154</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263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(112)</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152</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306</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Спешна подкрепа в рамките на Съюза (IES)</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3 033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(2 565)</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469</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469</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Фонд „Вътрешна сигурност“</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1 711</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(458)</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1 248</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652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644</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1 891</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Информационни системи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Правосъдие</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87</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(27)</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48</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47</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(25)</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69</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Права, равенство и гражданство</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108</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(43)</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48</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(33)</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37</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86</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67</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525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(184)</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341</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386</w:t>
            </w:r>
          </w:p>
        </w:tc>
      </w:tr>
      <w:tr>
        <w:trPr>
          <w:trHeight w:val="283"/>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„Европа за гражданите“</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35</w:t>
            </w:r>
          </w:p>
        </w:tc>
      </w:tr>
      <w:tr>
        <w:trPr>
          <w:trHeight w:val="283"/>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Храни и фуражи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357</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(179)</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140</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249</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(55)</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194</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334</w:t>
            </w:r>
          </w:p>
        </w:tc>
      </w:tr>
      <w:tr>
        <w:trPr>
          <w:trHeight w:val="283"/>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Здравеопазване</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138</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(47)</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59</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144</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395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(205)</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190</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1 186</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(968)</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218</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408</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16</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23</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39</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Специфични дейности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86</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(63)</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106</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77</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96</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Общо функция 3 от МФР</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6 183</w:t>
            </w:r>
          </w:p>
        </w:tc>
        <w:tc>
          <w:tcPr>
            <w:tcW w:w="13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(119)</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(2 225)</w:t>
            </w:r>
          </w:p>
        </w:tc>
        <w:tc>
          <w:tcPr>
            <w:tcW w:w="121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3 839</w:t>
            </w:r>
          </w:p>
        </w:tc>
        <w:tc>
          <w:tcPr>
            <w:tcW w:w="108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7 702</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(4 108)</w:t>
            </w:r>
          </w:p>
        </w:tc>
        <w:tc>
          <w:tcPr>
            <w:tcW w:w="12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3 594</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7 433</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4</w:t>
            </w: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Предприсъединителна помощ (ИПП II)</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8 481</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(1 698)</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6 701</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1 780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(232)</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1 549</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8 249</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Макрофинансова помощ (МФП)</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Гаранционен фонд за външни дейности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240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(240)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87</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70</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78</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Инициатива „Доброволци на ЕС за хуманитарна помощ“ (EUAV)</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28</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Фонд за устойчиво развитие (ЕФУР)</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(104)</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Европейски инструмент за съседство (ЕИС)</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7 995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(196)</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(1 983)</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5 815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2 861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(666)</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2 195</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8 011</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Инструмент за сътрудничество за развитие (ИСР)</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9 203</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(155)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(2 591)</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6 457</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3 268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(452)</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2 816</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9 273</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Инструмент за партньорство (ИП)</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400</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(112)</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285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168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145</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430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Демокрация и права на човека (ЕИДПЧ)</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367</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(112)</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231</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176</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136</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368</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Стабилност и мир (IcSP)</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676</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(49)</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(237)</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391</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413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(146)</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267</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658</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Хуманитарна помощ</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1 205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(804)</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372</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2 097</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(1 115)</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982</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1 354</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Обща външна политика и политика на сигурност (ОВППС)</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238</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(107)</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64</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379</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(283)</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96</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160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Сътрудничество в областта на ядрената безопасност (INSC)</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102</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33</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32</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117</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171</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(27)</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(42)</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101</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228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(185)</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43</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145</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Специфични дейности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135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88</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88</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(23)</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65</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153</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Общо функция 4 от МФР</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29 154</w:t>
            </w:r>
          </w:p>
        </w:tc>
        <w:tc>
          <w:tcPr>
            <w:tcW w:w="13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(672)</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(7 862)</w:t>
            </w:r>
          </w:p>
        </w:tc>
        <w:tc>
          <w:tcPr>
            <w:tcW w:w="121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20 620</w:t>
            </w:r>
          </w:p>
        </w:tc>
        <w:tc>
          <w:tcPr>
            <w:tcW w:w="108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11 950</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(3 550)</w:t>
            </w:r>
          </w:p>
        </w:tc>
        <w:tc>
          <w:tcPr>
            <w:tcW w:w="12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7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8 400</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29 020</w:t>
            </w:r>
          </w:p>
        </w:tc>
      </w:tr>
      <w:tr>
        <w:trPr>
          <w:trHeight w:val="283"/>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5</w:t>
            </w: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Пенсии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2 096</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(2 096)</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283"/>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Европейски училища</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197</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(196)</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283"/>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51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Административни разходи на Комисията</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335</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(313)</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3 937</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(3 577)</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360</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360</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Административни разходи на другите институции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511</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(440)</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4 319</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(3 694)</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0</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625</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627</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Общо функция 5 от МФР</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854</w:t>
            </w:r>
          </w:p>
        </w:tc>
        <w:tc>
          <w:tcPr>
            <w:tcW w:w="13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(92)</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(757)</w:t>
            </w:r>
          </w:p>
        </w:tc>
        <w:tc>
          <w:tcPr>
            <w:tcW w:w="121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08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10 548</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(9 563)</w:t>
            </w:r>
          </w:p>
        </w:tc>
        <w:tc>
          <w:tcPr>
            <w:tcW w:w="12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7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985</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990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6</w:t>
            </w: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Компенсации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Общо функция 6 от МФР</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8</w:t>
            </w: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Отрицателен резерв</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Пренесен дефицит</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Общо функция 8 от МФР</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9</w:t>
            </w: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Резерв за спешна помощ (РСП)</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454"/>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Европейски фонд за приспособяване към глобализацията (ЕФПГ)</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97"/>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Фонд „Солидарност“ на Европейския съюз (ФСЕС)</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1 106</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(1 106)</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Общо функция 9 от МФР</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1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1 108</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(1 108)</w:t>
            </w:r>
          </w:p>
        </w:tc>
        <w:tc>
          <w:tcPr>
            <w:tcW w:w="12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O</w:t>
            </w:r>
          </w:p>
        </w:tc>
        <w:tc>
          <w:tcPr>
            <w:tcW w:w="387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Фонд за иновации (ФИ)</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970"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89"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p>
        </w:tc>
        <w:tc>
          <w:tcPr>
            <w:tcW w:w="3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noProof/>
                <w:color w:val="000000"/>
                <w:sz w:val="16"/>
              </w:rPr>
            </w:pPr>
            <w:r>
              <w:rPr>
                <w:rFonts w:ascii="Verdana" w:hAnsi="Verdana"/>
                <w:noProof/>
                <w:color w:val="000000"/>
                <w:sz w:val="16"/>
              </w:rPr>
              <w:t>Общо функция O от МФР</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1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8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7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340"/>
        </w:trPr>
        <w:tc>
          <w:tcPr>
            <w:tcW w:w="236"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b/>
                <w:noProof/>
                <w:color w:val="000000"/>
                <w:sz w:val="16"/>
              </w:rPr>
            </w:pPr>
          </w:p>
        </w:tc>
        <w:tc>
          <w:tcPr>
            <w:tcW w:w="387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rPr>
                <w:rFonts w:ascii="Verdana" w:eastAsia="Verdana" w:hAnsi="Verdana" w:cs="Verdana"/>
                <w:b/>
                <w:noProof/>
                <w:color w:val="000000"/>
                <w:sz w:val="16"/>
              </w:rPr>
            </w:pPr>
            <w:r>
              <w:rPr>
                <w:rFonts w:ascii="Verdana" w:hAnsi="Verdana"/>
                <w:b/>
                <w:noProof/>
                <w:color w:val="000000"/>
                <w:sz w:val="16"/>
              </w:rPr>
              <w:t>Общо</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b/>
                <w:noProof/>
                <w:color w:val="000000"/>
                <w:sz w:val="16"/>
              </w:rPr>
            </w:pPr>
            <w:r>
              <w:rPr>
                <w:rFonts w:ascii="Verdana" w:hAnsi="Verdana"/>
                <w:b/>
                <w:noProof/>
                <w:color w:val="000000"/>
                <w:sz w:val="16"/>
              </w:rPr>
              <w:t>297 695</w:t>
            </w:r>
          </w:p>
        </w:tc>
        <w:tc>
          <w:tcPr>
            <w:tcW w:w="135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b/>
                <w:noProof/>
                <w:color w:val="000000"/>
                <w:sz w:val="16"/>
              </w:rPr>
            </w:pPr>
            <w:r>
              <w:rPr>
                <w:rFonts w:ascii="Verdana" w:hAnsi="Verdana"/>
                <w:b/>
                <w:noProof/>
                <w:color w:val="000000"/>
                <w:sz w:val="16"/>
              </w:rPr>
              <w:t>(2 881)</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b/>
                <w:noProof/>
                <w:color w:val="000000"/>
                <w:sz w:val="16"/>
              </w:rPr>
            </w:pPr>
            <w:r>
              <w:rPr>
                <w:rFonts w:ascii="Verdana" w:hAnsi="Verdana"/>
                <w:b/>
                <w:noProof/>
                <w:color w:val="000000"/>
                <w:sz w:val="16"/>
              </w:rPr>
              <w:t>(98 213)</w:t>
            </w:r>
          </w:p>
        </w:tc>
        <w:tc>
          <w:tcPr>
            <w:tcW w:w="121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b/>
                <w:noProof/>
                <w:color w:val="000000"/>
                <w:sz w:val="16"/>
              </w:rPr>
            </w:pPr>
            <w:r>
              <w:rPr>
                <w:rFonts w:ascii="Verdana" w:hAnsi="Verdana"/>
                <w:b/>
                <w:noProof/>
                <w:color w:val="000000"/>
                <w:sz w:val="16"/>
              </w:rPr>
              <w:t>196 601</w:t>
            </w:r>
          </w:p>
        </w:tc>
        <w:tc>
          <w:tcPr>
            <w:tcW w:w="108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b/>
                <w:noProof/>
                <w:color w:val="000000"/>
                <w:sz w:val="16"/>
              </w:rPr>
            </w:pPr>
            <w:r>
              <w:rPr>
                <w:rFonts w:ascii="Verdana" w:hAnsi="Verdana"/>
                <w:b/>
                <w:noProof/>
                <w:color w:val="000000"/>
                <w:sz w:val="16"/>
              </w:rPr>
              <w:t>181 699</w:t>
            </w:r>
          </w:p>
        </w:tc>
        <w:tc>
          <w:tcPr>
            <w:tcW w:w="970"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b/>
                <w:noProof/>
                <w:color w:val="000000"/>
                <w:sz w:val="16"/>
              </w:rPr>
            </w:pPr>
            <w:r>
              <w:rPr>
                <w:rFonts w:ascii="Verdana" w:hAnsi="Verdana"/>
                <w:b/>
                <w:noProof/>
                <w:color w:val="000000"/>
                <w:sz w:val="16"/>
              </w:rPr>
              <w:t>(75 096)</w:t>
            </w:r>
          </w:p>
        </w:tc>
        <w:tc>
          <w:tcPr>
            <w:tcW w:w="12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b/>
                <w:noProof/>
                <w:color w:val="000000"/>
                <w:sz w:val="16"/>
              </w:rPr>
            </w:pPr>
            <w:r>
              <w:rPr>
                <w:rFonts w:ascii="Verdana" w:hAnsi="Verdana"/>
                <w:b/>
                <w:noProof/>
                <w:color w:val="000000"/>
                <w:sz w:val="16"/>
              </w:rPr>
              <w:t xml:space="preserve"> (7)</w:t>
            </w:r>
          </w:p>
        </w:tc>
        <w:tc>
          <w:tcPr>
            <w:tcW w:w="117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b/>
                <w:noProof/>
                <w:color w:val="000000"/>
                <w:sz w:val="16"/>
              </w:rPr>
            </w:pPr>
            <w:r>
              <w:rPr>
                <w:rFonts w:ascii="Verdana" w:hAnsi="Verdana"/>
                <w:b/>
                <w:noProof/>
                <w:color w:val="000000"/>
                <w:sz w:val="16"/>
              </w:rPr>
              <w:t>106 596</w:t>
            </w:r>
          </w:p>
        </w:tc>
        <w:tc>
          <w:tcPr>
            <w:tcW w:w="1289"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4Commitmentsoustanding"/>
              <w:jc w:val="right"/>
              <w:rPr>
                <w:rFonts w:ascii="Verdana" w:eastAsia="Verdana" w:hAnsi="Verdana" w:cs="Verdana"/>
                <w:b/>
                <w:noProof/>
                <w:color w:val="000000"/>
                <w:sz w:val="16"/>
              </w:rPr>
            </w:pPr>
            <w:r>
              <w:rPr>
                <w:rFonts w:ascii="Verdana" w:hAnsi="Verdana"/>
                <w:b/>
                <w:noProof/>
                <w:color w:val="000000"/>
                <w:sz w:val="16"/>
              </w:rPr>
              <w:t>303 197</w:t>
            </w:r>
          </w:p>
        </w:tc>
      </w:tr>
    </w:tbl>
    <w:p>
      <w:pPr>
        <w:pStyle w:val="HEADER2PartBUDG"/>
        <w:numPr>
          <w:ilvl w:val="1"/>
          <w:numId w:val="15"/>
        </w:numPr>
        <w:spacing w:before="0"/>
        <w:ind w:left="357" w:hanging="357"/>
        <w:rPr>
          <w:noProof/>
          <w:spacing w:val="-6"/>
        </w:rPr>
      </w:pPr>
      <w:r>
        <w:rPr>
          <w:noProof/>
        </w:rPr>
        <w:br w:type="page"/>
      </w:r>
      <w:r>
        <w:rPr>
          <w:noProof/>
          <w:spacing w:val="-6"/>
        </w:rPr>
        <w:t xml:space="preserve"> </w:t>
      </w:r>
      <w:bookmarkStart w:id="271" w:name="_Toc75518148"/>
      <w:r>
        <w:rPr>
          <w:noProof/>
          <w:spacing w:val="-6"/>
        </w:rPr>
        <w:t>ПОДРОБНА МФР: НЕИЗПЪЛНЕНИ ПОЕТИ ЗАДЪЛЖЕНИЯ ПО ГОДИНИ НА ВЪЗНИКВАНЕ</w:t>
      </w:r>
      <w:bookmarkEnd w:id="271"/>
    </w:p>
    <w:p>
      <w:pPr>
        <w:pStyle w:val="DGTextstand-alone"/>
        <w:spacing w:before="0" w:after="0"/>
      </w:pPr>
      <w: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4"/>
        <w:gridCol w:w="5245"/>
        <w:gridCol w:w="1011"/>
        <w:gridCol w:w="1011"/>
        <w:gridCol w:w="1012"/>
        <w:gridCol w:w="1011"/>
        <w:gridCol w:w="1012"/>
        <w:gridCol w:w="1011"/>
        <w:gridCol w:w="1012"/>
        <w:gridCol w:w="858"/>
        <w:gridCol w:w="1165"/>
      </w:tblGrid>
      <w:tr>
        <w:trPr>
          <w:trHeight w:val="284"/>
          <w:tblHeader/>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bookmarkStart w:id="272" w:name="DOC_TBL00117_1_1"/>
            <w:bookmarkEnd w:id="272"/>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84"/>
          <w:tblHeader/>
        </w:trPr>
        <w:tc>
          <w:tcPr>
            <w:tcW w:w="344"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5RALYoO"/>
              <w:jc w:val="center"/>
              <w:rPr>
                <w:rFonts w:ascii="Verdana" w:eastAsia="Verdana" w:hAnsi="Verdana" w:cs="Verdana"/>
                <w:noProof/>
                <w:color w:val="FFFFFF"/>
                <w:sz w:val="16"/>
              </w:rPr>
            </w:pPr>
          </w:p>
        </w:tc>
        <w:tc>
          <w:tcPr>
            <w:tcW w:w="5245"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5RALYoO"/>
              <w:jc w:val="center"/>
              <w:rPr>
                <w:rFonts w:ascii="Verdana" w:eastAsia="Verdana" w:hAnsi="Verdana" w:cs="Verdana"/>
                <w:noProof/>
                <w:color w:val="FFFFFF"/>
                <w:sz w:val="16"/>
              </w:rPr>
            </w:pPr>
            <w:r>
              <w:rPr>
                <w:rFonts w:ascii="Verdana" w:hAnsi="Verdana"/>
                <w:noProof/>
                <w:color w:val="FFFFFF"/>
                <w:sz w:val="16"/>
              </w:rPr>
              <w:t>Програма</w:t>
            </w:r>
          </w:p>
        </w:tc>
        <w:tc>
          <w:tcPr>
            <w:tcW w:w="101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5RALYoO"/>
              <w:jc w:val="center"/>
              <w:rPr>
                <w:rFonts w:ascii="Verdana" w:eastAsia="Verdana" w:hAnsi="Verdana" w:cs="Verdana"/>
                <w:noProof/>
                <w:color w:val="FFFFFF"/>
                <w:sz w:val="16"/>
              </w:rPr>
            </w:pPr>
            <w:r>
              <w:rPr>
                <w:rFonts w:ascii="Verdana" w:hAnsi="Verdana"/>
                <w:noProof/>
                <w:color w:val="FFFFFF"/>
                <w:sz w:val="16"/>
              </w:rPr>
              <w:t>&lt; 2014 г.</w:t>
            </w:r>
          </w:p>
        </w:tc>
        <w:tc>
          <w:tcPr>
            <w:tcW w:w="101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5RALYoO"/>
              <w:jc w:val="center"/>
              <w:rPr>
                <w:rFonts w:ascii="Verdana" w:eastAsia="Verdana" w:hAnsi="Verdana" w:cs="Verdana"/>
                <w:noProof/>
                <w:color w:val="FFFFFF"/>
                <w:sz w:val="16"/>
              </w:rPr>
            </w:pPr>
            <w:r>
              <w:rPr>
                <w:rFonts w:ascii="Verdana" w:hAnsi="Verdana"/>
                <w:noProof/>
                <w:color w:val="FFFFFF"/>
                <w:sz w:val="16"/>
              </w:rPr>
              <w:t>2014 г.</w:t>
            </w:r>
          </w:p>
        </w:tc>
        <w:tc>
          <w:tcPr>
            <w:tcW w:w="101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5RALYoO"/>
              <w:jc w:val="center"/>
              <w:rPr>
                <w:rFonts w:ascii="Verdana" w:eastAsia="Verdana" w:hAnsi="Verdana" w:cs="Verdana"/>
                <w:noProof/>
                <w:color w:val="FFFFFF"/>
                <w:sz w:val="16"/>
              </w:rPr>
            </w:pPr>
            <w:r>
              <w:rPr>
                <w:rFonts w:ascii="Verdana" w:hAnsi="Verdana"/>
                <w:noProof/>
                <w:color w:val="FFFFFF"/>
                <w:sz w:val="16"/>
              </w:rPr>
              <w:t>2015 г.</w:t>
            </w:r>
          </w:p>
        </w:tc>
        <w:tc>
          <w:tcPr>
            <w:tcW w:w="101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5RALYoO"/>
              <w:jc w:val="center"/>
              <w:rPr>
                <w:rFonts w:ascii="Verdana" w:eastAsia="Verdana" w:hAnsi="Verdana" w:cs="Verdana"/>
                <w:noProof/>
                <w:color w:val="FFFFFF"/>
                <w:sz w:val="16"/>
              </w:rPr>
            </w:pPr>
            <w:r>
              <w:rPr>
                <w:rFonts w:ascii="Verdana" w:hAnsi="Verdana"/>
                <w:noProof/>
                <w:color w:val="FFFFFF"/>
                <w:sz w:val="16"/>
              </w:rPr>
              <w:t>2016 г.</w:t>
            </w:r>
          </w:p>
        </w:tc>
        <w:tc>
          <w:tcPr>
            <w:tcW w:w="101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5RALYoO"/>
              <w:jc w:val="center"/>
              <w:rPr>
                <w:rFonts w:ascii="Verdana" w:eastAsia="Verdana" w:hAnsi="Verdana" w:cs="Verdana"/>
                <w:noProof/>
                <w:color w:val="FFFFFF"/>
                <w:sz w:val="16"/>
              </w:rPr>
            </w:pPr>
            <w:r>
              <w:rPr>
                <w:rFonts w:ascii="Verdana" w:hAnsi="Verdana"/>
                <w:noProof/>
                <w:color w:val="FFFFFF"/>
                <w:sz w:val="16"/>
              </w:rPr>
              <w:t>2017 г.</w:t>
            </w:r>
          </w:p>
        </w:tc>
        <w:tc>
          <w:tcPr>
            <w:tcW w:w="1011"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5RALYoO"/>
              <w:jc w:val="center"/>
              <w:rPr>
                <w:rFonts w:ascii="Verdana" w:eastAsia="Verdana" w:hAnsi="Verdana" w:cs="Verdana"/>
                <w:noProof/>
                <w:color w:val="FFFFFF"/>
                <w:sz w:val="16"/>
              </w:rPr>
            </w:pPr>
            <w:r>
              <w:rPr>
                <w:rFonts w:ascii="Verdana" w:hAnsi="Verdana"/>
                <w:noProof/>
                <w:color w:val="FFFFFF"/>
                <w:sz w:val="16"/>
              </w:rPr>
              <w:t>2018 г.</w:t>
            </w:r>
          </w:p>
        </w:tc>
        <w:tc>
          <w:tcPr>
            <w:tcW w:w="1012"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5RALYoO"/>
              <w:jc w:val="center"/>
              <w:rPr>
                <w:rFonts w:ascii="Verdana" w:eastAsia="Verdana" w:hAnsi="Verdana" w:cs="Verdana"/>
                <w:noProof/>
                <w:color w:val="FFFFFF"/>
                <w:sz w:val="16"/>
              </w:rPr>
            </w:pPr>
            <w:r>
              <w:rPr>
                <w:rFonts w:ascii="Verdana" w:hAnsi="Verdana"/>
                <w:noProof/>
                <w:color w:val="FFFFFF"/>
                <w:sz w:val="16"/>
              </w:rPr>
              <w:t>2019 г.</w:t>
            </w:r>
          </w:p>
        </w:tc>
        <w:tc>
          <w:tcPr>
            <w:tcW w:w="858"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5RALYoO"/>
              <w:jc w:val="center"/>
              <w:rPr>
                <w:rFonts w:ascii="Verdana" w:eastAsia="Verdana" w:hAnsi="Verdana" w:cs="Verdana"/>
                <w:noProof/>
                <w:color w:val="FFFFFF"/>
                <w:sz w:val="16"/>
              </w:rPr>
            </w:pPr>
            <w:r>
              <w:rPr>
                <w:rFonts w:ascii="Verdana" w:hAnsi="Verdana"/>
                <w:noProof/>
                <w:color w:val="FFFFFF"/>
                <w:sz w:val="16"/>
              </w:rPr>
              <w:t>2020 г.</w:t>
            </w:r>
          </w:p>
        </w:tc>
        <w:tc>
          <w:tcPr>
            <w:tcW w:w="1165" w:type="dxa"/>
            <w:tcBorders>
              <w:top w:val="nil"/>
              <w:left w:val="nil"/>
              <w:bottom w:val="nil"/>
              <w:right w:val="nil"/>
              <w:tl2br w:val="nil"/>
              <w:tr2bl w:val="nil"/>
            </w:tcBorders>
            <w:shd w:val="solid" w:color="016794" w:fill="FFFFFF"/>
            <w:tcMar>
              <w:left w:w="60" w:type="dxa"/>
              <w:right w:w="60" w:type="dxa"/>
            </w:tcMar>
            <w:vAlign w:val="center"/>
          </w:tcPr>
          <w:p>
            <w:pPr>
              <w:pStyle w:val="DMETW19857BIPDetailedMFF5RALYoO"/>
              <w:jc w:val="center"/>
              <w:rPr>
                <w:rFonts w:ascii="Verdana" w:eastAsia="Verdana" w:hAnsi="Verdana" w:cs="Verdana"/>
                <w:noProof/>
                <w:color w:val="FFFFFF"/>
                <w:sz w:val="16"/>
              </w:rPr>
            </w:pPr>
            <w:r>
              <w:rPr>
                <w:rFonts w:ascii="Verdana" w:hAnsi="Verdana"/>
                <w:noProof/>
                <w:color w:val="FFFFFF"/>
                <w:sz w:val="16"/>
              </w:rPr>
              <w:t>Общо</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1</w:t>
            </w: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Европейски фонд за стратегически инвестиции (ЕФСИ)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596</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179</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185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967</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Европейска спътникова навигация (EGNOS и „Галилео“)</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169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233</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826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1 263</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Международен термоядрен реактор (ITER)</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200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369</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337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1 062</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Европейска програма за наблюдение на Земята („Коперник“)</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564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602</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Европейски корпус за солидарност (ЕКС)</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93</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Европейска програма за промишлено развитие в областта на отбраната (EDIDP)</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67</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255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322</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Ядрена безопасност и извеждане от експлоатация на ядрени съоръжения</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107</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113</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613</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„Хоризонт 2020“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291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384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687</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1 077</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2 181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3 298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5 502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11 539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24 959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Програма на Евратом за научни изследвания и обучение</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17</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27</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46</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61</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192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358</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Конкурентоспособност на предприятията и на МСП (COSME)</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108</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382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896</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Образование, обучение и спорт („Еразъм+“)</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114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312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858</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1 346</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Заетост и социални иновации (ЗиСИ)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17</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74</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117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243</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„Митници“, „Фискалис“ и „Борба с измамите“</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17</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МСЕ — Енергетика</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123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112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125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495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590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978</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1 175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3 599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МСЕ — Транспорт</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276</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446</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1 160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2 344</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2 539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6 809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МСЕ — Информационни и комуникационни технологии (ИКТ)</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86</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179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442</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Енергийни проекти за икономическо възстановяване (EERP)</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94</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94</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50</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108</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206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408</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46</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147</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Специфични правомощия на Комисията</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16</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43</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168</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Регионално сближаване (по-слабо развити региони)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2 059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211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399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8 437</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19 123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27 905</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29 486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87 714</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Региони в преход</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375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3 089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5 478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6 282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5 687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21 009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Конкурентоспособност (по-развити региони)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209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190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2 768</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6 565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9 202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9 965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29 098</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Най-отдалечени и слабо населени региони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57</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166</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221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535</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Кохезионен фонд</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263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24</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2 252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5 511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10 640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7 971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26 812</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Европейско териториално сътрудничество</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97</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338</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1 172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1 868</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2 008</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5 483</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Техническа помощ</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36</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172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327</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Фонд за европейско подпомагане на най-нуждаещите се лица (FEAD)</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130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338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405</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560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1 446</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Инициатива за младежка заетост</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379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135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202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227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1 101</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Механизъм за свързване на Европа (МСЕ)</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156</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307</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805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948</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1 214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1 453</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1 752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6 635</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284"/>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Общо функция 1 от МФР</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3 347</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878</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1 741</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4 079</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21 655</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46 203</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68 942</w:t>
            </w:r>
          </w:p>
        </w:tc>
        <w:tc>
          <w:tcPr>
            <w:tcW w:w="8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77 924</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224 769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2</w:t>
            </w: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Европейски фонд за гарантиране на земеделието (ЕФГЗ)</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110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122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286</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Земеделски фонд за развитие на селските райони (ЕЗФРСР)</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198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1 149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1 064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1 709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6 163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10 652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14 253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35 189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Европейски фонд за морско дело и рибарство (ЕФМДР)</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479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942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1 028</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943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3 459</w:t>
            </w:r>
          </w:p>
        </w:tc>
      </w:tr>
      <w:tr>
        <w:trPr>
          <w:trHeight w:val="45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Споразумения за партньорство в областта на устойчивото рибарство (СПОУР) и организации за управление на рибарството (РОУР)</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21</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Околна среда и действия по климата (LIFE)</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135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139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189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474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340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574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1 981</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Други дейности и мерки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43</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Специфични дейности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Общо функция 2 от МФР</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120</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271</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1 286</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1 209</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2 388</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7 633</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12 142</w:t>
            </w:r>
          </w:p>
        </w:tc>
        <w:tc>
          <w:tcPr>
            <w:tcW w:w="8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15 934</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40 982</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3</w:t>
            </w: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Фонд „Убежище, миграция и интеграция“ (ФУМИ)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425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617</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607</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1 314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3 122</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„Потребители“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„Творческа Европа“</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106</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306</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Спешна подкрепа в рамките на Съюза (IES)</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469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469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Фонд „Вътрешна сигурност“</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148</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482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534</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644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1 891</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Информационни системи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Правосъдие</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Права, равенство и гражданство</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19</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86</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341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386</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„Европа за гражданите“</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35</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Храни и фуражи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37</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76</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194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334</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Здравеопазване</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35</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144</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184</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218</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408</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Специфични дейности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17</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96</w:t>
            </w:r>
          </w:p>
        </w:tc>
      </w:tr>
      <w:tr>
        <w:trPr>
          <w:trHeight w:val="284"/>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Общо функция 3 от МФР</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24</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34</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231</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637</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1 251</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1 652</w:t>
            </w:r>
          </w:p>
        </w:tc>
        <w:tc>
          <w:tcPr>
            <w:tcW w:w="8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3 594</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7 433</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4</w:t>
            </w: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Предприсъединителна помощ (ИПП II)</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429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380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821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1 046</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1 365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2 505</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1 549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8 249</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Макрофинансова помощ (МФП)</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Гаранционен фонд за външни дейности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78</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Инициатива „Доброволци на ЕС за хуманитарна помощ“ (EUAV)</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20</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Фонд за устойчиво развитие (ЕФУР)</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Европейски инструмент за съседство (ЕИС)</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562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198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305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609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849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1 488</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1 805</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2 195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8 011</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Инструмент за сътрудничество за развитие (ИСР)</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320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205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391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577</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1 225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1 485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2 229</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2 839</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9 273</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Инструмент за партньорство (ИП)</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108</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430</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Демокрация и права на човека (ЕИДПЧ)</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91</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136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368</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Стабилност и мир (IcSP)</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105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157</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267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658</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Хуманитарна помощ</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48</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73</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251</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982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1 354</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Обща външна политика и политика на сигурност (ОВППС)</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49</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96</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160</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Сътрудничество в областта на ядрената безопасност (INSC)</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26</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32</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117</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31</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43</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145</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5</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Специфични дейности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16</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45</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65</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153</w:t>
            </w:r>
          </w:p>
        </w:tc>
      </w:tr>
      <w:tr>
        <w:trPr>
          <w:trHeight w:val="284"/>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Общо функция 4 от МФР</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1 339</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607</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1 140</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2 122</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3 351</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4 733</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7 304</w:t>
            </w:r>
          </w:p>
        </w:tc>
        <w:tc>
          <w:tcPr>
            <w:tcW w:w="8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8 423</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29 020</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5</w:t>
            </w: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Пенсии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Европейски училища</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Административни разходи на Комисията</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360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360</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Административни разходи на другите институции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0</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0</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627</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627</w:t>
            </w:r>
          </w:p>
        </w:tc>
      </w:tr>
      <w:tr>
        <w:trPr>
          <w:trHeight w:val="284"/>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Общо функция 5 от МФР</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8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987</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990</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6</w:t>
            </w: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Компенсации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Общо функция 6 от МФР</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8</w:t>
            </w: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Отрицателен резерв</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Пренесен дефицит</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Общо функция 8 от МФР</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9</w:t>
            </w: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Резерв за спешна помощ (РСП)</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Европейски фонд за приспособяване към глобализацията (ЕФПГ)</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Фонд „Солидарност“ на Европейския съюз (ФСЕС)</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Общо функция 9 от МФР</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8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284"/>
        </w:trPr>
        <w:tc>
          <w:tcPr>
            <w:tcW w:w="344"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O</w:t>
            </w:r>
          </w:p>
        </w:tc>
        <w:tc>
          <w:tcPr>
            <w:tcW w:w="524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Фонд за иновации (ФИ)</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284"/>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p>
        </w:tc>
        <w:tc>
          <w:tcPr>
            <w:tcW w:w="524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noProof/>
                <w:color w:val="000000"/>
                <w:sz w:val="16"/>
              </w:rPr>
            </w:pPr>
            <w:r>
              <w:rPr>
                <w:rFonts w:ascii="Verdana" w:hAnsi="Verdana"/>
                <w:noProof/>
                <w:color w:val="000000"/>
                <w:sz w:val="16"/>
              </w:rPr>
              <w:t>Общо функция O от МФР</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w:t>
            </w:r>
          </w:p>
        </w:tc>
        <w:tc>
          <w:tcPr>
            <w:tcW w:w="8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284"/>
        </w:trPr>
        <w:tc>
          <w:tcPr>
            <w:tcW w:w="344"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b/>
                <w:noProof/>
                <w:color w:val="000000"/>
                <w:sz w:val="16"/>
              </w:rPr>
            </w:pPr>
          </w:p>
        </w:tc>
        <w:tc>
          <w:tcPr>
            <w:tcW w:w="524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rPr>
                <w:rFonts w:ascii="Verdana" w:eastAsia="Verdana" w:hAnsi="Verdana" w:cs="Verdana"/>
                <w:b/>
                <w:noProof/>
                <w:color w:val="000000"/>
                <w:sz w:val="16"/>
              </w:rPr>
            </w:pPr>
            <w:r>
              <w:rPr>
                <w:rFonts w:ascii="Verdana" w:hAnsi="Verdana"/>
                <w:b/>
                <w:noProof/>
                <w:color w:val="000000"/>
                <w:sz w:val="16"/>
              </w:rPr>
              <w:t>Общо</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b/>
                <w:noProof/>
                <w:color w:val="000000"/>
                <w:sz w:val="16"/>
              </w:rPr>
            </w:pPr>
            <w:r>
              <w:rPr>
                <w:rFonts w:ascii="Verdana" w:hAnsi="Verdana"/>
                <w:b/>
                <w:noProof/>
                <w:color w:val="000000"/>
                <w:sz w:val="16"/>
              </w:rPr>
              <w:t>4 830</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b/>
                <w:noProof/>
                <w:color w:val="000000"/>
                <w:sz w:val="16"/>
              </w:rPr>
            </w:pPr>
            <w:r>
              <w:rPr>
                <w:rFonts w:ascii="Verdana" w:hAnsi="Verdana"/>
                <w:b/>
                <w:noProof/>
                <w:color w:val="000000"/>
                <w:sz w:val="16"/>
              </w:rPr>
              <w:t>1 765</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b/>
                <w:noProof/>
                <w:color w:val="000000"/>
                <w:sz w:val="16"/>
              </w:rPr>
            </w:pPr>
            <w:r>
              <w:rPr>
                <w:rFonts w:ascii="Verdana" w:hAnsi="Verdana"/>
                <w:b/>
                <w:noProof/>
                <w:color w:val="000000"/>
                <w:sz w:val="16"/>
              </w:rPr>
              <w:t>4 201</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b/>
                <w:noProof/>
                <w:color w:val="000000"/>
                <w:sz w:val="16"/>
              </w:rPr>
            </w:pPr>
            <w:r>
              <w:rPr>
                <w:rFonts w:ascii="Verdana" w:hAnsi="Verdana"/>
                <w:b/>
                <w:noProof/>
                <w:color w:val="000000"/>
                <w:sz w:val="16"/>
              </w:rPr>
              <w:t>7 640</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b/>
                <w:noProof/>
                <w:color w:val="000000"/>
                <w:sz w:val="16"/>
              </w:rPr>
            </w:pPr>
            <w:r>
              <w:rPr>
                <w:rFonts w:ascii="Verdana" w:hAnsi="Verdana"/>
                <w:b/>
                <w:noProof/>
                <w:color w:val="000000"/>
                <w:sz w:val="16"/>
              </w:rPr>
              <w:t>28 030</w:t>
            </w:r>
          </w:p>
        </w:tc>
        <w:tc>
          <w:tcPr>
            <w:tcW w:w="1011"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b/>
                <w:noProof/>
                <w:color w:val="000000"/>
                <w:sz w:val="16"/>
              </w:rPr>
            </w:pPr>
            <w:r>
              <w:rPr>
                <w:rFonts w:ascii="Verdana" w:hAnsi="Verdana"/>
                <w:b/>
                <w:noProof/>
                <w:color w:val="000000"/>
                <w:sz w:val="16"/>
              </w:rPr>
              <w:t>59 820</w:t>
            </w:r>
          </w:p>
        </w:tc>
        <w:tc>
          <w:tcPr>
            <w:tcW w:w="1012"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b/>
                <w:noProof/>
                <w:color w:val="000000"/>
                <w:sz w:val="16"/>
              </w:rPr>
            </w:pPr>
            <w:r>
              <w:rPr>
                <w:rFonts w:ascii="Verdana" w:hAnsi="Verdana"/>
                <w:b/>
                <w:noProof/>
                <w:color w:val="000000"/>
                <w:sz w:val="16"/>
              </w:rPr>
              <w:t>90 044</w:t>
            </w:r>
          </w:p>
        </w:tc>
        <w:tc>
          <w:tcPr>
            <w:tcW w:w="858"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b/>
                <w:noProof/>
                <w:color w:val="000000"/>
                <w:sz w:val="16"/>
              </w:rPr>
            </w:pPr>
            <w:r>
              <w:rPr>
                <w:rFonts w:ascii="Verdana" w:hAnsi="Verdana"/>
                <w:b/>
                <w:noProof/>
                <w:color w:val="000000"/>
                <w:sz w:val="16"/>
              </w:rPr>
              <w:t>106 867</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57BIPDetailedMFF5RALYoO"/>
              <w:jc w:val="right"/>
              <w:rPr>
                <w:rFonts w:ascii="Verdana" w:eastAsia="Verdana" w:hAnsi="Verdana" w:cs="Verdana"/>
                <w:b/>
                <w:noProof/>
                <w:color w:val="000000"/>
                <w:sz w:val="16"/>
              </w:rPr>
            </w:pPr>
            <w:r>
              <w:rPr>
                <w:rFonts w:ascii="Verdana" w:hAnsi="Verdana"/>
                <w:b/>
                <w:noProof/>
                <w:color w:val="000000"/>
                <w:sz w:val="16"/>
              </w:rPr>
              <w:t>303 197</w:t>
            </w:r>
          </w:p>
        </w:tc>
      </w:tr>
    </w:tbl>
    <w:p>
      <w:pPr>
        <w:pStyle w:val="DGTextstand-alone"/>
        <w:spacing w:before="0" w:after="0"/>
        <w:rPr>
          <w:lang w:bidi="en-GB"/>
        </w:rPr>
      </w:pPr>
    </w:p>
    <w:p>
      <w:pPr>
        <w:pStyle w:val="Textstand-alone"/>
        <w:rPr>
          <w:lang w:bidi="en-GB"/>
        </w:rPr>
      </w:pPr>
    </w:p>
    <w:p>
      <w:pPr>
        <w:pStyle w:val="Textstand-alone"/>
        <w:rPr>
          <w:lang w:bidi="en-GB"/>
        </w:rPr>
      </w:pPr>
    </w:p>
    <w:p>
      <w:pPr>
        <w:pStyle w:val="Textstand-alone"/>
        <w:rPr>
          <w:lang w:bidi="en-GB"/>
        </w:rPr>
      </w:pPr>
    </w:p>
    <w:p>
      <w:pPr>
        <w:pStyle w:val="Textstand-alone"/>
        <w:rPr>
          <w:lang w:bidi="en-GB"/>
        </w:rPr>
      </w:pPr>
    </w:p>
    <w:p>
      <w:pPr>
        <w:pStyle w:val="Textstand-alone"/>
        <w:rPr>
          <w:lang w:bidi="en-GB"/>
        </w:rPr>
      </w:pPr>
    </w:p>
    <w:p>
      <w:pPr>
        <w:pStyle w:val="Textstand-alone"/>
        <w:rPr>
          <w:lang w:bidi="en-GB"/>
        </w:rPr>
      </w:pPr>
    </w:p>
    <w:p>
      <w:pPr>
        <w:pStyle w:val="Textstand-alone"/>
        <w:rPr>
          <w:lang w:bidi="en-GB"/>
        </w:rPr>
      </w:pPr>
    </w:p>
    <w:p>
      <w:pPr>
        <w:pStyle w:val="Textstand-alone"/>
        <w:rPr>
          <w:lang w:bidi="en-GB"/>
        </w:rPr>
      </w:pPr>
    </w:p>
    <w:p>
      <w:pPr>
        <w:pStyle w:val="Textstand-alone"/>
        <w:rPr>
          <w:lang w:bidi="en-GB"/>
        </w:rPr>
      </w:pPr>
    </w:p>
    <w:p>
      <w:pPr>
        <w:pStyle w:val="Textstand-alone"/>
        <w:rPr>
          <w:lang w:bidi="en-GB"/>
        </w:rPr>
      </w:pPr>
    </w:p>
    <w:p>
      <w:pPr>
        <w:pStyle w:val="Textstand-alone"/>
        <w:spacing w:after="0"/>
        <w:jc w:val="left"/>
        <w:rPr>
          <w:rFonts w:cs="Calibri"/>
          <w:sz w:val="16"/>
          <w:szCs w:val="20"/>
        </w:rPr>
      </w:pPr>
      <w:r>
        <w:rPr>
          <w:sz w:val="16"/>
          <w:szCs w:val="20"/>
        </w:rPr>
        <w:t>Новата Комисия извърши вътрешна реорганизация на службите. Преразпределението на съответните операции доведе до прехвърляне на неизпълнени поети задължения от една година в друга. Общият размер на неизпълнените поети задължения остава непроменен.</w:t>
      </w:r>
    </w:p>
    <w:p>
      <w:pPr>
        <w:pStyle w:val="HEADER2PartBUDG"/>
        <w:numPr>
          <w:ilvl w:val="1"/>
          <w:numId w:val="15"/>
        </w:numPr>
        <w:spacing w:before="0"/>
        <w:ind w:left="357" w:hanging="357"/>
        <w:rPr>
          <w:noProof/>
        </w:rPr>
      </w:pPr>
      <w:r>
        <w:rPr>
          <w:noProof/>
        </w:rPr>
        <w:br w:type="page"/>
      </w:r>
      <w:bookmarkStart w:id="273" w:name="_Toc75518149"/>
      <w:r>
        <w:rPr>
          <w:noProof/>
        </w:rPr>
        <w:t>ПОДРОБНА МФР: НЕИЗПЪЛНЕНИ ПОЕТИ ЗАДЪЛЖЕНИЯ ПО ВИДОВЕ БЮДЖЕТНИ КРЕДИТИ</w:t>
      </w:r>
      <w:bookmarkEnd w:id="273"/>
    </w:p>
    <w:tbl>
      <w:tblPr>
        <w:tblW w:w="499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4"/>
        <w:gridCol w:w="2665"/>
        <w:gridCol w:w="1124"/>
        <w:gridCol w:w="983"/>
        <w:gridCol w:w="1032"/>
        <w:gridCol w:w="983"/>
        <w:gridCol w:w="1124"/>
        <w:gridCol w:w="1124"/>
        <w:gridCol w:w="983"/>
        <w:gridCol w:w="1032"/>
        <w:gridCol w:w="983"/>
        <w:gridCol w:w="1124"/>
        <w:gridCol w:w="1292"/>
      </w:tblGrid>
      <w:tr>
        <w:trPr>
          <w:cantSplit/>
          <w:trHeight w:val="340"/>
          <w:tblHeader/>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bookmarkStart w:id="274" w:name="DOC_TBL00118_1_1"/>
            <w:bookmarkEnd w:id="274"/>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340"/>
          <w:tblHeader/>
        </w:trPr>
        <w:tc>
          <w:tcPr>
            <w:tcW w:w="235"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p>
        </w:tc>
        <w:tc>
          <w:tcPr>
            <w:tcW w:w="2665"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p>
        </w:tc>
        <w:tc>
          <w:tcPr>
            <w:tcW w:w="1124"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b/>
                <w:noProof/>
                <w:color w:val="FFFFFF"/>
                <w:sz w:val="16"/>
              </w:rPr>
            </w:pPr>
            <w:r>
              <w:rPr>
                <w:rFonts w:ascii="Verdana" w:hAnsi="Verdana"/>
                <w:b/>
                <w:noProof/>
                <w:color w:val="FFFFFF"/>
                <w:sz w:val="16"/>
              </w:rPr>
              <w:t>От бюджетни кредити</w:t>
            </w:r>
          </w:p>
        </w:tc>
        <w:tc>
          <w:tcPr>
            <w:tcW w:w="1124"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b/>
                <w:noProof/>
                <w:color w:val="FFFFFF"/>
                <w:sz w:val="16"/>
              </w:rPr>
            </w:pPr>
            <w:r>
              <w:rPr>
                <w:rFonts w:ascii="Verdana" w:hAnsi="Verdana"/>
                <w:b/>
                <w:noProof/>
                <w:color w:val="FFFFFF"/>
                <w:sz w:val="16"/>
              </w:rPr>
              <w:t>От бюджетни кредити от целеви приходи</w:t>
            </w:r>
          </w:p>
        </w:tc>
        <w:tc>
          <w:tcPr>
            <w:tcW w:w="1292"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b/>
                <w:noProof/>
                <w:color w:val="FFFFFF"/>
                <w:sz w:val="16"/>
              </w:rPr>
            </w:pPr>
            <w:r>
              <w:rPr>
                <w:rFonts w:ascii="Verdana" w:hAnsi="Verdana"/>
                <w:b/>
                <w:noProof/>
                <w:color w:val="FFFFFF"/>
                <w:sz w:val="16"/>
              </w:rPr>
              <w:t>Общо неизпълнени поети задължения към края на 2020 г.</w:t>
            </w:r>
          </w:p>
        </w:tc>
      </w:tr>
      <w:tr>
        <w:trPr>
          <w:cantSplit/>
          <w:trHeight w:val="340"/>
          <w:tblHeader/>
        </w:trPr>
        <w:tc>
          <w:tcPr>
            <w:tcW w:w="235"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p>
        </w:tc>
        <w:tc>
          <w:tcPr>
            <w:tcW w:w="2665"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Функция</w:t>
            </w:r>
          </w:p>
        </w:tc>
        <w:tc>
          <w:tcPr>
            <w:tcW w:w="1124"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Поети задължения, пренесени от 2019 г.</w:t>
            </w:r>
          </w:p>
        </w:tc>
        <w:tc>
          <w:tcPr>
            <w:tcW w:w="983"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Корекции</w:t>
            </w:r>
          </w:p>
          <w:p>
            <w:pPr>
              <w:pStyle w:val="DMETW19857BIPRALbyTypebyProgramme"/>
              <w:jc w:val="center"/>
              <w:rPr>
                <w:rFonts w:ascii="Verdana" w:eastAsia="Verdana" w:hAnsi="Verdana" w:cs="Verdana"/>
                <w:noProof/>
                <w:color w:val="FFFFFF"/>
                <w:sz w:val="16"/>
              </w:rPr>
            </w:pPr>
          </w:p>
        </w:tc>
        <w:tc>
          <w:tcPr>
            <w:tcW w:w="1032"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Поети задължения</w:t>
            </w:r>
          </w:p>
        </w:tc>
        <w:tc>
          <w:tcPr>
            <w:tcW w:w="983"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Извършени плащания</w:t>
            </w:r>
          </w:p>
        </w:tc>
        <w:tc>
          <w:tcPr>
            <w:tcW w:w="1124"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Оставаща за плащане сума</w:t>
            </w:r>
          </w:p>
        </w:tc>
        <w:tc>
          <w:tcPr>
            <w:tcW w:w="1124"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Поети задължения, пренесени от 2019 г.</w:t>
            </w:r>
          </w:p>
        </w:tc>
        <w:tc>
          <w:tcPr>
            <w:tcW w:w="983"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Корекции</w:t>
            </w:r>
          </w:p>
          <w:p>
            <w:pPr>
              <w:pStyle w:val="DMETW19857BIPRALbyTypebyProgramme"/>
              <w:jc w:val="center"/>
              <w:rPr>
                <w:rFonts w:ascii="Verdana" w:eastAsia="Verdana" w:hAnsi="Verdana" w:cs="Verdana"/>
                <w:noProof/>
                <w:color w:val="FFFFFF"/>
                <w:sz w:val="16"/>
              </w:rPr>
            </w:pPr>
          </w:p>
        </w:tc>
        <w:tc>
          <w:tcPr>
            <w:tcW w:w="1032"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Поети задължения</w:t>
            </w:r>
          </w:p>
        </w:tc>
        <w:tc>
          <w:tcPr>
            <w:tcW w:w="983"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Извършени плащания</w:t>
            </w:r>
          </w:p>
        </w:tc>
        <w:tc>
          <w:tcPr>
            <w:tcW w:w="1124" w:type="dxa"/>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Оставаща за плащане сума</w:t>
            </w:r>
          </w:p>
        </w:tc>
        <w:tc>
          <w:tcPr>
            <w:tcW w:w="1485" w:type="dxa"/>
            <w:vMerge/>
            <w:tcBorders>
              <w:top w:val="nil"/>
              <w:left w:val="nil"/>
              <w:bottom w:val="nil"/>
              <w:right w:val="nil"/>
              <w:tl2br w:val="nil"/>
              <w:tr2bl w:val="nil"/>
            </w:tcBorders>
            <w:shd w:val="solid" w:color="016794" w:fill="FFFFFF"/>
            <w:tcMar>
              <w:left w:w="60" w:type="dxa"/>
              <w:right w:w="60" w:type="dxa"/>
            </w:tcMar>
            <w:vAlign w:val="center"/>
          </w:tcPr>
          <w:p>
            <w:pPr>
              <w:pStyle w:val="DMETW19857BIPRALbyTypebyProgramme"/>
              <w:jc w:val="center"/>
              <w:rPr>
                <w:rFonts w:ascii="Verdana" w:eastAsia="Verdana" w:hAnsi="Verdana" w:cs="Verdana"/>
                <w:b/>
                <w:noProof/>
                <w:color w:val="FFFFFF"/>
                <w:sz w:val="16"/>
              </w:rPr>
            </w:pPr>
          </w:p>
        </w:tc>
      </w:tr>
      <w:tr>
        <w:trPr>
          <w:cantSplit/>
          <w:trHeight w:val="340"/>
          <w:tblHeader/>
        </w:trPr>
        <w:tc>
          <w:tcPr>
            <w:tcW w:w="235"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p>
        </w:tc>
        <w:tc>
          <w:tcPr>
            <w:tcW w:w="2665"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p>
        </w:tc>
        <w:tc>
          <w:tcPr>
            <w:tcW w:w="1124"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1</w:t>
            </w:r>
          </w:p>
        </w:tc>
        <w:tc>
          <w:tcPr>
            <w:tcW w:w="983"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2</w:t>
            </w:r>
          </w:p>
        </w:tc>
        <w:tc>
          <w:tcPr>
            <w:tcW w:w="1032"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3</w:t>
            </w:r>
          </w:p>
        </w:tc>
        <w:tc>
          <w:tcPr>
            <w:tcW w:w="983"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4</w:t>
            </w:r>
          </w:p>
        </w:tc>
        <w:tc>
          <w:tcPr>
            <w:tcW w:w="1124"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5=1+2+3-4</w:t>
            </w:r>
          </w:p>
        </w:tc>
        <w:tc>
          <w:tcPr>
            <w:tcW w:w="1124"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6</w:t>
            </w:r>
          </w:p>
        </w:tc>
        <w:tc>
          <w:tcPr>
            <w:tcW w:w="983"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7</w:t>
            </w:r>
          </w:p>
        </w:tc>
        <w:tc>
          <w:tcPr>
            <w:tcW w:w="1032"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8</w:t>
            </w:r>
          </w:p>
        </w:tc>
        <w:tc>
          <w:tcPr>
            <w:tcW w:w="983"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9</w:t>
            </w:r>
          </w:p>
        </w:tc>
        <w:tc>
          <w:tcPr>
            <w:tcW w:w="1124"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10=6+7+8-9</w:t>
            </w:r>
          </w:p>
        </w:tc>
        <w:tc>
          <w:tcPr>
            <w:tcW w:w="1292" w:type="dxa"/>
            <w:tcBorders>
              <w:top w:val="nil"/>
              <w:left w:val="nil"/>
              <w:bottom w:val="nil"/>
              <w:right w:val="nil"/>
              <w:tl2br w:val="nil"/>
              <w:tr2bl w:val="nil"/>
            </w:tcBorders>
            <w:shd w:val="solid" w:color="3487A9" w:fill="FFFFFF"/>
            <w:tcMar>
              <w:left w:w="60" w:type="dxa"/>
              <w:right w:w="60" w:type="dxa"/>
            </w:tcMar>
            <w:vAlign w:val="center"/>
          </w:tcPr>
          <w:p>
            <w:pPr>
              <w:pStyle w:val="DMETW19857BIPRALbyTypebyProgramme"/>
              <w:jc w:val="center"/>
              <w:rPr>
                <w:rFonts w:ascii="Verdana" w:eastAsia="Verdana" w:hAnsi="Verdana" w:cs="Verdana"/>
                <w:noProof/>
                <w:color w:val="FFFFFF"/>
                <w:sz w:val="16"/>
              </w:rPr>
            </w:pPr>
            <w:r>
              <w:rPr>
                <w:rFonts w:ascii="Verdana" w:hAnsi="Verdana"/>
                <w:noProof/>
                <w:color w:val="FFFFFF"/>
                <w:sz w:val="16"/>
              </w:rPr>
              <w:t>11=5+10</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1</w:t>
            </w: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Европейски фонд за стратегически инвестиции (ЕФСИ)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1 877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1 103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947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156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967</w:t>
            </w:r>
          </w:p>
        </w:tc>
      </w:tr>
      <w:tr>
        <w:trPr>
          <w:cantSplit/>
          <w:trHeight w:val="51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Европейска спътникова навигация (EGNOS и „Галилео“)</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793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1 207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977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1 023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240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1 263</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Международен термоядрен реактор (ITER)</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1 289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367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638</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1 017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45</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1 062</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Европейска програма за наблюдение на Земята („Коперник“)</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507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647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566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587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15</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602</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Европейски корпус за солидарност (ЕКС)</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128</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88</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93</w:t>
            </w:r>
          </w:p>
        </w:tc>
      </w:tr>
      <w:tr>
        <w:trPr>
          <w:cantSplit/>
          <w:trHeight w:val="68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Европейска програма за промишлено развитие в областта на отбраната (EDIDP)</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245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255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178</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322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322</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Ядрена безопасност и извеждане от експлоатация на ядрени съоръжения</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583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613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613</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„Хоризонт 2020“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20 078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(429)</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13 485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11 815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21 319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2 278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2 925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1 392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3 641</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24 959</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Програма на Евратом за научни изследвания и обучение</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245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389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331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296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62</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358</w:t>
            </w:r>
          </w:p>
        </w:tc>
      </w:tr>
      <w:tr>
        <w:trPr>
          <w:cantSplit/>
          <w:trHeight w:val="51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Конкурентоспособност на предприятията и на МСП (COSME)</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900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(23)</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418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482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812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84</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896</w:t>
            </w:r>
          </w:p>
        </w:tc>
      </w:tr>
      <w:tr>
        <w:trPr>
          <w:cantSplit/>
          <w:trHeight w:val="39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Образование, обучение и спорт („Еразъм+“)</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817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(32)</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2 885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2 679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990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180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595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389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356</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1 346</w:t>
            </w:r>
          </w:p>
        </w:tc>
      </w:tr>
      <w:tr>
        <w:trPr>
          <w:cantSplit/>
          <w:trHeight w:val="51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Заетост и социални иновации (ЗиСИ)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202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44</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243</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„Митници“, „Фискалис“ и „Борба с измамите“</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159</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МСЕ — Енергетика</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2 674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1 281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390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3 551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48</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3 599</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МСЕ — Транспорт</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5 374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2 580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1 188</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6 675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182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133</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6 809</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МСЕ — Информационни и комуникационни технологии (ИКТ)</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483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210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243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434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442</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Енергийни проекти за икономическо възстановяване (EERP)</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(48)</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94</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385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377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50</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283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287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127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78</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121</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408</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147</w:t>
            </w:r>
          </w:p>
        </w:tc>
      </w:tr>
      <w:tr>
        <w:trPr>
          <w:cantSplit/>
          <w:trHeight w:val="51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Специфични правомощия на Комисията</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168</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Регионално сближаване (по-слабо развити региони)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77 658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(669)</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29 147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29 912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76 224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10 957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579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11 489</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87 714</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Региони в преход</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17 678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(25)</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6 097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5 091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18 659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2 306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2 350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21 009</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Конкурентоспособност (по-развити региони)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24 372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(112)</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10 623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9 420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25 463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3 452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3 635</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29 098</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Най-отдалечени и слабо населени региони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540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236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319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457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78</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535</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Кохезионен фонд</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24 375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8 239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9 963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22 642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4 207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202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4 170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26 812</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Европейско териториално сътрудничество</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4 506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2 012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1 671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4 847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636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636</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5 483</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Техническа помощ</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273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278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216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323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327</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Фонд за европейско подпомагане на най-нуждаещите се лица (FEAD)</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1 361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579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522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1 417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1 446</w:t>
            </w:r>
          </w:p>
        </w:tc>
      </w:tr>
      <w:tr>
        <w:trPr>
          <w:cantSplit/>
          <w:trHeight w:val="39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Инициатива за младежка заетост</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839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157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567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429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611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672</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1 101</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Механизъм за свързване на Европа (МСЕ)</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6 439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(83)</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1 781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1 505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6 632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6 635</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w:t>
            </w:r>
          </w:p>
        </w:tc>
      </w:tr>
      <w:tr>
        <w:trPr>
          <w:cantSplit/>
          <w:trHeight w:val="340"/>
        </w:trPr>
        <w:tc>
          <w:tcPr>
            <w:tcW w:w="23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Общо функция 1: Интелигентен и приобщаващ растеж</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195 138</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(1 648)</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84 411</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81 035</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196 865</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25 490</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(232)</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5 152</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2 506</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27 904</w:t>
            </w:r>
          </w:p>
        </w:tc>
        <w:tc>
          <w:tcPr>
            <w:tcW w:w="129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224 769</w:t>
            </w:r>
          </w:p>
        </w:tc>
      </w:tr>
      <w:tr>
        <w:trPr>
          <w:cantSplit/>
          <w:trHeight w:val="39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2</w:t>
            </w: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Европейски фонд за гарантиране на земеделието (ЕФГЗ)</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431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43 441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43 582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286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873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874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286</w:t>
            </w:r>
          </w:p>
        </w:tc>
      </w:tr>
      <w:tr>
        <w:trPr>
          <w:cantSplit/>
          <w:trHeight w:val="56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Земеделски фонд за развитие на селските райони (ЕЗФРСР)</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35 108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14 708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14 609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35 188</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35 189</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Европейски фонд за морско дело и рибарство (ЕФМДР)</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3 027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(74)</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960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871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3 043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413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416</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3 459</w:t>
            </w:r>
          </w:p>
        </w:tc>
      </w:tr>
      <w:tr>
        <w:trPr>
          <w:cantSplit/>
          <w:trHeight w:val="96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Споразумения за партньорство в областта на устойчивото рибарство (СПОУР) и организации за управление на рибарството (РОУР)</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21</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Околна среда и действия по климата (LIFE)</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1 831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590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425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1 974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1 981</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r>
      <w:tr>
        <w:trPr>
          <w:cantSplit/>
          <w:trHeight w:val="39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43</w:t>
            </w:r>
          </w:p>
        </w:tc>
      </w:tr>
      <w:tr>
        <w:trPr>
          <w:cantSplit/>
          <w:trHeight w:val="340"/>
        </w:trPr>
        <w:tc>
          <w:tcPr>
            <w:tcW w:w="23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Общо функция 2: Устойчив растеж: природни ресурси</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40 451</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(122)</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59 937</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59 707</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40 559</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425</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886</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888</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423</w:t>
            </w:r>
          </w:p>
        </w:tc>
        <w:tc>
          <w:tcPr>
            <w:tcW w:w="129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40 982</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3</w:t>
            </w: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Фонд „Убежище, миграция и интеграция“ (ФУМИ)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2 817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(15)</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1 389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1 124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3 068</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54</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3 122</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„Потребители“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39</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„Творческа Европа“</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250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252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200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296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306</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Спешна подкрепа в рамките на Съюза (IES)</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2 700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2 231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469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333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333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469</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Фонд „Вътрешна сигурност“</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1 603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528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462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1 664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124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228</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1 891</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Информационни системи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Правосъдие</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(12)</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69</w:t>
            </w:r>
          </w:p>
        </w:tc>
      </w:tr>
      <w:tr>
        <w:trPr>
          <w:cantSplit/>
          <w:trHeight w:val="39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Права, равенство и гражданство</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86</w:t>
            </w:r>
          </w:p>
        </w:tc>
      </w:tr>
      <w:tr>
        <w:trPr>
          <w:cantSplit/>
          <w:trHeight w:val="51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511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200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372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386</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„Европа за гражданите“</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35</w:t>
            </w:r>
          </w:p>
        </w:tc>
      </w:tr>
      <w:tr>
        <w:trPr>
          <w:cantSplit/>
          <w:trHeight w:val="283"/>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Храни и фуражи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354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(38)</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247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231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333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334</w:t>
            </w:r>
          </w:p>
        </w:tc>
      </w:tr>
      <w:tr>
        <w:trPr>
          <w:cantSplit/>
          <w:trHeight w:val="283"/>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Здравеопазване</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144</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395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1 139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1 126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407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408</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39</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Специфични дейности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96</w:t>
            </w:r>
          </w:p>
        </w:tc>
      </w:tr>
      <w:tr>
        <w:trPr>
          <w:cantSplit/>
          <w:trHeight w:val="340"/>
        </w:trPr>
        <w:tc>
          <w:tcPr>
            <w:tcW w:w="23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Общо функция 3: Сигурност и гражданство</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6 004</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(118)</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7 152</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5 919</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7 119</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179</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550</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414</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314</w:t>
            </w:r>
          </w:p>
        </w:tc>
        <w:tc>
          <w:tcPr>
            <w:tcW w:w="129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7 433</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4</w:t>
            </w: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Предприсъединителна помощ (ИПП II)</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7 698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1 609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1 761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7 465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784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785</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8 249</w:t>
            </w:r>
          </w:p>
        </w:tc>
      </w:tr>
      <w:tr>
        <w:trPr>
          <w:cantSplit/>
          <w:trHeight w:val="56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Макрофинансова помощ (МФП)</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Гаранционен фонд за външни дейности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233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233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r>
      <w:tr>
        <w:trPr>
          <w:cantSplit/>
          <w:trHeight w:val="51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78</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Инициатива „Доброволци на ЕС за хуманитарна помощ“ (EUAV)</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20</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Фонд за устойчиво развитие (ЕФУР)</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51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Европейски инструмент за съседство (ЕИС)</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7 905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(193)</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2 845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2 616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7 941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8 011</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Инструмент за сътрудничество за развитие (ИСР)</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9 054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(149)</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3 206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2 949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9 162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111</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9 273</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Инструмент за партньорство (ИП)</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394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422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430</w:t>
            </w:r>
          </w:p>
        </w:tc>
      </w:tr>
      <w:tr>
        <w:trPr>
          <w:cantSplit/>
          <w:trHeight w:val="39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Демокрация и права на човека (ЕИДПЧ)</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365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(24)</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172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152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362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368</w:t>
            </w:r>
          </w:p>
        </w:tc>
      </w:tr>
      <w:tr>
        <w:trPr>
          <w:cantSplit/>
          <w:trHeight w:val="39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Стабилност и мир (IcSP)</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657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(48)</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408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378</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639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658</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Хуманитарна помощ</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873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(29)</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2 084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1 627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1 301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332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291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53</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1 354</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Обща външна политика и политика на сигурност (ОВППС)</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219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336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361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22</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160</w:t>
            </w:r>
          </w:p>
        </w:tc>
      </w:tr>
      <w:tr>
        <w:trPr>
          <w:cantSplit/>
          <w:trHeight w:val="39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Сътрудничество в областта на ядрената безопасност (INSC)</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117</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r>
      <w:tr>
        <w:trPr>
          <w:cantSplit/>
          <w:trHeight w:val="39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(23)</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139</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145</w:t>
            </w:r>
          </w:p>
        </w:tc>
      </w:tr>
      <w:tr>
        <w:trPr>
          <w:cantSplit/>
          <w:trHeight w:val="51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Специфични дейности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88</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68</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153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153</w:t>
            </w:r>
          </w:p>
        </w:tc>
      </w:tr>
      <w:tr>
        <w:trPr>
          <w:cantSplit/>
          <w:trHeight w:val="340"/>
        </w:trPr>
        <w:tc>
          <w:tcPr>
            <w:tcW w:w="23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Обща сума функция 4: Глобална Европа</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27 633</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(627)</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11 395</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10 468</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27 933</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1 521</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(46)</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555</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943</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1 087</w:t>
            </w:r>
          </w:p>
        </w:tc>
        <w:tc>
          <w:tcPr>
            <w:tcW w:w="129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29 020</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5</w:t>
            </w: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Пенсии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2 096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2 096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Европейски училища</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183</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183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13</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r>
      <w:tr>
        <w:trPr>
          <w:cantSplit/>
          <w:trHeight w:val="51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Административни разходи на Комисията</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290</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(19)</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3 705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3 660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317</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231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230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43</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360</w:t>
            </w:r>
          </w:p>
        </w:tc>
      </w:tr>
      <w:tr>
        <w:trPr>
          <w:cantSplit/>
          <w:trHeight w:val="397"/>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Административни разходи на другите институции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464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(22)</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4 024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3 875</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591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47</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294</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258</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36</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627</w:t>
            </w:r>
          </w:p>
        </w:tc>
      </w:tr>
      <w:tr>
        <w:trPr>
          <w:cantSplit/>
          <w:trHeight w:val="340"/>
        </w:trPr>
        <w:tc>
          <w:tcPr>
            <w:tcW w:w="23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Общо функция 5: Администрация</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761</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(41)</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10 009</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9 818</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910</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93</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(51)</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540</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502</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80</w:t>
            </w:r>
          </w:p>
        </w:tc>
        <w:tc>
          <w:tcPr>
            <w:tcW w:w="129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990</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9</w:t>
            </w: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Европейски фонд за приспособяване към глобализацията (ЕФПГ)</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2</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0</w:t>
            </w:r>
          </w:p>
        </w:tc>
      </w:tr>
      <w:tr>
        <w:trPr>
          <w:cantSplit/>
          <w:trHeight w:val="454"/>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Фонд „Солидарност“ на Европейския съюз (ФСЕС)</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1 106</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1 106</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Общо функция 9: Специални инструменти</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1108</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1108</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29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r>
      <w:tr>
        <w:trPr>
          <w:cantSplit/>
          <w:trHeight w:val="340"/>
        </w:trPr>
        <w:tc>
          <w:tcPr>
            <w:tcW w:w="23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O</w:t>
            </w:r>
          </w:p>
        </w:tc>
        <w:tc>
          <w:tcPr>
            <w:tcW w:w="2665"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Фонд за иновации (ФИ)</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w:t>
            </w:r>
          </w:p>
        </w:tc>
        <w:tc>
          <w:tcPr>
            <w:tcW w:w="983"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124"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292" w:type="dxa"/>
            <w:tcBorders>
              <w:top w:val="nil"/>
              <w:left w:val="nil"/>
              <w:bottom w:val="nil"/>
              <w:right w:val="nil"/>
              <w:tl2br w:val="nil"/>
              <w:tr2bl w:val="nil"/>
            </w:tcBorders>
            <w:shd w:val="clear" w:color="auto" w:fill="auto"/>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r>
      <w:tr>
        <w:trPr>
          <w:cantSplit/>
          <w:trHeight w:val="340"/>
        </w:trPr>
        <w:tc>
          <w:tcPr>
            <w:tcW w:w="23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p>
        </w:tc>
        <w:tc>
          <w:tcPr>
            <w:tcW w:w="2665" w:type="dxa"/>
            <w:tcBorders>
              <w:top w:val="nil"/>
              <w:left w:val="nil"/>
              <w:bottom w:val="nil"/>
              <w:right w:val="nil"/>
              <w:tl2br w:val="nil"/>
              <w:tr2bl w:val="nil"/>
            </w:tcBorders>
            <w:shd w:val="solid" w:color="CCE1EB" w:fill="FFFFFF"/>
            <w:tcMar>
              <w:left w:w="60" w:type="dxa"/>
              <w:right w:w="60" w:type="dxa"/>
            </w:tcMar>
            <w:vAlign w:val="center"/>
          </w:tcPr>
          <w:p>
            <w:pPr>
              <w:pStyle w:val="DMETW19857BIPRALbyTypebyProgramme"/>
              <w:rPr>
                <w:rFonts w:ascii="Verdana" w:eastAsia="Verdana" w:hAnsi="Verdana" w:cs="Verdana"/>
                <w:noProof/>
                <w:color w:val="000000"/>
                <w:sz w:val="16"/>
              </w:rPr>
            </w:pPr>
            <w:r>
              <w:rPr>
                <w:rFonts w:ascii="Verdana" w:hAnsi="Verdana"/>
                <w:noProof/>
                <w:color w:val="000000"/>
                <w:sz w:val="16"/>
              </w:rPr>
              <w:t>Обща функция O: Фонд за иновации (ФИ)</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5</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1</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c>
          <w:tcPr>
            <w:tcW w:w="129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340"/>
        </w:trPr>
        <w:tc>
          <w:tcPr>
            <w:tcW w:w="235"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rPr>
                <w:rFonts w:ascii="Verdana" w:eastAsia="Verdana" w:hAnsi="Verdana" w:cs="Verdana"/>
                <w:b/>
                <w:noProof/>
                <w:color w:val="000000"/>
                <w:sz w:val="16"/>
              </w:rPr>
            </w:pPr>
          </w:p>
        </w:tc>
        <w:tc>
          <w:tcPr>
            <w:tcW w:w="2665"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rPr>
                <w:rFonts w:ascii="Verdana" w:eastAsia="Verdana" w:hAnsi="Verdana" w:cs="Verdana"/>
                <w:b/>
                <w:noProof/>
                <w:color w:val="000000"/>
                <w:sz w:val="16"/>
              </w:rPr>
            </w:pPr>
            <w:r>
              <w:rPr>
                <w:rFonts w:ascii="Verdana" w:hAnsi="Verdana"/>
                <w:b/>
                <w:noProof/>
                <w:color w:val="000000"/>
                <w:sz w:val="16"/>
              </w:rPr>
              <w:t>Общо</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b/>
                <w:noProof/>
                <w:color w:val="000000"/>
                <w:sz w:val="16"/>
              </w:rPr>
            </w:pPr>
            <w:r>
              <w:rPr>
                <w:rFonts w:ascii="Verdana" w:hAnsi="Verdana"/>
                <w:b/>
                <w:noProof/>
                <w:color w:val="000000"/>
                <w:sz w:val="16"/>
              </w:rPr>
              <w:t>269 987</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b/>
                <w:noProof/>
                <w:color w:val="000000"/>
                <w:sz w:val="16"/>
              </w:rPr>
            </w:pPr>
            <w:r>
              <w:rPr>
                <w:rFonts w:ascii="Verdana" w:hAnsi="Verdana"/>
                <w:b/>
                <w:noProof/>
                <w:color w:val="000000"/>
                <w:sz w:val="16"/>
              </w:rPr>
              <w:t>(2 557)</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b/>
                <w:noProof/>
                <w:color w:val="000000"/>
                <w:sz w:val="16"/>
              </w:rPr>
            </w:pPr>
            <w:r>
              <w:rPr>
                <w:rFonts w:ascii="Verdana" w:hAnsi="Verdana"/>
                <w:b/>
                <w:noProof/>
                <w:color w:val="000000"/>
                <w:sz w:val="16"/>
              </w:rPr>
              <w:t>174 012</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b/>
                <w:noProof/>
                <w:color w:val="000000"/>
                <w:sz w:val="16"/>
              </w:rPr>
            </w:pPr>
            <w:r>
              <w:rPr>
                <w:rFonts w:ascii="Verdana" w:hAnsi="Verdana"/>
                <w:b/>
                <w:noProof/>
                <w:color w:val="000000"/>
                <w:sz w:val="16"/>
              </w:rPr>
              <w:t>168 056</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b/>
                <w:noProof/>
                <w:color w:val="000000"/>
                <w:sz w:val="16"/>
              </w:rPr>
            </w:pPr>
            <w:r>
              <w:rPr>
                <w:rFonts w:ascii="Verdana" w:hAnsi="Verdana"/>
                <w:b/>
                <w:noProof/>
                <w:color w:val="000000"/>
                <w:sz w:val="16"/>
              </w:rPr>
              <w:t>273 386</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b/>
                <w:noProof/>
                <w:color w:val="000000"/>
                <w:sz w:val="16"/>
              </w:rPr>
            </w:pPr>
            <w:r>
              <w:rPr>
                <w:rFonts w:ascii="Verdana" w:hAnsi="Verdana"/>
                <w:b/>
                <w:noProof/>
                <w:color w:val="000000"/>
                <w:sz w:val="16"/>
              </w:rPr>
              <w:t>27 708</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b/>
                <w:noProof/>
                <w:color w:val="000000"/>
                <w:sz w:val="16"/>
              </w:rPr>
            </w:pPr>
            <w:r>
              <w:rPr>
                <w:rFonts w:ascii="Verdana" w:hAnsi="Verdana"/>
                <w:b/>
                <w:noProof/>
                <w:color w:val="000000"/>
                <w:sz w:val="16"/>
              </w:rPr>
              <w:t xml:space="preserve"> (330)</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b/>
                <w:noProof/>
                <w:color w:val="000000"/>
                <w:sz w:val="16"/>
              </w:rPr>
            </w:pPr>
            <w:r>
              <w:rPr>
                <w:rFonts w:ascii="Verdana" w:hAnsi="Verdana"/>
                <w:b/>
                <w:noProof/>
                <w:color w:val="000000"/>
                <w:sz w:val="16"/>
              </w:rPr>
              <w:t>7 688</w:t>
            </w:r>
          </w:p>
        </w:tc>
        <w:tc>
          <w:tcPr>
            <w:tcW w:w="983"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b/>
                <w:noProof/>
                <w:color w:val="000000"/>
                <w:sz w:val="16"/>
              </w:rPr>
            </w:pPr>
            <w:r>
              <w:rPr>
                <w:rFonts w:ascii="Verdana" w:hAnsi="Verdana"/>
                <w:b/>
                <w:noProof/>
                <w:color w:val="000000"/>
                <w:sz w:val="16"/>
              </w:rPr>
              <w:t>5 254</w:t>
            </w:r>
          </w:p>
        </w:tc>
        <w:tc>
          <w:tcPr>
            <w:tcW w:w="1124"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b/>
                <w:noProof/>
                <w:color w:val="000000"/>
                <w:sz w:val="16"/>
              </w:rPr>
            </w:pPr>
            <w:r>
              <w:rPr>
                <w:rFonts w:ascii="Verdana" w:hAnsi="Verdana"/>
                <w:b/>
                <w:noProof/>
                <w:color w:val="000000"/>
                <w:sz w:val="16"/>
              </w:rPr>
              <w:t>29 811</w:t>
            </w:r>
          </w:p>
        </w:tc>
        <w:tc>
          <w:tcPr>
            <w:tcW w:w="1292" w:type="dxa"/>
            <w:tcBorders>
              <w:top w:val="nil"/>
              <w:left w:val="nil"/>
              <w:bottom w:val="nil"/>
              <w:right w:val="nil"/>
              <w:tl2br w:val="nil"/>
              <w:tr2bl w:val="nil"/>
            </w:tcBorders>
            <w:shd w:val="solid" w:color="CCE1EA" w:fill="FFFFFF"/>
            <w:tcMar>
              <w:left w:w="60" w:type="dxa"/>
              <w:right w:w="60" w:type="dxa"/>
            </w:tcMar>
            <w:vAlign w:val="center"/>
          </w:tcPr>
          <w:p>
            <w:pPr>
              <w:pStyle w:val="DMETW19857BIPRALbyTypebyProgramme"/>
              <w:jc w:val="right"/>
              <w:rPr>
                <w:rFonts w:ascii="Verdana" w:eastAsia="Verdana" w:hAnsi="Verdana" w:cs="Verdana"/>
                <w:b/>
                <w:noProof/>
                <w:color w:val="000000"/>
                <w:sz w:val="16"/>
              </w:rPr>
            </w:pPr>
            <w:r>
              <w:rPr>
                <w:rFonts w:ascii="Verdana" w:hAnsi="Verdana"/>
                <w:b/>
                <w:noProof/>
                <w:color w:val="000000"/>
                <w:sz w:val="16"/>
              </w:rPr>
              <w:t>303 197</w:t>
            </w:r>
          </w:p>
        </w:tc>
      </w:tr>
      <w:bookmarkEnd w:id="249"/>
    </w:tbl>
    <w:p>
      <w:pPr>
        <w:pStyle w:val="Textstand-alone"/>
        <w:rPr>
          <w:lang w:bidi="en-GB"/>
        </w:rPr>
        <w:sectPr>
          <w:headerReference w:type="even" r:id="rId380"/>
          <w:headerReference w:type="default" r:id="rId381"/>
          <w:footerReference w:type="even" r:id="rId382"/>
          <w:footerReference w:type="default" r:id="rId383"/>
          <w:headerReference w:type="first" r:id="rId384"/>
          <w:footerReference w:type="first" r:id="rId385"/>
          <w:type w:val="nextColumn"/>
          <w:pgSz w:w="16840" w:h="11900" w:orient="landscape"/>
          <w:pgMar w:top="1134" w:right="1134" w:bottom="1134" w:left="1134" w:header="720" w:footer="720" w:gutter="0"/>
          <w:cols w:space="720"/>
          <w:docGrid w:linePitch="272"/>
        </w:sectPr>
      </w:pPr>
    </w:p>
    <w:p>
      <w:pPr>
        <w:pStyle w:val="HEADER1PartBUDG"/>
        <w:numPr>
          <w:ilvl w:val="0"/>
          <w:numId w:val="15"/>
        </w:numPr>
        <w:tabs>
          <w:tab w:val="clear" w:pos="907"/>
        </w:tabs>
        <w:rPr>
          <w:noProof/>
        </w:rPr>
      </w:pPr>
      <w:bookmarkStart w:id="275" w:name="_DMBM_19909"/>
      <w:r>
        <w:rPr>
          <w:noProof/>
        </w:rPr>
        <w:t xml:space="preserve"> </w:t>
      </w:r>
      <w:bookmarkStart w:id="276" w:name="_Toc75518150"/>
      <w:r>
        <w:rPr>
          <w:noProof/>
        </w:rPr>
        <w:t>ИЗПЪЛНЕНИЕ НА БЮДЖЕТА ПО ИНСТИТУЦИИ</w:t>
      </w:r>
      <w:bookmarkEnd w:id="276"/>
    </w:p>
    <w:p>
      <w:pPr>
        <w:pStyle w:val="HEADER2PartBUDG"/>
        <w:numPr>
          <w:ilvl w:val="1"/>
          <w:numId w:val="15"/>
        </w:numPr>
        <w:rPr>
          <w:noProof/>
        </w:rPr>
      </w:pPr>
      <w:bookmarkStart w:id="277" w:name="_Toc75518151"/>
      <w:r>
        <w:rPr>
          <w:noProof/>
        </w:rPr>
        <w:t>ИЗПЪЛНЕНИЕ НА БЮДЖЕТНИТЕ ПРИХОДИ</w:t>
      </w:r>
      <w:bookmarkEnd w:id="277"/>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75"/>
        <w:gridCol w:w="1342"/>
        <w:gridCol w:w="1299"/>
        <w:gridCol w:w="1054"/>
        <w:gridCol w:w="1010"/>
        <w:gridCol w:w="1111"/>
        <w:gridCol w:w="1393"/>
        <w:gridCol w:w="1111"/>
        <w:gridCol w:w="1010"/>
        <w:gridCol w:w="1133"/>
        <w:gridCol w:w="1054"/>
      </w:tblGrid>
      <w:tr>
        <w:trPr>
          <w:trHeight w:val="284"/>
        </w:trPr>
        <w:tc>
          <w:tcPr>
            <w:tcW w:w="44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bookmarkStart w:id="278" w:name="DOC_TBL00119_1_1"/>
            <w:bookmarkEnd w:id="278"/>
          </w:p>
        </w:tc>
        <w:tc>
          <w:tcPr>
            <w:tcW w:w="18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p>
        </w:tc>
        <w:tc>
          <w:tcPr>
            <w:tcW w:w="1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p>
        </w:tc>
        <w:tc>
          <w:tcPr>
            <w:tcW w:w="19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p>
        </w:tc>
        <w:tc>
          <w:tcPr>
            <w:tcW w:w="12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p>
        </w:tc>
        <w:tc>
          <w:tcPr>
            <w:tcW w:w="15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rPr>
        <w:tc>
          <w:tcPr>
            <w:tcW w:w="440"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p>
        </w:tc>
        <w:tc>
          <w:tcPr>
            <w:tcW w:w="186"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b/>
                <w:noProof/>
                <w:color w:val="FFFFFF"/>
                <w:sz w:val="16"/>
              </w:rPr>
            </w:pPr>
            <w:r>
              <w:rPr>
                <w:rFonts w:ascii="Verdana" w:hAnsi="Verdana"/>
                <w:b/>
                <w:noProof/>
                <w:color w:val="FFFFFF"/>
                <w:sz w:val="16"/>
              </w:rPr>
              <w:t>Бюджетни кредити от приходи</w:t>
            </w:r>
          </w:p>
        </w:tc>
        <w:tc>
          <w:tcPr>
            <w:tcW w:w="146"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b/>
                <w:noProof/>
                <w:color w:val="FFFFFF"/>
                <w:sz w:val="16"/>
              </w:rPr>
            </w:pPr>
            <w:r>
              <w:rPr>
                <w:rFonts w:ascii="Verdana" w:hAnsi="Verdana"/>
                <w:b/>
                <w:noProof/>
                <w:color w:val="FFFFFF"/>
                <w:sz w:val="16"/>
              </w:rPr>
              <w:t>Установени вземания</w:t>
            </w:r>
          </w:p>
        </w:tc>
        <w:tc>
          <w:tcPr>
            <w:tcW w:w="193"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b/>
                <w:noProof/>
                <w:color w:val="FFFFFF"/>
                <w:sz w:val="16"/>
              </w:rPr>
            </w:pPr>
            <w:r>
              <w:rPr>
                <w:rFonts w:ascii="Verdana" w:hAnsi="Verdana"/>
                <w:b/>
                <w:noProof/>
                <w:color w:val="FFFFFF"/>
                <w:sz w:val="16"/>
              </w:rPr>
              <w:t>Приходи</w:t>
            </w:r>
          </w:p>
        </w:tc>
        <w:tc>
          <w:tcPr>
            <w:tcW w:w="157"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Приходи като % от бюджета</w:t>
            </w:r>
          </w:p>
        </w:tc>
        <w:tc>
          <w:tcPr>
            <w:tcW w:w="146"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Дължими</w:t>
            </w:r>
          </w:p>
          <w:p>
            <w:pPr>
              <w:pStyle w:val="DMETW19895BIPInstitutions1Revenue"/>
              <w:jc w:val="center"/>
              <w:rPr>
                <w:rFonts w:ascii="Verdana" w:eastAsia="Verdana" w:hAnsi="Verdana" w:cs="Verdana"/>
                <w:noProof/>
                <w:color w:val="FFFFFF"/>
                <w:sz w:val="16"/>
              </w:rPr>
            </w:pPr>
          </w:p>
        </w:tc>
      </w:tr>
      <w:tr>
        <w:trPr>
          <w:trHeight w:val="454"/>
        </w:trPr>
        <w:tc>
          <w:tcPr>
            <w:tcW w:w="440"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Институция</w:t>
            </w:r>
          </w:p>
        </w:tc>
        <w:tc>
          <w:tcPr>
            <w:tcW w:w="186"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80"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146"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Текуща година</w:t>
            </w:r>
          </w:p>
        </w:tc>
        <w:tc>
          <w:tcPr>
            <w:tcW w:w="117"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Пренесени</w:t>
            </w:r>
          </w:p>
        </w:tc>
        <w:tc>
          <w:tcPr>
            <w:tcW w:w="154"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Общо</w:t>
            </w:r>
          </w:p>
        </w:tc>
        <w:tc>
          <w:tcPr>
            <w:tcW w:w="193"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От вземания за текущата година</w:t>
            </w:r>
          </w:p>
        </w:tc>
        <w:tc>
          <w:tcPr>
            <w:tcW w:w="154"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От пренесени вземания</w:t>
            </w:r>
          </w:p>
        </w:tc>
        <w:tc>
          <w:tcPr>
            <w:tcW w:w="126"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Общо</w:t>
            </w:r>
          </w:p>
        </w:tc>
        <w:tc>
          <w:tcPr>
            <w:tcW w:w="960" w:type="dxa"/>
            <w:vMerge/>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p>
        </w:tc>
        <w:tc>
          <w:tcPr>
            <w:tcW w:w="1125" w:type="dxa"/>
            <w:vMerge/>
            <w:tcBorders>
              <w:top w:val="nil"/>
              <w:left w:val="nil"/>
              <w:bottom w:val="nil"/>
              <w:right w:val="nil"/>
              <w:tl2br w:val="nil"/>
              <w:tr2bl w:val="nil"/>
            </w:tcBorders>
            <w:shd w:val="solid" w:color="016794"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p>
        </w:tc>
      </w:tr>
      <w:tr>
        <w:trPr>
          <w:trHeight w:val="284"/>
        </w:trPr>
        <w:tc>
          <w:tcPr>
            <w:tcW w:w="440"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p>
        </w:tc>
        <w:tc>
          <w:tcPr>
            <w:tcW w:w="186"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1</w:t>
            </w:r>
          </w:p>
        </w:tc>
        <w:tc>
          <w:tcPr>
            <w:tcW w:w="180"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2</w:t>
            </w:r>
          </w:p>
        </w:tc>
        <w:tc>
          <w:tcPr>
            <w:tcW w:w="146"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3</w:t>
            </w:r>
          </w:p>
        </w:tc>
        <w:tc>
          <w:tcPr>
            <w:tcW w:w="117"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4</w:t>
            </w:r>
          </w:p>
        </w:tc>
        <w:tc>
          <w:tcPr>
            <w:tcW w:w="154"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5=3+4</w:t>
            </w:r>
          </w:p>
        </w:tc>
        <w:tc>
          <w:tcPr>
            <w:tcW w:w="193"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6</w:t>
            </w:r>
          </w:p>
        </w:tc>
        <w:tc>
          <w:tcPr>
            <w:tcW w:w="154"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7</w:t>
            </w:r>
          </w:p>
        </w:tc>
        <w:tc>
          <w:tcPr>
            <w:tcW w:w="126"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8=6+7</w:t>
            </w:r>
          </w:p>
        </w:tc>
        <w:tc>
          <w:tcPr>
            <w:tcW w:w="157"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9=8/2</w:t>
            </w:r>
          </w:p>
        </w:tc>
        <w:tc>
          <w:tcPr>
            <w:tcW w:w="146"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1Revenue"/>
              <w:jc w:val="center"/>
              <w:rPr>
                <w:rFonts w:ascii="Verdana" w:eastAsia="Verdana" w:hAnsi="Verdana" w:cs="Verdana"/>
                <w:noProof/>
                <w:color w:val="FFFFFF"/>
                <w:sz w:val="16"/>
              </w:rPr>
            </w:pPr>
            <w:r>
              <w:rPr>
                <w:rFonts w:ascii="Verdana" w:hAnsi="Verdana"/>
                <w:noProof/>
                <w:color w:val="FFFFFF"/>
                <w:sz w:val="16"/>
              </w:rPr>
              <w:t>10=5-8</w:t>
            </w:r>
          </w:p>
        </w:tc>
      </w:tr>
      <w:tr>
        <w:trPr>
          <w:trHeight w:val="284"/>
        </w:trPr>
        <w:tc>
          <w:tcPr>
            <w:tcW w:w="44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r>
              <w:rPr>
                <w:rFonts w:ascii="Verdana" w:hAnsi="Verdana"/>
                <w:noProof/>
                <w:color w:val="000000"/>
                <w:sz w:val="16"/>
              </w:rPr>
              <w:t>Европейски парламент</w:t>
            </w:r>
          </w:p>
        </w:tc>
        <w:tc>
          <w:tcPr>
            <w:tcW w:w="18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171</w:t>
            </w:r>
          </w:p>
        </w:tc>
        <w:tc>
          <w:tcPr>
            <w:tcW w:w="1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171</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199</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21</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220</w:t>
            </w:r>
          </w:p>
        </w:tc>
        <w:tc>
          <w:tcPr>
            <w:tcW w:w="19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197</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7</w:t>
            </w:r>
          </w:p>
        </w:tc>
        <w:tc>
          <w:tcPr>
            <w:tcW w:w="12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203</w:t>
            </w:r>
          </w:p>
        </w:tc>
        <w:tc>
          <w:tcPr>
            <w:tcW w:w="15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119 %</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284"/>
        </w:trPr>
        <w:tc>
          <w:tcPr>
            <w:tcW w:w="44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r>
              <w:rPr>
                <w:rFonts w:ascii="Verdana" w:hAnsi="Verdana"/>
                <w:noProof/>
                <w:color w:val="000000"/>
                <w:sz w:val="16"/>
              </w:rPr>
              <w:t>Европейски съвет и Съвет</w:t>
            </w:r>
          </w:p>
        </w:tc>
        <w:tc>
          <w:tcPr>
            <w:tcW w:w="18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56</w:t>
            </w:r>
          </w:p>
        </w:tc>
        <w:tc>
          <w:tcPr>
            <w:tcW w:w="1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56</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102</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103</w:t>
            </w:r>
          </w:p>
        </w:tc>
        <w:tc>
          <w:tcPr>
            <w:tcW w:w="19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101</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2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102</w:t>
            </w:r>
          </w:p>
        </w:tc>
        <w:tc>
          <w:tcPr>
            <w:tcW w:w="15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181 %</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284"/>
        </w:trPr>
        <w:tc>
          <w:tcPr>
            <w:tcW w:w="44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r>
              <w:rPr>
                <w:rFonts w:ascii="Verdana" w:hAnsi="Verdana"/>
                <w:noProof/>
                <w:color w:val="000000"/>
                <w:sz w:val="16"/>
              </w:rPr>
              <w:t>Комисия</w:t>
            </w:r>
          </w:p>
        </w:tc>
        <w:tc>
          <w:tcPr>
            <w:tcW w:w="18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153 185</w:t>
            </w:r>
          </w:p>
        </w:tc>
        <w:tc>
          <w:tcPr>
            <w:tcW w:w="1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163 727</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173 169</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19 829</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192 998</w:t>
            </w:r>
          </w:p>
        </w:tc>
        <w:tc>
          <w:tcPr>
            <w:tcW w:w="19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171 765</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1 824</w:t>
            </w:r>
          </w:p>
        </w:tc>
        <w:tc>
          <w:tcPr>
            <w:tcW w:w="12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173 589</w:t>
            </w:r>
          </w:p>
        </w:tc>
        <w:tc>
          <w:tcPr>
            <w:tcW w:w="15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106 %</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19 409</w:t>
            </w:r>
          </w:p>
        </w:tc>
      </w:tr>
      <w:tr>
        <w:trPr>
          <w:trHeight w:val="284"/>
        </w:trPr>
        <w:tc>
          <w:tcPr>
            <w:tcW w:w="44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r>
              <w:rPr>
                <w:rFonts w:ascii="Verdana" w:hAnsi="Verdana"/>
                <w:noProof/>
                <w:color w:val="000000"/>
                <w:sz w:val="16"/>
              </w:rPr>
              <w:t>Съд</w:t>
            </w:r>
          </w:p>
        </w:tc>
        <w:tc>
          <w:tcPr>
            <w:tcW w:w="18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58</w:t>
            </w:r>
          </w:p>
        </w:tc>
        <w:tc>
          <w:tcPr>
            <w:tcW w:w="1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58</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57</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57</w:t>
            </w:r>
          </w:p>
        </w:tc>
        <w:tc>
          <w:tcPr>
            <w:tcW w:w="19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57</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2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57</w:t>
            </w:r>
          </w:p>
        </w:tc>
        <w:tc>
          <w:tcPr>
            <w:tcW w:w="15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98 %</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284"/>
        </w:trPr>
        <w:tc>
          <w:tcPr>
            <w:tcW w:w="44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r>
              <w:rPr>
                <w:rFonts w:ascii="Verdana" w:hAnsi="Verdana"/>
                <w:noProof/>
                <w:color w:val="000000"/>
                <w:sz w:val="16"/>
              </w:rPr>
              <w:t>Сметна палата</w:t>
            </w:r>
          </w:p>
        </w:tc>
        <w:tc>
          <w:tcPr>
            <w:tcW w:w="18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23</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23</w:t>
            </w:r>
          </w:p>
        </w:tc>
        <w:tc>
          <w:tcPr>
            <w:tcW w:w="19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23</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2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23</w:t>
            </w:r>
          </w:p>
        </w:tc>
        <w:tc>
          <w:tcPr>
            <w:tcW w:w="15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102 %</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284"/>
        </w:trPr>
        <w:tc>
          <w:tcPr>
            <w:tcW w:w="44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r>
              <w:rPr>
                <w:rFonts w:ascii="Verdana" w:hAnsi="Verdana"/>
                <w:noProof/>
                <w:color w:val="000000"/>
                <w:sz w:val="16"/>
              </w:rPr>
              <w:t>Икономически и социален комитет</w:t>
            </w:r>
          </w:p>
        </w:tc>
        <w:tc>
          <w:tcPr>
            <w:tcW w:w="18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13</w:t>
            </w:r>
          </w:p>
        </w:tc>
        <w:tc>
          <w:tcPr>
            <w:tcW w:w="1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13</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9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2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5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138 %</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284"/>
        </w:trPr>
        <w:tc>
          <w:tcPr>
            <w:tcW w:w="44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r>
              <w:rPr>
                <w:rFonts w:ascii="Verdana" w:hAnsi="Verdana"/>
                <w:noProof/>
                <w:color w:val="000000"/>
                <w:sz w:val="16"/>
              </w:rPr>
              <w:t>Комитет на регионите</w:t>
            </w:r>
          </w:p>
        </w:tc>
        <w:tc>
          <w:tcPr>
            <w:tcW w:w="18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10</w:t>
            </w:r>
          </w:p>
        </w:tc>
        <w:tc>
          <w:tcPr>
            <w:tcW w:w="1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10</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19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2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15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109 %</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284"/>
        </w:trPr>
        <w:tc>
          <w:tcPr>
            <w:tcW w:w="44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r>
              <w:rPr>
                <w:rFonts w:ascii="Verdana" w:hAnsi="Verdana"/>
                <w:noProof/>
                <w:color w:val="000000"/>
                <w:sz w:val="16"/>
              </w:rPr>
              <w:t>Омбудсман</w:t>
            </w:r>
          </w:p>
        </w:tc>
        <w:tc>
          <w:tcPr>
            <w:tcW w:w="18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9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2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5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88 %</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44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r>
              <w:rPr>
                <w:rFonts w:ascii="Verdana" w:hAnsi="Verdana"/>
                <w:noProof/>
                <w:color w:val="000000"/>
                <w:sz w:val="16"/>
              </w:rPr>
              <w:t>Европейски надзорен орган по защита на данните</w:t>
            </w:r>
          </w:p>
        </w:tc>
        <w:tc>
          <w:tcPr>
            <w:tcW w:w="18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w:t>
            </w:r>
          </w:p>
        </w:tc>
        <w:tc>
          <w:tcPr>
            <w:tcW w:w="1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9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2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5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82 %</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44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rPr>
                <w:rFonts w:ascii="Verdana" w:eastAsia="Verdana" w:hAnsi="Verdana" w:cs="Verdana"/>
                <w:noProof/>
                <w:color w:val="000000"/>
                <w:sz w:val="16"/>
              </w:rPr>
            </w:pPr>
            <w:r>
              <w:rPr>
                <w:rFonts w:ascii="Verdana" w:hAnsi="Verdana"/>
                <w:noProof/>
                <w:color w:val="000000"/>
                <w:sz w:val="16"/>
              </w:rPr>
              <w:t>Европейска служба за външна дейност</w:t>
            </w:r>
          </w:p>
        </w:tc>
        <w:tc>
          <w:tcPr>
            <w:tcW w:w="18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49</w:t>
            </w:r>
          </w:p>
        </w:tc>
        <w:tc>
          <w:tcPr>
            <w:tcW w:w="1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49</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302</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304</w:t>
            </w:r>
          </w:p>
        </w:tc>
        <w:tc>
          <w:tcPr>
            <w:tcW w:w="19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299</w:t>
            </w:r>
          </w:p>
        </w:tc>
        <w:tc>
          <w:tcPr>
            <w:tcW w:w="1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2</w:t>
            </w:r>
          </w:p>
        </w:tc>
        <w:tc>
          <w:tcPr>
            <w:tcW w:w="12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301</w:t>
            </w:r>
          </w:p>
        </w:tc>
        <w:tc>
          <w:tcPr>
            <w:tcW w:w="15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615 %</w:t>
            </w:r>
          </w:p>
        </w:tc>
        <w:tc>
          <w:tcPr>
            <w:tcW w:w="14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1Revenue"/>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284"/>
        </w:trPr>
        <w:tc>
          <w:tcPr>
            <w:tcW w:w="440"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1Revenue"/>
              <w:rPr>
                <w:rFonts w:ascii="Verdana" w:eastAsia="Verdana" w:hAnsi="Verdana" w:cs="Verdana"/>
                <w:b/>
                <w:noProof/>
                <w:color w:val="000000"/>
                <w:sz w:val="16"/>
              </w:rPr>
            </w:pPr>
            <w:r>
              <w:rPr>
                <w:rFonts w:ascii="Verdana" w:hAnsi="Verdana"/>
                <w:b/>
                <w:noProof/>
                <w:color w:val="000000"/>
                <w:sz w:val="16"/>
              </w:rPr>
              <w:t>Общо</w:t>
            </w:r>
          </w:p>
        </w:tc>
        <w:tc>
          <w:tcPr>
            <w:tcW w:w="186"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1Revenue"/>
              <w:jc w:val="right"/>
              <w:rPr>
                <w:rFonts w:ascii="Verdana" w:eastAsia="Verdana" w:hAnsi="Verdana" w:cs="Verdana"/>
                <w:b/>
                <w:noProof/>
                <w:color w:val="000000"/>
                <w:sz w:val="16"/>
              </w:rPr>
            </w:pPr>
            <w:r>
              <w:rPr>
                <w:rFonts w:ascii="Verdana" w:hAnsi="Verdana"/>
                <w:b/>
                <w:noProof/>
                <w:color w:val="000000"/>
                <w:sz w:val="16"/>
              </w:rPr>
              <w:t>153 566</w:t>
            </w:r>
          </w:p>
        </w:tc>
        <w:tc>
          <w:tcPr>
            <w:tcW w:w="180"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1Revenue"/>
              <w:jc w:val="right"/>
              <w:rPr>
                <w:rFonts w:ascii="Verdana" w:eastAsia="Verdana" w:hAnsi="Verdana" w:cs="Verdana"/>
                <w:b/>
                <w:noProof/>
                <w:color w:val="000000"/>
                <w:sz w:val="16"/>
              </w:rPr>
            </w:pPr>
            <w:r>
              <w:rPr>
                <w:rFonts w:ascii="Verdana" w:hAnsi="Verdana"/>
                <w:b/>
                <w:noProof/>
                <w:color w:val="000000"/>
                <w:sz w:val="16"/>
              </w:rPr>
              <w:t>164 108</w:t>
            </w:r>
          </w:p>
        </w:tc>
        <w:tc>
          <w:tcPr>
            <w:tcW w:w="146"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1Revenue"/>
              <w:jc w:val="right"/>
              <w:rPr>
                <w:rFonts w:ascii="Verdana" w:eastAsia="Verdana" w:hAnsi="Verdana" w:cs="Verdana"/>
                <w:b/>
                <w:noProof/>
                <w:color w:val="000000"/>
                <w:sz w:val="16"/>
              </w:rPr>
            </w:pPr>
            <w:r>
              <w:rPr>
                <w:rFonts w:ascii="Verdana" w:hAnsi="Verdana"/>
                <w:b/>
                <w:noProof/>
                <w:color w:val="000000"/>
                <w:sz w:val="16"/>
              </w:rPr>
              <w:t>173 882</w:t>
            </w:r>
          </w:p>
        </w:tc>
        <w:tc>
          <w:tcPr>
            <w:tcW w:w="117"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1Revenue"/>
              <w:jc w:val="right"/>
              <w:rPr>
                <w:rFonts w:ascii="Verdana" w:eastAsia="Verdana" w:hAnsi="Verdana" w:cs="Verdana"/>
                <w:b/>
                <w:noProof/>
                <w:color w:val="000000"/>
                <w:sz w:val="16"/>
              </w:rPr>
            </w:pPr>
            <w:r>
              <w:rPr>
                <w:rFonts w:ascii="Verdana" w:hAnsi="Verdana"/>
                <w:b/>
                <w:noProof/>
                <w:color w:val="000000"/>
                <w:sz w:val="16"/>
              </w:rPr>
              <w:t>19 853</w:t>
            </w:r>
          </w:p>
        </w:tc>
        <w:tc>
          <w:tcPr>
            <w:tcW w:w="154"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1Revenue"/>
              <w:jc w:val="right"/>
              <w:rPr>
                <w:rFonts w:ascii="Verdana" w:eastAsia="Verdana" w:hAnsi="Verdana" w:cs="Verdana"/>
                <w:b/>
                <w:noProof/>
                <w:color w:val="000000"/>
                <w:sz w:val="16"/>
              </w:rPr>
            </w:pPr>
            <w:r>
              <w:rPr>
                <w:rFonts w:ascii="Verdana" w:hAnsi="Verdana"/>
                <w:b/>
                <w:noProof/>
                <w:color w:val="000000"/>
                <w:sz w:val="16"/>
              </w:rPr>
              <w:t>193 735</w:t>
            </w:r>
          </w:p>
        </w:tc>
        <w:tc>
          <w:tcPr>
            <w:tcW w:w="193"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1Revenue"/>
              <w:jc w:val="right"/>
              <w:rPr>
                <w:rFonts w:ascii="Verdana" w:eastAsia="Verdana" w:hAnsi="Verdana" w:cs="Verdana"/>
                <w:b/>
                <w:noProof/>
                <w:color w:val="000000"/>
                <w:sz w:val="16"/>
              </w:rPr>
            </w:pPr>
            <w:r>
              <w:rPr>
                <w:rFonts w:ascii="Verdana" w:hAnsi="Verdana"/>
                <w:b/>
                <w:noProof/>
                <w:color w:val="000000"/>
                <w:sz w:val="16"/>
              </w:rPr>
              <w:t>172 472</w:t>
            </w:r>
          </w:p>
        </w:tc>
        <w:tc>
          <w:tcPr>
            <w:tcW w:w="154"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1Revenue"/>
              <w:jc w:val="right"/>
              <w:rPr>
                <w:rFonts w:ascii="Verdana" w:eastAsia="Verdana" w:hAnsi="Verdana" w:cs="Verdana"/>
                <w:b/>
                <w:noProof/>
                <w:color w:val="000000"/>
                <w:sz w:val="16"/>
              </w:rPr>
            </w:pPr>
            <w:r>
              <w:rPr>
                <w:rFonts w:ascii="Verdana" w:hAnsi="Verdana"/>
                <w:b/>
                <w:noProof/>
                <w:color w:val="000000"/>
                <w:sz w:val="16"/>
              </w:rPr>
              <w:t>1 834</w:t>
            </w:r>
          </w:p>
        </w:tc>
        <w:tc>
          <w:tcPr>
            <w:tcW w:w="126"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1Revenue"/>
              <w:jc w:val="right"/>
              <w:rPr>
                <w:rFonts w:ascii="Verdana" w:eastAsia="Verdana" w:hAnsi="Verdana" w:cs="Verdana"/>
                <w:b/>
                <w:noProof/>
                <w:color w:val="000000"/>
                <w:sz w:val="16"/>
              </w:rPr>
            </w:pPr>
            <w:r>
              <w:rPr>
                <w:rFonts w:ascii="Verdana" w:hAnsi="Verdana"/>
                <w:b/>
                <w:noProof/>
                <w:color w:val="000000"/>
                <w:sz w:val="16"/>
              </w:rPr>
              <w:t>174 306</w:t>
            </w:r>
          </w:p>
        </w:tc>
        <w:tc>
          <w:tcPr>
            <w:tcW w:w="157"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1Revenue"/>
              <w:jc w:val="right"/>
              <w:rPr>
                <w:rFonts w:ascii="Verdana" w:eastAsia="Verdana" w:hAnsi="Verdana" w:cs="Verdana"/>
                <w:b/>
                <w:noProof/>
                <w:color w:val="000000"/>
                <w:sz w:val="16"/>
              </w:rPr>
            </w:pPr>
            <w:r>
              <w:rPr>
                <w:rFonts w:ascii="Verdana" w:hAnsi="Verdana"/>
                <w:b/>
                <w:noProof/>
                <w:color w:val="000000"/>
                <w:sz w:val="16"/>
              </w:rPr>
              <w:t>106 %</w:t>
            </w:r>
          </w:p>
        </w:tc>
        <w:tc>
          <w:tcPr>
            <w:tcW w:w="146"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1Revenue"/>
              <w:jc w:val="right"/>
              <w:rPr>
                <w:rFonts w:ascii="Verdana" w:eastAsia="Verdana" w:hAnsi="Verdana" w:cs="Verdana"/>
                <w:b/>
                <w:noProof/>
                <w:color w:val="000000"/>
                <w:sz w:val="16"/>
              </w:rPr>
            </w:pPr>
            <w:r>
              <w:rPr>
                <w:rFonts w:ascii="Verdana" w:hAnsi="Verdana"/>
                <w:b/>
                <w:noProof/>
                <w:color w:val="000000"/>
                <w:sz w:val="16"/>
              </w:rPr>
              <w:t>19 429</w:t>
            </w:r>
          </w:p>
        </w:tc>
      </w:tr>
    </w:tbl>
    <w:p>
      <w:pPr>
        <w:pStyle w:val="DGTextstand-alone"/>
      </w:pPr>
      <w:r>
        <w:t xml:space="preserve">Консолидираните отчети за изпълнението на общия бюджет на ЕС включват, както през предходни години, изпълнението на бюджета на всички институции, тъй като в рамките на бюджета на ЕС се съставя отделен бюджет за всяка институция. </w:t>
      </w:r>
    </w:p>
    <w:p>
      <w:pPr>
        <w:pStyle w:val="DGTextstand-alone"/>
      </w:pPr>
      <w:r>
        <w:t>Бюджетът и изпълнението на агенциите не се консолидират в бюджета на ЕС и не се включват в докладите за бюджета на ЕС. Субсидията от Комисията, която се изплаща на агенциите, обаче е част от бюджета на ЕС. В тази бюджетна част на годишните отчети се взема под внимание само субсидията, изплатена на агенциите от бюджета на Комисията.</w:t>
      </w:r>
    </w:p>
    <w:p>
      <w:pPr>
        <w:pStyle w:val="DGTextstand-alone"/>
      </w:pPr>
      <w:r>
        <w:t>Що се отнася до ЕСВД, следва да се отбележи, че в допълнение към своя бюджет тя получава и средства от Комисията в размер на 148,1 милиона евро (2019 г.: 152,7 милиона евро) и от ЕФР и доверителните фондове в размер на 64,4 милиона евро (2019 г.: 63,1 милиона евро). Тези средства покриват разходите за служителите на Комисията в делегациите, финансирани по линия на ЕФР и доверителните фондове, включително целеви приходи, генерирани през годината от тези средства.</w:t>
      </w:r>
    </w:p>
    <w:p>
      <w:pPr>
        <w:pStyle w:val="DGTextstand-alone"/>
        <w:rPr>
          <w:rFonts w:eastAsia="Verdana" w:cs="Verdana"/>
          <w:sz w:val="25"/>
          <w:szCs w:val="25"/>
          <w:highlight w:val="yellow"/>
        </w:rPr>
        <w:sectPr>
          <w:headerReference w:type="even" r:id="rId386"/>
          <w:headerReference w:type="default" r:id="rId387"/>
          <w:footerReference w:type="even" r:id="rId388"/>
          <w:footerReference w:type="default" r:id="rId389"/>
          <w:headerReference w:type="first" r:id="rId390"/>
          <w:footerReference w:type="first" r:id="rId391"/>
          <w:pgSz w:w="16840" w:h="11900" w:orient="landscape"/>
          <w:pgMar w:top="1134" w:right="1134" w:bottom="1134" w:left="1134" w:header="708" w:footer="708" w:gutter="0"/>
          <w:cols w:space="720"/>
        </w:sectPr>
      </w:pPr>
    </w:p>
    <w:p>
      <w:pPr>
        <w:pStyle w:val="HEADER2PartBUDG"/>
        <w:numPr>
          <w:ilvl w:val="1"/>
          <w:numId w:val="15"/>
        </w:numPr>
        <w:rPr>
          <w:noProof/>
        </w:rPr>
      </w:pPr>
      <w:bookmarkStart w:id="279" w:name="_Toc75518152"/>
      <w:r>
        <w:rPr>
          <w:noProof/>
        </w:rPr>
        <w:t>ИЗПЪЛНЕНИЕ НА БЮДЖЕТНИТЕ КРЕДИТИ ЗА ПОЕТИ ЗАДЪЛЖЕНИЯ</w:t>
      </w:r>
      <w:bookmarkEnd w:id="279"/>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07"/>
        <w:gridCol w:w="1199"/>
        <w:gridCol w:w="974"/>
        <w:gridCol w:w="953"/>
        <w:gridCol w:w="953"/>
        <w:gridCol w:w="953"/>
        <w:gridCol w:w="953"/>
        <w:gridCol w:w="953"/>
        <w:gridCol w:w="953"/>
        <w:gridCol w:w="953"/>
        <w:gridCol w:w="953"/>
        <w:gridCol w:w="953"/>
        <w:gridCol w:w="953"/>
        <w:gridCol w:w="1082"/>
      </w:tblGrid>
      <w:tr>
        <w:trPr>
          <w:trHeight w:val="283"/>
        </w:trPr>
        <w:tc>
          <w:tcPr>
            <w:tcW w:w="2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bookmarkStart w:id="280" w:name="DOC_TBL00120_1_1"/>
            <w:bookmarkEnd w:id="280"/>
          </w:p>
        </w:tc>
        <w:tc>
          <w:tcPr>
            <w:tcW w:w="1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4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0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p>
        </w:tc>
        <w:tc>
          <w:tcPr>
            <w:tcW w:w="15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rPr>
        <w:tc>
          <w:tcPr>
            <w:tcW w:w="280"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p>
        </w:tc>
        <w:tc>
          <w:tcPr>
            <w:tcW w:w="176"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b/>
                <w:noProof/>
                <w:color w:val="FFFFFF"/>
                <w:sz w:val="16"/>
              </w:rPr>
            </w:pPr>
            <w:r>
              <w:rPr>
                <w:rFonts w:ascii="Verdana" w:hAnsi="Verdana"/>
                <w:b/>
                <w:noProof/>
                <w:color w:val="FFFFFF"/>
                <w:sz w:val="16"/>
              </w:rPr>
              <w:t>Общо</w:t>
            </w:r>
          </w:p>
          <w:p>
            <w:pPr>
              <w:pStyle w:val="DMETW19895BIPInstitutions2Commitments"/>
              <w:jc w:val="center"/>
              <w:rPr>
                <w:rFonts w:ascii="Verdana" w:eastAsia="Verdana" w:hAnsi="Verdana" w:cs="Verdana"/>
                <w:b/>
                <w:noProof/>
                <w:color w:val="FFFFFF"/>
                <w:sz w:val="16"/>
              </w:rPr>
            </w:pPr>
            <w:r>
              <w:rPr>
                <w:rFonts w:ascii="Verdana" w:hAnsi="Verdana"/>
                <w:b/>
                <w:noProof/>
                <w:color w:val="FFFFFF"/>
                <w:sz w:val="16"/>
              </w:rPr>
              <w:t>налични</w:t>
            </w:r>
          </w:p>
          <w:p>
            <w:pPr>
              <w:pStyle w:val="DMETW19895BIPInstitutions2Commitments"/>
              <w:jc w:val="center"/>
              <w:rPr>
                <w:rFonts w:ascii="Verdana" w:eastAsia="Verdana" w:hAnsi="Verdana" w:cs="Verdana"/>
                <w:b/>
                <w:noProof/>
                <w:color w:val="FFFFFF"/>
                <w:sz w:val="16"/>
              </w:rPr>
            </w:pPr>
            <w:r>
              <w:rPr>
                <w:rFonts w:ascii="Verdana" w:hAnsi="Verdana"/>
                <w:b/>
                <w:noProof/>
                <w:color w:val="FFFFFF"/>
                <w:sz w:val="16"/>
              </w:rPr>
              <w:t>бюджетни кредити</w:t>
            </w:r>
          </w:p>
        </w:tc>
        <w:tc>
          <w:tcPr>
            <w:tcW w:w="143"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b/>
                <w:noProof/>
                <w:color w:val="FFFFFF"/>
                <w:sz w:val="16"/>
              </w:rPr>
            </w:pPr>
            <w:r>
              <w:rPr>
                <w:rFonts w:ascii="Verdana" w:hAnsi="Verdana"/>
                <w:b/>
                <w:noProof/>
                <w:color w:val="FFFFFF"/>
                <w:sz w:val="16"/>
              </w:rPr>
              <w:t>Поети задължения</w:t>
            </w:r>
          </w:p>
        </w:tc>
        <w:tc>
          <w:tcPr>
            <w:tcW w:w="127" w:type="dxa"/>
            <w:gridSpan w:val="3"/>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b/>
                <w:noProof/>
                <w:color w:val="FFFFFF"/>
                <w:sz w:val="16"/>
              </w:rPr>
            </w:pPr>
            <w:r>
              <w:rPr>
                <w:rFonts w:ascii="Verdana" w:hAnsi="Verdana"/>
                <w:b/>
                <w:noProof/>
                <w:color w:val="FFFFFF"/>
                <w:sz w:val="16"/>
              </w:rPr>
              <w:t>Бюджетни кредити, пренесени за 2021 г.</w:t>
            </w:r>
          </w:p>
        </w:tc>
        <w:tc>
          <w:tcPr>
            <w:tcW w:w="127"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b/>
                <w:noProof/>
                <w:color w:val="FFFFFF"/>
                <w:sz w:val="16"/>
              </w:rPr>
            </w:pPr>
            <w:r>
              <w:rPr>
                <w:rFonts w:ascii="Verdana" w:hAnsi="Verdana"/>
                <w:b/>
                <w:noProof/>
                <w:color w:val="FFFFFF"/>
                <w:sz w:val="16"/>
              </w:rPr>
              <w:t>Бюджетни кредити, които губят сила</w:t>
            </w:r>
          </w:p>
        </w:tc>
      </w:tr>
      <w:tr>
        <w:trPr>
          <w:trHeight w:val="624"/>
        </w:trPr>
        <w:tc>
          <w:tcPr>
            <w:tcW w:w="280"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Институция</w:t>
            </w:r>
          </w:p>
        </w:tc>
        <w:tc>
          <w:tcPr>
            <w:tcW w:w="1215" w:type="dxa"/>
            <w:vMerge/>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b/>
                <w:noProof/>
                <w:color w:val="FFFFFF"/>
                <w:sz w:val="16"/>
              </w:rPr>
            </w:pPr>
          </w:p>
        </w:tc>
        <w:tc>
          <w:tcPr>
            <w:tcW w:w="143"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127"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127"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127"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Общо</w:t>
            </w:r>
          </w:p>
        </w:tc>
        <w:tc>
          <w:tcPr>
            <w:tcW w:w="127"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w:t>
            </w:r>
          </w:p>
        </w:tc>
        <w:tc>
          <w:tcPr>
            <w:tcW w:w="127"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127"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пренасяния с решение</w:t>
            </w:r>
          </w:p>
        </w:tc>
        <w:tc>
          <w:tcPr>
            <w:tcW w:w="127"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Общо</w:t>
            </w:r>
          </w:p>
        </w:tc>
        <w:tc>
          <w:tcPr>
            <w:tcW w:w="127"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109"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117"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159"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Общо</w:t>
            </w:r>
          </w:p>
        </w:tc>
      </w:tr>
      <w:tr>
        <w:trPr>
          <w:trHeight w:val="340"/>
        </w:trPr>
        <w:tc>
          <w:tcPr>
            <w:tcW w:w="280"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p>
        </w:tc>
        <w:tc>
          <w:tcPr>
            <w:tcW w:w="176"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1</w:t>
            </w:r>
          </w:p>
        </w:tc>
        <w:tc>
          <w:tcPr>
            <w:tcW w:w="143"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2</w:t>
            </w:r>
          </w:p>
        </w:tc>
        <w:tc>
          <w:tcPr>
            <w:tcW w:w="127"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3</w:t>
            </w:r>
          </w:p>
        </w:tc>
        <w:tc>
          <w:tcPr>
            <w:tcW w:w="127"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4</w:t>
            </w:r>
          </w:p>
        </w:tc>
        <w:tc>
          <w:tcPr>
            <w:tcW w:w="127"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5=2+3+4</w:t>
            </w:r>
          </w:p>
        </w:tc>
        <w:tc>
          <w:tcPr>
            <w:tcW w:w="127"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6=5/1</w:t>
            </w:r>
          </w:p>
        </w:tc>
        <w:tc>
          <w:tcPr>
            <w:tcW w:w="127"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7</w:t>
            </w:r>
          </w:p>
        </w:tc>
        <w:tc>
          <w:tcPr>
            <w:tcW w:w="127"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8</w:t>
            </w:r>
          </w:p>
        </w:tc>
        <w:tc>
          <w:tcPr>
            <w:tcW w:w="127"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9=7+8</w:t>
            </w:r>
          </w:p>
        </w:tc>
        <w:tc>
          <w:tcPr>
            <w:tcW w:w="127"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10</w:t>
            </w:r>
          </w:p>
        </w:tc>
        <w:tc>
          <w:tcPr>
            <w:tcW w:w="109"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11</w:t>
            </w:r>
          </w:p>
        </w:tc>
        <w:tc>
          <w:tcPr>
            <w:tcW w:w="117"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12</w:t>
            </w:r>
          </w:p>
        </w:tc>
        <w:tc>
          <w:tcPr>
            <w:tcW w:w="159"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2Commitments"/>
              <w:jc w:val="center"/>
              <w:rPr>
                <w:rFonts w:ascii="Verdana" w:eastAsia="Verdana" w:hAnsi="Verdana" w:cs="Verdana"/>
                <w:noProof/>
                <w:color w:val="FFFFFF"/>
                <w:sz w:val="16"/>
              </w:rPr>
            </w:pPr>
            <w:r>
              <w:rPr>
                <w:rFonts w:ascii="Verdana" w:hAnsi="Verdana"/>
                <w:noProof/>
                <w:color w:val="FFFFFF"/>
                <w:sz w:val="16"/>
              </w:rPr>
              <w:t>13=10+ 11+12</w:t>
            </w:r>
          </w:p>
        </w:tc>
      </w:tr>
      <w:tr>
        <w:trPr>
          <w:trHeight w:val="340"/>
        </w:trPr>
        <w:tc>
          <w:tcPr>
            <w:tcW w:w="2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r>
              <w:rPr>
                <w:rFonts w:ascii="Verdana" w:hAnsi="Verdana"/>
                <w:noProof/>
                <w:color w:val="000000"/>
                <w:sz w:val="16"/>
              </w:rPr>
              <w:t>Европейски парламент</w:t>
            </w:r>
          </w:p>
        </w:tc>
        <w:tc>
          <w:tcPr>
            <w:tcW w:w="1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2 105</w:t>
            </w:r>
          </w:p>
        </w:tc>
        <w:tc>
          <w:tcPr>
            <w:tcW w:w="14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1 951</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1 985</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28</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75</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103</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10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15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454"/>
        </w:trPr>
        <w:tc>
          <w:tcPr>
            <w:tcW w:w="2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r>
              <w:rPr>
                <w:rFonts w:ascii="Verdana" w:hAnsi="Verdana"/>
                <w:noProof/>
                <w:color w:val="000000"/>
                <w:sz w:val="16"/>
              </w:rPr>
              <w:t>Европейски съвет и Съвет</w:t>
            </w:r>
          </w:p>
        </w:tc>
        <w:tc>
          <w:tcPr>
            <w:tcW w:w="1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649</w:t>
            </w:r>
          </w:p>
        </w:tc>
        <w:tc>
          <w:tcPr>
            <w:tcW w:w="14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550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566</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87 %</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40</w:t>
            </w:r>
          </w:p>
        </w:tc>
        <w:tc>
          <w:tcPr>
            <w:tcW w:w="10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5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41</w:t>
            </w:r>
          </w:p>
        </w:tc>
      </w:tr>
      <w:tr>
        <w:trPr>
          <w:trHeight w:val="340"/>
        </w:trPr>
        <w:tc>
          <w:tcPr>
            <w:tcW w:w="2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r>
              <w:rPr>
                <w:rFonts w:ascii="Verdana" w:hAnsi="Verdana"/>
                <w:noProof/>
                <w:color w:val="000000"/>
                <w:sz w:val="16"/>
              </w:rPr>
              <w:t>Комисия</w:t>
            </w:r>
          </w:p>
        </w:tc>
        <w:tc>
          <w:tcPr>
            <w:tcW w:w="1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183 075</w:t>
            </w:r>
          </w:p>
        </w:tc>
        <w:tc>
          <w:tcPr>
            <w:tcW w:w="14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168 909</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1 078</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7 393</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177 381</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3 896</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497</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4 393</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253</w:t>
            </w:r>
          </w:p>
        </w:tc>
        <w:tc>
          <w:tcPr>
            <w:tcW w:w="10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1 044</w:t>
            </w:r>
          </w:p>
        </w:tc>
        <w:tc>
          <w:tcPr>
            <w:tcW w:w="15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1 302</w:t>
            </w:r>
          </w:p>
        </w:tc>
      </w:tr>
      <w:tr>
        <w:trPr>
          <w:trHeight w:val="340"/>
        </w:trPr>
        <w:tc>
          <w:tcPr>
            <w:tcW w:w="2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r>
              <w:rPr>
                <w:rFonts w:ascii="Verdana" w:hAnsi="Verdana"/>
                <w:noProof/>
                <w:color w:val="000000"/>
                <w:sz w:val="16"/>
              </w:rPr>
              <w:t>Съд</w:t>
            </w:r>
          </w:p>
        </w:tc>
        <w:tc>
          <w:tcPr>
            <w:tcW w:w="1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438</w:t>
            </w:r>
          </w:p>
        </w:tc>
        <w:tc>
          <w:tcPr>
            <w:tcW w:w="14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432</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432</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10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5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5</w:t>
            </w:r>
          </w:p>
        </w:tc>
      </w:tr>
      <w:tr>
        <w:trPr>
          <w:trHeight w:val="340"/>
        </w:trPr>
        <w:tc>
          <w:tcPr>
            <w:tcW w:w="2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r>
              <w:rPr>
                <w:rFonts w:ascii="Verdana" w:hAnsi="Verdana"/>
                <w:noProof/>
                <w:color w:val="000000"/>
                <w:sz w:val="16"/>
              </w:rPr>
              <w:t>Сметна палата</w:t>
            </w:r>
          </w:p>
        </w:tc>
        <w:tc>
          <w:tcPr>
            <w:tcW w:w="1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152</w:t>
            </w:r>
          </w:p>
        </w:tc>
        <w:tc>
          <w:tcPr>
            <w:tcW w:w="14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10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w:t>
            </w:r>
          </w:p>
        </w:tc>
        <w:tc>
          <w:tcPr>
            <w:tcW w:w="15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397"/>
        </w:trPr>
        <w:tc>
          <w:tcPr>
            <w:tcW w:w="2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r>
              <w:rPr>
                <w:rFonts w:ascii="Verdana" w:hAnsi="Verdana"/>
                <w:noProof/>
                <w:color w:val="000000"/>
                <w:sz w:val="16"/>
              </w:rPr>
              <w:t>Икономически и социален комитет</w:t>
            </w:r>
          </w:p>
        </w:tc>
        <w:tc>
          <w:tcPr>
            <w:tcW w:w="1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147</w:t>
            </w:r>
          </w:p>
        </w:tc>
        <w:tc>
          <w:tcPr>
            <w:tcW w:w="14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131</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134</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91 %</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10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5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12</w:t>
            </w:r>
          </w:p>
        </w:tc>
      </w:tr>
      <w:tr>
        <w:trPr>
          <w:trHeight w:val="340"/>
        </w:trPr>
        <w:tc>
          <w:tcPr>
            <w:tcW w:w="2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r>
              <w:rPr>
                <w:rFonts w:ascii="Verdana" w:hAnsi="Verdana"/>
                <w:noProof/>
                <w:color w:val="000000"/>
                <w:sz w:val="16"/>
              </w:rPr>
              <w:t>Комитет на регионите</w:t>
            </w:r>
          </w:p>
        </w:tc>
        <w:tc>
          <w:tcPr>
            <w:tcW w:w="1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103</w:t>
            </w:r>
          </w:p>
        </w:tc>
        <w:tc>
          <w:tcPr>
            <w:tcW w:w="14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95</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10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5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340"/>
        </w:trPr>
        <w:tc>
          <w:tcPr>
            <w:tcW w:w="2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r>
              <w:rPr>
                <w:rFonts w:ascii="Verdana" w:hAnsi="Verdana"/>
                <w:noProof/>
                <w:color w:val="000000"/>
                <w:sz w:val="16"/>
              </w:rPr>
              <w:t>Омбудсман</w:t>
            </w:r>
          </w:p>
        </w:tc>
        <w:tc>
          <w:tcPr>
            <w:tcW w:w="1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14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0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5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485"/>
        </w:trPr>
        <w:tc>
          <w:tcPr>
            <w:tcW w:w="2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r>
              <w:rPr>
                <w:rFonts w:ascii="Verdana" w:hAnsi="Verdana"/>
                <w:noProof/>
                <w:color w:val="000000"/>
                <w:sz w:val="16"/>
              </w:rPr>
              <w:t>Европейски надзорен орган по защита на данните</w:t>
            </w:r>
          </w:p>
        </w:tc>
        <w:tc>
          <w:tcPr>
            <w:tcW w:w="1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14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73 %</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10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5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5</w:t>
            </w:r>
          </w:p>
        </w:tc>
      </w:tr>
      <w:tr>
        <w:trPr>
          <w:trHeight w:val="454"/>
        </w:trPr>
        <w:tc>
          <w:tcPr>
            <w:tcW w:w="280"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rPr>
                <w:rFonts w:ascii="Verdana" w:eastAsia="Verdana" w:hAnsi="Verdana" w:cs="Verdana"/>
                <w:noProof/>
                <w:color w:val="000000"/>
                <w:sz w:val="16"/>
              </w:rPr>
            </w:pPr>
            <w:r>
              <w:rPr>
                <w:rFonts w:ascii="Verdana" w:hAnsi="Verdana"/>
                <w:noProof/>
                <w:color w:val="000000"/>
                <w:sz w:val="16"/>
              </w:rPr>
              <w:t>Европейска служба за външна дейност</w:t>
            </w:r>
          </w:p>
        </w:tc>
        <w:tc>
          <w:tcPr>
            <w:tcW w:w="1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1 040</w:t>
            </w:r>
          </w:p>
        </w:tc>
        <w:tc>
          <w:tcPr>
            <w:tcW w:w="143"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695</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240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934</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90 %</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69</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79</w:t>
            </w:r>
          </w:p>
        </w:tc>
        <w:tc>
          <w:tcPr>
            <w:tcW w:w="12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27</w:t>
            </w:r>
          </w:p>
        </w:tc>
        <w:tc>
          <w:tcPr>
            <w:tcW w:w="10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0</w:t>
            </w:r>
          </w:p>
        </w:tc>
        <w:tc>
          <w:tcPr>
            <w:tcW w:w="117"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5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2Commitments"/>
              <w:jc w:val="right"/>
              <w:rPr>
                <w:rFonts w:ascii="Verdana" w:eastAsia="Verdana" w:hAnsi="Verdana" w:cs="Verdana"/>
                <w:noProof/>
                <w:color w:val="000000"/>
                <w:sz w:val="16"/>
              </w:rPr>
            </w:pPr>
            <w:r>
              <w:rPr>
                <w:rFonts w:ascii="Verdana" w:hAnsi="Verdana"/>
                <w:noProof/>
                <w:color w:val="000000"/>
                <w:sz w:val="16"/>
              </w:rPr>
              <w:t xml:space="preserve"> 27</w:t>
            </w:r>
          </w:p>
        </w:tc>
      </w:tr>
      <w:tr>
        <w:trPr>
          <w:trHeight w:val="340"/>
        </w:trPr>
        <w:tc>
          <w:tcPr>
            <w:tcW w:w="280"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rPr>
                <w:rFonts w:ascii="Verdana" w:eastAsia="Verdana" w:hAnsi="Verdana" w:cs="Verdana"/>
                <w:b/>
                <w:noProof/>
                <w:color w:val="000000"/>
                <w:sz w:val="16"/>
              </w:rPr>
            </w:pPr>
            <w:r>
              <w:rPr>
                <w:rFonts w:ascii="Verdana" w:hAnsi="Verdana"/>
                <w:b/>
                <w:noProof/>
                <w:color w:val="000000"/>
                <w:sz w:val="16"/>
              </w:rPr>
              <w:t>Общо</w:t>
            </w:r>
          </w:p>
        </w:tc>
        <w:tc>
          <w:tcPr>
            <w:tcW w:w="176"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187 742</w:t>
            </w:r>
          </w:p>
        </w:tc>
        <w:tc>
          <w:tcPr>
            <w:tcW w:w="143"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172 933</w:t>
            </w:r>
          </w:p>
        </w:tc>
        <w:tc>
          <w:tcPr>
            <w:tcW w:w="127"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1 078</w:t>
            </w:r>
          </w:p>
        </w:tc>
        <w:tc>
          <w:tcPr>
            <w:tcW w:w="127"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7 688</w:t>
            </w:r>
          </w:p>
        </w:tc>
        <w:tc>
          <w:tcPr>
            <w:tcW w:w="127"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181 699</w:t>
            </w:r>
          </w:p>
        </w:tc>
        <w:tc>
          <w:tcPr>
            <w:tcW w:w="127"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97 %</w:t>
            </w:r>
          </w:p>
        </w:tc>
        <w:tc>
          <w:tcPr>
            <w:tcW w:w="127"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4 038</w:t>
            </w:r>
          </w:p>
        </w:tc>
        <w:tc>
          <w:tcPr>
            <w:tcW w:w="127"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 xml:space="preserve"> 582</w:t>
            </w:r>
          </w:p>
        </w:tc>
        <w:tc>
          <w:tcPr>
            <w:tcW w:w="127"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4 620</w:t>
            </w:r>
          </w:p>
        </w:tc>
        <w:tc>
          <w:tcPr>
            <w:tcW w:w="127"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 xml:space="preserve"> 369</w:t>
            </w:r>
          </w:p>
        </w:tc>
        <w:tc>
          <w:tcPr>
            <w:tcW w:w="109"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 xml:space="preserve"> 4</w:t>
            </w:r>
          </w:p>
        </w:tc>
        <w:tc>
          <w:tcPr>
            <w:tcW w:w="117"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1 050</w:t>
            </w:r>
          </w:p>
        </w:tc>
        <w:tc>
          <w:tcPr>
            <w:tcW w:w="159"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2Commitments"/>
              <w:jc w:val="right"/>
              <w:rPr>
                <w:rFonts w:ascii="Verdana" w:eastAsia="Verdana" w:hAnsi="Verdana" w:cs="Verdana"/>
                <w:b/>
                <w:noProof/>
                <w:color w:val="000000"/>
                <w:sz w:val="16"/>
              </w:rPr>
            </w:pPr>
            <w:r>
              <w:rPr>
                <w:rFonts w:ascii="Verdana" w:hAnsi="Verdana"/>
                <w:b/>
                <w:noProof/>
                <w:color w:val="000000"/>
                <w:sz w:val="16"/>
              </w:rPr>
              <w:t>1 423</w:t>
            </w:r>
          </w:p>
        </w:tc>
      </w:tr>
    </w:tbl>
    <w:p>
      <w:pPr>
        <w:pStyle w:val="Textstand-alone"/>
      </w:pPr>
    </w:p>
    <w:p>
      <w:pPr>
        <w:pStyle w:val="Textstand-alone"/>
        <w:sectPr>
          <w:headerReference w:type="even" r:id="rId392"/>
          <w:headerReference w:type="default" r:id="rId393"/>
          <w:footerReference w:type="even" r:id="rId394"/>
          <w:footerReference w:type="default" r:id="rId395"/>
          <w:headerReference w:type="first" r:id="rId396"/>
          <w:footerReference w:type="first" r:id="rId397"/>
          <w:type w:val="nextColumn"/>
          <w:pgSz w:w="16840" w:h="11900" w:orient="landscape"/>
          <w:pgMar w:top="1134" w:right="1134" w:bottom="1134" w:left="1134" w:header="720" w:footer="720" w:gutter="0"/>
          <w:cols w:space="720"/>
        </w:sectPr>
      </w:pPr>
      <w:r>
        <w:t xml:space="preserve">       </w:t>
      </w:r>
    </w:p>
    <w:p>
      <w:pPr>
        <w:pStyle w:val="HEADER2PartBUDG"/>
        <w:numPr>
          <w:ilvl w:val="1"/>
          <w:numId w:val="15"/>
        </w:numPr>
        <w:rPr>
          <w:noProof/>
        </w:rPr>
      </w:pPr>
      <w:bookmarkStart w:id="281" w:name="_Toc75518153"/>
      <w:r>
        <w:rPr>
          <w:noProof/>
        </w:rPr>
        <w:t>ИЗПЪЛНЕНИЕ НА БЮДЖЕТНИТЕ КРЕДИТИ ЗА ПЛАЩАНИЯ</w:t>
      </w:r>
      <w:bookmarkEnd w:id="281"/>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45"/>
        <w:gridCol w:w="976"/>
        <w:gridCol w:w="889"/>
        <w:gridCol w:w="889"/>
        <w:gridCol w:w="889"/>
        <w:gridCol w:w="889"/>
        <w:gridCol w:w="854"/>
        <w:gridCol w:w="924"/>
        <w:gridCol w:w="889"/>
        <w:gridCol w:w="889"/>
        <w:gridCol w:w="889"/>
        <w:gridCol w:w="889"/>
        <w:gridCol w:w="765"/>
        <w:gridCol w:w="851"/>
        <w:gridCol w:w="1165"/>
      </w:tblGrid>
      <w:tr>
        <w:trPr>
          <w:trHeight w:val="181"/>
        </w:trPr>
        <w:tc>
          <w:tcPr>
            <w:tcW w:w="204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bookmarkStart w:id="282" w:name="DOC_TBL00121_1_1"/>
            <w:bookmarkEnd w:id="282"/>
          </w:p>
        </w:tc>
        <w:tc>
          <w:tcPr>
            <w:tcW w:w="9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8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7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rPr>
        <w:tc>
          <w:tcPr>
            <w:tcW w:w="2045"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p>
        </w:tc>
        <w:tc>
          <w:tcPr>
            <w:tcW w:w="976"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b/>
                <w:noProof/>
                <w:color w:val="FFFFFF"/>
                <w:sz w:val="16"/>
              </w:rPr>
            </w:pPr>
            <w:r>
              <w:rPr>
                <w:rFonts w:ascii="Verdana" w:hAnsi="Verdana"/>
                <w:b/>
                <w:noProof/>
                <w:color w:val="FFFFFF"/>
                <w:sz w:val="16"/>
              </w:rPr>
              <w:t>Общо</w:t>
            </w:r>
          </w:p>
          <w:p>
            <w:pPr>
              <w:pStyle w:val="DMETW19895BIPInstitutions3Payments"/>
              <w:jc w:val="center"/>
              <w:rPr>
                <w:rFonts w:ascii="Verdana" w:eastAsia="Verdana" w:hAnsi="Verdana" w:cs="Verdana"/>
                <w:b/>
                <w:noProof/>
                <w:color w:val="FFFFFF"/>
                <w:sz w:val="16"/>
              </w:rPr>
            </w:pPr>
            <w:r>
              <w:rPr>
                <w:rFonts w:ascii="Verdana" w:hAnsi="Verdana"/>
                <w:b/>
                <w:noProof/>
                <w:color w:val="FFFFFF"/>
                <w:sz w:val="16"/>
              </w:rPr>
              <w:t>налични</w:t>
            </w:r>
          </w:p>
          <w:p>
            <w:pPr>
              <w:pStyle w:val="DMETW19895BIPInstitutions3Payments"/>
              <w:jc w:val="center"/>
              <w:rPr>
                <w:rFonts w:ascii="Verdana" w:eastAsia="Verdana" w:hAnsi="Verdana" w:cs="Verdana"/>
                <w:b/>
                <w:noProof/>
                <w:color w:val="FFFFFF"/>
                <w:sz w:val="16"/>
              </w:rPr>
            </w:pPr>
            <w:r>
              <w:rPr>
                <w:rFonts w:ascii="Verdana" w:hAnsi="Verdana"/>
                <w:b/>
                <w:noProof/>
                <w:color w:val="FFFFFF"/>
                <w:sz w:val="16"/>
              </w:rPr>
              <w:t>бюджетни кредити</w:t>
            </w:r>
          </w:p>
        </w:tc>
        <w:tc>
          <w:tcPr>
            <w:tcW w:w="889" w:type="dxa"/>
            <w:gridSpan w:val="5"/>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b/>
                <w:noProof/>
                <w:color w:val="FFFFFF"/>
                <w:sz w:val="16"/>
              </w:rPr>
            </w:pPr>
            <w:r>
              <w:rPr>
                <w:rFonts w:ascii="Verdana" w:hAnsi="Verdana"/>
                <w:b/>
                <w:noProof/>
                <w:color w:val="FFFFFF"/>
                <w:sz w:val="16"/>
              </w:rPr>
              <w:t>Извършени плащания</w:t>
            </w:r>
          </w:p>
        </w:tc>
        <w:tc>
          <w:tcPr>
            <w:tcW w:w="924"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b/>
                <w:noProof/>
                <w:color w:val="FFFFFF"/>
                <w:sz w:val="16"/>
              </w:rPr>
            </w:pPr>
            <w:r>
              <w:rPr>
                <w:rFonts w:ascii="Verdana" w:hAnsi="Verdana"/>
                <w:b/>
                <w:noProof/>
                <w:color w:val="FFFFFF"/>
                <w:sz w:val="16"/>
              </w:rPr>
              <w:t>Бюджетни кредити, пренесени за 2021 г.</w:t>
            </w:r>
          </w:p>
        </w:tc>
        <w:tc>
          <w:tcPr>
            <w:tcW w:w="889"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b/>
                <w:noProof/>
                <w:color w:val="FFFFFF"/>
                <w:sz w:val="16"/>
              </w:rPr>
            </w:pPr>
            <w:r>
              <w:rPr>
                <w:rFonts w:ascii="Verdana" w:hAnsi="Verdana"/>
                <w:b/>
                <w:noProof/>
                <w:color w:val="FFFFFF"/>
                <w:sz w:val="16"/>
              </w:rPr>
              <w:t>Бюджетни кредити, които губят сила</w:t>
            </w:r>
          </w:p>
        </w:tc>
      </w:tr>
      <w:tr>
        <w:trPr>
          <w:trHeight w:val="794"/>
        </w:trPr>
        <w:tc>
          <w:tcPr>
            <w:tcW w:w="2045"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Институция</w:t>
            </w:r>
          </w:p>
        </w:tc>
        <w:tc>
          <w:tcPr>
            <w:tcW w:w="1080" w:type="dxa"/>
            <w:vMerge/>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b/>
                <w:noProof/>
                <w:color w:val="FFFFFF"/>
                <w:sz w:val="16"/>
              </w:rPr>
            </w:pPr>
          </w:p>
        </w:tc>
        <w:tc>
          <w:tcPr>
            <w:tcW w:w="889"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окончателния</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приет</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бюджет</w:t>
            </w:r>
          </w:p>
        </w:tc>
        <w:tc>
          <w:tcPr>
            <w:tcW w:w="889"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пренасяния</w:t>
            </w:r>
          </w:p>
          <w:p>
            <w:pPr>
              <w:pStyle w:val="DMETW19895BIPInstitutions3Payments"/>
              <w:jc w:val="center"/>
              <w:rPr>
                <w:rFonts w:ascii="Verdana" w:eastAsia="Verdana" w:hAnsi="Verdana" w:cs="Verdana"/>
                <w:noProof/>
                <w:color w:val="FFFFFF"/>
                <w:sz w:val="16"/>
              </w:rPr>
            </w:pPr>
          </w:p>
        </w:tc>
        <w:tc>
          <w:tcPr>
            <w:tcW w:w="889"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целеви</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приходи</w:t>
            </w:r>
          </w:p>
        </w:tc>
        <w:tc>
          <w:tcPr>
            <w:tcW w:w="889"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Общо</w:t>
            </w:r>
          </w:p>
        </w:tc>
        <w:tc>
          <w:tcPr>
            <w:tcW w:w="854"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w:t>
            </w:r>
          </w:p>
        </w:tc>
        <w:tc>
          <w:tcPr>
            <w:tcW w:w="924"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автоматични</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пренасяния</w:t>
            </w:r>
          </w:p>
        </w:tc>
        <w:tc>
          <w:tcPr>
            <w:tcW w:w="889"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пренасяния</w:t>
            </w:r>
          </w:p>
          <w:p>
            <w:pPr>
              <w:pStyle w:val="DMETW19895BIPInstitutions3Payments"/>
              <w:jc w:val="center"/>
              <w:rPr>
                <w:rFonts w:ascii="Verdana" w:eastAsia="Verdana" w:hAnsi="Verdana" w:cs="Verdana"/>
                <w:noProof/>
                <w:color w:val="FFFFFF"/>
                <w:sz w:val="16"/>
              </w:rPr>
            </w:pP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с</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решение</w:t>
            </w:r>
          </w:p>
        </w:tc>
        <w:tc>
          <w:tcPr>
            <w:tcW w:w="889"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889"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Общо</w:t>
            </w:r>
          </w:p>
        </w:tc>
        <w:tc>
          <w:tcPr>
            <w:tcW w:w="889"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окончателния</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приет</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бюджет</w:t>
            </w:r>
          </w:p>
        </w:tc>
        <w:tc>
          <w:tcPr>
            <w:tcW w:w="765"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пренасяния</w:t>
            </w:r>
          </w:p>
          <w:p>
            <w:pPr>
              <w:pStyle w:val="DMETW19895BIPInstitutions3Payments"/>
              <w:jc w:val="center"/>
              <w:rPr>
                <w:rFonts w:ascii="Verdana" w:eastAsia="Verdana" w:hAnsi="Verdana" w:cs="Verdana"/>
                <w:noProof/>
                <w:color w:val="FFFFFF"/>
                <w:sz w:val="16"/>
              </w:rPr>
            </w:pPr>
          </w:p>
        </w:tc>
        <w:tc>
          <w:tcPr>
            <w:tcW w:w="851"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целеви</w:t>
            </w:r>
          </w:p>
          <w:p>
            <w:pPr>
              <w:pStyle w:val="DMETW19895BIPInstitutions3Payments"/>
              <w:jc w:val="center"/>
              <w:rPr>
                <w:rFonts w:ascii="Verdana" w:eastAsia="Verdana" w:hAnsi="Verdana" w:cs="Verdana"/>
                <w:noProof/>
                <w:color w:val="FFFFFF"/>
                <w:sz w:val="16"/>
              </w:rPr>
            </w:pPr>
            <w:r>
              <w:rPr>
                <w:rFonts w:ascii="Verdana" w:hAnsi="Verdana"/>
                <w:noProof/>
                <w:color w:val="FFFFFF"/>
                <w:sz w:val="16"/>
              </w:rPr>
              <w:t>приходи</w:t>
            </w:r>
          </w:p>
        </w:tc>
        <w:tc>
          <w:tcPr>
            <w:tcW w:w="1165" w:type="dxa"/>
            <w:tcBorders>
              <w:top w:val="nil"/>
              <w:left w:val="nil"/>
              <w:bottom w:val="nil"/>
              <w:right w:val="nil"/>
              <w:tl2br w:val="nil"/>
              <w:tr2bl w:val="nil"/>
            </w:tcBorders>
            <w:shd w:val="solid" w:color="016794"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Общо</w:t>
            </w:r>
          </w:p>
        </w:tc>
      </w:tr>
      <w:tr>
        <w:trPr>
          <w:trHeight w:val="340"/>
        </w:trPr>
        <w:tc>
          <w:tcPr>
            <w:tcW w:w="2045"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p>
        </w:tc>
        <w:tc>
          <w:tcPr>
            <w:tcW w:w="976"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1</w:t>
            </w:r>
          </w:p>
        </w:tc>
        <w:tc>
          <w:tcPr>
            <w:tcW w:w="889"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2</w:t>
            </w:r>
          </w:p>
        </w:tc>
        <w:tc>
          <w:tcPr>
            <w:tcW w:w="889"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3</w:t>
            </w:r>
          </w:p>
        </w:tc>
        <w:tc>
          <w:tcPr>
            <w:tcW w:w="889"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4</w:t>
            </w:r>
          </w:p>
        </w:tc>
        <w:tc>
          <w:tcPr>
            <w:tcW w:w="889"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5=2+3+4</w:t>
            </w:r>
          </w:p>
        </w:tc>
        <w:tc>
          <w:tcPr>
            <w:tcW w:w="854"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6=5/1</w:t>
            </w:r>
          </w:p>
        </w:tc>
        <w:tc>
          <w:tcPr>
            <w:tcW w:w="924"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7</w:t>
            </w:r>
          </w:p>
        </w:tc>
        <w:tc>
          <w:tcPr>
            <w:tcW w:w="889"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8</w:t>
            </w:r>
          </w:p>
        </w:tc>
        <w:tc>
          <w:tcPr>
            <w:tcW w:w="889"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9</w:t>
            </w:r>
          </w:p>
        </w:tc>
        <w:tc>
          <w:tcPr>
            <w:tcW w:w="889"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10=7+8+9</w:t>
            </w:r>
          </w:p>
        </w:tc>
        <w:tc>
          <w:tcPr>
            <w:tcW w:w="889"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11</w:t>
            </w:r>
          </w:p>
        </w:tc>
        <w:tc>
          <w:tcPr>
            <w:tcW w:w="765"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12</w:t>
            </w:r>
          </w:p>
        </w:tc>
        <w:tc>
          <w:tcPr>
            <w:tcW w:w="851"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13</w:t>
            </w:r>
          </w:p>
        </w:tc>
        <w:tc>
          <w:tcPr>
            <w:tcW w:w="1165" w:type="dxa"/>
            <w:tcBorders>
              <w:top w:val="nil"/>
              <w:left w:val="nil"/>
              <w:bottom w:val="nil"/>
              <w:right w:val="nil"/>
              <w:tl2br w:val="nil"/>
              <w:tr2bl w:val="nil"/>
            </w:tcBorders>
            <w:shd w:val="solid" w:color="3486A9" w:fill="FFFFFF"/>
            <w:tcMar>
              <w:left w:w="60" w:type="dxa"/>
              <w:right w:w="60" w:type="dxa"/>
            </w:tcMar>
            <w:vAlign w:val="center"/>
          </w:tcPr>
          <w:p>
            <w:pPr>
              <w:pStyle w:val="DMETW19895BIPInstitutions3Payments"/>
              <w:jc w:val="center"/>
              <w:rPr>
                <w:rFonts w:ascii="Verdana" w:eastAsia="Verdana" w:hAnsi="Verdana" w:cs="Verdana"/>
                <w:noProof/>
                <w:color w:val="FFFFFF"/>
                <w:sz w:val="16"/>
              </w:rPr>
            </w:pPr>
            <w:r>
              <w:rPr>
                <w:rFonts w:ascii="Verdana" w:hAnsi="Verdana"/>
                <w:noProof/>
                <w:color w:val="FFFFFF"/>
                <w:sz w:val="16"/>
              </w:rPr>
              <w:t>14</w:t>
            </w:r>
          </w:p>
        </w:tc>
      </w:tr>
      <w:tr>
        <w:trPr>
          <w:trHeight w:val="340"/>
        </w:trPr>
        <w:tc>
          <w:tcPr>
            <w:tcW w:w="204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r>
              <w:rPr>
                <w:rFonts w:ascii="Verdana" w:hAnsi="Verdana"/>
                <w:noProof/>
                <w:color w:val="000000"/>
                <w:sz w:val="16"/>
              </w:rPr>
              <w:t>Европейски парламент</w:t>
            </w:r>
          </w:p>
        </w:tc>
        <w:tc>
          <w:tcPr>
            <w:tcW w:w="9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2 379</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1 590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247</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25</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1 862</w:t>
            </w:r>
          </w:p>
        </w:tc>
        <w:tc>
          <w:tcPr>
            <w:tcW w:w="8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78 %</w:t>
            </w:r>
          </w:p>
        </w:tc>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357</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75</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39</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471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17</w:t>
            </w:r>
          </w:p>
        </w:tc>
        <w:tc>
          <w:tcPr>
            <w:tcW w:w="7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27</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46</w:t>
            </w:r>
          </w:p>
        </w:tc>
      </w:tr>
      <w:tr>
        <w:trPr>
          <w:trHeight w:val="454"/>
        </w:trPr>
        <w:tc>
          <w:tcPr>
            <w:tcW w:w="204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r>
              <w:rPr>
                <w:rFonts w:ascii="Verdana" w:hAnsi="Verdana"/>
                <w:noProof/>
                <w:color w:val="000000"/>
                <w:sz w:val="16"/>
              </w:rPr>
              <w:t>Европейски съвет и Съвет</w:t>
            </w:r>
          </w:p>
        </w:tc>
        <w:tc>
          <w:tcPr>
            <w:tcW w:w="9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702</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481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45</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14</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540</w:t>
            </w:r>
          </w:p>
        </w:tc>
        <w:tc>
          <w:tcPr>
            <w:tcW w:w="8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77 %</w:t>
            </w:r>
          </w:p>
        </w:tc>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70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44</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113</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40</w:t>
            </w:r>
          </w:p>
        </w:tc>
        <w:tc>
          <w:tcPr>
            <w:tcW w:w="7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48</w:t>
            </w:r>
          </w:p>
        </w:tc>
      </w:tr>
      <w:tr>
        <w:trPr>
          <w:trHeight w:val="340"/>
        </w:trPr>
        <w:tc>
          <w:tcPr>
            <w:tcW w:w="204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r>
              <w:rPr>
                <w:rFonts w:ascii="Verdana" w:hAnsi="Verdana"/>
                <w:noProof/>
                <w:color w:val="000000"/>
                <w:sz w:val="16"/>
              </w:rPr>
              <w:t>Комисия</w:t>
            </w:r>
          </w:p>
        </w:tc>
        <w:tc>
          <w:tcPr>
            <w:tcW w:w="9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178 278</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158 366</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1 149</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9 661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169 176</w:t>
            </w:r>
          </w:p>
        </w:tc>
        <w:tc>
          <w:tcPr>
            <w:tcW w:w="8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95 %</w:t>
            </w:r>
          </w:p>
        </w:tc>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532</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885</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7 511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8 928</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101</w:t>
            </w:r>
          </w:p>
        </w:tc>
        <w:tc>
          <w:tcPr>
            <w:tcW w:w="7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56</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174</w:t>
            </w:r>
          </w:p>
        </w:tc>
      </w:tr>
      <w:tr>
        <w:trPr>
          <w:trHeight w:val="340"/>
        </w:trPr>
        <w:tc>
          <w:tcPr>
            <w:tcW w:w="204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r>
              <w:rPr>
                <w:rFonts w:ascii="Verdana" w:hAnsi="Verdana"/>
                <w:noProof/>
                <w:color w:val="000000"/>
                <w:sz w:val="16"/>
              </w:rPr>
              <w:t>Съд</w:t>
            </w:r>
          </w:p>
        </w:tc>
        <w:tc>
          <w:tcPr>
            <w:tcW w:w="9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463</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399</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21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420</w:t>
            </w:r>
          </w:p>
        </w:tc>
        <w:tc>
          <w:tcPr>
            <w:tcW w:w="8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33</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34</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5</w:t>
            </w:r>
          </w:p>
        </w:tc>
        <w:tc>
          <w:tcPr>
            <w:tcW w:w="7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4</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w:t>
            </w:r>
          </w:p>
        </w:tc>
      </w:tr>
      <w:tr>
        <w:trPr>
          <w:trHeight w:val="340"/>
        </w:trPr>
        <w:tc>
          <w:tcPr>
            <w:tcW w:w="204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r>
              <w:rPr>
                <w:rFonts w:ascii="Verdana" w:hAnsi="Verdana"/>
                <w:noProof/>
                <w:color w:val="000000"/>
                <w:sz w:val="16"/>
              </w:rPr>
              <w:t>Сметна палата</w:t>
            </w:r>
          </w:p>
        </w:tc>
        <w:tc>
          <w:tcPr>
            <w:tcW w:w="9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159</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137</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6</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143</w:t>
            </w:r>
          </w:p>
        </w:tc>
        <w:tc>
          <w:tcPr>
            <w:tcW w:w="8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90 %</w:t>
            </w:r>
          </w:p>
        </w:tc>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7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454"/>
        </w:trPr>
        <w:tc>
          <w:tcPr>
            <w:tcW w:w="204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r>
              <w:rPr>
                <w:rFonts w:ascii="Verdana" w:hAnsi="Verdana"/>
                <w:noProof/>
                <w:color w:val="000000"/>
                <w:sz w:val="16"/>
              </w:rPr>
              <w:t>Икономически и социален комитет</w:t>
            </w:r>
          </w:p>
        </w:tc>
        <w:tc>
          <w:tcPr>
            <w:tcW w:w="9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156</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119</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128</w:t>
            </w:r>
          </w:p>
        </w:tc>
        <w:tc>
          <w:tcPr>
            <w:tcW w:w="8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82 %</w:t>
            </w:r>
          </w:p>
        </w:tc>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12</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14</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12</w:t>
            </w:r>
          </w:p>
        </w:tc>
        <w:tc>
          <w:tcPr>
            <w:tcW w:w="7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340"/>
        </w:trPr>
        <w:tc>
          <w:tcPr>
            <w:tcW w:w="204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r>
              <w:rPr>
                <w:rFonts w:ascii="Verdana" w:hAnsi="Verdana"/>
                <w:noProof/>
                <w:color w:val="000000"/>
                <w:sz w:val="16"/>
              </w:rPr>
              <w:t>Комитет на регионите</w:t>
            </w:r>
          </w:p>
        </w:tc>
        <w:tc>
          <w:tcPr>
            <w:tcW w:w="9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115</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84</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94</w:t>
            </w:r>
          </w:p>
        </w:tc>
        <w:tc>
          <w:tcPr>
            <w:tcW w:w="8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82 %</w:t>
            </w:r>
          </w:p>
        </w:tc>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12</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7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w:t>
            </w:r>
          </w:p>
        </w:tc>
      </w:tr>
      <w:tr>
        <w:trPr>
          <w:trHeight w:val="340"/>
        </w:trPr>
        <w:tc>
          <w:tcPr>
            <w:tcW w:w="204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r>
              <w:rPr>
                <w:rFonts w:ascii="Verdana" w:hAnsi="Verdana"/>
                <w:noProof/>
                <w:color w:val="000000"/>
                <w:sz w:val="16"/>
              </w:rPr>
              <w:t>Омбудсман</w:t>
            </w:r>
          </w:p>
        </w:tc>
        <w:tc>
          <w:tcPr>
            <w:tcW w:w="9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12</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12</w:t>
            </w:r>
          </w:p>
        </w:tc>
        <w:tc>
          <w:tcPr>
            <w:tcW w:w="8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7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485"/>
        </w:trPr>
        <w:tc>
          <w:tcPr>
            <w:tcW w:w="204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r>
              <w:rPr>
                <w:rFonts w:ascii="Verdana" w:hAnsi="Verdana"/>
                <w:noProof/>
                <w:color w:val="000000"/>
                <w:sz w:val="16"/>
              </w:rPr>
              <w:t>Европейски надзорен орган по защита на данните</w:t>
            </w:r>
          </w:p>
        </w:tc>
        <w:tc>
          <w:tcPr>
            <w:tcW w:w="9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21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13</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15</w:t>
            </w:r>
          </w:p>
        </w:tc>
        <w:tc>
          <w:tcPr>
            <w:tcW w:w="8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69 %</w:t>
            </w:r>
          </w:p>
        </w:tc>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5</w:t>
            </w:r>
          </w:p>
        </w:tc>
        <w:tc>
          <w:tcPr>
            <w:tcW w:w="7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5</w:t>
            </w:r>
          </w:p>
        </w:tc>
      </w:tr>
      <w:tr>
        <w:trPr>
          <w:trHeight w:val="454"/>
        </w:trPr>
        <w:tc>
          <w:tcPr>
            <w:tcW w:w="204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rPr>
                <w:rFonts w:ascii="Verdana" w:eastAsia="Verdana" w:hAnsi="Verdana" w:cs="Verdana"/>
                <w:noProof/>
                <w:color w:val="000000"/>
                <w:sz w:val="16"/>
              </w:rPr>
            </w:pPr>
            <w:r>
              <w:rPr>
                <w:rFonts w:ascii="Verdana" w:hAnsi="Verdana"/>
                <w:noProof/>
                <w:color w:val="000000"/>
                <w:sz w:val="16"/>
              </w:rPr>
              <w:t>Европейска служба за външна дейност</w:t>
            </w:r>
          </w:p>
        </w:tc>
        <w:tc>
          <w:tcPr>
            <w:tcW w:w="976"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1 161</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602</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102</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215</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919</w:t>
            </w:r>
          </w:p>
        </w:tc>
        <w:tc>
          <w:tcPr>
            <w:tcW w:w="85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79 %</w:t>
            </w:r>
          </w:p>
        </w:tc>
        <w:tc>
          <w:tcPr>
            <w:tcW w:w="924"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93</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96</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198</w:t>
            </w:r>
          </w:p>
        </w:tc>
        <w:tc>
          <w:tcPr>
            <w:tcW w:w="889"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27</w:t>
            </w:r>
          </w:p>
        </w:tc>
        <w:tc>
          <w:tcPr>
            <w:tcW w:w="7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16</w:t>
            </w:r>
          </w:p>
        </w:tc>
        <w:tc>
          <w:tcPr>
            <w:tcW w:w="851"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165" w:type="dxa"/>
            <w:tcBorders>
              <w:top w:val="nil"/>
              <w:left w:val="nil"/>
              <w:bottom w:val="nil"/>
              <w:right w:val="nil"/>
              <w:tl2br w:val="nil"/>
              <w:tr2bl w:val="nil"/>
            </w:tcBorders>
            <w:shd w:val="clear" w:color="auto" w:fill="auto"/>
            <w:tcMar>
              <w:left w:w="60" w:type="dxa"/>
              <w:right w:w="60" w:type="dxa"/>
            </w:tcMar>
            <w:vAlign w:val="center"/>
          </w:tcPr>
          <w:p>
            <w:pPr>
              <w:pStyle w:val="DMETW19895BIPInstitutions3Payments"/>
              <w:jc w:val="right"/>
              <w:rPr>
                <w:rFonts w:ascii="Verdana" w:eastAsia="Verdana" w:hAnsi="Verdana" w:cs="Verdana"/>
                <w:noProof/>
                <w:color w:val="000000"/>
                <w:sz w:val="16"/>
              </w:rPr>
            </w:pPr>
            <w:r>
              <w:rPr>
                <w:rFonts w:ascii="Verdana" w:hAnsi="Verdana"/>
                <w:noProof/>
                <w:color w:val="000000"/>
                <w:sz w:val="16"/>
              </w:rPr>
              <w:t xml:space="preserve"> 43</w:t>
            </w:r>
          </w:p>
        </w:tc>
      </w:tr>
      <w:tr>
        <w:trPr>
          <w:trHeight w:val="340"/>
        </w:trPr>
        <w:tc>
          <w:tcPr>
            <w:tcW w:w="2045"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rPr>
                <w:rFonts w:ascii="Verdana" w:eastAsia="Verdana" w:hAnsi="Verdana" w:cs="Verdana"/>
                <w:b/>
                <w:noProof/>
                <w:color w:val="000000"/>
                <w:sz w:val="16"/>
              </w:rPr>
            </w:pPr>
            <w:r>
              <w:rPr>
                <w:rFonts w:ascii="Verdana" w:hAnsi="Verdana"/>
                <w:b/>
                <w:noProof/>
                <w:color w:val="000000"/>
                <w:sz w:val="16"/>
              </w:rPr>
              <w:t>Общо</w:t>
            </w:r>
          </w:p>
        </w:tc>
        <w:tc>
          <w:tcPr>
            <w:tcW w:w="976"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183 446</w:t>
            </w:r>
          </w:p>
        </w:tc>
        <w:tc>
          <w:tcPr>
            <w:tcW w:w="889"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161 801</w:t>
            </w:r>
          </w:p>
        </w:tc>
        <w:tc>
          <w:tcPr>
            <w:tcW w:w="889"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1 589</w:t>
            </w:r>
          </w:p>
        </w:tc>
        <w:tc>
          <w:tcPr>
            <w:tcW w:w="889"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9 920</w:t>
            </w:r>
          </w:p>
        </w:tc>
        <w:tc>
          <w:tcPr>
            <w:tcW w:w="889"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173 310</w:t>
            </w:r>
          </w:p>
        </w:tc>
        <w:tc>
          <w:tcPr>
            <w:tcW w:w="854"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94 %</w:t>
            </w:r>
          </w:p>
        </w:tc>
        <w:tc>
          <w:tcPr>
            <w:tcW w:w="924"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1 116</w:t>
            </w:r>
          </w:p>
        </w:tc>
        <w:tc>
          <w:tcPr>
            <w:tcW w:w="889"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 xml:space="preserve"> 969</w:t>
            </w:r>
          </w:p>
        </w:tc>
        <w:tc>
          <w:tcPr>
            <w:tcW w:w="889"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7 694</w:t>
            </w:r>
          </w:p>
        </w:tc>
        <w:tc>
          <w:tcPr>
            <w:tcW w:w="889"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9 779</w:t>
            </w:r>
          </w:p>
        </w:tc>
        <w:tc>
          <w:tcPr>
            <w:tcW w:w="889"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 xml:space="preserve"> 221</w:t>
            </w:r>
          </w:p>
        </w:tc>
        <w:tc>
          <w:tcPr>
            <w:tcW w:w="765"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 xml:space="preserve"> 115</w:t>
            </w:r>
          </w:p>
        </w:tc>
        <w:tc>
          <w:tcPr>
            <w:tcW w:w="851"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 xml:space="preserve"> 20</w:t>
            </w:r>
          </w:p>
        </w:tc>
        <w:tc>
          <w:tcPr>
            <w:tcW w:w="1165" w:type="dxa"/>
            <w:tcBorders>
              <w:top w:val="nil"/>
              <w:left w:val="nil"/>
              <w:bottom w:val="nil"/>
              <w:right w:val="nil"/>
              <w:tl2br w:val="nil"/>
              <w:tr2bl w:val="nil"/>
            </w:tcBorders>
            <w:shd w:val="solid" w:color="CCE1EA" w:fill="FFFFFF"/>
            <w:tcMar>
              <w:left w:w="60" w:type="dxa"/>
              <w:right w:w="60" w:type="dxa"/>
            </w:tcMar>
            <w:vAlign w:val="center"/>
          </w:tcPr>
          <w:p>
            <w:pPr>
              <w:pStyle w:val="DMETW19895BIPInstitutions3Payments"/>
              <w:jc w:val="right"/>
              <w:rPr>
                <w:rFonts w:ascii="Verdana" w:eastAsia="Verdana" w:hAnsi="Verdana" w:cs="Verdana"/>
                <w:b/>
                <w:noProof/>
                <w:color w:val="000000"/>
                <w:sz w:val="16"/>
              </w:rPr>
            </w:pPr>
            <w:r>
              <w:rPr>
                <w:rFonts w:ascii="Verdana" w:hAnsi="Verdana"/>
                <w:b/>
                <w:noProof/>
                <w:color w:val="000000"/>
                <w:sz w:val="16"/>
              </w:rPr>
              <w:t xml:space="preserve"> 357</w:t>
            </w:r>
          </w:p>
        </w:tc>
      </w:tr>
    </w:tbl>
    <w:p>
      <w:pPr>
        <w:pStyle w:val="DGTextstand-alone"/>
      </w:pPr>
    </w:p>
    <w:bookmarkEnd w:id="275"/>
    <w:p>
      <w:pPr>
        <w:pStyle w:val="DGTextstand-alone"/>
        <w:sectPr>
          <w:headerReference w:type="even" r:id="rId398"/>
          <w:headerReference w:type="default" r:id="rId399"/>
          <w:footerReference w:type="even" r:id="rId400"/>
          <w:footerReference w:type="default" r:id="rId401"/>
          <w:headerReference w:type="first" r:id="rId402"/>
          <w:footerReference w:type="first" r:id="rId403"/>
          <w:type w:val="nextColumn"/>
          <w:pgSz w:w="16840" w:h="11907" w:orient="landscape" w:code="9"/>
          <w:pgMar w:top="1134" w:right="1134" w:bottom="1134" w:left="1134" w:header="709" w:footer="709" w:gutter="0"/>
          <w:cols w:space="708"/>
          <w:docGrid w:linePitch="360"/>
        </w:sectPr>
      </w:pPr>
    </w:p>
    <w:p>
      <w:pPr>
        <w:pStyle w:val="HEADER1PartBUDG"/>
        <w:numPr>
          <w:ilvl w:val="0"/>
          <w:numId w:val="15"/>
        </w:numPr>
        <w:tabs>
          <w:tab w:val="clear" w:pos="907"/>
        </w:tabs>
        <w:rPr>
          <w:noProof/>
        </w:rPr>
      </w:pPr>
      <w:bookmarkStart w:id="283" w:name="_DMBM_19907"/>
      <w:r>
        <w:rPr>
          <w:noProof/>
        </w:rPr>
        <w:t xml:space="preserve"> </w:t>
      </w:r>
      <w:bookmarkStart w:id="284" w:name="_Toc75518154"/>
      <w:r>
        <w:rPr>
          <w:noProof/>
        </w:rPr>
        <w:t>ИЗПЪЛНЕНИЕ НА БЮДЖЕТА НА АГЕНЦИИТЕ</w:t>
      </w:r>
      <w:bookmarkEnd w:id="284"/>
    </w:p>
    <w:p>
      <w:pPr>
        <w:pStyle w:val="DGTextstand-alone"/>
      </w:pPr>
      <w:r>
        <w:t>Приходите и разходите на агенциите, посочени в доклади 6.1 и 6.2 по-долу, не се консолидират като такива в бюджета на ЕС. В тази бюджетна част на годишните отчети се взема под внимание само субсидията, изплатена на агенциите от бюджета на Комисията.</w:t>
      </w:r>
    </w:p>
    <w:p>
      <w:pPr>
        <w:pStyle w:val="DGTextstand-alone"/>
      </w:pPr>
      <w:r>
        <w:t>Когато е приложимо, в докладите за изпълнението на бюджета на ЕС се включва субсидията, изплатена от бюджета на ЕС в полза на агенциите като бюджетни кредити за поети задължения и бюджетни кредити за плащания.</w:t>
      </w:r>
    </w:p>
    <w:p>
      <w:pPr>
        <w:pStyle w:val="DGTextstand-alone"/>
      </w:pPr>
      <w:r>
        <w:t>Докладите на агенциите по-долу съдържат общ преглед на агенциите — както децентрализираните (известни също като „традиционни агенции“), така и изпълнителните агенции — и преглед на техните приходи (6.1) и разходи (6.2).</w:t>
      </w:r>
    </w:p>
    <w:p>
      <w:pPr>
        <w:pStyle w:val="DGTextstand-alone"/>
      </w:pPr>
      <w:r>
        <w:t>Другите източници на приходи и свързаните с тях разходи не се добавят в отчетите за бюджета на ЕС. Всяка агенция представя свой набор от годишни отчети.</w:t>
      </w:r>
    </w:p>
    <w:p>
      <w:pPr>
        <w:pStyle w:val="HEADER2PartBUDG"/>
        <w:numPr>
          <w:ilvl w:val="1"/>
          <w:numId w:val="15"/>
        </w:numPr>
        <w:rPr>
          <w:noProof/>
        </w:rPr>
      </w:pPr>
      <w:bookmarkStart w:id="285" w:name="_Toc75518155"/>
      <w:r>
        <w:rPr>
          <w:noProof/>
        </w:rPr>
        <w:t>БЮДЖЕТНИ ПРИХОДИ</w:t>
      </w:r>
      <w:bookmarkEnd w:id="285"/>
    </w:p>
    <w:tbl>
      <w:tblPr>
        <w:tblW w:w="10065"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2"/>
        <w:gridCol w:w="998"/>
        <w:gridCol w:w="1050"/>
        <w:gridCol w:w="1215"/>
      </w:tblGrid>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bookmarkStart w:id="286" w:name="DOC_TBL00122_1_1"/>
            <w:bookmarkEnd w:id="286"/>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hRule="exact" w:val="630"/>
        </w:trPr>
        <w:tc>
          <w:tcPr>
            <w:tcW w:w="6802"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1Revenue"/>
              <w:jc w:val="center"/>
              <w:rPr>
                <w:rFonts w:ascii="Verdana" w:eastAsia="Verdana" w:hAnsi="Verdana" w:cs="Verdana"/>
                <w:noProof/>
                <w:color w:val="FFFFFF"/>
                <w:sz w:val="16"/>
              </w:rPr>
            </w:pPr>
            <w:r>
              <w:rPr>
                <w:rFonts w:ascii="Verdana" w:hAnsi="Verdana"/>
                <w:noProof/>
                <w:color w:val="FFFFFF"/>
                <w:sz w:val="16"/>
              </w:rPr>
              <w:t>Агенция</w:t>
            </w:r>
          </w:p>
        </w:tc>
        <w:tc>
          <w:tcPr>
            <w:tcW w:w="998"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1Revenue"/>
              <w:jc w:val="center"/>
              <w:rPr>
                <w:rFonts w:ascii="Verdana" w:eastAsia="Verdana" w:hAnsi="Verdana" w:cs="Verdana"/>
                <w:noProof/>
                <w:color w:val="FFFFFF"/>
                <w:sz w:val="16"/>
              </w:rPr>
            </w:pPr>
            <w:r>
              <w:rPr>
                <w:rFonts w:ascii="Verdana" w:hAnsi="Verdana"/>
                <w:noProof/>
                <w:color w:val="FFFFFF"/>
                <w:sz w:val="16"/>
              </w:rPr>
              <w:t>Финансиране по функция от МФР</w:t>
            </w:r>
          </w:p>
        </w:tc>
        <w:tc>
          <w:tcPr>
            <w:tcW w:w="1050"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1Revenue"/>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1215"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1Revenue"/>
              <w:jc w:val="center"/>
              <w:rPr>
                <w:rFonts w:ascii="Verdana" w:eastAsia="Verdana" w:hAnsi="Verdana" w:cs="Verdana"/>
                <w:noProof/>
                <w:color w:val="FFFFFF"/>
                <w:sz w:val="16"/>
              </w:rPr>
            </w:pPr>
            <w:r>
              <w:rPr>
                <w:rFonts w:ascii="Verdana" w:hAnsi="Verdana"/>
                <w:noProof/>
                <w:color w:val="FFFFFF"/>
                <w:sz w:val="16"/>
              </w:rPr>
              <w:t>Получени приходи</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Агенция за оперативното управление на широкомащабни информационни системи</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233</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237</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Агенция за сътрудничество между регулаторите на енергия</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Орган на европейските регулатори в областта на електронните съобщения</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7</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7</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 xml:space="preserve">Служба на Общността за сортовете растения </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N/A</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20</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Изпълнителна агенция за потребителите, здравеопазването, селското стопанство и храните</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11</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Изпълнителна агенция за образование, аудио-визия и култура</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 3, 4</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51</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50</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Европейска агенция за безопасност и здраве при работа</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16</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Европейска служба за подкрепа в областта на убежището</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130</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131</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Европейски банков орган</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101</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48</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Европейска агенция за гранична и брегова охрана</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364</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373</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Европейски център за профилактика и контрол върху заболяванията</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62</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72</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 xml:space="preserve">Европейски център за развитие на професионалното обучение </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18</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Европейска агенция по химикали</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 2</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114</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110</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Европейска агенция за околната среда</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2</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61</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61</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Европейска агенция за контрол на рибарството</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2</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Европейски орган за безопасност на храните</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99</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99</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Европейска агенция за глобалната навигационна спътникова система (ГНСС)</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35</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933</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Европейски институт за равенство между половете</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8</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8</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Европейски институт за иновации и технологии</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547</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550</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Европейски орган за застраховане и професионално пенсионно осигуряване</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28</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29</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Европейска агенция по морска безопасност</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81</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98</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Европейска агенция по лекарствата</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370</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404</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Европейски център за мониторинг на наркотици и наркомании</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18</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Европейски научноизследователски съвет</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52</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52</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Европейски орган за ценни книжа и пазари</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54</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Европейска фондация за обучение</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4</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20</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20</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Агенция на Европейския съюз за сътрудничество в областта на наказателното правосъдие</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42</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48</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Агенция на Европейския съюз за киберсигурност</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22</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Агенция на Европейския съюз за сътрудничество в областта на правоприлагането</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154</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161</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Агенция на Европейския съюз за обучение в областта на правоприлагането</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8</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25</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Агенция за железопътен транспорт на Европейския съюз</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31</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31</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Агенция за авиационна безопасност на Европейския съюз</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183</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173</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Агенция на Европейския съюз за основните права</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3</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24</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24</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Служба на Европейския съюз за интелектуална собственост</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N/A</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465</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284</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Изпълнителна агенция за малките и средните предприятия</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52</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49</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Европейска фондация за подобряване на условията на живот и труд</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22</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Съвместно предприятие „Термоядрен синтез за енергия“</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640</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795</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Изпълнителна агенция за иновации и мрежи</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1а</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32</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31</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Изпълнителна агенция за научни изследвания</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5</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80</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80</w:t>
            </w:r>
          </w:p>
        </w:tc>
      </w:tr>
      <w:tr>
        <w:trPr>
          <w:cantSplit/>
          <w:trHeight w:hRule="exact" w:val="210"/>
        </w:trPr>
        <w:tc>
          <w:tcPr>
            <w:tcW w:w="6802"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Център за преводи за органите на Европейския съюз</w:t>
            </w:r>
          </w:p>
        </w:tc>
        <w:tc>
          <w:tcPr>
            <w:tcW w:w="998"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rPr>
                <w:rFonts w:ascii="Verdana" w:eastAsia="Verdana" w:hAnsi="Verdana" w:cs="Verdana"/>
                <w:noProof/>
                <w:color w:val="000000"/>
                <w:sz w:val="16"/>
              </w:rPr>
            </w:pPr>
            <w:r>
              <w:rPr>
                <w:rFonts w:ascii="Verdana" w:hAnsi="Verdana"/>
                <w:noProof/>
                <w:color w:val="000000"/>
                <w:sz w:val="16"/>
              </w:rPr>
              <w:t>5</w:t>
            </w:r>
          </w:p>
        </w:tc>
        <w:tc>
          <w:tcPr>
            <w:tcW w:w="1050"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47</w:t>
            </w:r>
          </w:p>
        </w:tc>
        <w:tc>
          <w:tcPr>
            <w:tcW w:w="1215" w:type="dxa"/>
            <w:tcBorders>
              <w:top w:val="nil"/>
              <w:left w:val="nil"/>
              <w:bottom w:val="nil"/>
              <w:right w:val="nil"/>
              <w:tl2br w:val="nil"/>
              <w:tr2bl w:val="nil"/>
            </w:tcBorders>
            <w:shd w:val="clear" w:color="auto" w:fill="auto"/>
            <w:tcMar>
              <w:left w:w="60" w:type="dxa"/>
              <w:right w:w="60" w:type="dxa"/>
            </w:tcMar>
            <w:vAlign w:val="center"/>
          </w:tcPr>
          <w:p>
            <w:pPr>
              <w:pStyle w:val="DMETW19895BIPAgencies1Revenue"/>
              <w:jc w:val="right"/>
              <w:rPr>
                <w:rFonts w:ascii="Verdana" w:eastAsia="Verdana" w:hAnsi="Verdana" w:cs="Verdana"/>
                <w:noProof/>
                <w:color w:val="000000"/>
                <w:sz w:val="16"/>
              </w:rPr>
            </w:pPr>
            <w:r>
              <w:rPr>
                <w:rFonts w:ascii="Verdana" w:hAnsi="Verdana"/>
                <w:noProof/>
                <w:color w:val="000000"/>
                <w:sz w:val="16"/>
              </w:rPr>
              <w:t xml:space="preserve"> 44</w:t>
            </w:r>
          </w:p>
        </w:tc>
      </w:tr>
      <w:tr>
        <w:trPr>
          <w:trHeight w:hRule="exact" w:val="210"/>
        </w:trPr>
        <w:tc>
          <w:tcPr>
            <w:tcW w:w="6802"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1Revenue"/>
              <w:rPr>
                <w:rFonts w:ascii="Verdana" w:eastAsia="Verdana" w:hAnsi="Verdana" w:cs="Verdana"/>
                <w:b/>
                <w:noProof/>
                <w:color w:val="000000"/>
                <w:sz w:val="16"/>
              </w:rPr>
            </w:pPr>
            <w:r>
              <w:rPr>
                <w:rFonts w:ascii="Verdana" w:hAnsi="Verdana"/>
                <w:b/>
                <w:noProof/>
                <w:color w:val="000000"/>
                <w:sz w:val="16"/>
              </w:rPr>
              <w:t>Общо</w:t>
            </w:r>
          </w:p>
        </w:tc>
        <w:tc>
          <w:tcPr>
            <w:tcW w:w="998"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1Revenue"/>
              <w:rPr>
                <w:rFonts w:ascii="Verdana" w:eastAsia="Verdana" w:hAnsi="Verdana" w:cs="Verdana"/>
                <w:b/>
                <w:noProof/>
                <w:color w:val="000000"/>
                <w:sz w:val="16"/>
              </w:rPr>
            </w:pPr>
          </w:p>
        </w:tc>
        <w:tc>
          <w:tcPr>
            <w:tcW w:w="1050"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1Revenue"/>
              <w:jc w:val="right"/>
              <w:rPr>
                <w:rFonts w:ascii="Verdana" w:eastAsia="Verdana" w:hAnsi="Verdana" w:cs="Verdana"/>
                <w:b/>
                <w:noProof/>
                <w:color w:val="000000"/>
                <w:sz w:val="16"/>
              </w:rPr>
            </w:pPr>
            <w:r>
              <w:rPr>
                <w:rFonts w:ascii="Verdana" w:hAnsi="Verdana"/>
                <w:b/>
                <w:noProof/>
                <w:color w:val="000000"/>
                <w:sz w:val="16"/>
              </w:rPr>
              <w:t>4 338</w:t>
            </w:r>
          </w:p>
        </w:tc>
        <w:tc>
          <w:tcPr>
            <w:tcW w:w="1215"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1Revenue"/>
              <w:jc w:val="right"/>
              <w:rPr>
                <w:rFonts w:ascii="Verdana" w:eastAsia="Verdana" w:hAnsi="Verdana" w:cs="Verdana"/>
                <w:b/>
                <w:noProof/>
                <w:color w:val="000000"/>
                <w:sz w:val="16"/>
              </w:rPr>
            </w:pPr>
            <w:r>
              <w:rPr>
                <w:rFonts w:ascii="Verdana" w:hAnsi="Verdana"/>
                <w:b/>
                <w:noProof/>
                <w:color w:val="000000"/>
                <w:sz w:val="16"/>
              </w:rPr>
              <w:t>5 240</w:t>
            </w:r>
          </w:p>
        </w:tc>
      </w:tr>
    </w:tbl>
    <w:p>
      <w:pPr>
        <w:pStyle w:val="HEADER2PartBUDG"/>
        <w:numPr>
          <w:ilvl w:val="0"/>
          <w:numId w:val="0"/>
        </w:numPr>
        <w:tabs>
          <w:tab w:val="clear" w:pos="709"/>
          <w:tab w:val="left" w:pos="3105"/>
        </w:tabs>
        <w:rPr>
          <w:noProof/>
        </w:rPr>
      </w:pPr>
      <w:r>
        <w:rPr>
          <w:noProof/>
        </w:rPr>
        <w:tab/>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54"/>
        <w:gridCol w:w="1443"/>
        <w:gridCol w:w="1155"/>
      </w:tblGrid>
      <w:tr>
        <w:trPr>
          <w:cantSplit/>
          <w:trHeight w:val="227"/>
          <w:tblHeader/>
        </w:trPr>
        <w:tc>
          <w:tcPr>
            <w:tcW w:w="7023"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rPr>
                <w:rFonts w:ascii="Verdana" w:eastAsia="Verdana" w:hAnsi="Verdana" w:cs="Verdana"/>
                <w:noProof/>
                <w:color w:val="000000"/>
                <w:sz w:val="16"/>
              </w:rPr>
            </w:pPr>
            <w:bookmarkStart w:id="287" w:name="DOC_TBL00123_1_1"/>
            <w:bookmarkEnd w:id="287"/>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227"/>
          <w:tblHeader/>
        </w:trPr>
        <w:tc>
          <w:tcPr>
            <w:tcW w:w="7023"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2TypeofRevenue"/>
              <w:jc w:val="center"/>
              <w:rPr>
                <w:rFonts w:ascii="Verdana" w:eastAsia="Verdana" w:hAnsi="Verdana" w:cs="Verdana"/>
                <w:noProof/>
                <w:color w:val="FFFFFF"/>
                <w:sz w:val="16"/>
              </w:rPr>
            </w:pPr>
            <w:r>
              <w:rPr>
                <w:rFonts w:ascii="Verdana" w:hAnsi="Verdana"/>
                <w:noProof/>
                <w:color w:val="FFFFFF"/>
                <w:sz w:val="16"/>
              </w:rPr>
              <w:t>Вид приходи</w:t>
            </w:r>
          </w:p>
        </w:tc>
        <w:tc>
          <w:tcPr>
            <w:tcW w:w="1417"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2TypeofRevenue"/>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1134"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2TypeofRevenue"/>
              <w:jc w:val="center"/>
              <w:rPr>
                <w:rFonts w:ascii="Verdana" w:eastAsia="Verdana" w:hAnsi="Verdana" w:cs="Verdana"/>
                <w:noProof/>
                <w:color w:val="FFFFFF"/>
                <w:sz w:val="16"/>
              </w:rPr>
            </w:pPr>
            <w:r>
              <w:rPr>
                <w:rFonts w:ascii="Verdana" w:hAnsi="Verdana"/>
                <w:noProof/>
                <w:color w:val="FFFFFF"/>
                <w:sz w:val="16"/>
              </w:rPr>
              <w:t>Получени суми</w:t>
            </w:r>
          </w:p>
        </w:tc>
      </w:tr>
      <w:tr>
        <w:trPr>
          <w:cantSplit/>
          <w:trHeight w:val="227"/>
          <w:tblHeader/>
        </w:trPr>
        <w:tc>
          <w:tcPr>
            <w:tcW w:w="7023"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rPr>
                <w:rFonts w:ascii="Verdana" w:eastAsia="Verdana" w:hAnsi="Verdana" w:cs="Verdana"/>
                <w:noProof/>
                <w:color w:val="000000"/>
                <w:sz w:val="16"/>
              </w:rPr>
            </w:pPr>
            <w:r>
              <w:rPr>
                <w:rFonts w:ascii="Verdana" w:hAnsi="Verdana"/>
                <w:noProof/>
                <w:color w:val="000000"/>
                <w:sz w:val="16"/>
              </w:rPr>
              <w:t>Субсидия от Комисията</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jc w:val="right"/>
              <w:rPr>
                <w:rFonts w:ascii="Verdana" w:eastAsia="Verdana" w:hAnsi="Verdana" w:cs="Verdana"/>
                <w:noProof/>
                <w:color w:val="000000"/>
                <w:sz w:val="16"/>
              </w:rPr>
            </w:pPr>
            <w:r>
              <w:rPr>
                <w:rFonts w:ascii="Verdana" w:hAnsi="Verdana"/>
                <w:noProof/>
                <w:color w:val="000000"/>
                <w:sz w:val="16"/>
              </w:rPr>
              <w:t>2 543</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jc w:val="right"/>
              <w:rPr>
                <w:rFonts w:ascii="Verdana" w:eastAsia="Verdana" w:hAnsi="Verdana" w:cs="Verdana"/>
                <w:noProof/>
                <w:color w:val="000000"/>
                <w:sz w:val="16"/>
              </w:rPr>
            </w:pPr>
            <w:r>
              <w:rPr>
                <w:rFonts w:ascii="Verdana" w:hAnsi="Verdana"/>
                <w:noProof/>
                <w:color w:val="000000"/>
                <w:sz w:val="16"/>
              </w:rPr>
              <w:t>3 423</w:t>
            </w:r>
          </w:p>
        </w:tc>
      </w:tr>
      <w:tr>
        <w:trPr>
          <w:cantSplit/>
          <w:trHeight w:val="227"/>
          <w:tblHeader/>
        </w:trPr>
        <w:tc>
          <w:tcPr>
            <w:tcW w:w="7023"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rPr>
                <w:rFonts w:ascii="Verdana" w:eastAsia="Verdana" w:hAnsi="Verdana" w:cs="Verdana"/>
                <w:noProof/>
                <w:color w:val="000000"/>
                <w:sz w:val="16"/>
              </w:rPr>
            </w:pPr>
            <w:r>
              <w:rPr>
                <w:rFonts w:ascii="Verdana" w:hAnsi="Verdana"/>
                <w:noProof/>
                <w:color w:val="000000"/>
                <w:sz w:val="16"/>
              </w:rPr>
              <w:t>Приходи от такси</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jc w:val="right"/>
              <w:rPr>
                <w:rFonts w:ascii="Verdana" w:eastAsia="Verdana" w:hAnsi="Verdana" w:cs="Verdana"/>
                <w:noProof/>
                <w:color w:val="000000"/>
                <w:sz w:val="16"/>
              </w:rPr>
            </w:pPr>
            <w:r>
              <w:rPr>
                <w:rFonts w:ascii="Verdana" w:hAnsi="Verdana"/>
                <w:noProof/>
                <w:color w:val="000000"/>
                <w:sz w:val="16"/>
              </w:rPr>
              <w:t xml:space="preserve"> 751</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jc w:val="right"/>
              <w:rPr>
                <w:rFonts w:ascii="Verdana" w:eastAsia="Verdana" w:hAnsi="Verdana" w:cs="Verdana"/>
                <w:noProof/>
                <w:color w:val="000000"/>
                <w:sz w:val="16"/>
              </w:rPr>
            </w:pPr>
            <w:r>
              <w:rPr>
                <w:rFonts w:ascii="Verdana" w:hAnsi="Verdana"/>
                <w:noProof/>
                <w:color w:val="000000"/>
                <w:sz w:val="16"/>
              </w:rPr>
              <w:t xml:space="preserve"> 774</w:t>
            </w:r>
          </w:p>
        </w:tc>
      </w:tr>
      <w:tr>
        <w:trPr>
          <w:cantSplit/>
          <w:trHeight w:val="227"/>
          <w:tblHeader/>
        </w:trPr>
        <w:tc>
          <w:tcPr>
            <w:tcW w:w="7023"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rPr>
                <w:rFonts w:ascii="Verdana" w:eastAsia="Verdana" w:hAnsi="Verdana" w:cs="Verdana"/>
                <w:noProof/>
                <w:color w:val="000000"/>
                <w:sz w:val="16"/>
              </w:rPr>
            </w:pPr>
            <w:r>
              <w:rPr>
                <w:rFonts w:ascii="Verdana" w:hAnsi="Verdana"/>
                <w:noProof/>
                <w:color w:val="000000"/>
                <w:sz w:val="16"/>
              </w:rPr>
              <w:t>Други приходи</w:t>
            </w:r>
          </w:p>
        </w:tc>
        <w:tc>
          <w:tcPr>
            <w:tcW w:w="1417"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jc w:val="right"/>
              <w:rPr>
                <w:rFonts w:ascii="Verdana" w:eastAsia="Verdana" w:hAnsi="Verdana" w:cs="Verdana"/>
                <w:noProof/>
                <w:color w:val="000000"/>
                <w:sz w:val="16"/>
              </w:rPr>
            </w:pPr>
            <w:r>
              <w:rPr>
                <w:rFonts w:ascii="Verdana" w:hAnsi="Verdana"/>
                <w:noProof/>
                <w:color w:val="000000"/>
                <w:sz w:val="16"/>
              </w:rPr>
              <w:t>1 045</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2TypeofRevenue"/>
              <w:jc w:val="right"/>
              <w:rPr>
                <w:rFonts w:ascii="Verdana" w:eastAsia="Verdana" w:hAnsi="Verdana" w:cs="Verdana"/>
                <w:noProof/>
                <w:color w:val="000000"/>
                <w:sz w:val="16"/>
              </w:rPr>
            </w:pPr>
            <w:r>
              <w:rPr>
                <w:rFonts w:ascii="Verdana" w:hAnsi="Verdana"/>
                <w:noProof/>
                <w:color w:val="000000"/>
                <w:sz w:val="16"/>
              </w:rPr>
              <w:t>1 044</w:t>
            </w:r>
          </w:p>
        </w:tc>
      </w:tr>
      <w:tr>
        <w:trPr>
          <w:trHeight w:val="227"/>
          <w:tblHeader/>
        </w:trPr>
        <w:tc>
          <w:tcPr>
            <w:tcW w:w="7023"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2TypeofRevenue"/>
              <w:rPr>
                <w:rFonts w:ascii="Verdana" w:eastAsia="Verdana" w:hAnsi="Verdana" w:cs="Verdana"/>
                <w:b/>
                <w:noProof/>
                <w:color w:val="000000"/>
                <w:sz w:val="16"/>
              </w:rPr>
            </w:pPr>
            <w:r>
              <w:rPr>
                <w:rFonts w:ascii="Verdana" w:hAnsi="Verdana"/>
                <w:b/>
                <w:noProof/>
                <w:color w:val="000000"/>
                <w:sz w:val="16"/>
              </w:rPr>
              <w:t>Общо</w:t>
            </w:r>
          </w:p>
        </w:tc>
        <w:tc>
          <w:tcPr>
            <w:tcW w:w="1417"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2TypeofRevenue"/>
              <w:jc w:val="right"/>
              <w:rPr>
                <w:rFonts w:ascii="Verdana" w:eastAsia="Verdana" w:hAnsi="Verdana" w:cs="Verdana"/>
                <w:b/>
                <w:noProof/>
                <w:color w:val="000000"/>
                <w:sz w:val="16"/>
              </w:rPr>
            </w:pPr>
            <w:r>
              <w:rPr>
                <w:rFonts w:ascii="Verdana" w:hAnsi="Verdana"/>
                <w:b/>
                <w:noProof/>
                <w:color w:val="000000"/>
                <w:sz w:val="16"/>
              </w:rPr>
              <w:t>4 338</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2TypeofRevenue"/>
              <w:jc w:val="right"/>
              <w:rPr>
                <w:rFonts w:ascii="Verdana" w:eastAsia="Verdana" w:hAnsi="Verdana" w:cs="Verdana"/>
                <w:b/>
                <w:noProof/>
                <w:color w:val="000000"/>
                <w:sz w:val="16"/>
              </w:rPr>
            </w:pPr>
            <w:r>
              <w:rPr>
                <w:rFonts w:ascii="Verdana" w:hAnsi="Verdana"/>
                <w:b/>
                <w:noProof/>
                <w:color w:val="000000"/>
                <w:sz w:val="16"/>
              </w:rPr>
              <w:t>5 240</w:t>
            </w:r>
          </w:p>
        </w:tc>
      </w:tr>
    </w:tbl>
    <w:p>
      <w:pPr>
        <w:pStyle w:val="DGTextstand-alone"/>
      </w:pPr>
    </w:p>
    <w:p>
      <w:pPr>
        <w:pStyle w:val="HEADER2PartBUDG"/>
        <w:numPr>
          <w:ilvl w:val="1"/>
          <w:numId w:val="15"/>
        </w:numPr>
        <w:rPr>
          <w:noProof/>
        </w:rPr>
      </w:pPr>
      <w:bookmarkStart w:id="288" w:name="_Toc75518156"/>
      <w:r>
        <w:rPr>
          <w:noProof/>
        </w:rPr>
        <w:t>БЮДЖЕТНИ КРЕДИТИ ЗА ПОЕТИ ЗАДЪЛЖЕНИЯ И ЗА ПЛАЩАНИЯ ПО АГЕНЦИИ</w:t>
      </w:r>
      <w:bookmarkEnd w:id="28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05"/>
        <w:gridCol w:w="1134"/>
        <w:gridCol w:w="1134"/>
        <w:gridCol w:w="1136"/>
        <w:gridCol w:w="1043"/>
      </w:tblGrid>
      <w:tr>
        <w:trPr>
          <w:cantSplit/>
          <w:trHeight w:val="227"/>
          <w:tblHeader/>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bookmarkStart w:id="289" w:name="DOC_TBL00124_1_1"/>
            <w:bookmarkEnd w:id="289"/>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227"/>
          <w:tblHeader/>
        </w:trPr>
        <w:tc>
          <w:tcPr>
            <w:tcW w:w="5305"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3CommitmentsPayments"/>
              <w:jc w:val="center"/>
              <w:rPr>
                <w:rFonts w:ascii="Verdana" w:eastAsia="Verdana" w:hAnsi="Verdana" w:cs="Verdana"/>
                <w:noProof/>
                <w:color w:val="FFFFFF"/>
                <w:sz w:val="16"/>
              </w:rPr>
            </w:pPr>
          </w:p>
        </w:tc>
        <w:tc>
          <w:tcPr>
            <w:tcW w:w="1134"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95BIPAgencies3CommitmentsPayments"/>
              <w:jc w:val="center"/>
              <w:rPr>
                <w:rFonts w:ascii="Verdana" w:eastAsia="Verdana" w:hAnsi="Verdana" w:cs="Verdana"/>
                <w:b/>
                <w:noProof/>
                <w:color w:val="FFFFFF"/>
                <w:sz w:val="16"/>
              </w:rPr>
            </w:pPr>
            <w:r>
              <w:rPr>
                <w:rFonts w:ascii="Verdana" w:hAnsi="Verdana"/>
                <w:b/>
                <w:noProof/>
                <w:color w:val="FFFFFF"/>
                <w:sz w:val="16"/>
              </w:rPr>
              <w:t>Бюджетни кредити за поети задължения</w:t>
            </w:r>
          </w:p>
        </w:tc>
        <w:tc>
          <w:tcPr>
            <w:tcW w:w="1136"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95BIPAgencies3CommitmentsPayments"/>
              <w:jc w:val="center"/>
              <w:rPr>
                <w:rFonts w:ascii="Verdana" w:eastAsia="Verdana" w:hAnsi="Verdana" w:cs="Verdana"/>
                <w:b/>
                <w:noProof/>
                <w:color w:val="FFFFFF"/>
                <w:sz w:val="16"/>
              </w:rPr>
            </w:pPr>
            <w:r>
              <w:rPr>
                <w:rFonts w:ascii="Verdana" w:hAnsi="Verdana"/>
                <w:b/>
                <w:noProof/>
                <w:color w:val="FFFFFF"/>
                <w:sz w:val="16"/>
              </w:rPr>
              <w:t>Бюджетни кредити за плащания</w:t>
            </w:r>
          </w:p>
        </w:tc>
      </w:tr>
      <w:tr>
        <w:trPr>
          <w:cantSplit/>
          <w:trHeight w:val="454"/>
          <w:tblHeader/>
        </w:trPr>
        <w:tc>
          <w:tcPr>
            <w:tcW w:w="5305"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3CommitmentsPayments"/>
              <w:jc w:val="center"/>
              <w:rPr>
                <w:rFonts w:ascii="Verdana" w:eastAsia="Verdana" w:hAnsi="Verdana" w:cs="Verdana"/>
                <w:noProof/>
                <w:color w:val="FFFFFF"/>
                <w:sz w:val="16"/>
              </w:rPr>
            </w:pPr>
            <w:r>
              <w:rPr>
                <w:rFonts w:ascii="Verdana" w:hAnsi="Verdana"/>
                <w:noProof/>
                <w:color w:val="FFFFFF"/>
                <w:sz w:val="16"/>
              </w:rPr>
              <w:t>Агенция</w:t>
            </w:r>
          </w:p>
        </w:tc>
        <w:tc>
          <w:tcPr>
            <w:tcW w:w="1134"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3CommitmentsPayments"/>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c>
          <w:tcPr>
            <w:tcW w:w="1134"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3CommitmentsPayments"/>
              <w:jc w:val="center"/>
              <w:rPr>
                <w:rFonts w:ascii="Verdana" w:eastAsia="Verdana" w:hAnsi="Verdana" w:cs="Verdana"/>
                <w:noProof/>
                <w:color w:val="FFFFFF"/>
                <w:sz w:val="16"/>
              </w:rPr>
            </w:pPr>
            <w:r>
              <w:rPr>
                <w:rFonts w:ascii="Verdana" w:hAnsi="Verdana"/>
                <w:noProof/>
                <w:color w:val="FFFFFF"/>
                <w:sz w:val="16"/>
              </w:rPr>
              <w:t>Поети задължения</w:t>
            </w:r>
          </w:p>
        </w:tc>
        <w:tc>
          <w:tcPr>
            <w:tcW w:w="1136"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3CommitmentsPayments"/>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c>
          <w:tcPr>
            <w:tcW w:w="1043"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3CommitmentsPayments"/>
              <w:jc w:val="center"/>
              <w:rPr>
                <w:rFonts w:ascii="Verdana" w:eastAsia="Verdana" w:hAnsi="Verdana" w:cs="Verdana"/>
                <w:noProof/>
                <w:color w:val="FFFFFF"/>
                <w:spacing w:val="-6"/>
                <w:sz w:val="16"/>
              </w:rPr>
            </w:pPr>
            <w:r>
              <w:rPr>
                <w:rFonts w:ascii="Verdana" w:hAnsi="Verdana"/>
                <w:noProof/>
                <w:color w:val="FFFFFF"/>
                <w:spacing w:val="-6"/>
                <w:sz w:val="16"/>
              </w:rPr>
              <w:t>Извършени плащания</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Агенция за оперативното управление на широкомащабни информационни системи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412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341</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256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229</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Агенция за сътрудничество между регулаторите на енергия</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Орган на европейските регулатори в областта на електронните съобщения</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7</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7</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 xml:space="preserve">Служба на Общността за сортовете растения </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Изпълнителна агенция за потребителите, здравеопазването, селското стопанство и храните</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Изпълнителна агенция за образование, аудио-визия и култура</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50</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50</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Европейска агенция за безопасност и здраве при работа</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Европейска служба за подкрепа в областта на убежището</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141</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120</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149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107</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Европейски банков орган</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Европейска агенция за гранична и брегова охрана</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384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372</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495</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305</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Европейски център за профилактика и контрол върху заболяванията</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72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61</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82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57</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Европейски център за развитие на професионалното обучение</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Европейска агенция по химикали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112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108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128</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110</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Европейска агенция за околната среда</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77</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75</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97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69</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Европейска агенция за контрол на рибарството</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Европейски орган за безопасност на храните</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104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104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107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95</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Европейска агенция за глобалната навигационна спътникова система (ГНСС)</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915</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438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1 584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788</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Европейски институт за равенство между половете</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7</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Европейски институт за иновации и технологии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625</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612</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560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551</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Европейски орган за застраховане и професионално пенсионно осигуряване</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Европейска агенция по морска безопасност</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105</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98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119</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99</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Европейска агенция по лекарствата</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405</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398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456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374</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Европейски център за мониторинг на наркотици и наркомании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Европейски научноизследователски съвет</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55</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53</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Европейски орган за ценни книжа и пазари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53</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60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Европейска фондация за обучение</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Агенция на Европейския съюз за сътрудничество в областта на наказателното правосъдие</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40</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Агенция на Европейския съюз за киберсигурност</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Агенция на Европейския съюз за сътрудничество в областта на правоприлагането</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165</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156</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183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148</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Агенция на Европейския съюз за обучение в областта на правоприлагането</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10</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Агенция за железопътен транспорт на Европейския съюз</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33</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33</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Агенция за авиационна безопасност на Европейския съюз</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262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171</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273</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156</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Агенция на Европейския съюз за основните права</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25</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22</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Служба на Европейския съюз за интелектуална собственост</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483</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256</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253</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Изпълнителна агенция за малките и средните предприятия</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54</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Европейска фондация за подобряване на условията на живот и труд</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22</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Съвместно предприятие „Термоядрен синтез за енергия“</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886</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885</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816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800</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Изпълнителна агенция за иновации и мрежи</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31</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31</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32</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Изпълнителна агенция за научни изследвания</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80</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79</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86</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78</w:t>
            </w:r>
          </w:p>
        </w:tc>
      </w:tr>
      <w:tr>
        <w:trPr>
          <w:cantSplit/>
          <w:trHeight w:val="227"/>
        </w:trPr>
        <w:tc>
          <w:tcPr>
            <w:tcW w:w="5305"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rPr>
                <w:rFonts w:ascii="Verdana" w:eastAsia="Verdana" w:hAnsi="Verdana" w:cs="Verdana"/>
                <w:noProof/>
                <w:color w:val="000000"/>
                <w:sz w:val="16"/>
              </w:rPr>
            </w:pPr>
            <w:r>
              <w:rPr>
                <w:rFonts w:ascii="Verdana" w:hAnsi="Verdana"/>
                <w:noProof/>
                <w:color w:val="000000"/>
                <w:sz w:val="16"/>
              </w:rPr>
              <w:t>Център за преводи за органите на Европейския съюз</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42</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50</w:t>
            </w:r>
          </w:p>
        </w:tc>
        <w:tc>
          <w:tcPr>
            <w:tcW w:w="1043" w:type="dxa"/>
            <w:tcBorders>
              <w:top w:val="nil"/>
              <w:left w:val="nil"/>
              <w:bottom w:val="nil"/>
              <w:right w:val="nil"/>
              <w:tl2br w:val="nil"/>
              <w:tr2bl w:val="nil"/>
            </w:tcBorders>
            <w:shd w:val="clear" w:color="auto" w:fill="auto"/>
            <w:tcMar>
              <w:left w:w="60" w:type="dxa"/>
              <w:right w:w="60" w:type="dxa"/>
            </w:tcMar>
            <w:vAlign w:val="center"/>
          </w:tcPr>
          <w:p>
            <w:pPr>
              <w:pStyle w:val="DMETW19895BIPAgencies3CommitmentsPayments"/>
              <w:jc w:val="right"/>
              <w:rPr>
                <w:rFonts w:ascii="Verdana" w:eastAsia="Verdana" w:hAnsi="Verdana" w:cs="Verdana"/>
                <w:noProof/>
                <w:color w:val="000000"/>
                <w:sz w:val="16"/>
              </w:rPr>
            </w:pPr>
            <w:r>
              <w:rPr>
                <w:rFonts w:ascii="Verdana" w:hAnsi="Verdana"/>
                <w:noProof/>
                <w:color w:val="000000"/>
                <w:sz w:val="16"/>
              </w:rPr>
              <w:t xml:space="preserve"> 42</w:t>
            </w:r>
          </w:p>
        </w:tc>
      </w:tr>
      <w:tr>
        <w:trPr>
          <w:trHeight w:val="227"/>
        </w:trPr>
        <w:tc>
          <w:tcPr>
            <w:tcW w:w="5305"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3CommitmentsPayments"/>
              <w:rPr>
                <w:rFonts w:ascii="Verdana" w:eastAsia="Verdana" w:hAnsi="Verdana" w:cs="Verdana"/>
                <w:b/>
                <w:noProof/>
                <w:color w:val="000000"/>
                <w:sz w:val="16"/>
              </w:rPr>
            </w:pPr>
            <w:r>
              <w:rPr>
                <w:rFonts w:ascii="Verdana" w:hAnsi="Verdana"/>
                <w:b/>
                <w:noProof/>
                <w:color w:val="000000"/>
                <w:sz w:val="16"/>
              </w:rPr>
              <w:t>Общо</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3CommitmentsPayments"/>
              <w:jc w:val="right"/>
              <w:rPr>
                <w:rFonts w:ascii="Verdana" w:eastAsia="Verdana" w:hAnsi="Verdana" w:cs="Verdana"/>
                <w:b/>
                <w:noProof/>
                <w:color w:val="000000"/>
                <w:sz w:val="16"/>
              </w:rPr>
            </w:pPr>
            <w:r>
              <w:rPr>
                <w:rFonts w:ascii="Verdana" w:hAnsi="Verdana"/>
                <w:b/>
                <w:noProof/>
                <w:color w:val="000000"/>
                <w:sz w:val="16"/>
              </w:rPr>
              <w:t>5 928</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3CommitmentsPayments"/>
              <w:jc w:val="right"/>
              <w:rPr>
                <w:rFonts w:ascii="Verdana" w:eastAsia="Verdana" w:hAnsi="Verdana" w:cs="Verdana"/>
                <w:b/>
                <w:noProof/>
                <w:color w:val="000000"/>
                <w:sz w:val="16"/>
              </w:rPr>
            </w:pPr>
            <w:r>
              <w:rPr>
                <w:rFonts w:ascii="Verdana" w:hAnsi="Verdana"/>
                <w:b/>
                <w:noProof/>
                <w:color w:val="000000"/>
                <w:sz w:val="16"/>
              </w:rPr>
              <w:t>4 934</w:t>
            </w:r>
          </w:p>
        </w:tc>
        <w:tc>
          <w:tcPr>
            <w:tcW w:w="1136"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3CommitmentsPayments"/>
              <w:jc w:val="right"/>
              <w:rPr>
                <w:rFonts w:ascii="Verdana" w:eastAsia="Verdana" w:hAnsi="Verdana" w:cs="Verdana"/>
                <w:b/>
                <w:noProof/>
                <w:color w:val="000000"/>
                <w:sz w:val="16"/>
              </w:rPr>
            </w:pPr>
            <w:r>
              <w:rPr>
                <w:rFonts w:ascii="Verdana" w:hAnsi="Verdana"/>
                <w:b/>
                <w:noProof/>
                <w:color w:val="000000"/>
                <w:sz w:val="16"/>
              </w:rPr>
              <w:t>6 179</w:t>
            </w:r>
          </w:p>
        </w:tc>
        <w:tc>
          <w:tcPr>
            <w:tcW w:w="1043"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3CommitmentsPayments"/>
              <w:jc w:val="right"/>
              <w:rPr>
                <w:rFonts w:ascii="Verdana" w:eastAsia="Verdana" w:hAnsi="Verdana" w:cs="Verdana"/>
                <w:b/>
                <w:noProof/>
                <w:color w:val="000000"/>
                <w:sz w:val="16"/>
              </w:rPr>
            </w:pPr>
            <w:r>
              <w:rPr>
                <w:rFonts w:ascii="Verdana" w:hAnsi="Verdana"/>
                <w:b/>
                <w:noProof/>
                <w:color w:val="000000"/>
                <w:sz w:val="16"/>
              </w:rPr>
              <w:t>4 855</w:t>
            </w:r>
          </w:p>
        </w:tc>
      </w:tr>
    </w:tbl>
    <w:p>
      <w:pPr>
        <w:pStyle w:val="DGTextstand-alone"/>
        <w:rPr>
          <w:lang w:bidi="en-GB"/>
        </w:rPr>
      </w:pPr>
    </w:p>
    <w:tbl>
      <w:tblPr>
        <w:tblW w:w="9637"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18"/>
        <w:gridCol w:w="1276"/>
        <w:gridCol w:w="1134"/>
        <w:gridCol w:w="1275"/>
        <w:gridCol w:w="1134"/>
      </w:tblGrid>
      <w:tr>
        <w:trPr>
          <w:cantSplit/>
          <w:trHeight w:val="284"/>
        </w:trPr>
        <w:tc>
          <w:tcPr>
            <w:tcW w:w="4818"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rPr>
                <w:rFonts w:ascii="Verdana" w:eastAsia="Verdana" w:hAnsi="Verdana" w:cs="Verdana"/>
                <w:noProof/>
                <w:color w:val="000000"/>
                <w:sz w:val="16"/>
              </w:rPr>
            </w:pPr>
            <w:bookmarkStart w:id="290" w:name="DOC_TBL00125_1_1"/>
            <w:bookmarkEnd w:id="290"/>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p>
        </w:tc>
        <w:tc>
          <w:tcPr>
            <w:tcW w:w="1275"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454"/>
        </w:trPr>
        <w:tc>
          <w:tcPr>
            <w:tcW w:w="4818"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4TypeofExpenditure"/>
              <w:jc w:val="center"/>
              <w:rPr>
                <w:rFonts w:ascii="Verdana" w:eastAsia="Verdana" w:hAnsi="Verdana" w:cs="Verdana"/>
                <w:noProof/>
                <w:color w:val="FFFFFF"/>
                <w:sz w:val="16"/>
              </w:rPr>
            </w:pPr>
          </w:p>
        </w:tc>
        <w:tc>
          <w:tcPr>
            <w:tcW w:w="1276"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95BIPAgencies4TypeofExpenditure"/>
              <w:jc w:val="center"/>
              <w:rPr>
                <w:rFonts w:ascii="Verdana" w:eastAsia="Verdana" w:hAnsi="Verdana" w:cs="Verdana"/>
                <w:b/>
                <w:noProof/>
                <w:color w:val="FFFFFF"/>
                <w:sz w:val="16"/>
              </w:rPr>
            </w:pPr>
            <w:r>
              <w:rPr>
                <w:rFonts w:ascii="Verdana" w:hAnsi="Verdana"/>
                <w:b/>
                <w:noProof/>
                <w:color w:val="FFFFFF"/>
                <w:sz w:val="16"/>
              </w:rPr>
              <w:t>Бюджетни кредити за поети задължения</w:t>
            </w:r>
          </w:p>
        </w:tc>
        <w:tc>
          <w:tcPr>
            <w:tcW w:w="1275"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9895BIPAgencies4TypeofExpenditure"/>
              <w:jc w:val="center"/>
              <w:rPr>
                <w:rFonts w:ascii="Verdana" w:eastAsia="Verdana" w:hAnsi="Verdana" w:cs="Verdana"/>
                <w:b/>
                <w:noProof/>
                <w:color w:val="FFFFFF"/>
                <w:sz w:val="16"/>
              </w:rPr>
            </w:pPr>
            <w:r>
              <w:rPr>
                <w:rFonts w:ascii="Verdana" w:hAnsi="Verdana"/>
                <w:b/>
                <w:noProof/>
                <w:color w:val="FFFFFF"/>
                <w:sz w:val="16"/>
              </w:rPr>
              <w:t>Бюджетни кредити за плащания</w:t>
            </w:r>
          </w:p>
        </w:tc>
      </w:tr>
      <w:tr>
        <w:trPr>
          <w:cantSplit/>
          <w:trHeight w:val="454"/>
        </w:trPr>
        <w:tc>
          <w:tcPr>
            <w:tcW w:w="4818"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4TypeofExpenditure"/>
              <w:jc w:val="center"/>
              <w:rPr>
                <w:rFonts w:ascii="Verdana" w:eastAsia="Verdana" w:hAnsi="Verdana" w:cs="Verdana"/>
                <w:noProof/>
                <w:color w:val="FFFFFF"/>
                <w:sz w:val="16"/>
              </w:rPr>
            </w:pPr>
            <w:r>
              <w:rPr>
                <w:rFonts w:ascii="Verdana" w:hAnsi="Verdana"/>
                <w:noProof/>
                <w:color w:val="FFFFFF"/>
                <w:sz w:val="16"/>
              </w:rPr>
              <w:t>Вид разход</w:t>
            </w:r>
          </w:p>
        </w:tc>
        <w:tc>
          <w:tcPr>
            <w:tcW w:w="1276"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4TypeofExpenditure"/>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c>
          <w:tcPr>
            <w:tcW w:w="1134"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4TypeofExpenditure"/>
              <w:jc w:val="center"/>
              <w:rPr>
                <w:rFonts w:ascii="Verdana" w:eastAsia="Verdana" w:hAnsi="Verdana" w:cs="Verdana"/>
                <w:noProof/>
                <w:color w:val="FFFFFF"/>
                <w:sz w:val="16"/>
              </w:rPr>
            </w:pPr>
            <w:r>
              <w:rPr>
                <w:rFonts w:ascii="Verdana" w:hAnsi="Verdana"/>
                <w:noProof/>
                <w:color w:val="FFFFFF"/>
                <w:sz w:val="16"/>
              </w:rPr>
              <w:t>Поети задължения</w:t>
            </w:r>
          </w:p>
        </w:tc>
        <w:tc>
          <w:tcPr>
            <w:tcW w:w="1275"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4TypeofExpenditure"/>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c>
          <w:tcPr>
            <w:tcW w:w="1134" w:type="dxa"/>
            <w:tcBorders>
              <w:top w:val="nil"/>
              <w:left w:val="nil"/>
              <w:bottom w:val="nil"/>
              <w:right w:val="nil"/>
              <w:tl2br w:val="nil"/>
              <w:tr2bl w:val="nil"/>
            </w:tcBorders>
            <w:shd w:val="solid" w:color="016794" w:fill="FFFFFF"/>
            <w:tcMar>
              <w:left w:w="60" w:type="dxa"/>
              <w:right w:w="60" w:type="dxa"/>
            </w:tcMar>
            <w:vAlign w:val="center"/>
          </w:tcPr>
          <w:p>
            <w:pPr>
              <w:pStyle w:val="DMETW19895BIPAgencies4TypeofExpenditure"/>
              <w:jc w:val="center"/>
              <w:rPr>
                <w:rFonts w:ascii="Verdana" w:eastAsia="Verdana" w:hAnsi="Verdana" w:cs="Verdana"/>
                <w:noProof/>
                <w:color w:val="FFFFFF"/>
                <w:sz w:val="16"/>
              </w:rPr>
            </w:pPr>
            <w:r>
              <w:rPr>
                <w:rFonts w:ascii="Verdana" w:hAnsi="Verdana"/>
                <w:noProof/>
                <w:color w:val="FFFFFF"/>
                <w:sz w:val="16"/>
              </w:rPr>
              <w:t>Извършени плащания</w:t>
            </w:r>
          </w:p>
        </w:tc>
      </w:tr>
      <w:tr>
        <w:trPr>
          <w:cantSplit/>
          <w:trHeight w:val="284"/>
        </w:trPr>
        <w:tc>
          <w:tcPr>
            <w:tcW w:w="4818"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rPr>
                <w:rFonts w:ascii="Verdana" w:eastAsia="Verdana" w:hAnsi="Verdana" w:cs="Verdana"/>
                <w:noProof/>
                <w:color w:val="000000"/>
                <w:sz w:val="16"/>
              </w:rPr>
            </w:pPr>
            <w:r>
              <w:rPr>
                <w:rFonts w:ascii="Verdana" w:hAnsi="Verdana"/>
                <w:noProof/>
                <w:color w:val="000000"/>
                <w:sz w:val="16"/>
              </w:rPr>
              <w:t>Персонал</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1 349</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1 325</w:t>
            </w:r>
          </w:p>
        </w:tc>
        <w:tc>
          <w:tcPr>
            <w:tcW w:w="1275"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1 240</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1 313</w:t>
            </w:r>
          </w:p>
        </w:tc>
      </w:tr>
      <w:tr>
        <w:trPr>
          <w:cantSplit/>
          <w:trHeight w:val="284"/>
        </w:trPr>
        <w:tc>
          <w:tcPr>
            <w:tcW w:w="4818"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rPr>
                <w:rFonts w:ascii="Verdana" w:eastAsia="Verdana" w:hAnsi="Verdana" w:cs="Verdana"/>
                <w:noProof/>
                <w:color w:val="000000"/>
                <w:sz w:val="16"/>
              </w:rPr>
            </w:pPr>
            <w:r>
              <w:rPr>
                <w:rFonts w:ascii="Verdana" w:hAnsi="Verdana"/>
                <w:noProof/>
                <w:color w:val="000000"/>
                <w:sz w:val="16"/>
              </w:rPr>
              <w:t>Административни</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 xml:space="preserve"> 454</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 xml:space="preserve"> 439</w:t>
            </w:r>
          </w:p>
        </w:tc>
        <w:tc>
          <w:tcPr>
            <w:tcW w:w="1275"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 xml:space="preserve"> 487</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 xml:space="preserve"> 423</w:t>
            </w:r>
          </w:p>
        </w:tc>
      </w:tr>
      <w:tr>
        <w:trPr>
          <w:cantSplit/>
          <w:trHeight w:val="284"/>
        </w:trPr>
        <w:tc>
          <w:tcPr>
            <w:tcW w:w="4818"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rPr>
                <w:rFonts w:ascii="Verdana" w:eastAsia="Verdana" w:hAnsi="Verdana" w:cs="Verdana"/>
                <w:noProof/>
                <w:color w:val="000000"/>
                <w:sz w:val="16"/>
              </w:rPr>
            </w:pPr>
            <w:r>
              <w:rPr>
                <w:rFonts w:ascii="Verdana" w:hAnsi="Verdana"/>
                <w:noProof/>
                <w:color w:val="000000"/>
                <w:sz w:val="16"/>
              </w:rPr>
              <w:t>Оперативни</w:t>
            </w:r>
          </w:p>
        </w:tc>
        <w:tc>
          <w:tcPr>
            <w:tcW w:w="1276"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4 126</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3 169</w:t>
            </w:r>
          </w:p>
        </w:tc>
        <w:tc>
          <w:tcPr>
            <w:tcW w:w="1275"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4 452</w:t>
            </w:r>
          </w:p>
        </w:tc>
        <w:tc>
          <w:tcPr>
            <w:tcW w:w="1134" w:type="dxa"/>
            <w:tcBorders>
              <w:top w:val="nil"/>
              <w:left w:val="nil"/>
              <w:bottom w:val="nil"/>
              <w:right w:val="nil"/>
              <w:tl2br w:val="nil"/>
              <w:tr2bl w:val="nil"/>
            </w:tcBorders>
            <w:shd w:val="clear" w:color="auto" w:fill="auto"/>
            <w:tcMar>
              <w:left w:w="60" w:type="dxa"/>
              <w:right w:w="60" w:type="dxa"/>
            </w:tcMar>
            <w:vAlign w:val="center"/>
          </w:tcPr>
          <w:p>
            <w:pPr>
              <w:pStyle w:val="DMETW19895BIPAgencies4TypeofExpenditure"/>
              <w:jc w:val="right"/>
              <w:rPr>
                <w:rFonts w:ascii="Verdana" w:eastAsia="Verdana" w:hAnsi="Verdana" w:cs="Verdana"/>
                <w:noProof/>
                <w:color w:val="000000"/>
                <w:sz w:val="16"/>
              </w:rPr>
            </w:pPr>
            <w:r>
              <w:rPr>
                <w:rFonts w:ascii="Verdana" w:hAnsi="Verdana"/>
                <w:noProof/>
                <w:color w:val="000000"/>
                <w:sz w:val="16"/>
              </w:rPr>
              <w:t>3 119</w:t>
            </w:r>
          </w:p>
        </w:tc>
      </w:tr>
      <w:tr>
        <w:trPr>
          <w:trHeight w:val="284"/>
        </w:trPr>
        <w:tc>
          <w:tcPr>
            <w:tcW w:w="4818"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4TypeofExpenditure"/>
              <w:rPr>
                <w:rFonts w:ascii="Verdana" w:eastAsia="Verdana" w:hAnsi="Verdana" w:cs="Verdana"/>
                <w:b/>
                <w:noProof/>
                <w:color w:val="000000"/>
                <w:sz w:val="16"/>
              </w:rPr>
            </w:pPr>
            <w:r>
              <w:rPr>
                <w:rFonts w:ascii="Verdana" w:hAnsi="Verdana"/>
                <w:b/>
                <w:noProof/>
                <w:color w:val="000000"/>
                <w:sz w:val="16"/>
              </w:rPr>
              <w:t>Общо</w:t>
            </w:r>
          </w:p>
        </w:tc>
        <w:tc>
          <w:tcPr>
            <w:tcW w:w="1276"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4TypeofExpenditure"/>
              <w:jc w:val="right"/>
              <w:rPr>
                <w:rFonts w:ascii="Verdana" w:eastAsia="Verdana" w:hAnsi="Verdana" w:cs="Verdana"/>
                <w:b/>
                <w:noProof/>
                <w:color w:val="000000"/>
                <w:sz w:val="16"/>
              </w:rPr>
            </w:pPr>
            <w:r>
              <w:rPr>
                <w:rFonts w:ascii="Verdana" w:hAnsi="Verdana"/>
                <w:b/>
                <w:noProof/>
                <w:color w:val="000000"/>
                <w:sz w:val="16"/>
              </w:rPr>
              <w:t>5 928</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4TypeofExpenditure"/>
              <w:jc w:val="right"/>
              <w:rPr>
                <w:rFonts w:ascii="Verdana" w:eastAsia="Verdana" w:hAnsi="Verdana" w:cs="Verdana"/>
                <w:b/>
                <w:noProof/>
                <w:color w:val="000000"/>
                <w:sz w:val="16"/>
              </w:rPr>
            </w:pPr>
            <w:r>
              <w:rPr>
                <w:rFonts w:ascii="Verdana" w:hAnsi="Verdana"/>
                <w:b/>
                <w:noProof/>
                <w:color w:val="000000"/>
                <w:sz w:val="16"/>
              </w:rPr>
              <w:t>4 934</w:t>
            </w:r>
          </w:p>
        </w:tc>
        <w:tc>
          <w:tcPr>
            <w:tcW w:w="1275"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4TypeofExpenditure"/>
              <w:jc w:val="right"/>
              <w:rPr>
                <w:rFonts w:ascii="Verdana" w:eastAsia="Verdana" w:hAnsi="Verdana" w:cs="Verdana"/>
                <w:b/>
                <w:noProof/>
                <w:color w:val="000000"/>
                <w:sz w:val="16"/>
              </w:rPr>
            </w:pPr>
            <w:r>
              <w:rPr>
                <w:rFonts w:ascii="Verdana" w:hAnsi="Verdana"/>
                <w:b/>
                <w:noProof/>
                <w:color w:val="000000"/>
                <w:sz w:val="16"/>
              </w:rPr>
              <w:t>6 179</w:t>
            </w:r>
          </w:p>
        </w:tc>
        <w:tc>
          <w:tcPr>
            <w:tcW w:w="1134" w:type="dxa"/>
            <w:tcBorders>
              <w:top w:val="nil"/>
              <w:left w:val="nil"/>
              <w:bottom w:val="nil"/>
              <w:right w:val="nil"/>
              <w:tl2br w:val="nil"/>
              <w:tr2bl w:val="nil"/>
            </w:tcBorders>
            <w:shd w:val="solid" w:color="CCE1EA" w:fill="FFFFFF"/>
            <w:tcMar>
              <w:left w:w="60" w:type="dxa"/>
              <w:right w:w="60" w:type="dxa"/>
            </w:tcMar>
            <w:vAlign w:val="center"/>
          </w:tcPr>
          <w:p>
            <w:pPr>
              <w:pStyle w:val="DMETW19895BIPAgencies4TypeofExpenditure"/>
              <w:jc w:val="right"/>
              <w:rPr>
                <w:rFonts w:ascii="Verdana" w:eastAsia="Verdana" w:hAnsi="Verdana" w:cs="Verdana"/>
                <w:b/>
                <w:noProof/>
                <w:color w:val="000000"/>
                <w:sz w:val="16"/>
              </w:rPr>
            </w:pPr>
            <w:r>
              <w:rPr>
                <w:rFonts w:ascii="Verdana" w:hAnsi="Verdana"/>
                <w:b/>
                <w:noProof/>
                <w:color w:val="000000"/>
                <w:sz w:val="16"/>
              </w:rPr>
              <w:t>4 855</w:t>
            </w:r>
          </w:p>
        </w:tc>
      </w:tr>
    </w:tbl>
    <w:p>
      <w:pPr>
        <w:pStyle w:val="DGTextstand-alone"/>
        <w:rPr>
          <w:lang w:bidi="en-GB"/>
        </w:rPr>
      </w:pPr>
    </w:p>
    <w:bookmarkEnd w:id="283"/>
    <w:p>
      <w:pPr>
        <w:pStyle w:val="DGTextstand-alone"/>
        <w:rPr>
          <w:lang w:bidi="en-GB"/>
        </w:rPr>
        <w:sectPr>
          <w:headerReference w:type="even" r:id="rId404"/>
          <w:headerReference w:type="default" r:id="rId405"/>
          <w:footerReference w:type="even" r:id="rId406"/>
          <w:footerReference w:type="default" r:id="rId407"/>
          <w:headerReference w:type="first" r:id="rId408"/>
          <w:footerReference w:type="first" r:id="rId409"/>
          <w:pgSz w:w="11900" w:h="16840"/>
          <w:pgMar w:top="1134" w:right="1134" w:bottom="1134" w:left="1134" w:header="709" w:footer="709" w:gutter="0"/>
          <w:cols w:space="720"/>
        </w:sectPr>
      </w:pPr>
    </w:p>
    <w:p>
      <w:pPr>
        <w:pStyle w:val="FIRSTCHAPTERPAGE"/>
        <w:rPr>
          <w:noProof/>
        </w:rPr>
      </w:pPr>
      <w:bookmarkStart w:id="291" w:name="_Toc75518073"/>
      <w:bookmarkStart w:id="292" w:name="_DMBM_19897"/>
      <w:r>
        <w:rPr>
          <w:noProof/>
        </w:rPr>
        <w:t>РЕЧНИК НА ТЕРМИНИТЕ</w:t>
      </w:r>
      <w:bookmarkEnd w:id="291"/>
    </w:p>
    <w:p>
      <w:pPr>
        <w:pStyle w:val="HEADER5"/>
        <w:rPr>
          <w:noProof/>
        </w:rPr>
      </w:pPr>
      <w:r>
        <w:rPr>
          <w:noProof/>
        </w:rPr>
        <w:t>Актюерски предположения</w:t>
      </w:r>
    </w:p>
    <w:p>
      <w:pPr>
        <w:pStyle w:val="DGTextstand-alone"/>
      </w:pPr>
      <w:r>
        <w:t>Предположенията, използвани за изчисляване на разходите за бъдещи събития, които засягат пенсионните задължения.</w:t>
      </w:r>
    </w:p>
    <w:p>
      <w:pPr>
        <w:pStyle w:val="HEADER5"/>
        <w:rPr>
          <w:noProof/>
        </w:rPr>
      </w:pPr>
      <w:r>
        <w:rPr>
          <w:noProof/>
        </w:rPr>
        <w:t>Актюерски печалби и загуби</w:t>
      </w:r>
    </w:p>
    <w:p>
      <w:pPr>
        <w:pStyle w:val="DGTextstand-alone"/>
      </w:pPr>
      <w:r>
        <w:t>За схема за дефинирани доходи — промените в актюерските дефицити или излишъци. Те възникват поради разликите между предходните актюерски предположения и събитията, които реално са настъпили, както и поради последиците от промените в актюерските предположения.</w:t>
      </w:r>
    </w:p>
    <w:p>
      <w:pPr>
        <w:pStyle w:val="HEADER5"/>
        <w:rPr>
          <w:noProof/>
        </w:rPr>
      </w:pPr>
      <w:r>
        <w:rPr>
          <w:noProof/>
        </w:rPr>
        <w:t>Бюджетни кредити за административни разходи</w:t>
      </w:r>
    </w:p>
    <w:p>
      <w:pPr>
        <w:pStyle w:val="DGTextstand-alone"/>
      </w:pPr>
      <w:r>
        <w:t>Бюджетните кредити за административни разходи покриват текущите разходи на институциите и на субектите (персонал, сгради, офис оборудване).</w:t>
      </w:r>
    </w:p>
    <w:p>
      <w:pPr>
        <w:pStyle w:val="HEADER5"/>
        <w:rPr>
          <w:noProof/>
        </w:rPr>
      </w:pPr>
      <w:r>
        <w:rPr>
          <w:noProof/>
        </w:rPr>
        <w:t>Приет бюджет</w:t>
      </w:r>
    </w:p>
    <w:p>
      <w:pPr>
        <w:pStyle w:val="DGTextstand-alone"/>
      </w:pPr>
      <w:r>
        <w:t>Проектобюджетът става приет бюджет веднага след като бъде одобрен от бюджетния орган и обявен за окончателно приет от председателя на Европейския парламент.</w:t>
      </w:r>
    </w:p>
    <w:p>
      <w:pPr>
        <w:pStyle w:val="HEADER5"/>
        <w:rPr>
          <w:noProof/>
        </w:rPr>
      </w:pPr>
      <w:r>
        <w:rPr>
          <w:noProof/>
        </w:rPr>
        <w:t>Коригиращ бюджет</w:t>
      </w:r>
    </w:p>
    <w:p>
      <w:pPr>
        <w:pStyle w:val="DGTextstand-alone"/>
      </w:pPr>
      <w:r>
        <w:t>Решение, прието през бюджетната година, за изменение (увеличение, намаление, трансфер) на аспекти на приетия бюджет за тази година.</w:t>
      </w:r>
    </w:p>
    <w:p>
      <w:pPr>
        <w:pStyle w:val="HEADER5"/>
        <w:rPr>
          <w:noProof/>
        </w:rPr>
      </w:pPr>
      <w:r>
        <w:rPr>
          <w:noProof/>
        </w:rPr>
        <w:t>Суми, които трябва да бъдат поискани от държавите членки</w:t>
      </w:r>
    </w:p>
    <w:p>
      <w:pPr>
        <w:pStyle w:val="DGTextstand-alone"/>
      </w:pPr>
      <w:r>
        <w:t>Това са направени през отчетния период разходи, които ще трябва да бъдат финансирани от бъдещи бюджети, т.е. от държавите — членки на ЕС. Това е следствие от едновременното съществуване на финансови отчети на базата на текущо начисляване и на бюджет на касова основа.</w:t>
      </w:r>
    </w:p>
    <w:p>
      <w:pPr>
        <w:pStyle w:val="HEADER5"/>
        <w:rPr>
          <w:noProof/>
        </w:rPr>
      </w:pPr>
      <w:r>
        <w:rPr>
          <w:noProof/>
        </w:rPr>
        <w:t>Годишен отчет за дейността (ГОД)</w:t>
      </w:r>
    </w:p>
    <w:p>
      <w:pPr>
        <w:pStyle w:val="DGTextstand-alone"/>
      </w:pPr>
      <w:r>
        <w:t>В годишните отчети за дейността се посочват, наред с друго, резултатите от дейностите чрез съпоставка с определените цели, свързаните с дейностите рискове и структурата за вътрешен контрол. От бюджетната процедура за 2001 г. за Комисията и от 2003 г. за всички институции на Европейския съюз оправомощеният разпоредител с бюджетни кредити трябва да представя на своята институция ГОД за изпълнението на своите задължения, както и финансова информация и информация за управлението.</w:t>
      </w:r>
    </w:p>
    <w:p>
      <w:pPr>
        <w:pStyle w:val="HEADER5"/>
        <w:rPr>
          <w:noProof/>
        </w:rPr>
      </w:pPr>
      <w:r>
        <w:rPr>
          <w:noProof/>
        </w:rPr>
        <w:t>Бюджетни кредити</w:t>
      </w:r>
    </w:p>
    <w:p>
      <w:pPr>
        <w:pStyle w:val="DGTextstand-alone"/>
        <w:rPr>
          <w:spacing w:val="-6"/>
        </w:rPr>
      </w:pPr>
      <w:r>
        <w:rPr>
          <w:spacing w:val="-6"/>
        </w:rPr>
        <w:t>Финансиране на бюджета. В бюджета се прогнозират както поетите задължения, така и плащанията (пари в брой или банкови трансфери в полза на бенефициерите). Бюджетните кредити за поети задължения и бюджетните кредити за плащания често се различават (многогодишни бюджетни кредити), тъй като задължение за многогодишните програми и проекти обикновено се поема изцяло през годината, през която е взето решението за тези програми и проекти, и средствата по тях се плащат през годините с напредването на тяхното изпълнение. Едногодишните бюджетни кредити се използват за административните разходи, за разходите за подкрепа на селскостопанските пазари и за преките плащания, като бюджетните кредити за поети задължения са равни на бюджетните кредити за плащания.</w:t>
      </w:r>
    </w:p>
    <w:p>
      <w:pPr>
        <w:pStyle w:val="HEADER5"/>
        <w:rPr>
          <w:noProof/>
        </w:rPr>
      </w:pPr>
      <w:r>
        <w:rPr>
          <w:noProof/>
        </w:rPr>
        <w:t>Целеви приходи</w:t>
      </w:r>
    </w:p>
    <w:p>
      <w:pPr>
        <w:pStyle w:val="DGTextstand-alone"/>
        <w:rPr>
          <w:spacing w:val="-6"/>
        </w:rPr>
      </w:pPr>
      <w:r>
        <w:rPr>
          <w:spacing w:val="-6"/>
        </w:rPr>
        <w:t>Специални приходи, получени за финансирането на конкретни разходи. Основният източник на външни целеви приходи са финансовите средства, предоставени от трети държави за програми, финансирани от Съюза. Основният източник на вътрешни целеви приходи са приходите от трети страни във връзка със стоки, услуги или строителни работи, предоставени по тяхно искане. Приходите от възстановяването на неоснователно платени суми и приходите от продажбата на публикации и филми.</w:t>
      </w:r>
    </w:p>
    <w:p>
      <w:pPr>
        <w:pStyle w:val="HEADER5"/>
        <w:rPr>
          <w:noProof/>
        </w:rPr>
      </w:pPr>
      <w:r>
        <w:rPr>
          <w:noProof/>
        </w:rPr>
        <w:t>Финансови активи, обявени за продажба</w:t>
      </w:r>
    </w:p>
    <w:p>
      <w:pPr>
        <w:pStyle w:val="DGTextstand-alone"/>
      </w:pPr>
      <w:r>
        <w:t>Всички финансови активи (с изключение на деривативите), които според международните счетоводни стандарти за публичния сектор се оценяват по справедлива стойност и за които промените в справедливата стойност трябва да бъдат признати в резерв при нетните активи до отписването им (или обезценка).</w:t>
      </w:r>
    </w:p>
    <w:p>
      <w:pPr>
        <w:pStyle w:val="HEADER5"/>
        <w:rPr>
          <w:noProof/>
        </w:rPr>
      </w:pPr>
      <w:r>
        <w:rPr>
          <w:noProof/>
        </w:rPr>
        <w:t>Бюджетен ред</w:t>
      </w:r>
    </w:p>
    <w:p>
      <w:pPr>
        <w:pStyle w:val="DGTextstand-alone"/>
      </w:pPr>
      <w:r>
        <w:t>Що се отнася до структурата на бюджета, приходите и разходите се записват в бюджета съгласно задължителна номенклатура, която отразява естеството и целта на всеки елемент. Тази номенклатура е наложена от бюджетния орган. Отделните категории (дял, глава, статия или ред) служат за официално описание на номенклатурата.</w:t>
      </w:r>
    </w:p>
    <w:p>
      <w:pPr>
        <w:pStyle w:val="HEADER5"/>
        <w:rPr>
          <w:noProof/>
        </w:rPr>
      </w:pPr>
      <w:r>
        <w:rPr>
          <w:noProof/>
        </w:rPr>
        <w:t>Отмяна на бюджетни кредити</w:t>
      </w:r>
    </w:p>
    <w:p>
      <w:pPr>
        <w:pStyle w:val="DGTextstand-alone"/>
      </w:pPr>
      <w:r>
        <w:t>Неизползваните бюджетни кредити, които не могат вече да се използват.</w:t>
      </w:r>
    </w:p>
    <w:p>
      <w:pPr>
        <w:pStyle w:val="HEADER5"/>
        <w:rPr>
          <w:noProof/>
        </w:rPr>
      </w:pPr>
      <w:r>
        <w:rPr>
          <w:noProof/>
        </w:rPr>
        <w:t>Пренасяне на бюджетни кредити</w:t>
      </w:r>
    </w:p>
    <w:p>
      <w:pPr>
        <w:pStyle w:val="DGTextstand-alone"/>
      </w:pPr>
      <w:r>
        <w:t>Изключение от принципа на ежегодност, доколкото бюджетните кредити, които не са могли да бъдат използвани през дадена бюджетна година, могат при строги условия и по изключение да бъдат пренесени за използване през следващата година.</w:t>
      </w:r>
    </w:p>
    <w:p>
      <w:pPr>
        <w:pStyle w:val="HEADER5"/>
        <w:rPr>
          <w:noProof/>
        </w:rPr>
      </w:pPr>
      <w:r>
        <w:rPr>
          <w:noProof/>
        </w:rPr>
        <w:t>Поемане на задължение</w:t>
      </w:r>
    </w:p>
    <w:p>
      <w:pPr>
        <w:pStyle w:val="DGTextstand-alone"/>
      </w:pPr>
      <w:r>
        <w:t>Правен ангажимент за предоставяне на финансиране, при условие че бъдат изпълнени определени условия. ЕС се задължава да възстанови своя дял от разходите по проект, финансиран от ЕС. Днешните задължения представляват утрешните плащания. Днешните плащания представляват вчерашните задължения.</w:t>
      </w:r>
    </w:p>
    <w:p>
      <w:pPr>
        <w:pStyle w:val="HEADER5"/>
        <w:rPr>
          <w:noProof/>
        </w:rPr>
      </w:pPr>
      <w:r>
        <w:rPr>
          <w:noProof/>
        </w:rPr>
        <w:t>Бюджетен кредит за поети задължения</w:t>
      </w:r>
    </w:p>
    <w:p>
      <w:pPr>
        <w:pStyle w:val="DGTextstand-alone"/>
      </w:pPr>
      <w:r>
        <w:t>Бюджетните кредити за поети задължения покриват пълната стойност на правните задължения (договори, споразумения/решения за предоставяне на безвъзмездни средства), които могат да бъдат подписани през текущата финансова година.</w:t>
      </w:r>
    </w:p>
    <w:p>
      <w:pPr>
        <w:pStyle w:val="HEADER5"/>
        <w:rPr>
          <w:noProof/>
        </w:rPr>
      </w:pPr>
      <w:r>
        <w:rPr>
          <w:noProof/>
        </w:rPr>
        <w:t>Разходи за текущ трудов стаж</w:t>
      </w:r>
    </w:p>
    <w:p>
      <w:pPr>
        <w:pStyle w:val="DGTextstand-alone"/>
      </w:pPr>
      <w:r>
        <w:t>Увеличението на задълженията по схемата, произтичащи от трудовия стаж, натрупан през текущата финансова година.</w:t>
      </w:r>
    </w:p>
    <w:p>
      <w:pPr>
        <w:pStyle w:val="HEADER5"/>
        <w:rPr>
          <w:noProof/>
        </w:rPr>
      </w:pPr>
      <w:r>
        <w:rPr>
          <w:noProof/>
        </w:rPr>
        <w:t>Отмяна на задължение</w:t>
      </w:r>
    </w:p>
    <w:p>
      <w:pPr>
        <w:pStyle w:val="DGTextstand-alone"/>
      </w:pPr>
      <w:r>
        <w:t>Действие, чрез което се отменя предходно задължение (или част от него).</w:t>
      </w:r>
    </w:p>
    <w:p>
      <w:pPr>
        <w:pStyle w:val="HEADER5"/>
        <w:rPr>
          <w:noProof/>
        </w:rPr>
      </w:pPr>
      <w:r>
        <w:rPr>
          <w:noProof/>
        </w:rPr>
        <w:t>Схема за дефинирани доходи</w:t>
      </w:r>
    </w:p>
    <w:p>
      <w:pPr>
        <w:pStyle w:val="DGTextstand-alone"/>
      </w:pPr>
      <w:r>
        <w:t>Пенсионна схема или друга схема за доходи след пенсиониране, при която правилата на схемата определят доходите независимо от дължимите вноски и при която доходите не са пряко свързани с инвестициите на схемата. Схемата може да бъде финансирана или нефинансирана.</w:t>
      </w:r>
    </w:p>
    <w:p>
      <w:pPr>
        <w:pStyle w:val="HEADER5"/>
        <w:rPr>
          <w:noProof/>
        </w:rPr>
      </w:pPr>
      <w:r>
        <w:rPr>
          <w:noProof/>
        </w:rPr>
        <w:t>Деривативи</w:t>
      </w:r>
    </w:p>
    <w:p>
      <w:pPr>
        <w:pStyle w:val="DGTextstand-alone"/>
      </w:pPr>
      <w:r>
        <w:t>Финансови инструменти, чиято стойност е свързана с промените в стойността на друг финансов инструмент, на показател или на стока. За разлика от притежателя на първичен финансов инструмент (напр. държавна ценна книга), който има неограничено право да получи пари (или друга икономическа полза) в бъдеще, притежателят на дериватив има само ограничено право да получи такава полза. Пример за дериватив е валутният форуърден договор.</w:t>
      </w:r>
    </w:p>
    <w:p>
      <w:pPr>
        <w:pStyle w:val="HEADER5"/>
        <w:rPr>
          <w:noProof/>
        </w:rPr>
      </w:pPr>
      <w:r>
        <w:rPr>
          <w:noProof/>
        </w:rPr>
        <w:t>Пряко управление</w:t>
      </w:r>
    </w:p>
    <w:p>
      <w:pPr>
        <w:pStyle w:val="DGTextstand-alone"/>
      </w:pPr>
      <w:r>
        <w:t>Метод на изпълнение на бюджета. При прякото управление бюджетът се изпълнява пряко от службите на Комисията, изпълнителните агенции или доверителните фондове.</w:t>
      </w:r>
    </w:p>
    <w:p>
      <w:pPr>
        <w:pStyle w:val="HEADER5"/>
        <w:rPr>
          <w:noProof/>
        </w:rPr>
      </w:pPr>
      <w:r>
        <w:rPr>
          <w:noProof/>
        </w:rPr>
        <w:t>Дисконтов процент</w:t>
      </w:r>
    </w:p>
    <w:p>
      <w:pPr>
        <w:pStyle w:val="DGTextstand-alone"/>
      </w:pPr>
      <w:r>
        <w:t>Процентът, използван за коригиране на стойността на парите във времето. Дисконтирането е техника, която се използва за сравняване на разходите и ползите, настъпващи през различни времеви периоди.</w:t>
      </w:r>
    </w:p>
    <w:p>
      <w:pPr>
        <w:pStyle w:val="HEADER5"/>
        <w:rPr>
          <w:noProof/>
        </w:rPr>
      </w:pPr>
      <w:r>
        <w:rPr>
          <w:noProof/>
        </w:rPr>
        <w:t>Ефективен лихвен процент</w:t>
      </w:r>
    </w:p>
    <w:p>
      <w:pPr>
        <w:pStyle w:val="DGTextstand-alone"/>
      </w:pPr>
      <w:r>
        <w:t xml:space="preserve">Процентът, с който се дисконтират очакваните бъдещи парични постъпления или плащания през очаквания живот на финансовия актив или финансовия пасив до нетната балансова стойност на актива или пасива. </w:t>
      </w:r>
    </w:p>
    <w:p>
      <w:pPr>
        <w:pStyle w:val="HEADER5"/>
        <w:rPr>
          <w:noProof/>
        </w:rPr>
      </w:pPr>
      <w:r>
        <w:rPr>
          <w:noProof/>
        </w:rPr>
        <w:t>Финансови активи или пасиви по справедлива стойност чрез излишъка или дефицита</w:t>
      </w:r>
    </w:p>
    <w:p>
      <w:pPr>
        <w:pStyle w:val="DGTextstand-alone"/>
      </w:pPr>
      <w:r>
        <w:t>Всички финансови активи или пасиви, които според международните счетоводни стандарти за публичния сектор се оценяват по справедлива стойност и за които промените в справедливата стойност трябва да бъдат признати в излишъка или дефицита за периода (т.е. деривативи).</w:t>
      </w:r>
    </w:p>
    <w:p>
      <w:pPr>
        <w:pStyle w:val="HEADER5"/>
        <w:rPr>
          <w:noProof/>
        </w:rPr>
      </w:pPr>
      <w:r>
        <w:rPr>
          <w:noProof/>
        </w:rPr>
        <w:t>Финансова корекция</w:t>
      </w:r>
    </w:p>
    <w:p>
      <w:pPr>
        <w:pStyle w:val="DGTextstand-alone"/>
      </w:pPr>
      <w:r>
        <w:t>Финансовите корекции имат за цел да предпазят бюджета на ЕС от нередовни разходи. Що се отнася до разходите под споделено управление, събирането на нередовни плащания е отговорност предимно на държавата членка.</w:t>
      </w:r>
    </w:p>
    <w:p>
      <w:pPr>
        <w:pStyle w:val="DGTextstand-alone"/>
      </w:pPr>
      <w:r>
        <w:t>„Потвърдена“ финансова корекция е финансова корекция, която е приета от съответната държава членка. „Решена“ финансова корекция е финансова корекция, която е приета с решение на Комисията. Тя винаги е нетна корекция, при която държавата членка трябва да възстанови нередовните средства в бюджета на ЕС, което води до окончателно намаление на финансовия пакет, предвиден за съответната държава членка. Потвърдените и решените финансови корекции се посочват в настоящия документ като една категория.</w:t>
      </w:r>
    </w:p>
    <w:p>
      <w:pPr>
        <w:pStyle w:val="DGTextstand-alone"/>
      </w:pPr>
      <w:r>
        <w:t>Финансовата корекция е „извършена“, когато с нея е коригирана констатираната нередност.</w:t>
      </w:r>
    </w:p>
    <w:p>
      <w:pPr>
        <w:pStyle w:val="HEADER5"/>
        <w:rPr>
          <w:noProof/>
        </w:rPr>
      </w:pPr>
      <w:r>
        <w:rPr>
          <w:noProof/>
        </w:rPr>
        <w:t>Непряко управление</w:t>
      </w:r>
    </w:p>
    <w:p>
      <w:pPr>
        <w:pStyle w:val="DGTextstand-alone"/>
      </w:pPr>
      <w:r>
        <w:t>Метод на изпълнение на бюджета. При непрякото управление Комисията възлага задачи по изпълнението на бюджета на органи, уредени от правото на ЕС или от национално право.</w:t>
      </w:r>
    </w:p>
    <w:p>
      <w:pPr>
        <w:pStyle w:val="HEADER5"/>
        <w:rPr>
          <w:noProof/>
        </w:rPr>
      </w:pPr>
      <w:r>
        <w:rPr>
          <w:noProof/>
        </w:rPr>
        <w:t>Прекъсвания и спирания</w:t>
      </w:r>
    </w:p>
    <w:p>
      <w:pPr>
        <w:pStyle w:val="DGTextstand-alone"/>
      </w:pPr>
      <w:r>
        <w:t>Ако Комисията установи, въз основа на собствената си дейност или на информацията, съобщена от одитните органи, че държава членка не е отстранила сериозни недостатъци в системите за управление и контрол и/или не е коригирала нередовни разходи, които са били декларирани и сертифицирани, тя може да прекъсне или да спре плащанията.</w:t>
      </w:r>
    </w:p>
    <w:p>
      <w:pPr>
        <w:pStyle w:val="HEADER5"/>
        <w:rPr>
          <w:noProof/>
        </w:rPr>
      </w:pPr>
      <w:r>
        <w:rPr>
          <w:noProof/>
        </w:rPr>
        <w:t>Нередност</w:t>
      </w:r>
    </w:p>
    <w:p>
      <w:pPr>
        <w:pStyle w:val="DGTextstand-alone"/>
      </w:pPr>
      <w:r>
        <w:t>Нередността е действие, което не съответства на приложимите правила на ЕС или национални правила и което има потенциално отрицателно въздействие върху финансовите интереси на ЕС. Тя може да е резултат от поведението на бенефициерите на средства или на органите, отговарящи за извършването на плащания. Понятието за нередност е по-широко от понятието за измама, което се отнася до поведение, което може да бъде квалифицирано престъпление.</w:t>
      </w:r>
    </w:p>
    <w:p>
      <w:pPr>
        <w:pStyle w:val="HEADER5"/>
        <w:rPr>
          <w:noProof/>
        </w:rPr>
      </w:pPr>
      <w:r>
        <w:rPr>
          <w:noProof/>
        </w:rPr>
        <w:t>Бюджетни кредити, които губят сила</w:t>
      </w:r>
    </w:p>
    <w:p>
      <w:pPr>
        <w:pStyle w:val="DGTextstand-alone"/>
      </w:pPr>
      <w:r>
        <w:t>Неизползваните бюджетни кредити, които ще бъдат отменени в края на финансовата година. Губенето на сила означава отмяна на цялото разрешение или на част от разрешението за извършване на разходи и/или за поемане на задължения. Това разрешение намира израз под формата на бюджетен кредит. Само за съвместните предприятия (СП), както е посочено във финансовите им правила, неизползваните бюджетни кредити могат да бъдат записани в прогнозата за приходите и разходите за следващите максимум три финансови години (т.нар. правило „N+3“). Следователно бюджетните кредити за СП, които губят сила, могат да бъдат пуснати отново в употреба до финансовата година N+3.</w:t>
      </w:r>
    </w:p>
    <w:p>
      <w:pPr>
        <w:pStyle w:val="HEADER5"/>
        <w:rPr>
          <w:noProof/>
        </w:rPr>
      </w:pPr>
      <w:r>
        <w:rPr>
          <w:noProof/>
        </w:rPr>
        <w:t>Неизпълнени поети задължения</w:t>
      </w:r>
    </w:p>
    <w:p>
      <w:pPr>
        <w:pStyle w:val="DGTextstand-alone"/>
      </w:pPr>
      <w:r>
        <w:t>Неизпълнените поети задължения са размерът на поетите бюджетни задължения, по които плащането все още не е извършено. Те представляват задълженията на ЕС за плащане за бъдещи години и са пряко следствие от съществуването на многогодишни програми и от липсата на връзка между бюджетните кредити за поети задължения и бюджетните кредити за плащания.</w:t>
      </w:r>
    </w:p>
    <w:p>
      <w:pPr>
        <w:pStyle w:val="HEADER5"/>
        <w:rPr>
          <w:noProof/>
        </w:rPr>
      </w:pPr>
      <w:r>
        <w:rPr>
          <w:noProof/>
        </w:rPr>
        <w:t>Собствени ресурси</w:t>
      </w:r>
    </w:p>
    <w:p>
      <w:pPr>
        <w:pStyle w:val="DGTextstand-alone"/>
      </w:pPr>
      <w:r>
        <w:t>Основният източник на приходи за бюджета на ЕС. Различните собствени ресурси са изброени в приложимото Решение за собствените ресурси (през 2020 г.: Решение 2014/335 на Съвета): традиционни собствени ресурси, ресурси на база ДДС и ресурси на база БНД.</w:t>
      </w:r>
    </w:p>
    <w:p>
      <w:pPr>
        <w:pStyle w:val="HEADER5"/>
        <w:rPr>
          <w:noProof/>
        </w:rPr>
      </w:pPr>
      <w:r>
        <w:rPr>
          <w:noProof/>
        </w:rPr>
        <w:t>Бюджетни кредити за плащания</w:t>
      </w:r>
    </w:p>
    <w:p>
      <w:pPr>
        <w:pStyle w:val="DGTextstand-alone"/>
      </w:pPr>
      <w:r>
        <w:t>Бюджетните кредити за плащания покриват разходите, дължими през текущата година, които произтичат от правни задължения, поети през текущата година и/или през предходни години.</w:t>
      </w:r>
    </w:p>
    <w:p>
      <w:pPr>
        <w:pStyle w:val="HEADER5"/>
        <w:rPr>
          <w:noProof/>
        </w:rPr>
      </w:pPr>
      <w:r>
        <w:rPr>
          <w:noProof/>
        </w:rPr>
        <w:t>Предварително финансиране</w:t>
      </w:r>
    </w:p>
    <w:p>
      <w:pPr>
        <w:pStyle w:val="DGTextstand-alone"/>
      </w:pPr>
      <w:r>
        <w:t>Плащане, предназначено да осигури на бенефициера налични средства. То може да се раздели на няколко части съгласно разпоредбите на съответния договор, решение, споразумение или основен правен акт. Наличните средства, или авансът, се използват за целта, за която са осигурени, през периода, определен в споразумението, или се връщат.</w:t>
      </w:r>
    </w:p>
    <w:p>
      <w:pPr>
        <w:pStyle w:val="HEADER5"/>
        <w:rPr>
          <w:noProof/>
        </w:rPr>
      </w:pPr>
      <w:r>
        <w:rPr>
          <w:noProof/>
        </w:rPr>
        <w:t>Превантивна мярка</w:t>
      </w:r>
    </w:p>
    <w:p>
      <w:pPr>
        <w:pStyle w:val="DGTextstand-alone"/>
      </w:pPr>
      <w:r>
        <w:t>Превантивните мерки, които Комисията може да използва, за да защити бюджета на ЕС, когато знае за наличието на потенциални недостатъци, включват спирането и прекъсването на плащанията от бюджета на ЕС в полза на оперативната програма.</w:t>
      </w:r>
    </w:p>
    <w:p>
      <w:pPr>
        <w:pStyle w:val="HEADER5"/>
        <w:rPr>
          <w:noProof/>
        </w:rPr>
      </w:pPr>
      <w:r>
        <w:rPr>
          <w:noProof/>
        </w:rPr>
        <w:t>Неизпълнени поети задължения (Reste à liquider — RAL)</w:t>
      </w:r>
    </w:p>
    <w:p>
      <w:pPr>
        <w:pStyle w:val="DGTextstand-alone"/>
      </w:pPr>
      <w:r>
        <w:t>Неизпълнените поети задължения са размерът на поетите бюджетни задължения, по които плащането все още не е извършено. Те представляват задълженията на ЕС за плащане за бъдещи години и са пряко следствие от съществуването на многогодишни програми и от липсата на връзка между бюджетните кредити за поети задължения и бюджетните кредити за плащания.</w:t>
      </w:r>
    </w:p>
    <w:p>
      <w:pPr>
        <w:pStyle w:val="HEADER5"/>
        <w:rPr>
          <w:noProof/>
        </w:rPr>
      </w:pPr>
      <w:r>
        <w:rPr>
          <w:noProof/>
        </w:rPr>
        <w:t>Споделено управление</w:t>
      </w:r>
    </w:p>
    <w:p>
      <w:pPr>
        <w:pStyle w:val="DGTextstand-alone"/>
      </w:pPr>
      <w:r>
        <w:t>Метод на изпълнение на бюджета. При споделеното управление задачите по изпълнението на бюджета са делегирани на държавите членки. Около три четвърти от разходите на ЕС попадат в обхвата на този метод на изпълнение.</w:t>
      </w:r>
    </w:p>
    <w:p>
      <w:pPr>
        <w:pStyle w:val="HEADER5"/>
        <w:rPr>
          <w:noProof/>
        </w:rPr>
      </w:pPr>
      <w:r>
        <w:rPr>
          <w:noProof/>
        </w:rPr>
        <w:t>Традиционни собствени ресурси</w:t>
      </w:r>
    </w:p>
    <w:p>
      <w:pPr>
        <w:pStyle w:val="DGTextstand-alone"/>
      </w:pPr>
      <w:r>
        <w:t>Традиционните собствени ресурси са определени в приложимото Решение за собствените ресурси (през 2020 г.: Решение 2014/335 на Съвета) и включват по-специално мита и налози върху захарта.</w:t>
      </w:r>
    </w:p>
    <w:p>
      <w:pPr>
        <w:pStyle w:val="HEADER5"/>
        <w:rPr>
          <w:noProof/>
        </w:rPr>
      </w:pPr>
      <w:r>
        <w:rPr>
          <w:noProof/>
        </w:rPr>
        <w:t>Трансфери (между бюджетните редове)</w:t>
      </w:r>
    </w:p>
    <w:p>
      <w:pPr>
        <w:pStyle w:val="DGTextstand-alone"/>
      </w:pPr>
      <w:r>
        <w:t>Трансферите между бюджетните редове са свързани с преместване на бюджетни кредити от един бюджетен ред в друг в хода на финансовата година и следователно представляват изключение от принципа на специфичност на бюджета. Те обаче са изрично разрешени от Договора за функционирането на Европейския съюз при условията, предвидени във Финансовия регламент (ФР). Във ФР се посочват различни видове трансфери в зависимост от това дали те са между или в рамките на бюджетни дялове, глави, статии или позиции и дали изискват различни нива на разрешение.</w:t>
      </w:r>
    </w:p>
    <w:p>
      <w:pPr>
        <w:pStyle w:val="DGTextstand-alone"/>
        <w:sectPr>
          <w:headerReference w:type="even" r:id="rId410"/>
          <w:headerReference w:type="default" r:id="rId411"/>
          <w:footerReference w:type="even" r:id="rId412"/>
          <w:footerReference w:type="default" r:id="rId413"/>
          <w:headerReference w:type="first" r:id="rId414"/>
          <w:footerReference w:type="first" r:id="rId415"/>
          <w:type w:val="continuous"/>
          <w:pgSz w:w="11906" w:h="16838"/>
          <w:pgMar w:top="1134" w:right="1134" w:bottom="1134" w:left="1134" w:header="709" w:footer="709" w:gutter="0"/>
          <w:cols w:space="708"/>
          <w:docGrid w:linePitch="360"/>
        </w:sectPr>
      </w:pPr>
    </w:p>
    <w:p>
      <w:pPr>
        <w:pStyle w:val="DGTextstand-alone"/>
        <w:spacing w:before="0" w:after="0"/>
      </w:pPr>
    </w:p>
    <w:p>
      <w:pPr>
        <w:pStyle w:val="FIRSTCHAPTERPAGE"/>
        <w:spacing w:before="0"/>
        <w:rPr>
          <w:noProof/>
        </w:rPr>
      </w:pPr>
      <w:bookmarkStart w:id="293" w:name="_Toc75518074"/>
      <w:bookmarkStart w:id="294" w:name="_DMBM_19904"/>
      <w:bookmarkEnd w:id="292"/>
      <w:r>
        <w:rPr>
          <w:noProof/>
        </w:rPr>
        <w:t>СПИСЪК НА СЪКРАЩЕНИЯТА</w:t>
      </w:r>
      <w:bookmarkEnd w:id="293"/>
      <w:r>
        <w:rPr>
          <w:noProof/>
        </w:rPr>
        <w:t xml:space="preserve"> </w:t>
      </w:r>
    </w:p>
    <w:tbl>
      <w:tblPr>
        <w:tblW w:w="0" w:type="auto"/>
        <w:tblBorders>
          <w:right w:val="single" w:sz="4" w:space="0" w:color="FFFFFF"/>
          <w:insideH w:val="single" w:sz="4" w:space="0" w:color="FFFFFF"/>
          <w:insideV w:val="single" w:sz="4" w:space="0" w:color="FFFFFF"/>
        </w:tblBorders>
        <w:tblLook w:val="04A0" w:firstRow="1" w:lastRow="0" w:firstColumn="1" w:lastColumn="0" w:noHBand="0" w:noVBand="1"/>
      </w:tblPr>
      <w:tblGrid>
        <w:gridCol w:w="1526"/>
        <w:gridCol w:w="8328"/>
      </w:tblGrid>
      <w:tr>
        <w:tc>
          <w:tcPr>
            <w:tcW w:w="1526" w:type="dxa"/>
            <w:shd w:val="clear" w:color="auto" w:fill="auto"/>
          </w:tcPr>
          <w:p>
            <w:pPr>
              <w:pStyle w:val="DGTextstand-alone"/>
              <w:spacing w:before="0"/>
              <w:jc w:val="left"/>
              <w:rPr>
                <w:color w:val="016794"/>
              </w:rPr>
            </w:pPr>
            <w:r>
              <w:rPr>
                <w:color w:val="016794"/>
              </w:rPr>
              <w:t>ГОД</w:t>
            </w:r>
          </w:p>
        </w:tc>
        <w:tc>
          <w:tcPr>
            <w:tcW w:w="8328" w:type="dxa"/>
            <w:shd w:val="clear" w:color="auto" w:fill="auto"/>
          </w:tcPr>
          <w:p>
            <w:pPr>
              <w:pStyle w:val="DGTextstand-alone"/>
              <w:spacing w:before="0"/>
              <w:jc w:val="left"/>
              <w:rPr>
                <w:color w:val="016794"/>
              </w:rPr>
            </w:pPr>
            <w:r>
              <w:t>Годишен отчет за дейността</w:t>
            </w:r>
          </w:p>
        </w:tc>
      </w:tr>
      <w:tr>
        <w:tc>
          <w:tcPr>
            <w:tcW w:w="1526" w:type="dxa"/>
            <w:shd w:val="clear" w:color="auto" w:fill="auto"/>
          </w:tcPr>
          <w:p>
            <w:pPr>
              <w:pStyle w:val="DGTextstand-alone"/>
              <w:spacing w:before="0"/>
            </w:pPr>
            <w:r>
              <w:rPr>
                <w:color w:val="016794"/>
              </w:rPr>
              <w:t>ФУМИ</w:t>
            </w:r>
            <w:r>
              <w:t xml:space="preserve"> </w:t>
            </w:r>
          </w:p>
        </w:tc>
        <w:tc>
          <w:tcPr>
            <w:tcW w:w="8328" w:type="dxa"/>
            <w:shd w:val="clear" w:color="auto" w:fill="auto"/>
          </w:tcPr>
          <w:p>
            <w:pPr>
              <w:pStyle w:val="DGTextstand-alone"/>
              <w:spacing w:before="0"/>
            </w:pPr>
            <w:r>
              <w:t>Фонд „Убежище, миграция и интеграция“</w:t>
            </w:r>
          </w:p>
        </w:tc>
      </w:tr>
      <w:tr>
        <w:tc>
          <w:tcPr>
            <w:tcW w:w="1526" w:type="dxa"/>
            <w:shd w:val="clear" w:color="auto" w:fill="auto"/>
          </w:tcPr>
          <w:p>
            <w:pPr>
              <w:pStyle w:val="DGTextstand-alone"/>
              <w:spacing w:before="0"/>
            </w:pPr>
            <w:r>
              <w:rPr>
                <w:color w:val="016794"/>
              </w:rPr>
              <w:t>ОРБК</w:t>
            </w:r>
            <w:r>
              <w:t xml:space="preserve"> </w:t>
            </w:r>
          </w:p>
        </w:tc>
        <w:tc>
          <w:tcPr>
            <w:tcW w:w="8328" w:type="dxa"/>
            <w:shd w:val="clear" w:color="auto" w:fill="auto"/>
          </w:tcPr>
          <w:p>
            <w:pPr>
              <w:pStyle w:val="DGTextstand-alone"/>
              <w:spacing w:before="0"/>
            </w:pPr>
            <w:r>
              <w:t>Оправомощен разпоредител с бюджетни кредити</w:t>
            </w:r>
          </w:p>
        </w:tc>
      </w:tr>
      <w:tr>
        <w:tc>
          <w:tcPr>
            <w:tcW w:w="1526" w:type="dxa"/>
            <w:shd w:val="clear" w:color="auto" w:fill="auto"/>
          </w:tcPr>
          <w:p>
            <w:pPr>
              <w:pStyle w:val="DGTextstand-alone"/>
              <w:spacing w:before="0"/>
              <w:jc w:val="left"/>
              <w:rPr>
                <w:color w:val="016794"/>
              </w:rPr>
            </w:pPr>
            <w:r>
              <w:rPr>
                <w:color w:val="016794"/>
              </w:rPr>
              <w:t>УВД</w:t>
            </w:r>
          </w:p>
        </w:tc>
        <w:tc>
          <w:tcPr>
            <w:tcW w:w="8328" w:type="dxa"/>
            <w:shd w:val="clear" w:color="auto" w:fill="auto"/>
          </w:tcPr>
          <w:p>
            <w:pPr>
              <w:pStyle w:val="DGTextstand-alone"/>
              <w:spacing w:before="0"/>
              <w:jc w:val="left"/>
              <w:rPr>
                <w:color w:val="016794"/>
              </w:rPr>
            </w:pPr>
            <w:r>
              <w:t>Управление на въздушното движение</w:t>
            </w:r>
          </w:p>
        </w:tc>
      </w:tr>
      <w:tr>
        <w:tc>
          <w:tcPr>
            <w:tcW w:w="1526" w:type="dxa"/>
            <w:shd w:val="clear" w:color="auto" w:fill="auto"/>
          </w:tcPr>
          <w:p>
            <w:pPr>
              <w:pStyle w:val="DGTextstand-alone"/>
              <w:spacing w:before="0"/>
              <w:jc w:val="left"/>
              <w:rPr>
                <w:color w:val="016794"/>
              </w:rPr>
            </w:pPr>
            <w:r>
              <w:rPr>
                <w:color w:val="016794"/>
              </w:rPr>
              <w:t>ПБ</w:t>
            </w:r>
          </w:p>
        </w:tc>
        <w:tc>
          <w:tcPr>
            <w:tcW w:w="8328" w:type="dxa"/>
            <w:shd w:val="clear" w:color="auto" w:fill="auto"/>
          </w:tcPr>
          <w:p>
            <w:pPr>
              <w:pStyle w:val="DGTextstand-alone"/>
              <w:spacing w:before="0"/>
              <w:jc w:val="left"/>
              <w:rPr>
                <w:color w:val="016794"/>
              </w:rPr>
            </w:pPr>
            <w:r>
              <w:t>Платежен баланс</w:t>
            </w:r>
          </w:p>
        </w:tc>
      </w:tr>
      <w:tr>
        <w:tc>
          <w:tcPr>
            <w:tcW w:w="1526" w:type="dxa"/>
            <w:shd w:val="clear" w:color="auto" w:fill="auto"/>
          </w:tcPr>
          <w:p>
            <w:pPr>
              <w:pStyle w:val="DGTextstand-alone"/>
              <w:spacing w:before="0"/>
              <w:jc w:val="left"/>
              <w:rPr>
                <w:color w:val="016794"/>
              </w:rPr>
            </w:pPr>
            <w:r>
              <w:rPr>
                <w:color w:val="016794"/>
              </w:rPr>
              <w:t>Фонд BUFI</w:t>
            </w:r>
          </w:p>
        </w:tc>
        <w:tc>
          <w:tcPr>
            <w:tcW w:w="8328" w:type="dxa"/>
            <w:shd w:val="clear" w:color="auto" w:fill="auto"/>
          </w:tcPr>
          <w:p>
            <w:pPr>
              <w:pStyle w:val="DGTextstand-alone"/>
              <w:spacing w:before="0"/>
              <w:jc w:val="left"/>
              <w:rPr>
                <w:color w:val="016794"/>
              </w:rPr>
            </w:pPr>
            <w:r>
              <w:t>Фонд за бюджетни глоби</w:t>
            </w:r>
          </w:p>
        </w:tc>
      </w:tr>
      <w:tr>
        <w:tc>
          <w:tcPr>
            <w:tcW w:w="1526" w:type="dxa"/>
            <w:shd w:val="clear" w:color="auto" w:fill="auto"/>
          </w:tcPr>
          <w:p>
            <w:pPr>
              <w:pStyle w:val="DGTextstand-alone"/>
              <w:spacing w:before="0"/>
              <w:jc w:val="left"/>
              <w:rPr>
                <w:color w:val="016794"/>
              </w:rPr>
            </w:pPr>
            <w:r>
              <w:rPr>
                <w:color w:val="016794"/>
              </w:rPr>
              <w:t>ОСП</w:t>
            </w:r>
          </w:p>
        </w:tc>
        <w:tc>
          <w:tcPr>
            <w:tcW w:w="8328" w:type="dxa"/>
            <w:shd w:val="clear" w:color="auto" w:fill="auto"/>
          </w:tcPr>
          <w:p>
            <w:pPr>
              <w:pStyle w:val="DGTextstand-alone"/>
              <w:spacing w:before="0"/>
              <w:jc w:val="left"/>
              <w:rPr>
                <w:color w:val="016794"/>
              </w:rPr>
            </w:pPr>
            <w:r>
              <w:t>Обща селскостопанска политика</w:t>
            </w:r>
          </w:p>
        </w:tc>
      </w:tr>
      <w:tr>
        <w:tc>
          <w:tcPr>
            <w:tcW w:w="1526" w:type="dxa"/>
            <w:shd w:val="clear" w:color="auto" w:fill="auto"/>
          </w:tcPr>
          <w:p>
            <w:pPr>
              <w:pStyle w:val="DGTextstand-alone"/>
              <w:spacing w:before="0"/>
              <w:jc w:val="left"/>
              <w:rPr>
                <w:color w:val="016794"/>
              </w:rPr>
            </w:pPr>
            <w:r>
              <w:rPr>
                <w:color w:val="016794"/>
              </w:rPr>
              <w:t>CCS LGF</w:t>
            </w:r>
          </w:p>
        </w:tc>
        <w:tc>
          <w:tcPr>
            <w:tcW w:w="8328" w:type="dxa"/>
            <w:shd w:val="clear" w:color="auto" w:fill="auto"/>
          </w:tcPr>
          <w:p>
            <w:pPr>
              <w:pStyle w:val="DGTextstand-alone"/>
              <w:spacing w:before="0"/>
              <w:jc w:val="left"/>
              <w:rPr>
                <w:color w:val="016794"/>
              </w:rPr>
            </w:pPr>
            <w:r>
              <w:t>Гаранционен механизъм за секторите на културата и творчеството</w:t>
            </w:r>
          </w:p>
        </w:tc>
      </w:tr>
      <w:tr>
        <w:tc>
          <w:tcPr>
            <w:tcW w:w="1526" w:type="dxa"/>
            <w:shd w:val="clear" w:color="auto" w:fill="auto"/>
          </w:tcPr>
          <w:p>
            <w:pPr>
              <w:pStyle w:val="DGTextstand-alone"/>
              <w:spacing w:before="0"/>
              <w:jc w:val="left"/>
              <w:rPr>
                <w:color w:val="016794"/>
              </w:rPr>
            </w:pPr>
            <w:r>
              <w:rPr>
                <w:color w:val="016794"/>
              </w:rPr>
              <w:t>МСЕ</w:t>
            </w:r>
          </w:p>
        </w:tc>
        <w:tc>
          <w:tcPr>
            <w:tcW w:w="8328" w:type="dxa"/>
            <w:shd w:val="clear" w:color="auto" w:fill="auto"/>
          </w:tcPr>
          <w:p>
            <w:pPr>
              <w:pStyle w:val="DGTextstand-alone"/>
              <w:spacing w:before="0"/>
              <w:jc w:val="left"/>
              <w:rPr>
                <w:color w:val="016794"/>
              </w:rPr>
            </w:pPr>
            <w:r>
              <w:t>Механизъм за свързване на Европа</w:t>
            </w:r>
          </w:p>
        </w:tc>
      </w:tr>
      <w:tr>
        <w:tc>
          <w:tcPr>
            <w:tcW w:w="1526" w:type="dxa"/>
            <w:shd w:val="clear" w:color="auto" w:fill="auto"/>
          </w:tcPr>
          <w:p>
            <w:pPr>
              <w:pStyle w:val="DGTextstand-alone"/>
              <w:spacing w:before="0"/>
              <w:jc w:val="left"/>
              <w:rPr>
                <w:color w:val="016794"/>
              </w:rPr>
            </w:pPr>
            <w:r>
              <w:rPr>
                <w:color w:val="016794"/>
              </w:rPr>
              <w:t>ДИ на МСЕ</w:t>
            </w:r>
          </w:p>
        </w:tc>
        <w:tc>
          <w:tcPr>
            <w:tcW w:w="8328" w:type="dxa"/>
            <w:shd w:val="clear" w:color="auto" w:fill="auto"/>
          </w:tcPr>
          <w:p>
            <w:pPr>
              <w:pStyle w:val="DGTextstand-alone"/>
              <w:spacing w:before="0"/>
              <w:jc w:val="left"/>
              <w:rPr>
                <w:color w:val="016794"/>
              </w:rPr>
            </w:pPr>
            <w:r>
              <w:t>Дългов инструмент на Механизма за свързване на Европа</w:t>
            </w:r>
          </w:p>
        </w:tc>
      </w:tr>
      <w:tr>
        <w:tc>
          <w:tcPr>
            <w:tcW w:w="1526" w:type="dxa"/>
            <w:shd w:val="clear" w:color="auto" w:fill="auto"/>
          </w:tcPr>
          <w:p>
            <w:pPr>
              <w:pStyle w:val="DGTextstand-alone"/>
              <w:spacing w:before="0"/>
              <w:jc w:val="left"/>
              <w:rPr>
                <w:color w:val="016794"/>
              </w:rPr>
            </w:pPr>
            <w:r>
              <w:rPr>
                <w:color w:val="016794"/>
              </w:rPr>
              <w:t>КФ</w:t>
            </w:r>
          </w:p>
        </w:tc>
        <w:tc>
          <w:tcPr>
            <w:tcW w:w="8328" w:type="dxa"/>
            <w:shd w:val="clear" w:color="auto" w:fill="auto"/>
          </w:tcPr>
          <w:p>
            <w:pPr>
              <w:pStyle w:val="DGTextstand-alone"/>
              <w:spacing w:before="0"/>
              <w:jc w:val="left"/>
              <w:rPr>
                <w:color w:val="016794"/>
              </w:rPr>
            </w:pPr>
            <w:r>
              <w:t>Кохезионен фонд</w:t>
            </w:r>
          </w:p>
        </w:tc>
      </w:tr>
      <w:tr>
        <w:tc>
          <w:tcPr>
            <w:tcW w:w="1526" w:type="dxa"/>
            <w:shd w:val="clear" w:color="auto" w:fill="auto"/>
          </w:tcPr>
          <w:p>
            <w:pPr>
              <w:pStyle w:val="DGTextstand-alone"/>
              <w:spacing w:before="0"/>
              <w:jc w:val="left"/>
              <w:rPr>
                <w:color w:val="016794"/>
              </w:rPr>
            </w:pPr>
            <w:r>
              <w:rPr>
                <w:color w:val="016794"/>
              </w:rPr>
              <w:t>CIP</w:t>
            </w:r>
          </w:p>
        </w:tc>
        <w:tc>
          <w:tcPr>
            <w:tcW w:w="8328" w:type="dxa"/>
            <w:shd w:val="clear" w:color="auto" w:fill="auto"/>
          </w:tcPr>
          <w:p>
            <w:pPr>
              <w:pStyle w:val="DGTextstand-alone"/>
              <w:spacing w:before="0"/>
              <w:jc w:val="left"/>
              <w:rPr>
                <w:color w:val="016794"/>
              </w:rPr>
            </w:pPr>
            <w:r>
              <w:t>Рамкова програма за конкурентоспособност и иновации</w:t>
            </w:r>
          </w:p>
        </w:tc>
      </w:tr>
      <w:tr>
        <w:tc>
          <w:tcPr>
            <w:tcW w:w="1526" w:type="dxa"/>
            <w:shd w:val="clear" w:color="auto" w:fill="auto"/>
          </w:tcPr>
          <w:p>
            <w:pPr>
              <w:pStyle w:val="DGTextstand-alone"/>
              <w:spacing w:before="0"/>
              <w:jc w:val="left"/>
              <w:rPr>
                <w:color w:val="016794"/>
              </w:rPr>
            </w:pPr>
            <w:r>
              <w:rPr>
                <w:color w:val="016794"/>
              </w:rPr>
              <w:t>COM</w:t>
            </w:r>
          </w:p>
        </w:tc>
        <w:tc>
          <w:tcPr>
            <w:tcW w:w="8328" w:type="dxa"/>
            <w:shd w:val="clear" w:color="auto" w:fill="auto"/>
          </w:tcPr>
          <w:p>
            <w:pPr>
              <w:pStyle w:val="DGTextstand-alone"/>
              <w:spacing w:before="0"/>
              <w:jc w:val="left"/>
              <w:rPr>
                <w:color w:val="016794"/>
              </w:rPr>
            </w:pPr>
            <w:r>
              <w:t>Европейска комисия</w:t>
            </w:r>
          </w:p>
        </w:tc>
      </w:tr>
      <w:tr>
        <w:tc>
          <w:tcPr>
            <w:tcW w:w="1526" w:type="dxa"/>
            <w:shd w:val="clear" w:color="auto" w:fill="auto"/>
          </w:tcPr>
          <w:p>
            <w:pPr>
              <w:pStyle w:val="DGTextstand-alone"/>
              <w:spacing w:before="0"/>
              <w:jc w:val="left"/>
              <w:rPr>
                <w:color w:val="016794"/>
              </w:rPr>
            </w:pPr>
            <w:r>
              <w:rPr>
                <w:color w:val="016794"/>
              </w:rPr>
              <w:t>COSME</w:t>
            </w:r>
          </w:p>
        </w:tc>
        <w:tc>
          <w:tcPr>
            <w:tcW w:w="8328" w:type="dxa"/>
            <w:shd w:val="clear" w:color="auto" w:fill="auto"/>
          </w:tcPr>
          <w:p>
            <w:pPr>
              <w:pStyle w:val="DGTextstand-alone"/>
              <w:spacing w:before="0"/>
              <w:jc w:val="left"/>
              <w:rPr>
                <w:color w:val="016794"/>
              </w:rPr>
            </w:pPr>
            <w:r>
              <w:t>Програма за конкурентоспособност на предприятията и малките и средните предприятия</w:t>
            </w:r>
          </w:p>
        </w:tc>
      </w:tr>
      <w:tr>
        <w:tc>
          <w:tcPr>
            <w:tcW w:w="1526" w:type="dxa"/>
            <w:shd w:val="clear" w:color="auto" w:fill="auto"/>
          </w:tcPr>
          <w:p>
            <w:pPr>
              <w:pStyle w:val="DGTextstand-alone"/>
              <w:spacing w:before="0"/>
              <w:jc w:val="left"/>
              <w:rPr>
                <w:color w:val="016794"/>
              </w:rPr>
            </w:pPr>
            <w:r>
              <w:rPr>
                <w:color w:val="016794"/>
              </w:rPr>
              <w:t>COSO</w:t>
            </w:r>
            <w:r>
              <w:tab/>
            </w:r>
          </w:p>
        </w:tc>
        <w:tc>
          <w:tcPr>
            <w:tcW w:w="8328" w:type="dxa"/>
            <w:shd w:val="clear" w:color="auto" w:fill="auto"/>
          </w:tcPr>
          <w:p>
            <w:pPr>
              <w:pStyle w:val="DGTextstand-alone"/>
              <w:spacing w:before="0"/>
              <w:jc w:val="left"/>
              <w:rPr>
                <w:color w:val="016794"/>
              </w:rPr>
            </w:pPr>
            <w:r>
              <w:t>Комитет на спонсориращите организации на комисията „Тредуей“</w:t>
            </w:r>
          </w:p>
        </w:tc>
      </w:tr>
      <w:tr>
        <w:tc>
          <w:tcPr>
            <w:tcW w:w="1526" w:type="dxa"/>
            <w:shd w:val="clear" w:color="auto" w:fill="auto"/>
          </w:tcPr>
          <w:p>
            <w:pPr>
              <w:pStyle w:val="DGTextstand-alone"/>
              <w:spacing w:before="0"/>
              <w:jc w:val="left"/>
              <w:rPr>
                <w:color w:val="016794"/>
              </w:rPr>
            </w:pPr>
            <w:r>
              <w:rPr>
                <w:color w:val="016794"/>
              </w:rPr>
              <w:t>РОР</w:t>
            </w:r>
          </w:p>
        </w:tc>
        <w:tc>
          <w:tcPr>
            <w:tcW w:w="8328" w:type="dxa"/>
            <w:shd w:val="clear" w:color="auto" w:fill="auto"/>
          </w:tcPr>
          <w:p>
            <w:pPr>
              <w:pStyle w:val="DGTextstand-alone"/>
              <w:spacing w:before="0"/>
              <w:jc w:val="left"/>
            </w:pPr>
            <w:r>
              <w:t>Регламент за общоприложимите разпоредби</w:t>
            </w:r>
          </w:p>
        </w:tc>
      </w:tr>
      <w:tr>
        <w:tc>
          <w:tcPr>
            <w:tcW w:w="1526" w:type="dxa"/>
            <w:shd w:val="clear" w:color="auto" w:fill="auto"/>
          </w:tcPr>
          <w:p>
            <w:pPr>
              <w:pStyle w:val="DGTextstand-alone"/>
              <w:spacing w:before="0"/>
              <w:jc w:val="left"/>
              <w:rPr>
                <w:color w:val="016794"/>
              </w:rPr>
            </w:pPr>
            <w:r>
              <w:rPr>
                <w:color w:val="016794"/>
              </w:rPr>
              <w:t>D&amp;WM</w:t>
            </w:r>
          </w:p>
        </w:tc>
        <w:tc>
          <w:tcPr>
            <w:tcW w:w="8328" w:type="dxa"/>
            <w:shd w:val="clear" w:color="auto" w:fill="auto"/>
          </w:tcPr>
          <w:p>
            <w:pPr>
              <w:pStyle w:val="DGTextstand-alone"/>
              <w:spacing w:before="0"/>
              <w:jc w:val="left"/>
            </w:pPr>
            <w:r>
              <w:t>Извеждане от експлоатация и управление на отпадъците</w:t>
            </w:r>
          </w:p>
        </w:tc>
      </w:tr>
      <w:tr>
        <w:tc>
          <w:tcPr>
            <w:tcW w:w="1526" w:type="dxa"/>
            <w:shd w:val="clear" w:color="auto" w:fill="auto"/>
          </w:tcPr>
          <w:p>
            <w:pPr>
              <w:pStyle w:val="DGTextstand-alone"/>
              <w:spacing w:before="0"/>
              <w:jc w:val="left"/>
              <w:rPr>
                <w:color w:val="016794"/>
              </w:rPr>
            </w:pPr>
            <w:r>
              <w:rPr>
                <w:color w:val="016794"/>
              </w:rPr>
              <w:t>ЕЗФРСР</w:t>
            </w:r>
          </w:p>
        </w:tc>
        <w:tc>
          <w:tcPr>
            <w:tcW w:w="8328" w:type="dxa"/>
            <w:shd w:val="clear" w:color="auto" w:fill="auto"/>
          </w:tcPr>
          <w:p>
            <w:pPr>
              <w:pStyle w:val="DGTextstand-alone"/>
              <w:spacing w:before="0"/>
              <w:jc w:val="left"/>
            </w:pPr>
            <w:r>
              <w:t>Европейски земеделски фонд за развитие на селските райони</w:t>
            </w:r>
          </w:p>
        </w:tc>
      </w:tr>
      <w:tr>
        <w:tc>
          <w:tcPr>
            <w:tcW w:w="1526" w:type="dxa"/>
            <w:shd w:val="clear" w:color="auto" w:fill="auto"/>
          </w:tcPr>
          <w:p>
            <w:pPr>
              <w:pStyle w:val="DGTextstand-alone"/>
              <w:spacing w:before="0"/>
              <w:jc w:val="left"/>
              <w:rPr>
                <w:color w:val="016794"/>
              </w:rPr>
            </w:pPr>
            <w:r>
              <w:rPr>
                <w:color w:val="016794"/>
              </w:rPr>
              <w:t>ЕФГЗ</w:t>
            </w:r>
            <w:r>
              <w:t xml:space="preserve"> </w:t>
            </w:r>
            <w:r>
              <w:tab/>
            </w:r>
          </w:p>
        </w:tc>
        <w:tc>
          <w:tcPr>
            <w:tcW w:w="8328" w:type="dxa"/>
            <w:shd w:val="clear" w:color="auto" w:fill="auto"/>
          </w:tcPr>
          <w:p>
            <w:pPr>
              <w:pStyle w:val="DGTextstand-alone"/>
              <w:spacing w:before="0"/>
              <w:jc w:val="left"/>
            </w:pPr>
            <w:r>
              <w:t>Европейски фонд за гарантиране на земеделието</w:t>
            </w:r>
          </w:p>
        </w:tc>
      </w:tr>
      <w:tr>
        <w:tc>
          <w:tcPr>
            <w:tcW w:w="1526" w:type="dxa"/>
            <w:shd w:val="clear" w:color="auto" w:fill="auto"/>
          </w:tcPr>
          <w:p>
            <w:pPr>
              <w:pStyle w:val="DGTextstand-alone"/>
              <w:spacing w:before="0"/>
              <w:jc w:val="left"/>
              <w:rPr>
                <w:color w:val="016794"/>
              </w:rPr>
            </w:pPr>
            <w:r>
              <w:rPr>
                <w:color w:val="016794"/>
              </w:rPr>
              <w:t>СПЕС</w:t>
            </w:r>
          </w:p>
        </w:tc>
        <w:tc>
          <w:tcPr>
            <w:tcW w:w="8328" w:type="dxa"/>
            <w:shd w:val="clear" w:color="auto" w:fill="auto"/>
          </w:tcPr>
          <w:p>
            <w:pPr>
              <w:pStyle w:val="DGTextstand-alone"/>
              <w:spacing w:before="0"/>
              <w:jc w:val="left"/>
            </w:pPr>
            <w:r>
              <w:t>Счетоводно правило на Европейския съюз</w:t>
            </w:r>
          </w:p>
        </w:tc>
      </w:tr>
      <w:tr>
        <w:tc>
          <w:tcPr>
            <w:tcW w:w="1526" w:type="dxa"/>
            <w:shd w:val="clear" w:color="auto" w:fill="auto"/>
          </w:tcPr>
          <w:p>
            <w:pPr>
              <w:pStyle w:val="DGTextstand-alone"/>
              <w:spacing w:before="0"/>
              <w:jc w:val="left"/>
              <w:rPr>
                <w:color w:val="016794"/>
              </w:rPr>
            </w:pPr>
            <w:r>
              <w:rPr>
                <w:color w:val="016794"/>
              </w:rPr>
              <w:t>ЗиСИ</w:t>
            </w:r>
          </w:p>
        </w:tc>
        <w:tc>
          <w:tcPr>
            <w:tcW w:w="8328" w:type="dxa"/>
            <w:shd w:val="clear" w:color="auto" w:fill="auto"/>
          </w:tcPr>
          <w:p>
            <w:pPr>
              <w:pStyle w:val="DGTextstand-alone"/>
              <w:spacing w:before="0"/>
              <w:jc w:val="left"/>
            </w:pPr>
            <w:r>
              <w:t>Заетост и социални иновации</w:t>
            </w:r>
          </w:p>
        </w:tc>
      </w:tr>
      <w:tr>
        <w:tc>
          <w:tcPr>
            <w:tcW w:w="1526" w:type="dxa"/>
            <w:shd w:val="clear" w:color="auto" w:fill="auto"/>
          </w:tcPr>
          <w:p>
            <w:pPr>
              <w:pStyle w:val="DGTextstand-alone"/>
              <w:spacing w:before="0"/>
              <w:jc w:val="left"/>
              <w:rPr>
                <w:color w:val="016794"/>
              </w:rPr>
            </w:pPr>
            <w:r>
              <w:rPr>
                <w:color w:val="016794"/>
              </w:rPr>
              <w:t>ЕБВР</w:t>
            </w:r>
          </w:p>
        </w:tc>
        <w:tc>
          <w:tcPr>
            <w:tcW w:w="8328" w:type="dxa"/>
            <w:shd w:val="clear" w:color="auto" w:fill="auto"/>
          </w:tcPr>
          <w:p>
            <w:pPr>
              <w:pStyle w:val="DGTextstand-alone"/>
              <w:spacing w:before="0"/>
              <w:jc w:val="left"/>
            </w:pPr>
            <w:r>
              <w:t>Европейска банка за възстановяване и развитие</w:t>
            </w:r>
          </w:p>
        </w:tc>
      </w:tr>
      <w:tr>
        <w:tc>
          <w:tcPr>
            <w:tcW w:w="1526" w:type="dxa"/>
            <w:shd w:val="clear" w:color="auto" w:fill="auto"/>
          </w:tcPr>
          <w:p>
            <w:pPr>
              <w:pStyle w:val="DGTextstand-alone"/>
              <w:spacing w:before="0"/>
              <w:jc w:val="left"/>
              <w:rPr>
                <w:color w:val="016794"/>
              </w:rPr>
            </w:pPr>
            <w:r>
              <w:rPr>
                <w:color w:val="016794"/>
              </w:rPr>
              <w:t>ЕСП</w:t>
            </w:r>
          </w:p>
        </w:tc>
        <w:tc>
          <w:tcPr>
            <w:tcW w:w="8328" w:type="dxa"/>
            <w:shd w:val="clear" w:color="auto" w:fill="auto"/>
          </w:tcPr>
          <w:p>
            <w:pPr>
              <w:pStyle w:val="DGTextstand-alone"/>
              <w:spacing w:before="0"/>
              <w:jc w:val="left"/>
            </w:pPr>
            <w:r>
              <w:t>Европейска сметна палата</w:t>
            </w:r>
          </w:p>
        </w:tc>
      </w:tr>
      <w:tr>
        <w:tc>
          <w:tcPr>
            <w:tcW w:w="1526" w:type="dxa"/>
            <w:shd w:val="clear" w:color="auto" w:fill="auto"/>
          </w:tcPr>
          <w:p>
            <w:pPr>
              <w:pStyle w:val="DGTextstand-alone"/>
              <w:spacing w:before="0"/>
              <w:jc w:val="left"/>
              <w:rPr>
                <w:color w:val="016794"/>
              </w:rPr>
            </w:pPr>
            <w:r>
              <w:rPr>
                <w:color w:val="016794"/>
              </w:rPr>
              <w:t xml:space="preserve">ЕЦБ </w:t>
            </w:r>
          </w:p>
        </w:tc>
        <w:tc>
          <w:tcPr>
            <w:tcW w:w="8328" w:type="dxa"/>
            <w:shd w:val="clear" w:color="auto" w:fill="auto"/>
          </w:tcPr>
          <w:p>
            <w:pPr>
              <w:pStyle w:val="DGTextstand-alone"/>
              <w:spacing w:before="0"/>
              <w:jc w:val="left"/>
            </w:pPr>
            <w:r>
              <w:t>Европейска централна банка</w:t>
            </w:r>
          </w:p>
        </w:tc>
      </w:tr>
      <w:tr>
        <w:tc>
          <w:tcPr>
            <w:tcW w:w="1526" w:type="dxa"/>
            <w:shd w:val="clear" w:color="auto" w:fill="auto"/>
          </w:tcPr>
          <w:p>
            <w:pPr>
              <w:pStyle w:val="DGTextstand-alone"/>
              <w:spacing w:before="0"/>
              <w:jc w:val="left"/>
              <w:rPr>
                <w:color w:val="016794"/>
              </w:rPr>
            </w:pPr>
            <w:r>
              <w:rPr>
                <w:color w:val="016794"/>
              </w:rPr>
              <w:t>ECOFIN</w:t>
            </w:r>
          </w:p>
        </w:tc>
        <w:tc>
          <w:tcPr>
            <w:tcW w:w="8328" w:type="dxa"/>
            <w:shd w:val="clear" w:color="auto" w:fill="auto"/>
          </w:tcPr>
          <w:p>
            <w:pPr>
              <w:pStyle w:val="DGTextstand-alone"/>
              <w:spacing w:before="0"/>
              <w:jc w:val="left"/>
            </w:pPr>
            <w:r>
              <w:t>Съвет по икономически и финансови въпроси</w:t>
            </w:r>
          </w:p>
        </w:tc>
      </w:tr>
      <w:tr>
        <w:tc>
          <w:tcPr>
            <w:tcW w:w="1526" w:type="dxa"/>
            <w:shd w:val="clear" w:color="auto" w:fill="auto"/>
          </w:tcPr>
          <w:p>
            <w:pPr>
              <w:pStyle w:val="DGTextstand-alone"/>
              <w:spacing w:before="0"/>
              <w:jc w:val="left"/>
              <w:rPr>
                <w:color w:val="016794"/>
              </w:rPr>
            </w:pPr>
            <w:r>
              <w:rPr>
                <w:color w:val="016794"/>
              </w:rPr>
              <w:t>ЕОВС в ликвидация</w:t>
            </w:r>
            <w:r>
              <w:t xml:space="preserve"> </w:t>
            </w:r>
          </w:p>
        </w:tc>
        <w:tc>
          <w:tcPr>
            <w:tcW w:w="8328" w:type="dxa"/>
            <w:shd w:val="clear" w:color="auto" w:fill="auto"/>
          </w:tcPr>
          <w:p>
            <w:pPr>
              <w:pStyle w:val="DGTextstand-alone"/>
              <w:spacing w:before="0"/>
              <w:jc w:val="left"/>
            </w:pPr>
            <w:r>
              <w:t>Европейска общност за въглища и стомана в ликвидация</w:t>
            </w:r>
          </w:p>
        </w:tc>
      </w:tr>
      <w:tr>
        <w:tc>
          <w:tcPr>
            <w:tcW w:w="1526" w:type="dxa"/>
            <w:shd w:val="clear" w:color="auto" w:fill="auto"/>
          </w:tcPr>
          <w:p>
            <w:pPr>
              <w:pStyle w:val="DGTextstand-alone"/>
              <w:spacing w:before="0"/>
              <w:jc w:val="left"/>
              <w:rPr>
                <w:color w:val="016794"/>
              </w:rPr>
            </w:pPr>
            <w:r>
              <w:rPr>
                <w:color w:val="016794"/>
              </w:rPr>
              <w:t>ЕФР</w:t>
            </w:r>
          </w:p>
        </w:tc>
        <w:tc>
          <w:tcPr>
            <w:tcW w:w="8328" w:type="dxa"/>
            <w:shd w:val="clear" w:color="auto" w:fill="auto"/>
          </w:tcPr>
          <w:p>
            <w:pPr>
              <w:pStyle w:val="DGTextstand-alone"/>
              <w:spacing w:before="0"/>
              <w:jc w:val="left"/>
            </w:pPr>
            <w:r>
              <w:t>Европейски фонд за развитие</w:t>
            </w:r>
          </w:p>
        </w:tc>
      </w:tr>
      <w:tr>
        <w:tc>
          <w:tcPr>
            <w:tcW w:w="1526" w:type="dxa"/>
            <w:shd w:val="clear" w:color="auto" w:fill="auto"/>
          </w:tcPr>
          <w:p>
            <w:pPr>
              <w:pStyle w:val="DGTextstand-alone"/>
              <w:spacing w:before="0"/>
              <w:jc w:val="left"/>
              <w:rPr>
                <w:color w:val="016794"/>
              </w:rPr>
            </w:pPr>
            <w:r>
              <w:rPr>
                <w:color w:val="016794"/>
              </w:rPr>
              <w:t>EDIF</w:t>
            </w:r>
          </w:p>
        </w:tc>
        <w:tc>
          <w:tcPr>
            <w:tcW w:w="8328" w:type="dxa"/>
            <w:shd w:val="clear" w:color="auto" w:fill="auto"/>
          </w:tcPr>
          <w:p>
            <w:pPr>
              <w:pStyle w:val="DGTextstand-alone"/>
              <w:spacing w:before="0"/>
              <w:jc w:val="left"/>
            </w:pPr>
            <w:r>
              <w:t>Механизъм за гарантиране по Инструмента за развитие на предприятията и иновациите за Западните Балкани</w:t>
            </w:r>
          </w:p>
        </w:tc>
      </w:tr>
      <w:tr>
        <w:tc>
          <w:tcPr>
            <w:tcW w:w="1526" w:type="dxa"/>
            <w:shd w:val="clear" w:color="auto" w:fill="auto"/>
          </w:tcPr>
          <w:p>
            <w:pPr>
              <w:pStyle w:val="DGTextstand-alone"/>
              <w:spacing w:before="0"/>
              <w:jc w:val="left"/>
              <w:rPr>
                <w:color w:val="016794"/>
              </w:rPr>
            </w:pPr>
            <w:r>
              <w:rPr>
                <w:color w:val="016794"/>
              </w:rPr>
              <w:t>ЕИП</w:t>
            </w:r>
          </w:p>
        </w:tc>
        <w:tc>
          <w:tcPr>
            <w:tcW w:w="8328" w:type="dxa"/>
            <w:shd w:val="clear" w:color="auto" w:fill="auto"/>
          </w:tcPr>
          <w:p>
            <w:pPr>
              <w:pStyle w:val="DGTextstand-alone"/>
              <w:spacing w:before="0"/>
              <w:jc w:val="left"/>
            </w:pPr>
            <w:r>
              <w:t>Европейско икономическо пространство</w:t>
            </w:r>
          </w:p>
        </w:tc>
      </w:tr>
      <w:tr>
        <w:tc>
          <w:tcPr>
            <w:tcW w:w="1526" w:type="dxa"/>
            <w:shd w:val="clear" w:color="auto" w:fill="auto"/>
          </w:tcPr>
          <w:p>
            <w:pPr>
              <w:pStyle w:val="DGTextstand-alone"/>
              <w:spacing w:before="0"/>
              <w:jc w:val="left"/>
              <w:rPr>
                <w:color w:val="016794"/>
              </w:rPr>
            </w:pPr>
            <w:r>
              <w:rPr>
                <w:color w:val="016794"/>
              </w:rPr>
              <w:t>ЕСВД</w:t>
            </w:r>
          </w:p>
        </w:tc>
        <w:tc>
          <w:tcPr>
            <w:tcW w:w="8328" w:type="dxa"/>
            <w:shd w:val="clear" w:color="auto" w:fill="auto"/>
          </w:tcPr>
          <w:p>
            <w:pPr>
              <w:pStyle w:val="DGTextstand-alone"/>
              <w:spacing w:before="0"/>
              <w:jc w:val="left"/>
            </w:pPr>
            <w:r>
              <w:t>Европейска служба за външна дейност</w:t>
            </w:r>
          </w:p>
        </w:tc>
      </w:tr>
      <w:tr>
        <w:tc>
          <w:tcPr>
            <w:tcW w:w="1526" w:type="dxa"/>
            <w:shd w:val="clear" w:color="auto" w:fill="auto"/>
          </w:tcPr>
          <w:p>
            <w:pPr>
              <w:pStyle w:val="DGTextstand-alone"/>
              <w:spacing w:before="0"/>
            </w:pPr>
            <w:r>
              <w:rPr>
                <w:color w:val="016794"/>
              </w:rPr>
              <w:t>ЕФУР</w:t>
            </w:r>
          </w:p>
        </w:tc>
        <w:tc>
          <w:tcPr>
            <w:tcW w:w="8328" w:type="dxa"/>
            <w:shd w:val="clear" w:color="auto" w:fill="auto"/>
          </w:tcPr>
          <w:p>
            <w:pPr>
              <w:pStyle w:val="DGTextstand-alone"/>
              <w:spacing w:before="0"/>
            </w:pPr>
            <w:r>
              <w:t>Европейски фонд за устойчиво развитие</w:t>
            </w:r>
          </w:p>
        </w:tc>
      </w:tr>
      <w:tr>
        <w:tc>
          <w:tcPr>
            <w:tcW w:w="1526" w:type="dxa"/>
            <w:shd w:val="clear" w:color="auto" w:fill="auto"/>
          </w:tcPr>
          <w:p>
            <w:pPr>
              <w:pStyle w:val="DGTextstand-alone"/>
              <w:spacing w:before="0"/>
            </w:pPr>
            <w:r>
              <w:rPr>
                <w:color w:val="016794"/>
              </w:rPr>
              <w:t>ЕФЮИЕ</w:t>
            </w:r>
            <w:r>
              <w:t xml:space="preserve"> </w:t>
            </w:r>
          </w:p>
        </w:tc>
        <w:tc>
          <w:tcPr>
            <w:tcW w:w="8328" w:type="dxa"/>
            <w:shd w:val="clear" w:color="auto" w:fill="auto"/>
          </w:tcPr>
          <w:p>
            <w:pPr>
              <w:pStyle w:val="DGTextstand-alone"/>
              <w:spacing w:before="0"/>
            </w:pPr>
            <w:r>
              <w:t>Европейски фонд за Югоизточна Европа</w:t>
            </w:r>
          </w:p>
        </w:tc>
      </w:tr>
      <w:tr>
        <w:tc>
          <w:tcPr>
            <w:tcW w:w="1526" w:type="dxa"/>
            <w:shd w:val="clear" w:color="auto" w:fill="auto"/>
          </w:tcPr>
          <w:p>
            <w:pPr>
              <w:pStyle w:val="DGTextstand-alone"/>
              <w:spacing w:before="0"/>
            </w:pPr>
            <w:r>
              <w:rPr>
                <w:color w:val="016794"/>
              </w:rPr>
              <w:t>ЕИФС</w:t>
            </w:r>
            <w:r>
              <w:t xml:space="preserve"> </w:t>
            </w:r>
          </w:p>
        </w:tc>
        <w:tc>
          <w:tcPr>
            <w:tcW w:w="8328" w:type="dxa"/>
            <w:shd w:val="clear" w:color="auto" w:fill="auto"/>
          </w:tcPr>
          <w:p>
            <w:pPr>
              <w:pStyle w:val="DGTextstand-alone"/>
              <w:spacing w:before="0"/>
            </w:pPr>
            <w:r>
              <w:t>Европейски инструмент за финансова стабилност</w:t>
            </w:r>
          </w:p>
        </w:tc>
      </w:tr>
      <w:tr>
        <w:tc>
          <w:tcPr>
            <w:tcW w:w="1526" w:type="dxa"/>
            <w:shd w:val="clear" w:color="auto" w:fill="auto"/>
          </w:tcPr>
          <w:p>
            <w:pPr>
              <w:pStyle w:val="DGTextstand-alone"/>
              <w:spacing w:before="0"/>
            </w:pPr>
            <w:r>
              <w:rPr>
                <w:color w:val="016794"/>
              </w:rPr>
              <w:t>ЕФСИ</w:t>
            </w:r>
          </w:p>
        </w:tc>
        <w:tc>
          <w:tcPr>
            <w:tcW w:w="8328" w:type="dxa"/>
            <w:shd w:val="clear" w:color="auto" w:fill="auto"/>
          </w:tcPr>
          <w:p>
            <w:pPr>
              <w:pStyle w:val="DGTextstand-alone"/>
              <w:spacing w:before="0"/>
            </w:pPr>
            <w:r>
              <w:t>Европейски фонд за стратегически инвестиции</w:t>
            </w:r>
          </w:p>
        </w:tc>
      </w:tr>
      <w:tr>
        <w:tc>
          <w:tcPr>
            <w:tcW w:w="1526" w:type="dxa"/>
            <w:shd w:val="clear" w:color="auto" w:fill="auto"/>
          </w:tcPr>
          <w:p>
            <w:pPr>
              <w:pStyle w:val="DGTextstand-alone"/>
              <w:spacing w:before="0"/>
            </w:pPr>
            <w:r>
              <w:rPr>
                <w:color w:val="016794"/>
              </w:rPr>
              <w:t>ЕМФС</w:t>
            </w:r>
          </w:p>
        </w:tc>
        <w:tc>
          <w:tcPr>
            <w:tcW w:w="8328" w:type="dxa"/>
            <w:shd w:val="clear" w:color="auto" w:fill="auto"/>
          </w:tcPr>
          <w:p>
            <w:pPr>
              <w:pStyle w:val="DGTextstand-alone"/>
              <w:spacing w:before="0"/>
            </w:pPr>
            <w:r>
              <w:t>Европейски механизъм за финансово стабилизиране</w:t>
            </w:r>
          </w:p>
        </w:tc>
      </w:tr>
      <w:tr>
        <w:tc>
          <w:tcPr>
            <w:tcW w:w="1526" w:type="dxa"/>
            <w:shd w:val="clear" w:color="auto" w:fill="auto"/>
          </w:tcPr>
          <w:p>
            <w:pPr>
              <w:pStyle w:val="DGTextstand-alone"/>
              <w:spacing w:before="0"/>
            </w:pPr>
            <w:r>
              <w:rPr>
                <w:color w:val="016794"/>
              </w:rPr>
              <w:t>ЕАСТ</w:t>
            </w:r>
            <w:r>
              <w:t xml:space="preserve"> </w:t>
            </w:r>
          </w:p>
        </w:tc>
        <w:tc>
          <w:tcPr>
            <w:tcW w:w="8328" w:type="dxa"/>
            <w:shd w:val="clear" w:color="auto" w:fill="auto"/>
          </w:tcPr>
          <w:p>
            <w:pPr>
              <w:pStyle w:val="DGTextstand-alone"/>
              <w:spacing w:before="0"/>
            </w:pPr>
            <w:r>
              <w:t>Европейска асоциация за свободна търговия</w:t>
            </w:r>
          </w:p>
        </w:tc>
      </w:tr>
      <w:tr>
        <w:tc>
          <w:tcPr>
            <w:tcW w:w="1526" w:type="dxa"/>
            <w:shd w:val="clear" w:color="auto" w:fill="auto"/>
          </w:tcPr>
          <w:p>
            <w:pPr>
              <w:pStyle w:val="DGTextstand-alone"/>
              <w:spacing w:before="0"/>
            </w:pPr>
            <w:r>
              <w:rPr>
                <w:color w:val="016794"/>
              </w:rPr>
              <w:t>EGNOS</w:t>
            </w:r>
            <w:r>
              <w:t xml:space="preserve"> </w:t>
            </w:r>
          </w:p>
        </w:tc>
        <w:tc>
          <w:tcPr>
            <w:tcW w:w="8328" w:type="dxa"/>
            <w:shd w:val="clear" w:color="auto" w:fill="auto"/>
          </w:tcPr>
          <w:p>
            <w:pPr>
              <w:pStyle w:val="DGTextstand-alone"/>
              <w:spacing w:before="0"/>
            </w:pPr>
            <w:r>
              <w:t>Европейска геостационарна служба за навигационно покритие</w:t>
            </w:r>
          </w:p>
        </w:tc>
      </w:tr>
      <w:tr>
        <w:tc>
          <w:tcPr>
            <w:tcW w:w="1526" w:type="dxa"/>
            <w:shd w:val="clear" w:color="auto" w:fill="auto"/>
          </w:tcPr>
          <w:p>
            <w:pPr>
              <w:pStyle w:val="DGTextstand-alone"/>
              <w:spacing w:before="0"/>
            </w:pPr>
            <w:r>
              <w:rPr>
                <w:color w:val="016794"/>
              </w:rPr>
              <w:t>ЕИБ</w:t>
            </w:r>
            <w:r>
              <w:t xml:space="preserve"> </w:t>
            </w:r>
          </w:p>
        </w:tc>
        <w:tc>
          <w:tcPr>
            <w:tcW w:w="8328" w:type="dxa"/>
            <w:shd w:val="clear" w:color="auto" w:fill="auto"/>
          </w:tcPr>
          <w:p>
            <w:pPr>
              <w:pStyle w:val="DGTextstand-alone"/>
              <w:spacing w:before="0"/>
            </w:pPr>
            <w:r>
              <w:t>Европейска инвестиционна банка</w:t>
            </w:r>
          </w:p>
        </w:tc>
      </w:tr>
      <w:tr>
        <w:tc>
          <w:tcPr>
            <w:tcW w:w="1526" w:type="dxa"/>
            <w:shd w:val="clear" w:color="auto" w:fill="auto"/>
          </w:tcPr>
          <w:p>
            <w:pPr>
              <w:pStyle w:val="DGTextstand-alone"/>
              <w:spacing w:before="0"/>
            </w:pPr>
            <w:r>
              <w:rPr>
                <w:color w:val="016794"/>
              </w:rPr>
              <w:t>ЕИФ</w:t>
            </w:r>
            <w:r>
              <w:t xml:space="preserve"> </w:t>
            </w:r>
          </w:p>
        </w:tc>
        <w:tc>
          <w:tcPr>
            <w:tcW w:w="8328" w:type="dxa"/>
            <w:shd w:val="clear" w:color="auto" w:fill="auto"/>
          </w:tcPr>
          <w:p>
            <w:pPr>
              <w:pStyle w:val="DGTextstand-alone"/>
              <w:spacing w:before="0"/>
            </w:pPr>
            <w:r>
              <w:t>Европейски инвестиционен фонд</w:t>
            </w:r>
          </w:p>
        </w:tc>
      </w:tr>
      <w:tr>
        <w:tc>
          <w:tcPr>
            <w:tcW w:w="1526" w:type="dxa"/>
            <w:shd w:val="clear" w:color="auto" w:fill="auto"/>
          </w:tcPr>
          <w:p>
            <w:pPr>
              <w:pStyle w:val="DGTextstand-alone"/>
              <w:spacing w:before="0"/>
            </w:pPr>
            <w:r>
              <w:rPr>
                <w:color w:val="016794"/>
              </w:rPr>
              <w:t>ElectriFI</w:t>
            </w:r>
          </w:p>
        </w:tc>
        <w:tc>
          <w:tcPr>
            <w:tcW w:w="8328" w:type="dxa"/>
            <w:shd w:val="clear" w:color="auto" w:fill="auto"/>
          </w:tcPr>
          <w:p>
            <w:pPr>
              <w:pStyle w:val="DGTextstand-alone"/>
              <w:spacing w:before="0"/>
              <w:rPr>
                <w:b/>
              </w:rPr>
            </w:pPr>
            <w:r>
              <w:t>Инициатива за финансиране на електрифицирането</w:t>
            </w:r>
            <w:r>
              <w:rPr>
                <w:rStyle w:val="st1"/>
              </w:rPr>
              <w:t xml:space="preserve"> </w:t>
            </w:r>
          </w:p>
        </w:tc>
      </w:tr>
      <w:tr>
        <w:tc>
          <w:tcPr>
            <w:tcW w:w="1526" w:type="dxa"/>
            <w:shd w:val="clear" w:color="auto" w:fill="auto"/>
          </w:tcPr>
          <w:p>
            <w:pPr>
              <w:pStyle w:val="DGTextstand-alone"/>
              <w:spacing w:before="0"/>
              <w:rPr>
                <w:color w:val="016794"/>
              </w:rPr>
            </w:pPr>
            <w:r>
              <w:rPr>
                <w:color w:val="016794"/>
              </w:rPr>
              <w:t>МВК</w:t>
            </w:r>
          </w:p>
          <w:p>
            <w:pPr>
              <w:pStyle w:val="DGTextstand-alone"/>
              <w:spacing w:before="0"/>
            </w:pPr>
            <w:r>
              <w:rPr>
                <w:color w:val="016794"/>
              </w:rPr>
              <w:t>ЕФМДР</w:t>
            </w:r>
            <w:r>
              <w:t xml:space="preserve"> </w:t>
            </w:r>
          </w:p>
        </w:tc>
        <w:tc>
          <w:tcPr>
            <w:tcW w:w="8328" w:type="dxa"/>
            <w:shd w:val="clear" w:color="auto" w:fill="auto"/>
          </w:tcPr>
          <w:p>
            <w:pPr>
              <w:pStyle w:val="DGTextstand-alone"/>
              <w:spacing w:before="0"/>
            </w:pPr>
            <w:r>
              <w:t>Мандат за външно кредитиране</w:t>
            </w:r>
          </w:p>
          <w:p>
            <w:pPr>
              <w:pStyle w:val="DGTextstand-alone"/>
              <w:spacing w:before="0"/>
            </w:pPr>
            <w:r>
              <w:t>Европейски фонд за морско дело и рибарство</w:t>
            </w:r>
          </w:p>
        </w:tc>
      </w:tr>
      <w:tr>
        <w:tc>
          <w:tcPr>
            <w:tcW w:w="1526" w:type="dxa"/>
            <w:shd w:val="clear" w:color="auto" w:fill="auto"/>
          </w:tcPr>
          <w:p>
            <w:pPr>
              <w:pStyle w:val="DGTextstand-alone"/>
              <w:spacing w:before="0"/>
            </w:pPr>
            <w:r>
              <w:rPr>
                <w:color w:val="016794"/>
              </w:rPr>
              <w:t>ИПС</w:t>
            </w:r>
            <w:r>
              <w:t xml:space="preserve"> </w:t>
            </w:r>
          </w:p>
        </w:tc>
        <w:tc>
          <w:tcPr>
            <w:tcW w:w="8328" w:type="dxa"/>
            <w:shd w:val="clear" w:color="auto" w:fill="auto"/>
          </w:tcPr>
          <w:p>
            <w:pPr>
              <w:pStyle w:val="DGTextstand-alone"/>
              <w:spacing w:before="0"/>
            </w:pPr>
            <w:r>
              <w:t>Икономически и паричен съюз</w:t>
            </w:r>
          </w:p>
        </w:tc>
      </w:tr>
      <w:tr>
        <w:tc>
          <w:tcPr>
            <w:tcW w:w="1526" w:type="dxa"/>
            <w:shd w:val="clear" w:color="auto" w:fill="auto"/>
          </w:tcPr>
          <w:p>
            <w:pPr>
              <w:pStyle w:val="DGTextstand-alone"/>
              <w:spacing w:before="0"/>
            </w:pPr>
            <w:r>
              <w:rPr>
                <w:color w:val="016794"/>
              </w:rPr>
              <w:t>ENEF</w:t>
            </w:r>
            <w:r>
              <w:t xml:space="preserve"> </w:t>
            </w:r>
          </w:p>
        </w:tc>
        <w:tc>
          <w:tcPr>
            <w:tcW w:w="8328" w:type="dxa"/>
            <w:shd w:val="clear" w:color="auto" w:fill="auto"/>
          </w:tcPr>
          <w:p>
            <w:pPr>
              <w:pStyle w:val="DGTextstand-alone"/>
              <w:spacing w:before="0"/>
            </w:pPr>
            <w:r>
              <w:t>Фонд за разширяване на предприятията</w:t>
            </w:r>
          </w:p>
        </w:tc>
      </w:tr>
      <w:tr>
        <w:tc>
          <w:tcPr>
            <w:tcW w:w="1526" w:type="dxa"/>
            <w:shd w:val="clear" w:color="auto" w:fill="auto"/>
          </w:tcPr>
          <w:p>
            <w:pPr>
              <w:pStyle w:val="DGTextstand-alone"/>
              <w:spacing w:before="0"/>
            </w:pPr>
            <w:r>
              <w:rPr>
                <w:color w:val="016794"/>
              </w:rPr>
              <w:t>ENIF</w:t>
            </w:r>
            <w:r>
              <w:t xml:space="preserve"> </w:t>
            </w:r>
          </w:p>
        </w:tc>
        <w:tc>
          <w:tcPr>
            <w:tcW w:w="8328" w:type="dxa"/>
            <w:shd w:val="clear" w:color="auto" w:fill="auto"/>
          </w:tcPr>
          <w:p>
            <w:pPr>
              <w:pStyle w:val="DGTextstand-alone"/>
              <w:spacing w:before="0"/>
            </w:pPr>
            <w:r>
              <w:t>Фонд за иновации в предприятията</w:t>
            </w:r>
          </w:p>
        </w:tc>
      </w:tr>
      <w:tr>
        <w:tc>
          <w:tcPr>
            <w:tcW w:w="1526" w:type="dxa"/>
            <w:shd w:val="clear" w:color="auto" w:fill="auto"/>
          </w:tcPr>
          <w:p>
            <w:pPr>
              <w:pStyle w:val="DGTextstand-alone"/>
              <w:spacing w:before="0"/>
            </w:pPr>
            <w:r>
              <w:rPr>
                <w:color w:val="016794"/>
              </w:rPr>
              <w:t>ЕИСП</w:t>
            </w:r>
            <w:r>
              <w:t xml:space="preserve"> </w:t>
            </w:r>
          </w:p>
        </w:tc>
        <w:tc>
          <w:tcPr>
            <w:tcW w:w="8328" w:type="dxa"/>
            <w:shd w:val="clear" w:color="auto" w:fill="auto"/>
          </w:tcPr>
          <w:p>
            <w:pPr>
              <w:pStyle w:val="DGTextstand-alone"/>
              <w:spacing w:before="0"/>
            </w:pPr>
            <w:r>
              <w:t>Европейски инструмент за съседство и партньорство</w:t>
            </w:r>
          </w:p>
        </w:tc>
      </w:tr>
      <w:tr>
        <w:tc>
          <w:tcPr>
            <w:tcW w:w="1526" w:type="dxa"/>
            <w:shd w:val="clear" w:color="auto" w:fill="auto"/>
          </w:tcPr>
          <w:p>
            <w:pPr>
              <w:pStyle w:val="DGTextstand-alone"/>
              <w:spacing w:before="0"/>
            </w:pPr>
            <w:r>
              <w:rPr>
                <w:color w:val="016794"/>
              </w:rPr>
              <w:t>ЕП</w:t>
            </w:r>
            <w:r>
              <w:t xml:space="preserve"> </w:t>
            </w:r>
          </w:p>
        </w:tc>
        <w:tc>
          <w:tcPr>
            <w:tcW w:w="8328" w:type="dxa"/>
            <w:shd w:val="clear" w:color="auto" w:fill="auto"/>
          </w:tcPr>
          <w:p>
            <w:pPr>
              <w:pStyle w:val="DGTextstand-alone"/>
              <w:spacing w:before="0"/>
            </w:pPr>
            <w:r>
              <w:t>Европейски парламент</w:t>
            </w:r>
          </w:p>
        </w:tc>
      </w:tr>
      <w:tr>
        <w:tc>
          <w:tcPr>
            <w:tcW w:w="1526" w:type="dxa"/>
            <w:shd w:val="clear" w:color="auto" w:fill="auto"/>
          </w:tcPr>
          <w:p>
            <w:pPr>
              <w:pStyle w:val="DGTextstand-alone"/>
              <w:spacing w:before="0"/>
            </w:pPr>
            <w:r>
              <w:rPr>
                <w:color w:val="016794"/>
              </w:rPr>
              <w:t>ЕФРР</w:t>
            </w:r>
            <w:r>
              <w:t xml:space="preserve"> </w:t>
            </w:r>
          </w:p>
        </w:tc>
        <w:tc>
          <w:tcPr>
            <w:tcW w:w="8328" w:type="dxa"/>
            <w:shd w:val="clear" w:color="auto" w:fill="auto"/>
          </w:tcPr>
          <w:p>
            <w:pPr>
              <w:pStyle w:val="DGTextstand-alone"/>
              <w:spacing w:before="0"/>
            </w:pPr>
            <w:r>
              <w:t>Европейски фонд за регионално развитие</w:t>
            </w:r>
          </w:p>
        </w:tc>
      </w:tr>
      <w:tr>
        <w:tc>
          <w:tcPr>
            <w:tcW w:w="1526" w:type="dxa"/>
            <w:shd w:val="clear" w:color="auto" w:fill="auto"/>
          </w:tcPr>
          <w:p>
            <w:pPr>
              <w:pStyle w:val="DGTextstand-alone"/>
              <w:spacing w:before="0"/>
              <w:rPr>
                <w:color w:val="016794"/>
              </w:rPr>
            </w:pPr>
            <w:r>
              <w:rPr>
                <w:color w:val="016794"/>
              </w:rPr>
              <w:t>ИИУ</w:t>
            </w:r>
          </w:p>
          <w:p>
            <w:pPr>
              <w:pStyle w:val="DGTextstand-alone"/>
              <w:spacing w:before="0"/>
            </w:pPr>
            <w:r>
              <w:rPr>
                <w:color w:val="016794"/>
              </w:rPr>
              <w:t>ЕКА</w:t>
            </w:r>
            <w:r>
              <w:t xml:space="preserve"> </w:t>
            </w:r>
          </w:p>
        </w:tc>
        <w:tc>
          <w:tcPr>
            <w:tcW w:w="8328" w:type="dxa"/>
            <w:shd w:val="clear" w:color="auto" w:fill="auto"/>
          </w:tcPr>
          <w:p>
            <w:pPr>
              <w:pStyle w:val="DGTextstand-alone"/>
              <w:spacing w:before="0"/>
            </w:pPr>
            <w:r>
              <w:t>Инициатива на ЕИБ за икономическа устойчивост</w:t>
            </w:r>
          </w:p>
          <w:p>
            <w:pPr>
              <w:pStyle w:val="DGTextstand-alone"/>
              <w:spacing w:before="0"/>
            </w:pPr>
            <w:r>
              <w:t>Европейска космическа агенция</w:t>
            </w:r>
          </w:p>
        </w:tc>
      </w:tr>
      <w:tr>
        <w:tc>
          <w:tcPr>
            <w:tcW w:w="1526" w:type="dxa"/>
            <w:shd w:val="clear" w:color="auto" w:fill="auto"/>
          </w:tcPr>
          <w:p>
            <w:pPr>
              <w:pStyle w:val="DGTextstand-alone"/>
              <w:spacing w:before="0"/>
            </w:pPr>
            <w:r>
              <w:rPr>
                <w:color w:val="016794"/>
              </w:rPr>
              <w:t>EСФ</w:t>
            </w:r>
            <w:r>
              <w:t xml:space="preserve"> </w:t>
            </w:r>
          </w:p>
        </w:tc>
        <w:tc>
          <w:tcPr>
            <w:tcW w:w="8328" w:type="dxa"/>
            <w:shd w:val="clear" w:color="auto" w:fill="auto"/>
          </w:tcPr>
          <w:p>
            <w:pPr>
              <w:pStyle w:val="DGTextstand-alone"/>
              <w:spacing w:before="0"/>
            </w:pPr>
            <w:r>
              <w:t>Европейски социален фонд</w:t>
            </w:r>
          </w:p>
        </w:tc>
      </w:tr>
      <w:tr>
        <w:tc>
          <w:tcPr>
            <w:tcW w:w="1526" w:type="dxa"/>
            <w:shd w:val="clear" w:color="auto" w:fill="auto"/>
          </w:tcPr>
          <w:p>
            <w:pPr>
              <w:pStyle w:val="DGTextstand-alone"/>
              <w:spacing w:before="0"/>
            </w:pPr>
            <w:r>
              <w:rPr>
                <w:color w:val="016794"/>
              </w:rPr>
              <w:t>ЕСИФ</w:t>
            </w:r>
            <w:r>
              <w:t xml:space="preserve"> </w:t>
            </w:r>
          </w:p>
        </w:tc>
        <w:tc>
          <w:tcPr>
            <w:tcW w:w="8328" w:type="dxa"/>
            <w:shd w:val="clear" w:color="auto" w:fill="auto"/>
          </w:tcPr>
          <w:p>
            <w:pPr>
              <w:pStyle w:val="DGTextstand-alone"/>
              <w:spacing w:before="0"/>
            </w:pPr>
            <w:r>
              <w:t>Европейски структурни и инвестиционни фондове</w:t>
            </w:r>
          </w:p>
        </w:tc>
      </w:tr>
      <w:tr>
        <w:tc>
          <w:tcPr>
            <w:tcW w:w="1526" w:type="dxa"/>
            <w:shd w:val="clear" w:color="auto" w:fill="auto"/>
          </w:tcPr>
          <w:p>
            <w:pPr>
              <w:pStyle w:val="DGTextstand-alone"/>
              <w:spacing w:before="0"/>
            </w:pPr>
            <w:r>
              <w:rPr>
                <w:color w:val="016794"/>
              </w:rPr>
              <w:t>ЕМС</w:t>
            </w:r>
            <w:r>
              <w:t xml:space="preserve"> </w:t>
            </w:r>
          </w:p>
        </w:tc>
        <w:tc>
          <w:tcPr>
            <w:tcW w:w="8328" w:type="dxa"/>
            <w:shd w:val="clear" w:color="auto" w:fill="auto"/>
          </w:tcPr>
          <w:p>
            <w:pPr>
              <w:pStyle w:val="DGTextstand-alone"/>
              <w:spacing w:before="0"/>
            </w:pPr>
            <w:r>
              <w:t>Европейски механизъм за стабилност</w:t>
            </w:r>
          </w:p>
        </w:tc>
      </w:tr>
      <w:tr>
        <w:tc>
          <w:tcPr>
            <w:tcW w:w="1526" w:type="dxa"/>
            <w:shd w:val="clear" w:color="auto" w:fill="auto"/>
          </w:tcPr>
          <w:p>
            <w:pPr>
              <w:pStyle w:val="DGTextstand-alone"/>
              <w:spacing w:before="0"/>
            </w:pPr>
            <w:r>
              <w:rPr>
                <w:color w:val="016794"/>
              </w:rPr>
              <w:t>ETF</w:t>
            </w:r>
            <w:r>
              <w:t xml:space="preserve"> </w:t>
            </w:r>
          </w:p>
        </w:tc>
        <w:tc>
          <w:tcPr>
            <w:tcW w:w="8328" w:type="dxa"/>
            <w:shd w:val="clear" w:color="auto" w:fill="auto"/>
          </w:tcPr>
          <w:p>
            <w:pPr>
              <w:pStyle w:val="DGTextstand-alone"/>
              <w:spacing w:before="0"/>
            </w:pPr>
            <w:r>
              <w:t>Схема за подкрепа на стартиращи предприятия по Европейския механизъм за технологии 1998</w:t>
            </w:r>
          </w:p>
        </w:tc>
      </w:tr>
      <w:tr>
        <w:tc>
          <w:tcPr>
            <w:tcW w:w="1526" w:type="dxa"/>
            <w:shd w:val="clear" w:color="auto" w:fill="auto"/>
          </w:tcPr>
          <w:p>
            <w:pPr>
              <w:pStyle w:val="DGTextstand-alone"/>
              <w:spacing w:before="0"/>
            </w:pPr>
            <w:r>
              <w:rPr>
                <w:color w:val="016794"/>
              </w:rPr>
              <w:t>ЕС</w:t>
            </w:r>
            <w:r>
              <w:t xml:space="preserve"> </w:t>
            </w:r>
          </w:p>
        </w:tc>
        <w:tc>
          <w:tcPr>
            <w:tcW w:w="8328" w:type="dxa"/>
            <w:shd w:val="clear" w:color="auto" w:fill="auto"/>
          </w:tcPr>
          <w:p>
            <w:pPr>
              <w:pStyle w:val="DGTextstand-alone"/>
              <w:spacing w:before="0"/>
            </w:pPr>
            <w:r>
              <w:t>Европейски съюз</w:t>
            </w:r>
          </w:p>
        </w:tc>
      </w:tr>
      <w:tr>
        <w:tc>
          <w:tcPr>
            <w:tcW w:w="1526" w:type="dxa"/>
            <w:shd w:val="clear" w:color="auto" w:fill="auto"/>
          </w:tcPr>
          <w:p>
            <w:pPr>
              <w:pStyle w:val="DGTextstand-alone"/>
              <w:spacing w:before="0"/>
            </w:pPr>
            <w:r>
              <w:rPr>
                <w:color w:val="016794"/>
              </w:rPr>
              <w:t>EUMETSAT</w:t>
            </w:r>
            <w:r>
              <w:t xml:space="preserve"> </w:t>
            </w:r>
          </w:p>
        </w:tc>
        <w:tc>
          <w:tcPr>
            <w:tcW w:w="8328" w:type="dxa"/>
            <w:shd w:val="clear" w:color="auto" w:fill="auto"/>
          </w:tcPr>
          <w:p>
            <w:pPr>
              <w:pStyle w:val="DGTextstand-alone"/>
              <w:spacing w:before="0"/>
              <w:rPr>
                <w:highlight w:val="yellow"/>
              </w:rPr>
            </w:pPr>
            <w:r>
              <w:t>Европейска организация за експлоатация на метеорологични спътници</w:t>
            </w:r>
          </w:p>
        </w:tc>
      </w:tr>
      <w:tr>
        <w:tc>
          <w:tcPr>
            <w:tcW w:w="1526" w:type="dxa"/>
            <w:shd w:val="clear" w:color="auto" w:fill="auto"/>
          </w:tcPr>
          <w:p>
            <w:pPr>
              <w:pStyle w:val="DGTextstand-alone"/>
              <w:spacing w:before="0"/>
            </w:pPr>
            <w:r>
              <w:rPr>
                <w:color w:val="016794"/>
              </w:rPr>
              <w:t>Евратом</w:t>
            </w:r>
          </w:p>
        </w:tc>
        <w:tc>
          <w:tcPr>
            <w:tcW w:w="8328" w:type="dxa"/>
            <w:shd w:val="clear" w:color="auto" w:fill="auto"/>
          </w:tcPr>
          <w:p>
            <w:pPr>
              <w:pStyle w:val="DGTextstand-alone"/>
              <w:spacing w:before="0"/>
            </w:pPr>
            <w:r>
              <w:t>Европейска общност за атомна енергия</w:t>
            </w:r>
          </w:p>
        </w:tc>
      </w:tr>
      <w:tr>
        <w:tc>
          <w:tcPr>
            <w:tcW w:w="1526" w:type="dxa"/>
            <w:shd w:val="clear" w:color="auto" w:fill="auto"/>
          </w:tcPr>
          <w:p>
            <w:pPr>
              <w:pStyle w:val="DGTextstand-alone"/>
              <w:spacing w:before="0"/>
              <w:rPr>
                <w:rStyle w:val="st1"/>
                <w:rFonts w:cs="Arial"/>
              </w:rPr>
            </w:pPr>
            <w:r>
              <w:rPr>
                <w:color w:val="016794"/>
              </w:rPr>
              <w:t>FIFO</w:t>
            </w:r>
          </w:p>
        </w:tc>
        <w:tc>
          <w:tcPr>
            <w:tcW w:w="8328" w:type="dxa"/>
            <w:shd w:val="clear" w:color="auto" w:fill="auto"/>
          </w:tcPr>
          <w:p>
            <w:pPr>
              <w:pStyle w:val="DGTextstand-alone"/>
              <w:spacing w:before="0"/>
              <w:rPr>
                <w:rStyle w:val="st1"/>
                <w:rFonts w:cs="Arial"/>
              </w:rPr>
            </w:pPr>
            <w:r>
              <w:rPr>
                <w:rStyle w:val="st1"/>
              </w:rPr>
              <w:t>Първа входяща — първа изходяща стойност</w:t>
            </w:r>
          </w:p>
        </w:tc>
      </w:tr>
      <w:tr>
        <w:tc>
          <w:tcPr>
            <w:tcW w:w="1526" w:type="dxa"/>
            <w:shd w:val="clear" w:color="auto" w:fill="auto"/>
          </w:tcPr>
          <w:p>
            <w:pPr>
              <w:pStyle w:val="DGTextstand-alone"/>
              <w:spacing w:before="0"/>
            </w:pPr>
            <w:r>
              <w:rPr>
                <w:color w:val="016794"/>
              </w:rPr>
              <w:t>7РП</w:t>
            </w:r>
            <w:r>
              <w:t xml:space="preserve"> </w:t>
            </w:r>
          </w:p>
        </w:tc>
        <w:tc>
          <w:tcPr>
            <w:tcW w:w="8328" w:type="dxa"/>
            <w:shd w:val="clear" w:color="auto" w:fill="auto"/>
          </w:tcPr>
          <w:p>
            <w:pPr>
              <w:pStyle w:val="DGTextstand-alone"/>
              <w:spacing w:before="0"/>
            </w:pPr>
            <w:r>
              <w:t>Седма рамкова програма за научни изследвания и технологично развитие</w:t>
            </w:r>
          </w:p>
        </w:tc>
      </w:tr>
      <w:tr>
        <w:tc>
          <w:tcPr>
            <w:tcW w:w="1526" w:type="dxa"/>
            <w:shd w:val="clear" w:color="auto" w:fill="auto"/>
          </w:tcPr>
          <w:p>
            <w:pPr>
              <w:pStyle w:val="DGTextstand-alone"/>
              <w:spacing w:before="0"/>
            </w:pPr>
            <w:r>
              <w:rPr>
                <w:color w:val="016794"/>
              </w:rPr>
              <w:t>ФР</w:t>
            </w:r>
            <w:r>
              <w:t xml:space="preserve"> </w:t>
            </w:r>
          </w:p>
        </w:tc>
        <w:tc>
          <w:tcPr>
            <w:tcW w:w="8328" w:type="dxa"/>
            <w:shd w:val="clear" w:color="auto" w:fill="auto"/>
          </w:tcPr>
          <w:p>
            <w:pPr>
              <w:pStyle w:val="DGTextstand-alone"/>
              <w:spacing w:before="0"/>
            </w:pPr>
            <w:r>
              <w:t>Финансов регламент на ЕС</w:t>
            </w:r>
          </w:p>
        </w:tc>
      </w:tr>
      <w:tr>
        <w:tc>
          <w:tcPr>
            <w:tcW w:w="1526" w:type="dxa"/>
            <w:shd w:val="clear" w:color="auto" w:fill="auto"/>
          </w:tcPr>
          <w:p>
            <w:pPr>
              <w:pStyle w:val="DGTextstand-alone"/>
              <w:spacing w:before="0"/>
            </w:pPr>
            <w:r>
              <w:rPr>
                <w:color w:val="016794"/>
              </w:rPr>
              <w:t>ОАФО</w:t>
            </w:r>
            <w:r>
              <w:t xml:space="preserve"> </w:t>
            </w:r>
            <w:r>
              <w:tab/>
            </w:r>
          </w:p>
        </w:tc>
        <w:tc>
          <w:tcPr>
            <w:tcW w:w="8328" w:type="dxa"/>
            <w:shd w:val="clear" w:color="auto" w:fill="auto"/>
          </w:tcPr>
          <w:p>
            <w:pPr>
              <w:pStyle w:val="DGTextstand-alone"/>
              <w:spacing w:before="0"/>
            </w:pPr>
            <w:r>
              <w:t>Обсъждане и анализ на финансовите отчети</w:t>
            </w:r>
          </w:p>
        </w:tc>
      </w:tr>
      <w:tr>
        <w:tc>
          <w:tcPr>
            <w:tcW w:w="1526" w:type="dxa"/>
            <w:shd w:val="clear" w:color="auto" w:fill="auto"/>
          </w:tcPr>
          <w:p>
            <w:pPr>
              <w:pStyle w:val="DGTextstand-alone"/>
              <w:spacing w:before="0"/>
              <w:rPr>
                <w:b/>
              </w:rPr>
            </w:pPr>
            <w:r>
              <w:rPr>
                <w:color w:val="016794"/>
              </w:rPr>
              <w:t>БВП</w:t>
            </w:r>
          </w:p>
        </w:tc>
        <w:tc>
          <w:tcPr>
            <w:tcW w:w="8328" w:type="dxa"/>
            <w:shd w:val="clear" w:color="auto" w:fill="auto"/>
          </w:tcPr>
          <w:p>
            <w:pPr>
              <w:pStyle w:val="DGTextstand-alone"/>
              <w:spacing w:before="0"/>
            </w:pPr>
            <w:r>
              <w:t>Брутен вътрешен продукт</w:t>
            </w:r>
          </w:p>
        </w:tc>
      </w:tr>
      <w:tr>
        <w:tc>
          <w:tcPr>
            <w:tcW w:w="1526" w:type="dxa"/>
            <w:shd w:val="clear" w:color="auto" w:fill="auto"/>
          </w:tcPr>
          <w:p>
            <w:pPr>
              <w:pStyle w:val="DGTextstand-alone"/>
              <w:spacing w:before="0"/>
            </w:pPr>
            <w:r>
              <w:rPr>
                <w:color w:val="016794"/>
              </w:rPr>
              <w:t>БНД</w:t>
            </w:r>
            <w:r>
              <w:t xml:space="preserve"> </w:t>
            </w:r>
          </w:p>
        </w:tc>
        <w:tc>
          <w:tcPr>
            <w:tcW w:w="8328" w:type="dxa"/>
            <w:shd w:val="clear" w:color="auto" w:fill="auto"/>
          </w:tcPr>
          <w:p>
            <w:pPr>
              <w:pStyle w:val="DGTextstand-alone"/>
              <w:spacing w:before="0"/>
            </w:pPr>
            <w:r>
              <w:t>Брутен национален доход</w:t>
            </w:r>
          </w:p>
        </w:tc>
      </w:tr>
      <w:tr>
        <w:tc>
          <w:tcPr>
            <w:tcW w:w="1526" w:type="dxa"/>
            <w:shd w:val="clear" w:color="auto" w:fill="auto"/>
          </w:tcPr>
          <w:p>
            <w:pPr>
              <w:pStyle w:val="DGTextstand-alone"/>
              <w:spacing w:before="0"/>
            </w:pPr>
            <w:r>
              <w:rPr>
                <w:color w:val="016794"/>
              </w:rPr>
              <w:t>ГНСС</w:t>
            </w:r>
            <w:r>
              <w:t xml:space="preserve"> </w:t>
            </w:r>
          </w:p>
        </w:tc>
        <w:tc>
          <w:tcPr>
            <w:tcW w:w="8328" w:type="dxa"/>
            <w:shd w:val="clear" w:color="auto" w:fill="auto"/>
          </w:tcPr>
          <w:p>
            <w:pPr>
              <w:pStyle w:val="DGTextstand-alone"/>
              <w:spacing w:before="0"/>
            </w:pPr>
            <w:r>
              <w:t>Глобална навигационна спътникова система</w:t>
            </w:r>
          </w:p>
        </w:tc>
      </w:tr>
      <w:tr>
        <w:tc>
          <w:tcPr>
            <w:tcW w:w="1526" w:type="dxa"/>
            <w:shd w:val="clear" w:color="auto" w:fill="auto"/>
          </w:tcPr>
          <w:p>
            <w:pPr>
              <w:pStyle w:val="DGTextstand-alone"/>
              <w:spacing w:before="0"/>
            </w:pPr>
            <w:r>
              <w:rPr>
                <w:color w:val="016794"/>
              </w:rPr>
              <w:t>H2020</w:t>
            </w:r>
            <w:r>
              <w:t xml:space="preserve"> </w:t>
            </w:r>
          </w:p>
        </w:tc>
        <w:tc>
          <w:tcPr>
            <w:tcW w:w="8328" w:type="dxa"/>
            <w:shd w:val="clear" w:color="auto" w:fill="auto"/>
          </w:tcPr>
          <w:p>
            <w:pPr>
              <w:pStyle w:val="DGTextstand-alone"/>
              <w:spacing w:before="0"/>
            </w:pPr>
            <w:r>
              <w:t>„Хоризонт 2020“</w:t>
            </w:r>
          </w:p>
        </w:tc>
      </w:tr>
      <w:tr>
        <w:tc>
          <w:tcPr>
            <w:tcW w:w="1526" w:type="dxa"/>
            <w:shd w:val="clear" w:color="auto" w:fill="auto"/>
          </w:tcPr>
          <w:p>
            <w:pPr>
              <w:pStyle w:val="DGTextstand-alone"/>
              <w:spacing w:before="0"/>
            </w:pPr>
            <w:r>
              <w:rPr>
                <w:color w:val="016794"/>
              </w:rPr>
              <w:t>ИИП</w:t>
            </w:r>
            <w:r>
              <w:t xml:space="preserve"> </w:t>
            </w:r>
          </w:p>
        </w:tc>
        <w:tc>
          <w:tcPr>
            <w:tcW w:w="8328" w:type="dxa"/>
            <w:shd w:val="clear" w:color="auto" w:fill="auto"/>
          </w:tcPr>
          <w:p>
            <w:pPr>
              <w:pStyle w:val="DGTextstand-alone"/>
              <w:spacing w:before="0"/>
            </w:pPr>
            <w:r>
              <w:t>Инфраструктурен и иновационен прозорец</w:t>
            </w:r>
          </w:p>
        </w:tc>
      </w:tr>
      <w:tr>
        <w:tc>
          <w:tcPr>
            <w:tcW w:w="1526" w:type="dxa"/>
            <w:shd w:val="clear" w:color="auto" w:fill="auto"/>
          </w:tcPr>
          <w:p>
            <w:pPr>
              <w:pStyle w:val="DGTextstand-alone"/>
              <w:spacing w:before="0"/>
            </w:pPr>
            <w:r>
              <w:rPr>
                <w:color w:val="016794"/>
              </w:rPr>
              <w:t>МВФ</w:t>
            </w:r>
            <w:r>
              <w:t xml:space="preserve"> </w:t>
            </w:r>
          </w:p>
        </w:tc>
        <w:tc>
          <w:tcPr>
            <w:tcW w:w="8328" w:type="dxa"/>
            <w:shd w:val="clear" w:color="auto" w:fill="auto"/>
          </w:tcPr>
          <w:p>
            <w:pPr>
              <w:pStyle w:val="DGTextstand-alone"/>
              <w:spacing w:before="0"/>
            </w:pPr>
            <w:r>
              <w:t>Международен валутен фонд</w:t>
            </w:r>
          </w:p>
        </w:tc>
      </w:tr>
      <w:tr>
        <w:tc>
          <w:tcPr>
            <w:tcW w:w="1526" w:type="dxa"/>
            <w:shd w:val="clear" w:color="auto" w:fill="auto"/>
          </w:tcPr>
          <w:p>
            <w:pPr>
              <w:pStyle w:val="DGTextstand-alone"/>
              <w:spacing w:before="0"/>
              <w:rPr>
                <w:color w:val="016794"/>
              </w:rPr>
            </w:pPr>
            <w:r>
              <w:rPr>
                <w:color w:val="016794"/>
              </w:rPr>
              <w:t>МССПС</w:t>
            </w:r>
          </w:p>
        </w:tc>
        <w:tc>
          <w:tcPr>
            <w:tcW w:w="8328" w:type="dxa"/>
            <w:shd w:val="clear" w:color="auto" w:fill="auto"/>
          </w:tcPr>
          <w:p>
            <w:pPr>
              <w:pStyle w:val="DGTextstand-alone"/>
              <w:spacing w:before="0"/>
            </w:pPr>
            <w:r>
              <w:t>Международни счетоводни стандарти за публичния сектор</w:t>
            </w:r>
          </w:p>
        </w:tc>
      </w:tr>
      <w:tr>
        <w:tc>
          <w:tcPr>
            <w:tcW w:w="1526" w:type="dxa"/>
            <w:shd w:val="clear" w:color="auto" w:fill="auto"/>
          </w:tcPr>
          <w:p>
            <w:pPr>
              <w:pStyle w:val="DGTextstand-alone"/>
              <w:spacing w:before="0"/>
              <w:rPr>
                <w:rFonts w:cs="Calibri"/>
              </w:rPr>
            </w:pPr>
            <w:r>
              <w:rPr>
                <w:color w:val="016794"/>
              </w:rPr>
              <w:t>ИТ</w:t>
            </w:r>
            <w:r>
              <w:t xml:space="preserve"> </w:t>
            </w:r>
          </w:p>
        </w:tc>
        <w:tc>
          <w:tcPr>
            <w:tcW w:w="8328" w:type="dxa"/>
            <w:shd w:val="clear" w:color="auto" w:fill="auto"/>
          </w:tcPr>
          <w:p>
            <w:pPr>
              <w:pStyle w:val="DGTextstand-alone"/>
              <w:spacing w:before="0"/>
              <w:rPr>
                <w:rFonts w:cs="Calibri"/>
              </w:rPr>
            </w:pPr>
            <w:r>
              <w:t>Информационни технологии</w:t>
            </w:r>
          </w:p>
        </w:tc>
      </w:tr>
      <w:tr>
        <w:tc>
          <w:tcPr>
            <w:tcW w:w="1526" w:type="dxa"/>
            <w:shd w:val="clear" w:color="auto" w:fill="auto"/>
          </w:tcPr>
          <w:p>
            <w:pPr>
              <w:pStyle w:val="DGTextstand-alone"/>
              <w:spacing w:before="0"/>
            </w:pPr>
            <w:r>
              <w:rPr>
                <w:color w:val="016794"/>
              </w:rPr>
              <w:t>ITER</w:t>
            </w:r>
            <w:r>
              <w:t xml:space="preserve"> </w:t>
            </w:r>
          </w:p>
        </w:tc>
        <w:tc>
          <w:tcPr>
            <w:tcW w:w="8328" w:type="dxa"/>
            <w:shd w:val="clear" w:color="auto" w:fill="auto"/>
          </w:tcPr>
          <w:p>
            <w:pPr>
              <w:pStyle w:val="DGTextstand-alone"/>
              <w:spacing w:before="0"/>
            </w:pPr>
            <w:r>
              <w:t>Международен експериментален термоядрен реактор</w:t>
            </w:r>
          </w:p>
        </w:tc>
      </w:tr>
      <w:tr>
        <w:tc>
          <w:tcPr>
            <w:tcW w:w="1526" w:type="dxa"/>
            <w:shd w:val="clear" w:color="auto" w:fill="auto"/>
          </w:tcPr>
          <w:p>
            <w:pPr>
              <w:pStyle w:val="DGTextstand-alone"/>
              <w:spacing w:before="0"/>
            </w:pPr>
            <w:r>
              <w:rPr>
                <w:color w:val="016794"/>
              </w:rPr>
              <w:t>JRC</w:t>
            </w:r>
            <w:r>
              <w:t xml:space="preserve"> </w:t>
            </w:r>
          </w:p>
        </w:tc>
        <w:tc>
          <w:tcPr>
            <w:tcW w:w="8328" w:type="dxa"/>
            <w:shd w:val="clear" w:color="auto" w:fill="auto"/>
          </w:tcPr>
          <w:p>
            <w:pPr>
              <w:pStyle w:val="DGTextstand-alone"/>
              <w:spacing w:before="0"/>
            </w:pPr>
            <w:r>
              <w:t>Съвместен изследователски център</w:t>
            </w:r>
          </w:p>
        </w:tc>
      </w:tr>
      <w:tr>
        <w:tc>
          <w:tcPr>
            <w:tcW w:w="1526" w:type="dxa"/>
            <w:shd w:val="clear" w:color="auto" w:fill="auto"/>
          </w:tcPr>
          <w:p>
            <w:pPr>
              <w:pStyle w:val="DGTextstand-alone"/>
              <w:spacing w:before="0"/>
              <w:rPr>
                <w:rFonts w:cs="Calibri"/>
              </w:rPr>
            </w:pPr>
            <w:r>
              <w:rPr>
                <w:color w:val="016794"/>
              </w:rPr>
              <w:t>СП</w:t>
            </w:r>
            <w:r>
              <w:t xml:space="preserve"> </w:t>
            </w:r>
          </w:p>
        </w:tc>
        <w:tc>
          <w:tcPr>
            <w:tcW w:w="8328" w:type="dxa"/>
            <w:shd w:val="clear" w:color="auto" w:fill="auto"/>
          </w:tcPr>
          <w:p>
            <w:pPr>
              <w:pStyle w:val="DGTextstand-alone"/>
              <w:spacing w:before="0"/>
              <w:rPr>
                <w:rFonts w:cs="Calibri"/>
              </w:rPr>
            </w:pPr>
            <w:r>
              <w:t>Съвместно предприятие</w:t>
            </w:r>
          </w:p>
        </w:tc>
      </w:tr>
      <w:tr>
        <w:tc>
          <w:tcPr>
            <w:tcW w:w="1526" w:type="dxa"/>
            <w:shd w:val="clear" w:color="auto" w:fill="auto"/>
          </w:tcPr>
          <w:p>
            <w:pPr>
              <w:pStyle w:val="DGTextstand-alone"/>
              <w:spacing w:before="0"/>
            </w:pPr>
            <w:r>
              <w:rPr>
                <w:color w:val="016794"/>
              </w:rPr>
              <w:t>LGTT</w:t>
            </w:r>
            <w:r>
              <w:t xml:space="preserve"> </w:t>
            </w:r>
          </w:p>
        </w:tc>
        <w:tc>
          <w:tcPr>
            <w:tcW w:w="8328" w:type="dxa"/>
            <w:shd w:val="clear" w:color="auto" w:fill="auto"/>
          </w:tcPr>
          <w:p>
            <w:pPr>
              <w:pStyle w:val="DGTextstand-alone"/>
              <w:spacing w:before="0"/>
            </w:pPr>
            <w:r>
              <w:t>Инструмент за гарантиране на заемите по проекти, свързани с трансевропейските транспортни мрежи</w:t>
            </w:r>
          </w:p>
        </w:tc>
      </w:tr>
      <w:tr>
        <w:tc>
          <w:tcPr>
            <w:tcW w:w="1526" w:type="dxa"/>
            <w:shd w:val="clear" w:color="auto" w:fill="auto"/>
          </w:tcPr>
          <w:p>
            <w:pPr>
              <w:pStyle w:val="DGTextstand-alone"/>
              <w:spacing w:before="0"/>
            </w:pPr>
            <w:r>
              <w:rPr>
                <w:color w:val="016794"/>
              </w:rPr>
              <w:t>МП</w:t>
            </w:r>
            <w:r>
              <w:t xml:space="preserve"> </w:t>
            </w:r>
          </w:p>
        </w:tc>
        <w:tc>
          <w:tcPr>
            <w:tcW w:w="8328" w:type="dxa"/>
            <w:shd w:val="clear" w:color="auto" w:fill="auto"/>
          </w:tcPr>
          <w:p>
            <w:pPr>
              <w:pStyle w:val="DGTextstand-alone"/>
              <w:spacing w:before="0"/>
            </w:pPr>
            <w:r>
              <w:t>Многогодишна програма — Програма за финансово приобщаване на средните предприятия</w:t>
            </w:r>
          </w:p>
        </w:tc>
      </w:tr>
      <w:tr>
        <w:tc>
          <w:tcPr>
            <w:tcW w:w="1526" w:type="dxa"/>
            <w:shd w:val="clear" w:color="auto" w:fill="auto"/>
          </w:tcPr>
          <w:p>
            <w:pPr>
              <w:pStyle w:val="DGTextstand-alone"/>
              <w:spacing w:before="0"/>
            </w:pPr>
            <w:r>
              <w:rPr>
                <w:color w:val="016794"/>
              </w:rPr>
              <w:t>MEP</w:t>
            </w:r>
            <w:r>
              <w:t xml:space="preserve"> </w:t>
            </w:r>
          </w:p>
        </w:tc>
        <w:tc>
          <w:tcPr>
            <w:tcW w:w="8328" w:type="dxa"/>
            <w:shd w:val="clear" w:color="auto" w:fill="auto"/>
          </w:tcPr>
          <w:p>
            <w:pPr>
              <w:pStyle w:val="DGTextstand-alone"/>
              <w:spacing w:before="0"/>
            </w:pPr>
            <w:r>
              <w:t>Член на Европейския парламент</w:t>
            </w:r>
          </w:p>
        </w:tc>
      </w:tr>
      <w:tr>
        <w:tc>
          <w:tcPr>
            <w:tcW w:w="1526" w:type="dxa"/>
            <w:shd w:val="clear" w:color="auto" w:fill="auto"/>
          </w:tcPr>
          <w:p>
            <w:pPr>
              <w:pStyle w:val="DGTextstand-alone"/>
              <w:spacing w:before="0"/>
              <w:rPr>
                <w:iCs/>
              </w:rPr>
            </w:pPr>
            <w:r>
              <w:rPr>
                <w:color w:val="016794"/>
              </w:rPr>
              <w:t>МФП</w:t>
            </w:r>
            <w:r>
              <w:t xml:space="preserve"> </w:t>
            </w:r>
          </w:p>
        </w:tc>
        <w:tc>
          <w:tcPr>
            <w:tcW w:w="8328" w:type="dxa"/>
            <w:shd w:val="clear" w:color="auto" w:fill="auto"/>
          </w:tcPr>
          <w:p>
            <w:pPr>
              <w:pStyle w:val="DGTextstand-alone"/>
              <w:spacing w:before="0"/>
              <w:rPr>
                <w:iCs/>
              </w:rPr>
            </w:pPr>
            <w:r>
              <w:t>Макрофинансова помощ</w:t>
            </w:r>
          </w:p>
        </w:tc>
      </w:tr>
      <w:tr>
        <w:tc>
          <w:tcPr>
            <w:tcW w:w="1526" w:type="dxa"/>
            <w:shd w:val="clear" w:color="auto" w:fill="auto"/>
          </w:tcPr>
          <w:p>
            <w:pPr>
              <w:pStyle w:val="DGTextstand-alone"/>
              <w:spacing w:before="0"/>
            </w:pPr>
            <w:r>
              <w:rPr>
                <w:color w:val="016794"/>
              </w:rPr>
              <w:t>МФР</w:t>
            </w:r>
            <w:r>
              <w:t xml:space="preserve"> </w:t>
            </w:r>
          </w:p>
        </w:tc>
        <w:tc>
          <w:tcPr>
            <w:tcW w:w="8328" w:type="dxa"/>
            <w:shd w:val="clear" w:color="auto" w:fill="auto"/>
          </w:tcPr>
          <w:p>
            <w:pPr>
              <w:pStyle w:val="DGTextstand-alone"/>
              <w:spacing w:before="0"/>
            </w:pPr>
            <w:r>
              <w:t>Многогодишна финансова рамка</w:t>
            </w:r>
          </w:p>
        </w:tc>
      </w:tr>
      <w:tr>
        <w:tc>
          <w:tcPr>
            <w:tcW w:w="1526" w:type="dxa"/>
            <w:shd w:val="clear" w:color="auto" w:fill="auto"/>
          </w:tcPr>
          <w:p>
            <w:pPr>
              <w:pStyle w:val="DGTextstand-alone"/>
              <w:spacing w:before="0"/>
              <w:rPr>
                <w:rFonts w:cs="DejaVuSansCondensed-Bold"/>
                <w:bCs/>
              </w:rPr>
            </w:pPr>
            <w:r>
              <w:rPr>
                <w:color w:val="016794"/>
              </w:rPr>
              <w:t>ММСП</w:t>
            </w:r>
          </w:p>
        </w:tc>
        <w:tc>
          <w:tcPr>
            <w:tcW w:w="8328" w:type="dxa"/>
            <w:shd w:val="clear" w:color="auto" w:fill="auto"/>
          </w:tcPr>
          <w:p>
            <w:pPr>
              <w:pStyle w:val="DGTextstand-alone"/>
              <w:spacing w:before="0"/>
              <w:rPr>
                <w:rFonts w:cs="DejaVuSansCondensed-Bold"/>
                <w:bCs/>
              </w:rPr>
            </w:pPr>
            <w:r>
              <w:t>Микро-, малки и средни предприятия</w:t>
            </w:r>
          </w:p>
        </w:tc>
      </w:tr>
      <w:tr>
        <w:tc>
          <w:tcPr>
            <w:tcW w:w="1526" w:type="dxa"/>
            <w:shd w:val="clear" w:color="auto" w:fill="auto"/>
          </w:tcPr>
          <w:p>
            <w:pPr>
              <w:pStyle w:val="DGTextstand-alone"/>
              <w:spacing w:before="0"/>
            </w:pPr>
            <w:r>
              <w:rPr>
                <w:color w:val="016794"/>
              </w:rPr>
              <w:t>РСР</w:t>
            </w:r>
            <w:r>
              <w:t xml:space="preserve"> </w:t>
            </w:r>
          </w:p>
        </w:tc>
        <w:tc>
          <w:tcPr>
            <w:tcW w:w="8328" w:type="dxa"/>
            <w:shd w:val="clear" w:color="auto" w:fill="auto"/>
          </w:tcPr>
          <w:p>
            <w:pPr>
              <w:pStyle w:val="DGTextstand-alone"/>
              <w:spacing w:before="0"/>
            </w:pPr>
            <w:r>
              <w:t>Решение за собствените ресурси</w:t>
            </w:r>
          </w:p>
        </w:tc>
      </w:tr>
      <w:tr>
        <w:tc>
          <w:tcPr>
            <w:tcW w:w="1526" w:type="dxa"/>
            <w:shd w:val="clear" w:color="auto" w:fill="auto"/>
          </w:tcPr>
          <w:p>
            <w:pPr>
              <w:pStyle w:val="DGTextstand-alone"/>
              <w:spacing w:before="0"/>
            </w:pPr>
            <w:r>
              <w:rPr>
                <w:color w:val="016794"/>
              </w:rPr>
              <w:t>PBI</w:t>
            </w:r>
            <w:r>
              <w:t xml:space="preserve"> </w:t>
            </w:r>
          </w:p>
        </w:tc>
        <w:tc>
          <w:tcPr>
            <w:tcW w:w="8328" w:type="dxa"/>
            <w:shd w:val="clear" w:color="auto" w:fill="auto"/>
          </w:tcPr>
          <w:p>
            <w:pPr>
              <w:pStyle w:val="DGTextstand-alone"/>
              <w:spacing w:before="0"/>
            </w:pPr>
            <w:r>
              <w:t>Инициатива „Облигации за проекти“</w:t>
            </w:r>
          </w:p>
        </w:tc>
      </w:tr>
      <w:tr>
        <w:tc>
          <w:tcPr>
            <w:tcW w:w="1526" w:type="dxa"/>
            <w:shd w:val="clear" w:color="auto" w:fill="auto"/>
          </w:tcPr>
          <w:p>
            <w:pPr>
              <w:pStyle w:val="DGTextstand-alone"/>
              <w:spacing w:before="0"/>
            </w:pPr>
            <w:r>
              <w:rPr>
                <w:color w:val="016794"/>
              </w:rPr>
              <w:t>PF4EE</w:t>
            </w:r>
            <w:r>
              <w:t xml:space="preserve"> </w:t>
            </w:r>
          </w:p>
        </w:tc>
        <w:tc>
          <w:tcPr>
            <w:tcW w:w="8328" w:type="dxa"/>
            <w:shd w:val="clear" w:color="auto" w:fill="auto"/>
          </w:tcPr>
          <w:p>
            <w:pPr>
              <w:pStyle w:val="DGTextstand-alone"/>
              <w:spacing w:before="0"/>
            </w:pPr>
            <w:r>
              <w:t>Инструмент за частно финансиране за енергийна ефективност</w:t>
            </w:r>
          </w:p>
        </w:tc>
      </w:tr>
      <w:tr>
        <w:tc>
          <w:tcPr>
            <w:tcW w:w="1526" w:type="dxa"/>
            <w:shd w:val="clear" w:color="auto" w:fill="auto"/>
          </w:tcPr>
          <w:p>
            <w:pPr>
              <w:pStyle w:val="DGTextstand-alone"/>
              <w:spacing w:before="0"/>
            </w:pPr>
            <w:r>
              <w:rPr>
                <w:color w:val="016794"/>
              </w:rPr>
              <w:t>ГФУ</w:t>
            </w:r>
            <w:r>
              <w:t xml:space="preserve"> </w:t>
            </w:r>
          </w:p>
        </w:tc>
        <w:tc>
          <w:tcPr>
            <w:tcW w:w="8328" w:type="dxa"/>
            <w:shd w:val="clear" w:color="auto" w:fill="auto"/>
          </w:tcPr>
          <w:p>
            <w:pPr>
              <w:pStyle w:val="DGTextstand-alone"/>
              <w:spacing w:before="0"/>
            </w:pPr>
            <w:r>
              <w:t>Гаранционен фонд за участниците</w:t>
            </w:r>
          </w:p>
        </w:tc>
      </w:tr>
      <w:tr>
        <w:tc>
          <w:tcPr>
            <w:tcW w:w="1526" w:type="dxa"/>
            <w:shd w:val="clear" w:color="auto" w:fill="auto"/>
          </w:tcPr>
          <w:p>
            <w:pPr>
              <w:pStyle w:val="DGTextstand-alone"/>
              <w:spacing w:before="0"/>
            </w:pPr>
            <w:r>
              <w:rPr>
                <w:color w:val="016794"/>
              </w:rPr>
              <w:t>ПЧП</w:t>
            </w:r>
            <w:r>
              <w:t xml:space="preserve"> </w:t>
            </w:r>
          </w:p>
        </w:tc>
        <w:tc>
          <w:tcPr>
            <w:tcW w:w="8328" w:type="dxa"/>
            <w:shd w:val="clear" w:color="auto" w:fill="auto"/>
          </w:tcPr>
          <w:p>
            <w:pPr>
              <w:pStyle w:val="DGTextstand-alone"/>
              <w:spacing w:before="0"/>
            </w:pPr>
            <w:r>
              <w:t>Публично-частно партньорство</w:t>
            </w:r>
          </w:p>
        </w:tc>
      </w:tr>
      <w:tr>
        <w:tc>
          <w:tcPr>
            <w:tcW w:w="1526" w:type="dxa"/>
            <w:shd w:val="clear" w:color="auto" w:fill="auto"/>
          </w:tcPr>
          <w:p>
            <w:pPr>
              <w:pStyle w:val="DGTextstand-alone"/>
              <w:spacing w:before="0"/>
            </w:pPr>
            <w:r>
              <w:rPr>
                <w:color w:val="016794"/>
              </w:rPr>
              <w:t>ПСЕДЛ</w:t>
            </w:r>
            <w:r>
              <w:t xml:space="preserve"> </w:t>
            </w:r>
          </w:p>
        </w:tc>
        <w:tc>
          <w:tcPr>
            <w:tcW w:w="8328" w:type="dxa"/>
            <w:shd w:val="clear" w:color="auto" w:fill="auto"/>
          </w:tcPr>
          <w:p>
            <w:pPr>
              <w:pStyle w:val="DGTextstand-alone"/>
              <w:spacing w:before="0"/>
            </w:pPr>
            <w:r>
              <w:t xml:space="preserve">Пенсионноосигурителна схема на европейските длъжностни лица </w:t>
            </w:r>
          </w:p>
        </w:tc>
      </w:tr>
      <w:tr>
        <w:tc>
          <w:tcPr>
            <w:tcW w:w="1526" w:type="dxa"/>
            <w:shd w:val="clear" w:color="auto" w:fill="auto"/>
          </w:tcPr>
          <w:p>
            <w:pPr>
              <w:pStyle w:val="DGTextstand-alone"/>
              <w:spacing w:before="0"/>
            </w:pPr>
            <w:r>
              <w:rPr>
                <w:color w:val="016794"/>
              </w:rPr>
              <w:t>RAL</w:t>
            </w:r>
          </w:p>
        </w:tc>
        <w:tc>
          <w:tcPr>
            <w:tcW w:w="8328" w:type="dxa"/>
            <w:shd w:val="clear" w:color="auto" w:fill="auto"/>
          </w:tcPr>
          <w:p>
            <w:pPr>
              <w:pStyle w:val="DGTextstand-alone"/>
              <w:spacing w:before="0"/>
            </w:pPr>
            <w:r>
              <w:t>Reste à Liquider (неизпълнени поети задължения)</w:t>
            </w:r>
          </w:p>
        </w:tc>
      </w:tr>
      <w:tr>
        <w:tc>
          <w:tcPr>
            <w:tcW w:w="1526" w:type="dxa"/>
            <w:shd w:val="clear" w:color="auto" w:fill="auto"/>
          </w:tcPr>
          <w:p>
            <w:pPr>
              <w:pStyle w:val="DGTextstand-alone"/>
              <w:spacing w:before="0"/>
            </w:pPr>
            <w:r>
              <w:rPr>
                <w:color w:val="016794"/>
              </w:rPr>
              <w:t>МФПР</w:t>
            </w:r>
            <w:r>
              <w:t xml:space="preserve"> </w:t>
            </w:r>
          </w:p>
        </w:tc>
        <w:tc>
          <w:tcPr>
            <w:tcW w:w="8328" w:type="dxa"/>
            <w:shd w:val="clear" w:color="auto" w:fill="auto"/>
          </w:tcPr>
          <w:p>
            <w:pPr>
              <w:pStyle w:val="DGTextstand-alone"/>
              <w:spacing w:before="0"/>
            </w:pPr>
            <w:r>
              <w:t>Механизъм за финансиране с поделяне на риска</w:t>
            </w:r>
          </w:p>
        </w:tc>
      </w:tr>
      <w:tr>
        <w:tc>
          <w:tcPr>
            <w:tcW w:w="1526" w:type="dxa"/>
            <w:shd w:val="clear" w:color="auto" w:fill="auto"/>
          </w:tcPr>
          <w:p>
            <w:pPr>
              <w:pStyle w:val="DGTextstand-alone"/>
              <w:spacing w:before="0"/>
            </w:pPr>
            <w:r>
              <w:rPr>
                <w:color w:val="016794"/>
              </w:rPr>
              <w:t>НИТРД</w:t>
            </w:r>
            <w:r>
              <w:t xml:space="preserve"> </w:t>
            </w:r>
          </w:p>
        </w:tc>
        <w:tc>
          <w:tcPr>
            <w:tcW w:w="8328" w:type="dxa"/>
            <w:shd w:val="clear" w:color="auto" w:fill="auto"/>
          </w:tcPr>
          <w:p>
            <w:pPr>
              <w:pStyle w:val="DGTextstand-alone"/>
              <w:spacing w:before="0"/>
            </w:pPr>
            <w:r>
              <w:t>Научни изследвания, технологично развитие и демонстрации</w:t>
            </w:r>
          </w:p>
        </w:tc>
      </w:tr>
      <w:tr>
        <w:tc>
          <w:tcPr>
            <w:tcW w:w="1526" w:type="dxa"/>
            <w:shd w:val="clear" w:color="auto" w:fill="auto"/>
          </w:tcPr>
          <w:p>
            <w:pPr>
              <w:pStyle w:val="DGTextstand-alone"/>
              <w:spacing w:before="0"/>
            </w:pPr>
            <w:r>
              <w:rPr>
                <w:color w:val="016794"/>
              </w:rPr>
              <w:t>S&amp;P</w:t>
            </w:r>
            <w:r>
              <w:t xml:space="preserve"> </w:t>
            </w:r>
          </w:p>
        </w:tc>
        <w:tc>
          <w:tcPr>
            <w:tcW w:w="8328" w:type="dxa"/>
            <w:shd w:val="clear" w:color="auto" w:fill="auto"/>
          </w:tcPr>
          <w:p>
            <w:pPr>
              <w:pStyle w:val="DGTextstand-alone"/>
              <w:spacing w:before="0"/>
            </w:pPr>
            <w:r>
              <w:t>Standard &amp; Poor's Financial Services LLC</w:t>
            </w:r>
          </w:p>
        </w:tc>
      </w:tr>
      <w:tr>
        <w:tc>
          <w:tcPr>
            <w:tcW w:w="1526" w:type="dxa"/>
            <w:shd w:val="clear" w:color="auto" w:fill="auto"/>
          </w:tcPr>
          <w:p>
            <w:pPr>
              <w:pStyle w:val="DGTextstand-alone"/>
              <w:spacing w:before="0"/>
            </w:pPr>
            <w:r>
              <w:rPr>
                <w:color w:val="016794"/>
              </w:rPr>
              <w:t>SANAD</w:t>
            </w:r>
            <w:r>
              <w:t xml:space="preserve"> </w:t>
            </w:r>
          </w:p>
        </w:tc>
        <w:tc>
          <w:tcPr>
            <w:tcW w:w="8328" w:type="dxa"/>
            <w:shd w:val="clear" w:color="auto" w:fill="auto"/>
          </w:tcPr>
          <w:p>
            <w:pPr>
              <w:pStyle w:val="DGTextstand-alone"/>
              <w:spacing w:before="0"/>
            </w:pPr>
            <w:r>
              <w:t>Фонд за БИСА за микро-, малките и средните предприятия</w:t>
            </w:r>
          </w:p>
        </w:tc>
      </w:tr>
      <w:tr>
        <w:tc>
          <w:tcPr>
            <w:tcW w:w="1526" w:type="dxa"/>
            <w:shd w:val="clear" w:color="auto" w:fill="auto"/>
          </w:tcPr>
          <w:p>
            <w:pPr>
              <w:pStyle w:val="DGTextstand-alone"/>
              <w:spacing w:before="0"/>
              <w:rPr>
                <w:iCs/>
              </w:rPr>
            </w:pPr>
            <w:r>
              <w:rPr>
                <w:color w:val="016794"/>
              </w:rPr>
              <w:t>САПАРД</w:t>
            </w:r>
            <w:r>
              <w:t xml:space="preserve"> </w:t>
            </w:r>
          </w:p>
        </w:tc>
        <w:tc>
          <w:tcPr>
            <w:tcW w:w="8328" w:type="dxa"/>
            <w:shd w:val="clear" w:color="auto" w:fill="auto"/>
          </w:tcPr>
          <w:p>
            <w:pPr>
              <w:pStyle w:val="DGTextstand-alone"/>
              <w:spacing w:before="0"/>
            </w:pPr>
            <w:r>
              <w:t xml:space="preserve">Специална предприсъединителна програма за развитие на земеделието и селските райони </w:t>
            </w:r>
          </w:p>
        </w:tc>
      </w:tr>
      <w:tr>
        <w:tc>
          <w:tcPr>
            <w:tcW w:w="1526" w:type="dxa"/>
            <w:shd w:val="clear" w:color="auto" w:fill="auto"/>
          </w:tcPr>
          <w:p>
            <w:pPr>
              <w:pStyle w:val="DGTextstand-alone"/>
              <w:spacing w:before="0"/>
            </w:pPr>
            <w:r>
              <w:rPr>
                <w:color w:val="016794"/>
              </w:rPr>
              <w:t>SEMED</w:t>
            </w:r>
            <w:r>
              <w:t xml:space="preserve"> </w:t>
            </w:r>
          </w:p>
        </w:tc>
        <w:tc>
          <w:tcPr>
            <w:tcW w:w="8328" w:type="dxa"/>
            <w:shd w:val="clear" w:color="auto" w:fill="auto"/>
          </w:tcPr>
          <w:p>
            <w:pPr>
              <w:pStyle w:val="DGTextstand-alone"/>
              <w:spacing w:before="0"/>
            </w:pPr>
            <w:r>
              <w:t>Програма за финансово приобщаване на микро-, малките и средните предприятия в Южното и Източното Средиземноморие</w:t>
            </w:r>
          </w:p>
        </w:tc>
      </w:tr>
      <w:tr>
        <w:tc>
          <w:tcPr>
            <w:tcW w:w="1526" w:type="dxa"/>
            <w:shd w:val="clear" w:color="auto" w:fill="auto"/>
          </w:tcPr>
          <w:p>
            <w:pPr>
              <w:pStyle w:val="DGTextstand-alone"/>
              <w:spacing w:before="0"/>
              <w:rPr>
                <w:iCs/>
              </w:rPr>
            </w:pPr>
            <w:r>
              <w:rPr>
                <w:color w:val="016794"/>
              </w:rPr>
              <w:t>SIUGI</w:t>
            </w:r>
            <w:r>
              <w:t xml:space="preserve"> </w:t>
            </w:r>
          </w:p>
        </w:tc>
        <w:tc>
          <w:tcPr>
            <w:tcW w:w="8328" w:type="dxa"/>
            <w:shd w:val="clear" w:color="auto" w:fill="auto"/>
          </w:tcPr>
          <w:p>
            <w:pPr>
              <w:pStyle w:val="DGTextstand-alone"/>
              <w:spacing w:before="0"/>
              <w:rPr>
                <w:iCs/>
              </w:rPr>
            </w:pPr>
            <w:r>
              <w:t>Инструмент за неограничена гаранция в рамките на инициативата за МСП</w:t>
            </w:r>
          </w:p>
        </w:tc>
      </w:tr>
      <w:tr>
        <w:tc>
          <w:tcPr>
            <w:tcW w:w="1526" w:type="dxa"/>
            <w:shd w:val="clear" w:color="auto" w:fill="auto"/>
          </w:tcPr>
          <w:p>
            <w:pPr>
              <w:pStyle w:val="DGTextstand-alone"/>
              <w:spacing w:before="0"/>
            </w:pPr>
            <w:r>
              <w:rPr>
                <w:color w:val="016794"/>
              </w:rPr>
              <w:t>МСП</w:t>
            </w:r>
          </w:p>
        </w:tc>
        <w:tc>
          <w:tcPr>
            <w:tcW w:w="8328" w:type="dxa"/>
            <w:shd w:val="clear" w:color="auto" w:fill="auto"/>
          </w:tcPr>
          <w:p>
            <w:pPr>
              <w:pStyle w:val="DGTextstand-alone"/>
              <w:spacing w:before="0"/>
            </w:pPr>
            <w:r>
              <w:rPr>
                <w:rStyle w:val="st1"/>
              </w:rPr>
              <w:t>Малки и средни предприятия</w:t>
            </w:r>
          </w:p>
        </w:tc>
      </w:tr>
      <w:tr>
        <w:tc>
          <w:tcPr>
            <w:tcW w:w="1526" w:type="dxa"/>
            <w:shd w:val="clear" w:color="auto" w:fill="auto"/>
          </w:tcPr>
          <w:p>
            <w:pPr>
              <w:pStyle w:val="DGTextstand-alone"/>
              <w:spacing w:before="0"/>
            </w:pPr>
            <w:r>
              <w:rPr>
                <w:color w:val="016794"/>
              </w:rPr>
              <w:t>ПМСП</w:t>
            </w:r>
            <w:r>
              <w:t xml:space="preserve"> </w:t>
            </w:r>
          </w:p>
        </w:tc>
        <w:tc>
          <w:tcPr>
            <w:tcW w:w="8328" w:type="dxa"/>
            <w:shd w:val="clear" w:color="auto" w:fill="auto"/>
          </w:tcPr>
          <w:p>
            <w:pPr>
              <w:pStyle w:val="DGTextstand-alone"/>
              <w:spacing w:before="0"/>
            </w:pPr>
            <w:r>
              <w:t>Прозорец за МСП (прозорец за малките и средните предприятия)</w:t>
            </w:r>
          </w:p>
        </w:tc>
      </w:tr>
      <w:tr>
        <w:tc>
          <w:tcPr>
            <w:tcW w:w="1526" w:type="dxa"/>
            <w:shd w:val="clear" w:color="auto" w:fill="auto"/>
          </w:tcPr>
          <w:p>
            <w:pPr>
              <w:pStyle w:val="DGTextstand-alone"/>
              <w:spacing w:before="0"/>
              <w:rPr>
                <w:color w:val="016794"/>
              </w:rPr>
            </w:pPr>
            <w:r>
              <w:rPr>
                <w:color w:val="016794"/>
              </w:rPr>
              <w:t>SURE</w:t>
            </w:r>
          </w:p>
        </w:tc>
        <w:tc>
          <w:tcPr>
            <w:tcW w:w="8328" w:type="dxa"/>
            <w:shd w:val="clear" w:color="auto" w:fill="auto"/>
          </w:tcPr>
          <w:p>
            <w:pPr>
              <w:pStyle w:val="DGTextstand-alone"/>
              <w:spacing w:before="0"/>
            </w:pPr>
            <w:r>
              <w:t>Подкрепа с цел смекчаване на рисковете от безработица при извънредни обстоятелства</w:t>
            </w:r>
          </w:p>
        </w:tc>
      </w:tr>
      <w:tr>
        <w:tc>
          <w:tcPr>
            <w:tcW w:w="1526" w:type="dxa"/>
            <w:shd w:val="clear" w:color="auto" w:fill="auto"/>
          </w:tcPr>
          <w:p>
            <w:pPr>
              <w:pStyle w:val="DGTextstand-alone"/>
              <w:spacing w:before="0"/>
            </w:pPr>
            <w:r>
              <w:rPr>
                <w:color w:val="016794"/>
              </w:rPr>
              <w:t>ДФЕС</w:t>
            </w:r>
            <w:r>
              <w:t xml:space="preserve"> </w:t>
            </w:r>
          </w:p>
        </w:tc>
        <w:tc>
          <w:tcPr>
            <w:tcW w:w="8328" w:type="dxa"/>
            <w:shd w:val="clear" w:color="auto" w:fill="auto"/>
          </w:tcPr>
          <w:p>
            <w:pPr>
              <w:pStyle w:val="DGTextstand-alone"/>
              <w:spacing w:before="0"/>
            </w:pPr>
            <w:r>
              <w:t>Договор за функционирането на Европейския съюз</w:t>
            </w:r>
          </w:p>
        </w:tc>
      </w:tr>
      <w:tr>
        <w:tc>
          <w:tcPr>
            <w:tcW w:w="1526" w:type="dxa"/>
            <w:shd w:val="clear" w:color="auto" w:fill="auto"/>
          </w:tcPr>
          <w:p>
            <w:pPr>
              <w:pStyle w:val="DGTextstand-alone"/>
              <w:spacing w:before="0"/>
            </w:pPr>
            <w:r>
              <w:rPr>
                <w:color w:val="016794"/>
              </w:rPr>
              <w:t>ТСР</w:t>
            </w:r>
            <w:r>
              <w:t xml:space="preserve"> </w:t>
            </w:r>
          </w:p>
        </w:tc>
        <w:tc>
          <w:tcPr>
            <w:tcW w:w="8328" w:type="dxa"/>
            <w:shd w:val="clear" w:color="auto" w:fill="auto"/>
          </w:tcPr>
          <w:p>
            <w:pPr>
              <w:pStyle w:val="DGTextstand-alone"/>
              <w:spacing w:before="0"/>
            </w:pPr>
            <w:r>
              <w:t>Традиционни собствени ресурси</w:t>
            </w:r>
          </w:p>
        </w:tc>
      </w:tr>
      <w:tr>
        <w:tc>
          <w:tcPr>
            <w:tcW w:w="1526" w:type="dxa"/>
            <w:shd w:val="clear" w:color="auto" w:fill="auto"/>
          </w:tcPr>
          <w:p>
            <w:pPr>
              <w:pStyle w:val="DGTextstand-alone"/>
              <w:spacing w:before="0"/>
              <w:rPr>
                <w:iCs/>
              </w:rPr>
            </w:pPr>
            <w:r>
              <w:rPr>
                <w:color w:val="016794"/>
              </w:rPr>
              <w:t>ВИРСР</w:t>
            </w:r>
            <w:r>
              <w:t xml:space="preserve"> </w:t>
            </w:r>
          </w:p>
        </w:tc>
        <w:tc>
          <w:tcPr>
            <w:tcW w:w="8328" w:type="dxa"/>
            <w:shd w:val="clear" w:color="auto" w:fill="auto"/>
          </w:tcPr>
          <w:p>
            <w:pPr>
              <w:pStyle w:val="DGTextstand-alone"/>
              <w:spacing w:before="0"/>
              <w:rPr>
                <w:iCs/>
              </w:rPr>
            </w:pPr>
            <w:r>
              <w:t>Временен инструмент за развитие на селските райони</w:t>
            </w:r>
          </w:p>
        </w:tc>
      </w:tr>
      <w:tr>
        <w:tc>
          <w:tcPr>
            <w:tcW w:w="1526" w:type="dxa"/>
            <w:shd w:val="clear" w:color="auto" w:fill="auto"/>
          </w:tcPr>
          <w:p>
            <w:pPr>
              <w:pStyle w:val="DGTextstand-alone"/>
              <w:spacing w:before="0"/>
            </w:pPr>
            <w:r>
              <w:rPr>
                <w:color w:val="016794"/>
              </w:rPr>
              <w:t>ДДС</w:t>
            </w:r>
            <w:r>
              <w:t xml:space="preserve"> </w:t>
            </w:r>
          </w:p>
        </w:tc>
        <w:tc>
          <w:tcPr>
            <w:tcW w:w="8328" w:type="dxa"/>
            <w:shd w:val="clear" w:color="auto" w:fill="auto"/>
          </w:tcPr>
          <w:p>
            <w:pPr>
              <w:pStyle w:val="DGTextstand-alone"/>
              <w:spacing w:before="0"/>
            </w:pPr>
            <w:r>
              <w:t>Данък върху добавената стойност</w:t>
            </w:r>
          </w:p>
        </w:tc>
      </w:tr>
    </w:tbl>
    <w:p>
      <w:pPr>
        <w:pStyle w:val="DGTextstand-alone"/>
        <w:spacing w:after="0"/>
      </w:pPr>
      <w:r>
        <w:tab/>
        <w:t xml:space="preserve"> </w:t>
      </w:r>
      <w:bookmarkEnd w:id="294"/>
    </w:p>
    <w:p>
      <w:pPr>
        <w:pStyle w:val="DGTextstand-alone"/>
      </w:pPr>
    </w:p>
    <w:sectPr>
      <w:headerReference w:type="even" r:id="rId416"/>
      <w:headerReference w:type="default" r:id="rId417"/>
      <w:footerReference w:type="even" r:id="rId418"/>
      <w:footerReference w:type="default" r:id="rId419"/>
      <w:headerReference w:type="first" r:id="rId420"/>
      <w:footerReference w:type="first" r:id="rId421"/>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altName w:val="Tahoma"/>
    <w:panose1 w:val="020B0604030504040204"/>
    <w:charset w:val="00"/>
    <w:family w:val="swiss"/>
    <w:pitch w:val="variable"/>
    <w:sig w:usb0="A10006FF" w:usb1="4000205B" w:usb2="0000001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EC Square Sans Pro">
    <w:altName w:val="Bahnschrift Light"/>
    <w:panose1 w:val="020B0506040000020004"/>
    <w:charset w:val="00"/>
    <w:family w:val="swiss"/>
    <w:pitch w:val="variable"/>
    <w:sig w:usb0="A00002BF" w:usb1="5000E0FB" w:usb2="00000000" w:usb3="00000000" w:csb0="0000019F" w:csb1="00000000"/>
  </w:font>
  <w:font w:name="EC Square Sans Cond Pro">
    <w:altName w:val="Bahnschrift Light"/>
    <w:panose1 w:val="020B0506040000020004"/>
    <w:charset w:val="00"/>
    <w:family w:val="swiss"/>
    <w:pitch w:val="variable"/>
    <w:sig w:usb0="A00002BF" w:usb1="500000D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23" style="position:absolute;left:0;text-align:left;margin-left:225.1pt;margin-top:.35pt;width:31.75pt;height:62.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NWWQIAALg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zWzVl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105</w:t>
    </w:r>
    <w:r>
      <w:rPr>
        <w:rFonts w:ascii="Verdana" w:hAnsi="Verdana"/>
        <w:b/>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24" style="position:absolute;left:0;text-align:left;margin-left:225.1pt;margin-top:.35pt;width:31.75pt;height:62.65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oE9WQ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jsqBPV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106</w:t>
    </w:r>
    <w:r>
      <w:rPr>
        <w:rFonts w:ascii="Verdana" w:hAnsi="Verdana"/>
        <w:b/>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25" style="position:absolute;left:0;text-align:left;margin-left:225.1pt;margin-top:.35pt;width:31.75pt;height:62.6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EuLeT5aAgAAuQQAAA4AAAAAAAAAAAAAAAAALgIAAGRycy9lMm9Eb2MueG1s&#10;UEsBAi0AFAAGAAgAAAAhAGbzdyHeAAAACA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96</w:t>
    </w:r>
    <w:r>
      <w:rPr>
        <w:rFonts w:ascii="Verdana" w:hAnsi="Verdana"/>
        <w:b/>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02" style="position:absolute;left:0;text-align:left;margin-left:225.1pt;margin-top:.35pt;width:31.75pt;height:62.6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vFs9V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26" style="position:absolute;left:0;text-align:left;margin-left:225.1pt;margin-top:.35pt;width:31.75pt;height:62.65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GJBKBFaAgAAuQQAAA4AAAAAAAAAAAAAAAAALgIAAGRycy9lMm9Eb2MueG1s&#10;UEsBAi0AFAAGAAgAAAAhAGbzdyHeAAAACA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107</w:t>
    </w:r>
    <w:r>
      <w:rPr>
        <w:rFonts w:ascii="Verdana" w:hAnsi="Verdana"/>
        <w:b/>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27" style="position:absolute;left:0;text-align:left;margin-left:350.05pt;margin-top:6.5pt;width:31.75pt;height:62.6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7K4i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KeyuIlkCAAC5BAAADgAAAAAAAAAAAAAAAAAuAgAAZHJzL2Uyb0RvYy54bWxQ&#10;SwECLQAUAAYACAAAACEA5awaEt4AAAAK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109</w:t>
    </w:r>
    <w:r>
      <w:rPr>
        <w:rFonts w:ascii="Verdana" w:hAnsi="Verdana"/>
        <w:b/>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28" style="position:absolute;left:0;text-align:left;margin-left:225.1pt;margin-top:.35pt;width:31.75pt;height:62.65pt;z-index:-25161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KCAQM1aAgAAuQQAAA4AAAAAAAAAAAAAAAAALgIAAGRycy9lMm9Eb2MueG1s&#10;UEsBAi0AFAAGAAgAAAAhAGbzdyHeAAAACA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115</w:t>
    </w:r>
    <w:r>
      <w:rPr>
        <w:rFonts w:ascii="Verdana" w:hAnsi="Verdana"/>
        <w:b/>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29" style="position:absolute;left:0;text-align:left;margin-left:225.1pt;margin-top:.35pt;width:31.75pt;height:62.65p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Cb6GWAIAALc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iCb6GWAIAALcEAAAOAAAAAAAAAAAAAAAAAC4CAABkcnMvZTJvRG9jLnhtbFBL&#10;AQItABQABgAIAAAAIQBm83ch3gAAAAgBAAAPAAAAAAAAAAAAAAAAALIEAABkcnMvZG93bnJldi54&#10;bWxQSwUGAAAAAAQABADzAAAAvQU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120</w:t>
    </w:r>
    <w:r>
      <w:rPr>
        <w:rFonts w:ascii="Verdana" w:hAnsi="Verdana"/>
        <w:b/>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30" style="position:absolute;left:0;text-align:left;margin-left:225.1pt;margin-top:.35pt;width:31.75pt;height:62.6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H42WQIAALg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YER+Nl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134</w:t>
    </w:r>
    <w:r>
      <w:rPr>
        <w:rFonts w:ascii="Verdana" w:hAnsi="Verdana"/>
        <w:b/>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31" style="position:absolute;left:0;text-align:left;margin-left:225.1pt;margin-top:.35pt;width:31.75pt;height:62.6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y38z1F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137</w:t>
    </w:r>
    <w:r>
      <w:rPr>
        <w:rFonts w:ascii="Verdana" w:hAnsi="Verdana"/>
        <w:b/>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32" style="position:absolute;left:0;text-align:left;margin-left:225.1pt;margin-top:.35pt;width:31.75pt;height:62.65pt;z-index:-25161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MItok9aAgAAuQQAAA4AAAAAAAAAAAAAAAAALgIAAGRycy9lMm9Eb2MueG1s&#10;UEsBAi0AFAAGAAgAAAAhAGbzdyHeAAAACA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138</w:t>
    </w:r>
    <w:r>
      <w:rPr>
        <w:rFonts w:ascii="Verdana" w:hAnsi="Verdana"/>
        <w:b/>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33" style="position:absolute;left:0;text-align:left;margin-left:225.1pt;margin-top:.35pt;width:31.75pt;height:62.6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4ypWQIAALg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neMqV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141</w:t>
    </w:r>
    <w:r>
      <w:rPr>
        <w:rFonts w:ascii="Verdana" w:hAnsi="Verdana"/>
        <w:b/>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34" style="position:absolute;left:0;text-align:left;margin-left:225.1pt;margin-top:.35pt;width:31.75pt;height:62.6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qY7WQIAALk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3amO1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142</w:t>
    </w:r>
    <w:r>
      <w:rPr>
        <w:rFonts w:ascii="Verdana" w:hAnsi="Verdana"/>
        <w:b/>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35" style="position:absolute;left:0;text-align:left;margin-left:225.1pt;margin-top:.35pt;width:31.75pt;height:62.65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qXtJF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144</w:t>
    </w:r>
    <w:r>
      <w:rPr>
        <w:rFonts w:ascii="Verdana" w:hAnsi="Verdana"/>
        <w:b/>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01" style="position:absolute;left:0;text-align:left;margin-left:225.1pt;margin-top:.35pt;width:31.75pt;height:62.65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4gUgIAALA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6k74gUgIAALAEAAAOAAAAAAAAAAAAAAAAAC4CAABkcnMvZTJvRG9jLnhtbFBLAQItABQA&#10;BgAIAAAAIQBm83ch3gAAAAgBAAAPAAAAAAAAAAAAAAAAAKwEAABkcnMvZG93bnJldi54bWxQSwUG&#10;AAAAAAQABADzAAAAtwUAAAAA&#10;" fillcolor="#016794" strokecolor="#385d8a" strokeweight="2pt">
          <v:textbox inset=",1.3mm"/>
        </v:rect>
      </w:pict>
    </w:r>
  </w:p>
  <w:p>
    <w:pPr>
      <w:pStyle w:val="Footer"/>
      <w:jc w:val="center"/>
      <w:rPr>
        <w:rFonts w:ascii="Verdana" w:hAnsi="Verdana"/>
        <w:b/>
        <w:color w:val="FFFFFF"/>
        <w:sz w:val="18"/>
      </w:rPr>
    </w:pPr>
    <w:r>
      <w:rPr>
        <w:rFonts w:ascii="Verdana" w:hAnsi="Verdana"/>
        <w:b/>
        <w:bCs/>
        <w:color w:val="FFFFFF"/>
        <w:sz w:val="18"/>
        <w:szCs w:val="18"/>
      </w:rPr>
      <w:fldChar w:fldCharType="begin"/>
    </w:r>
    <w:r>
      <w:rPr>
        <w:rFonts w:ascii="Verdana" w:hAnsi="Verdana"/>
        <w:b/>
        <w:bCs/>
        <w:color w:val="FFFFFF"/>
        <w:sz w:val="18"/>
        <w:szCs w:val="18"/>
      </w:rPr>
      <w:instrText xml:space="preserve"> PAGE   \* MERGEFORMAT </w:instrText>
    </w:r>
    <w:r>
      <w:rPr>
        <w:rFonts w:ascii="Verdana" w:hAnsi="Verdana"/>
        <w:b/>
        <w:bCs/>
        <w:color w:val="FFFFFF"/>
        <w:sz w:val="18"/>
        <w:szCs w:val="18"/>
      </w:rPr>
      <w:fldChar w:fldCharType="separate"/>
    </w:r>
    <w:r>
      <w:rPr>
        <w:rFonts w:ascii="Verdana" w:hAnsi="Verdana"/>
        <w:b/>
        <w:bCs/>
        <w:color w:val="FFFFFF"/>
        <w:sz w:val="18"/>
        <w:szCs w:val="18"/>
      </w:rPr>
      <w:t>32</w:t>
    </w:r>
    <w:r>
      <w:rPr>
        <w:rFonts w:ascii="Verdana" w:hAnsi="Verdana"/>
        <w:b/>
        <w:bCs/>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36" style="position:absolute;left:0;text-align:left;margin-left:225.1pt;margin-top:.35pt;width:31.75pt;height:62.6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wpJV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145</w:t>
    </w:r>
    <w:r>
      <w:rPr>
        <w:rFonts w:ascii="Verdana" w:hAnsi="Verdana"/>
        <w:b/>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37" style="position:absolute;left:0;text-align:left;margin-left:225.1pt;margin-top:.35pt;width:31.75pt;height:62.65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KuFIPxXAgAAuQQAAA4AAAAAAAAAAAAAAAAALgIAAGRycy9lMm9Eb2MueG1sUEsB&#10;Ai0AFAAGAAgAAAAhAGbzdyHeAAAACAEAAA8AAAAAAAAAAAAAAAAAsQQAAGRycy9kb3ducmV2Lnht&#10;bFBLBQYAAAAABAAEAPMAAAC8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151</w:t>
    </w:r>
    <w:r>
      <w:rPr>
        <w:rFonts w:ascii="Verdana" w:hAnsi="Verdana"/>
        <w:b/>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38" style="position:absolute;left:0;text-align:left;margin-left:225.1pt;margin-top:.35pt;width:31.75pt;height:62.65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B2CIl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154</w:t>
    </w:r>
    <w:r>
      <w:rPr>
        <w:rFonts w:ascii="Verdana" w:hAnsi="Verdana"/>
        <w:b/>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39" style="position:absolute;left:0;text-align:left;margin-left:225.1pt;margin-top:.35pt;width:31.75pt;height:62.6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Qdmf1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155</w:t>
    </w:r>
    <w:r>
      <w:rPr>
        <w:rFonts w:ascii="Verdana" w:hAnsi="Verdana"/>
        <w:b/>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40" style="position:absolute;left:0;text-align:left;margin-left:225.1pt;margin-top:.35pt;width:31.75pt;height:62.65pt;z-index:-25160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uiNWQIAALk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b7ojV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158</w:t>
    </w:r>
    <w:r>
      <w:rPr>
        <w:rFonts w:ascii="Verdana" w:hAnsi="Verdana"/>
        <w:b/>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41" style="position:absolute;left:0;text-align:left;margin-left:350.05pt;margin-top:6.5pt;width:31.75pt;height:62.6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&#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KnOyDlkCAAC4BAAADgAAAAAAAAAAAAAAAAAuAgAAZHJzL2Uyb0RvYy54bWxQ&#10;SwECLQAUAAYACAAAACEA5awaEt4AAAAK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159</w:t>
    </w:r>
    <w:r>
      <w:rPr>
        <w:rFonts w:ascii="Verdana" w:hAnsi="Verdana"/>
        <w:b/>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42" style="position:absolute;left:0;text-align:left;margin-left:350.05pt;margin-top:6.5pt;width:31.75pt;height:62.6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tQ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CvlG1BaAgAAuQQAAA4AAAAAAAAAAAAAAAAALgIAAGRycy9lMm9Eb2MueG1s&#10;UEsBAi0AFAAGAAgAAAAhAOWsGhLeAAAACg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160</w:t>
    </w:r>
    <w:r>
      <w:rPr>
        <w:rFonts w:ascii="Verdana" w:hAnsi="Verdana"/>
        <w:b/>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46" style="position:absolute;left:0;text-align:left;margin-left:350.05pt;margin-top:6.5pt;width:31.75pt;height:62.65pt;z-index:-251599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tQ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CvlG1BaAgAAuQQAAA4AAAAAAAAAAAAAAAAALgIAAGRycy9lMm9Eb2MueG1s&#10;UEsBAi0AFAAGAAgAAAAhAOWsGhLeAAAACg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161</w:t>
    </w:r>
    <w:r>
      <w:rPr>
        <w:rFonts w:ascii="Verdana" w:hAnsi="Verdana"/>
        <w:b/>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47" style="position:absolute;left:0;text-align:left;margin-left:350.05pt;margin-top:6.5pt;width:31.75pt;height:62.65pt;z-index:-25159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tQ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CvlG1BaAgAAuQQAAA4AAAAAAAAAAAAAAAAALgIAAGRycy9lMm9Eb2MueG1s&#10;UEsBAi0AFAAGAAgAAAAhAOWsGhLeAAAACg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162</w:t>
    </w:r>
    <w:r>
      <w:rPr>
        <w:rFonts w:ascii="Verdana" w:hAnsi="Verdana"/>
        <w:b/>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48" style="position:absolute;left:0;text-align:left;margin-left:350.05pt;margin-top:6.5pt;width:31.75pt;height:62.65pt;z-index:-25159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tQ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CvlG1BaAgAAuQQAAA4AAAAAAAAAAAAAAAAALgIAAGRycy9lMm9Eb2MueG1s&#10;UEsBAi0AFAAGAAgAAAAhAOWsGhLeAAAACg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163</w:t>
    </w:r>
    <w:r>
      <w:rPr>
        <w:rFonts w:ascii="Verdana" w:hAnsi="Verdana"/>
        <w:b/>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Rectangle 1" o:spid="_x0000_s2100" style="position:absolute;left:0;text-align:left;margin-left:225.1pt;margin-top:.35pt;width:31.75pt;height:62.65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lpfsIWAIAALgEAAAOAAAAAAAAAAAAAAAAAC4CAABkcnMvZTJvRG9jLnhtbFBL&#10;AQItABQABgAIAAAAIQBm83ch3gAAAAgBAAAPAAAAAAAAAAAAAAAAALIEAABkcnMvZG93bnJldi54&#10;bWxQSwUGAAAAAAQABADzAAAAvQUAAAAA&#10;" fillcolor="#016794" strokecolor="#385d8a" strokeweight="2pt">
          <v:textbox inset=",1.3mm"/>
        </v:rect>
      </w:pict>
    </w:r>
  </w:p>
  <w:p>
    <w:pPr>
      <w:pStyle w:val="Footer"/>
      <w:jc w:val="center"/>
      <w:rPr>
        <w:rFonts w:ascii="Verdana" w:hAnsi="Verdana"/>
        <w:b/>
        <w:color w:val="FFFFFF"/>
        <w:sz w:val="18"/>
        <w:szCs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49" style="position:absolute;left:0;text-align:left;margin-left:350.05pt;margin-top:6.5pt;width:31.75pt;height:62.65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tQ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CvlG1BaAgAAuQQAAA4AAAAAAAAAAAAAAAAALgIAAGRycy9lMm9Eb2MueG1s&#10;UEsBAi0AFAAGAAgAAAAhAOWsGhLeAAAACg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165</w:t>
    </w:r>
    <w:r>
      <w:rPr>
        <w:rFonts w:ascii="Verdana" w:hAnsi="Verdana"/>
        <w:b/>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50" style="position:absolute;left:0;text-align:left;margin-left:350.05pt;margin-top:6.5pt;width:31.75pt;height:62.65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tQ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CvlG1BaAgAAuQQAAA4AAAAAAAAAAAAAAAAALgIAAGRycy9lMm9Eb2MueG1s&#10;UEsBAi0AFAAGAAgAAAAhAOWsGhLeAAAACg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171</w:t>
    </w:r>
    <w:r>
      <w:rPr>
        <w:rFonts w:ascii="Verdana" w:hAnsi="Verdana"/>
        <w:b/>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51" style="position:absolute;left:0;text-align:left;margin-left:350.05pt;margin-top:6.5pt;width:31.75pt;height:62.65pt;z-index:-25159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200</w:t>
    </w:r>
    <w:r>
      <w:rPr>
        <w:rFonts w:ascii="Verdana" w:hAnsi="Verdana"/>
        <w:b/>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43" style="position:absolute;left:0;text-align:left;margin-left:350.05pt;margin-top:6.5pt;width:31.75pt;height:62.65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201</w:t>
    </w:r>
    <w:r>
      <w:rPr>
        <w:rFonts w:ascii="Verdana" w:hAnsi="Verdana"/>
        <w:b/>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52" style="position:absolute;left:0;text-align:left;margin-left:350.05pt;margin-top:6.5pt;width:31.75pt;height:62.65pt;z-index:-25159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202</w:t>
    </w:r>
    <w:r>
      <w:rPr>
        <w:rFonts w:ascii="Verdana" w:hAnsi="Verdana"/>
        <w:b/>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53" style="position:absolute;left:0;text-align:left;margin-left:350.05pt;margin-top:6.5pt;width:31.75pt;height:62.65pt;z-index:-25159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203</w:t>
    </w:r>
    <w:r>
      <w:rPr>
        <w:rFonts w:ascii="Verdana" w:hAnsi="Verdana"/>
        <w:b/>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44" style="position:absolute;left:0;text-align:left;margin-left:225.1pt;margin-top:.35pt;width:31.75pt;height:62.65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5K3e/1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206</w:t>
    </w:r>
    <w:r>
      <w:rPr>
        <w:rFonts w:ascii="Verdana" w:hAnsi="Verdana"/>
        <w:b/>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Rectangle 3" o:spid="_x0000_s2049" style="position:absolute;left:0;text-align:left;margin-left:225.1pt;margin-top:.35pt;width:31.75pt;height:62.65pt;z-index:-25169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arWQIAALg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QiWq1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214</w:t>
    </w:r>
    <w:r>
      <w:rPr>
        <w:rFonts w:ascii="Verdana" w:hAnsi="Verdana"/>
        <w:b/>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54" style="position:absolute;left:0;text-align:left;margin-left:225.1pt;margin-top:.35pt;width:31.75pt;height:62.65pt;z-index:-25159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JarWQIAALg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QiWq1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214</w:t>
    </w:r>
    <w:r>
      <w:rPr>
        <w:rFonts w:ascii="Verdana" w:hAnsi="Verdana"/>
        <w:b/>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99" style="position:absolute;left:0;text-align:left;margin-left:225.1pt;margin-top:.35pt;width:31.75pt;height:62.65pt;z-index:-25168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jfxo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FON/GhaAgAAuQQAAA4AAAAAAAAAAAAAAAAALgIAAGRycy9lMm9Eb2MueG1s&#10;UEsBAi0AFAAGAAgAAAAhAGbzdyHeAAAACA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39</w:t>
    </w:r>
    <w:r>
      <w:rPr>
        <w:rFonts w:ascii="Verdana" w:hAnsi="Verdana"/>
        <w:b/>
        <w:color w:val="FFFFFF"/>
        <w:sz w:val="18"/>
        <w:szCs w:val="18"/>
      </w:rPr>
      <w:fldChar w:fldCharType="end"/>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98" style="position:absolute;left:0;text-align:left;margin-left:225.1pt;margin-top:.35pt;width:31.75pt;height:62.65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vqG6Xl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40</w:t>
    </w:r>
    <w:r>
      <w:rPr>
        <w:rFonts w:ascii="Verdana" w:hAnsi="Verdana"/>
        <w:b/>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97" style="position:absolute;left:0;text-align:left;margin-left:225.1pt;margin-top:.35pt;width:31.75pt;height:62.65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TwmYQV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41</w:t>
    </w:r>
    <w:r>
      <w:rPr>
        <w:rFonts w:ascii="Verdana" w:hAnsi="Verdana"/>
        <w:b/>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96" style="position:absolute;left:0;text-align:left;margin-left:225.1pt;margin-top:.35pt;width:31.75pt;height:62.65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AuWjxV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42</w:t>
    </w:r>
    <w:r>
      <w:rPr>
        <w:rFonts w:ascii="Verdana" w:hAnsi="Verdana"/>
        <w:b/>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95" style="position:absolute;left:0;text-align:left;margin-left:225.1pt;margin-top:.35pt;width:31.75pt;height:62.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RB33oF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43</w:t>
    </w:r>
    <w:r>
      <w:rPr>
        <w:rFonts w:ascii="Verdana" w:hAnsi="Verdana"/>
        <w:b/>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94" style="position:absolute;left:0;text-align:left;margin-left:225.1pt;margin-top:.35pt;width:31.75pt;height:62.65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A0WWQIAALg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GwNFl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93" style="position:absolute;left:0;text-align:left;margin-left:350.05pt;margin-top:6.5pt;width:31.75pt;height:62.6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8zWQIAALg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45</w:t>
    </w:r>
    <w:r>
      <w:rPr>
        <w:rFonts w:ascii="Verdana" w:hAnsi="Verdana"/>
        <w:b/>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92" style="position:absolute;left:0;text-align:left;margin-left:225.1pt;margin-top:.35pt;width:31.75pt;height:62.65pt;z-index:-25167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0rE2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WtKxNl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46</w:t>
    </w:r>
    <w:r>
      <w:rPr>
        <w:rFonts w:ascii="Verdana" w:hAnsi="Verdana"/>
        <w:b/>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91" style="position:absolute;left:0;text-align:left;margin-left:225.1pt;margin-top:.35pt;width:31.75pt;height:62.6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90pWQIAALg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TvdKV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90" style="position:absolute;left:0;text-align:left;margin-left:225.1pt;margin-top:.35pt;width:31.75pt;height:62.6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O9FWAIAALg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e7O9FWAIAALgEAAAOAAAAAAAAAAAAAAAAAC4CAABkcnMvZTJvRG9jLnhtbFBL&#10;AQItABQABgAIAAAAIQBm83ch3gAAAAgBAAAPAAAAAAAAAAAAAAAAALIEAABkcnMvZG93bnJldi54&#10;bWxQSwUGAAAAAAQABADzAAAAvQU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64</w:t>
    </w:r>
    <w:r>
      <w:rPr>
        <w:rFonts w:ascii="Verdana" w:hAnsi="Verdana"/>
        <w:b/>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89" style="position:absolute;left:0;text-align:left;margin-left:225.1pt;margin-top:.35pt;width:31.75pt;height:62.6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zHmt1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88" style="position:absolute;left:0;text-align:left;margin-left:225.1pt;margin-top:.35pt;width:31.75pt;height:62.6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YRtMaWAIAALkEAAAOAAAAAAAAAAAAAAAAAC4CAABkcnMvZTJvRG9jLnhtbFBL&#10;AQItABQABgAIAAAAIQBm83ch3gAAAAgBAAAPAAAAAAAAAAAAAAAAALIEAABkcnMvZG93bnJldi54&#10;bWxQSwUGAAAAAAQABADzAAAAvQU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87" style="position:absolute;left:0;text-align:left;margin-left:0;margin-top:6.5pt;width:31.75pt;height:62.65pt;z-index:-251674112;visibility:visible;mso-wrap-style:square;mso-width-percent:0;mso-height-percent:0;mso-wrap-distance-left:9pt;mso-wrap-distance-top:0;mso-wrap-distance-right:9pt;mso-wrap-distance-bottom:0;mso-position-horizontal:center;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86" style="position:absolute;left:0;text-align:left;margin-left:225.1pt;margin-top:.35pt;width:31.75pt;height:62.65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Z1yWQ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b8Gdcl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66</w:t>
    </w:r>
    <w:r>
      <w:rPr>
        <w:rFonts w:ascii="Verdana" w:hAnsi="Verdana"/>
        <w:b/>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85" style="position:absolute;left:0;text-align:left;margin-left:225.1pt;margin-top:.35pt;width:31.75pt;height:62.6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Ej/b+F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084" style="position:absolute;left:0;text-align:left;margin-left:225.1pt;margin-top:.35pt;width:31.75pt;height:62.65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hBhxFl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76</w:t>
    </w:r>
    <w:r>
      <w:rPr>
        <w:rFonts w:ascii="Verdana" w:hAnsi="Verdana"/>
        <w:b/>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12" style="position:absolute;left:0;text-align:left;margin-left:225.1pt;margin-top:.35pt;width:31.75pt;height:62.65pt;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HlyreF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84</w:t>
    </w:r>
    <w:r>
      <w:rPr>
        <w:rFonts w:ascii="Verdana" w:hAnsi="Verdana"/>
        <w:b/>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13" style="position:absolute;left:0;text-align:left;margin-left:225.1pt;margin-top:.35pt;width:31.75pt;height:62.65p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zlI1V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85</w:t>
    </w:r>
    <w:r>
      <w:rPr>
        <w:rFonts w:ascii="Verdana" w:hAnsi="Verdana"/>
        <w:b/>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14" style="position:absolute;left:0;text-align:left;margin-left:225.1pt;margin-top:.35pt;width:31.75pt;height:62.65pt;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gEOnrWAIAALgEAAAOAAAAAAAAAAAAAAAAAC4CAABkcnMvZTJvRG9jLnhtbFBL&#10;AQItABQABgAIAAAAIQBm83ch3gAAAAgBAAAPAAAAAAAAAAAAAAAAALIEAABkcnMvZG93bnJldi54&#10;bWxQSwUGAAAAAAQABADzAAAAvQU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86</w:t>
    </w:r>
    <w:r>
      <w:rPr>
        <w:rFonts w:ascii="Verdana" w:hAnsi="Verdana"/>
        <w:b/>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15" style="position:absolute;left:0;text-align:left;margin-left:225.1pt;margin-top:.35pt;width:31.75pt;height:62.65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IC8vedaAgAAuQQAAA4AAAAAAAAAAAAAAAAALgIAAGRycy9lMm9Eb2MueG1s&#10;UEsBAi0AFAAGAAgAAAAhAGbzdyHeAAAACA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87</w:t>
    </w:r>
    <w:r>
      <w:rPr>
        <w:rFonts w:ascii="Verdana" w:hAnsi="Verdana"/>
        <w:b/>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03" style="position:absolute;left:0;text-align:left;margin-left:225.1pt;margin-top:.35pt;width:31.75pt;height:62.65pt;z-index:-251689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color w:val="FFFFFF"/>
        <w:sz w:val="18"/>
        <w:szCs w:val="18"/>
      </w:rPr>
      <w:fldChar w:fldCharType="end"/>
    </w: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16" style="position:absolute;left:0;text-align:left;margin-left:225.1pt;margin-top:.35pt;width:31.75pt;height:62.65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jfn7F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91</w:t>
    </w:r>
    <w:r>
      <w:rPr>
        <w:rFonts w:ascii="Verdana" w:hAnsi="Verdana"/>
        <w:b/>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17" style="position:absolute;left:0;text-align:left;margin-left:225.1pt;margin-top:.35pt;width:31.75pt;height:62.65pt;z-index:-251629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93</w:t>
    </w:r>
    <w:r>
      <w:rPr>
        <w:rFonts w:ascii="Verdana" w:hAnsi="Verdana"/>
        <w:b/>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18" style="position:absolute;left:0;text-align:left;margin-left:225.1pt;margin-top:.35pt;width:31.75pt;height:62.65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6QutlkCAAC5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96</w:t>
    </w:r>
    <w:r>
      <w:rPr>
        <w:rFonts w:ascii="Verdana" w:hAnsi="Verdana"/>
        <w:b/>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19" style="position:absolute;left:0;text-align:left;margin-left:225.1pt;margin-top:.35pt;width:31.75pt;height:62.6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i0y1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GSLTLVaAgAAuQQAAA4AAAAAAAAAAAAAAAAALgIAAGRycy9lMm9Eb2MueG1s&#10;UEsBAi0AFAAGAAgAAAAhAGbzdyHeAAAACA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98</w:t>
    </w:r>
    <w:r>
      <w:rPr>
        <w:rFonts w:ascii="Verdana" w:hAnsi="Verdana"/>
        <w:b/>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20" style="position:absolute;left:0;text-align:left;margin-left:225.1pt;margin-top:.35pt;width:31.75pt;height:62.6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bYJaFkCAAC4BAAADgAAAAAAAAAAAAAAAAAuAgAAZHJzL2Uyb0RvYy54bWxQ&#10;SwECLQAUAAYACAAAACEAZvN3Id4AAAAIAQAADwAAAAAAAAAAAAAAAACzBAAAZHJzL2Rvd25yZXYu&#10;eG1sUEsFBgAAAAAEAAQA8wAAAL4FA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100</w:t>
    </w:r>
    <w:r>
      <w:rPr>
        <w:rFonts w:ascii="Verdana" w:hAnsi="Verdana"/>
        <w:b/>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21" style="position:absolute;left:0;text-align:left;margin-left:225.1pt;margin-top:.35pt;width:31.75pt;height:62.65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BIF+i1aAgAAuQQAAA4AAAAAAAAAAAAAAAAALgIAAGRycy9lMm9Eb2MueG1s&#10;UEsBAi0AFAAGAAgAAAAhAGbzdyHeAAAACAEAAA8AAAAAAAAAAAAAAAAAtAQAAGRycy9kb3ducmV2&#10;LnhtbFBLBQYAAAAABAAEAPMAAAC/BQ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101</w:t>
    </w:r>
    <w:r>
      <w:rPr>
        <w:rFonts w:ascii="Verdana" w:hAnsi="Verdana"/>
        <w:b/>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pict>
        <v:rect id="_x0000_s2122" style="position:absolute;left:0;text-align:left;margin-left:225.1pt;margin-top:.35pt;width:31.75pt;height:62.65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DsxSPwWAIAALgEAAAOAAAAAAAAAAAAAAAAAC4CAABkcnMvZTJvRG9jLnhtbFBL&#10;AQItABQABgAIAAAAIQBm83ch3gAAAAgBAAAPAAAAAAAAAAAAAAAAALIEAABkcnMvZG93bnJldi54&#10;bWxQSwUGAAAAAAQABADzAAAAvQUAAAAA&#10;" fillcolor="#016794" strokecolor="#385d8a" strokeweight="2pt">
          <v:textbox inset=",1.3mm"/>
        </v:rect>
      </w:pic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104</w:t>
    </w:r>
    <w:r>
      <w:rPr>
        <w:rFonts w:ascii="Verdana" w:hAnsi="Verdana"/>
        <w:b/>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spacing w:after="120"/>
      </w:pPr>
      <w:r>
        <w:rPr>
          <w:rStyle w:val="FootnoteReference"/>
          <w:szCs w:val="16"/>
        </w:rPr>
        <w:footnoteRef/>
      </w:r>
      <w:r>
        <w:t xml:space="preserve"> </w:t>
      </w:r>
      <w:r>
        <w:tab/>
        <w:t xml:space="preserve">За пълен и актуализиран преглед на предприетите действия, моля, посетете уеб страницата за мерките на ЕС в отговор на коронавируса на адрес </w:t>
      </w:r>
      <w:hyperlink r:id="rId1" w:history="1">
        <w:r>
          <w:rPr>
            <w:color w:val="0000FF"/>
            <w:szCs w:val="16"/>
          </w:rPr>
          <w:t>https://ec.europa.eu/info/live-work-travel-eu/coronavirus-response/timeline-eu-action_en</w:t>
        </w:r>
      </w:hyperlink>
      <w:r>
        <w:rPr>
          <w:color w:val="0000FF"/>
          <w:szCs w:val="16"/>
        </w:rPr>
        <w:t>.</w:t>
      </w:r>
    </w:p>
  </w:footnote>
  <w:footnote w:id="2">
    <w:p>
      <w:pPr>
        <w:pStyle w:val="FootnoteText"/>
        <w:jc w:val="both"/>
      </w:pPr>
      <w:r>
        <w:rPr>
          <w:rStyle w:val="FootnoteReference"/>
        </w:rPr>
        <w:footnoteRef/>
      </w:r>
      <w:r>
        <w:tab/>
        <w:t>Изменен с Регламент (EС) 2020/521 на Съвета от 14 април 2020 г. за активиране на спешната подкрепа по Регламент (ЕС) 2016/369 и за изменение на разпоредбите на посочения регламент предвид избухването на COVID-19 (ОВ L 117, 15.4.2020 г., стр. 3).</w:t>
      </w:r>
    </w:p>
  </w:footnote>
  <w:footnote w:id="3">
    <w:p>
      <w:pPr>
        <w:pStyle w:val="FootnoteText"/>
        <w:spacing w:after="120"/>
      </w:pPr>
      <w:r>
        <w:rPr>
          <w:rStyle w:val="FootnoteReference"/>
        </w:rPr>
        <w:footnoteRef/>
      </w:r>
      <w:r>
        <w:tab/>
        <w:t>Вж. коригиращ бюджет № 1/2020 (приет на 17.4.2020 г.) и коригиращ бюджет № 6/2020 (приет на 17.9.2020 г.).</w:t>
      </w:r>
    </w:p>
  </w:footnote>
  <w:footnote w:id="4">
    <w:p>
      <w:pPr>
        <w:pStyle w:val="FootnoteText"/>
        <w:spacing w:after="120"/>
      </w:pPr>
      <w:r>
        <w:rPr>
          <w:rStyle w:val="FootnoteReference"/>
        </w:rPr>
        <w:footnoteRef/>
      </w:r>
      <w:r>
        <w:tab/>
        <w:t xml:space="preserve">Вж. </w:t>
      </w:r>
      <w:hyperlink r:id="rId2" w:history="1">
        <w:r>
          <w:rPr>
            <w:rStyle w:val="Hyperlink"/>
          </w:rPr>
          <w:t>https://ec.europa.eu/info/research-and-innovation/research-area/health-research-and-innovation/coronavirus-research-and-innovation/financing-innovation_en</w:t>
        </w:r>
      </w:hyperlink>
      <w:r>
        <w:t>.</w:t>
      </w:r>
    </w:p>
  </w:footnote>
  <w:footnote w:id="5">
    <w:p>
      <w:pPr>
        <w:pStyle w:val="FootnoteText"/>
        <w:spacing w:after="120"/>
      </w:pPr>
      <w:r>
        <w:rPr>
          <w:rStyle w:val="FootnoteReference"/>
        </w:rPr>
        <w:footnoteRef/>
      </w:r>
      <w:r>
        <w:t xml:space="preserve"> </w:t>
      </w:r>
      <w:r>
        <w:tab/>
        <w:t>Отделните стойности — по текущи цени и по цени от 2018 г. — представляват една и съща сума в номинално и в реално изражение. Разликата произтича от годишната корекция с цел да се вземе предвид инфлацията.</w:t>
      </w:r>
    </w:p>
  </w:footnote>
  <w:footnote w:id="6">
    <w:p>
      <w:pPr>
        <w:pStyle w:val="FootnoteText"/>
        <w:spacing w:after="120"/>
      </w:pPr>
      <w:r>
        <w:rPr>
          <w:rStyle w:val="FootnoteReference"/>
        </w:rPr>
        <w:footnoteRef/>
      </w:r>
      <w:r>
        <w:t xml:space="preserve"> </w:t>
      </w:r>
      <w:r>
        <w:tab/>
        <w:t>ОВ L 29, 31.1.2020 г., стр. 7—187.</w:t>
      </w:r>
    </w:p>
  </w:footnote>
  <w:footnote w:id="7">
    <w:p>
      <w:pPr>
        <w:pStyle w:val="FootnoteText"/>
        <w:spacing w:after="120"/>
      </w:pPr>
      <w:r>
        <w:rPr>
          <w:rStyle w:val="FootnoteReference"/>
        </w:rPr>
        <w:footnoteRef/>
      </w:r>
      <w:r>
        <w:tab/>
        <w:t>Член 212 от Финансовия регламент (ЕС, Евратом) 2018/1046 на Европейския парламент и на Съвета от 18 юли 2018 г.</w:t>
      </w:r>
    </w:p>
  </w:footnote>
  <w:footnote w:id="8">
    <w:p>
      <w:pPr>
        <w:pStyle w:val="FootnoteText"/>
        <w:spacing w:after="120"/>
        <w:jc w:val="both"/>
      </w:pPr>
      <w:r>
        <w:rPr>
          <w:rStyle w:val="FootnoteReference"/>
          <w:szCs w:val="16"/>
        </w:rPr>
        <w:footnoteRef/>
      </w:r>
      <w:r>
        <w:tab/>
        <w:t>Според принципа на субсидиарност Съюзът може да действа само ако и доколкото целите на дадено предложено действие не могат да бъдат постигнати в достатъчна степен от държавите членки, но могат, поради своя мащаб или последици, да бъдат постигнати по-добре на равнището на Съюза. Според принципа на пропорционалност съдържанието и формата на действията на Съюза не надхвърлят необходимото за постигане на целите на Договорите (вж. член 5 от ДЕС).</w:t>
      </w:r>
    </w:p>
  </w:footnote>
  <w:footnote w:id="9">
    <w:p>
      <w:pPr>
        <w:pStyle w:val="Footnote"/>
        <w:spacing w:after="120"/>
      </w:pPr>
      <w:r>
        <w:rPr>
          <w:rStyle w:val="FootnoteReference"/>
          <w:sz w:val="18"/>
          <w:szCs w:val="18"/>
        </w:rPr>
        <w:footnoteRef/>
      </w:r>
      <w:r>
        <w:t xml:space="preserve"> </w:t>
      </w:r>
      <w:r>
        <w:tab/>
        <w:t>Регламент (ЕС, Евратом) 2018/1046 на Европейския парламент и на Съвета от 18 юли 2018 г. за финансовите правила, приложими за общия бюджет на Съюза, и за отмяна на Регламент (ЕС, Евратом) № 966/2012 (ОВ L 193, 30.7.2018 г., стр. 1).</w:t>
      </w:r>
    </w:p>
  </w:footnote>
  <w:footnote w:id="10">
    <w:p>
      <w:pPr>
        <w:pStyle w:val="FootnoteText"/>
      </w:pPr>
      <w:r>
        <w:rPr>
          <w:rStyle w:val="FootnoteReference"/>
          <w:szCs w:val="16"/>
        </w:rPr>
        <w:footnoteRef/>
      </w:r>
      <w:r>
        <w:t xml:space="preserve"> </w:t>
      </w:r>
      <w:r>
        <w:tab/>
        <w:t>Вж. член 317 от ДФЕС.</w:t>
      </w:r>
    </w:p>
  </w:footnote>
  <w:footnote w:id="11">
    <w:p>
      <w:pPr>
        <w:pStyle w:val="FootnoteText"/>
      </w:pPr>
      <w:r>
        <w:rPr>
          <w:rStyle w:val="FootnoteReference"/>
          <w:szCs w:val="16"/>
        </w:rPr>
        <w:footnoteRef/>
      </w:r>
      <w:r>
        <w:tab/>
        <w:t>По тази причина терминът „Европейска комисия“ се използва за обозначаване както на институцията — колегиума, съставляван от членовете на Комисията — така и на нейната администрация, управлявана от генералните директори на отделите ѝ (и ръководителите на други административни структури, като например служби и изпълнителни агенции).</w:t>
      </w:r>
    </w:p>
  </w:footnote>
  <w:footnote w:id="12">
    <w:p>
      <w:pPr>
        <w:pStyle w:val="FootnoteText"/>
        <w:spacing w:after="120"/>
      </w:pPr>
      <w:r>
        <w:rPr>
          <w:rStyle w:val="FootnoteReference"/>
          <w:szCs w:val="16"/>
        </w:rPr>
        <w:footnoteRef/>
      </w:r>
      <w:r>
        <w:tab/>
        <w:t>От средата на 2019 г. (във връзка с преразгледания член 12 от Вътрешните правила) управлението на Европейския фонд за развитие (ЕФР) е съвместно делегирано между пет отдела (ГД „Международни партньорства“ (ГД „Международно сътрудничество и развитие“), ГД „Европейска гражданска защита и европейски операции за хуманитарна помощ“, ГД „Образование, младеж, спорт и култура“, Европейската изпълнителна агенция за образование и култура и Съвместния изследователски център).</w:t>
      </w:r>
    </w:p>
  </w:footnote>
  <w:footnote w:id="13">
    <w:p>
      <w:pPr>
        <w:pStyle w:val="Text6pNormalLeft"/>
        <w:tabs>
          <w:tab w:val="left" w:pos="284"/>
        </w:tabs>
        <w:spacing w:after="120"/>
        <w:ind w:left="284" w:hanging="284"/>
        <w:jc w:val="both"/>
        <w:rPr>
          <w:sz w:val="16"/>
          <w:szCs w:val="16"/>
        </w:rPr>
      </w:pPr>
      <w:r>
        <w:rPr>
          <w:rStyle w:val="FootnoteReference"/>
          <w:szCs w:val="16"/>
        </w:rPr>
        <w:footnoteRef/>
      </w:r>
      <w:r>
        <w:tab/>
      </w:r>
      <w:r>
        <w:rPr>
          <w:sz w:val="16"/>
          <w:szCs w:val="16"/>
        </w:rPr>
        <w:t>ПСЕДЛ е теоретичен (виртуален) фонд с дефинирани доходи, в който вноските на служителите служат за финансиране на бъдещите им пенсии. Въпреки че реално инвестиционен фонд не съществува, счита се, че сумата, която щеше да бъде събрана от такъв фонд, е инвестирана в дългосрочни облигации на държавите членки и е отразена в пенсионните задължения, записани в годишните отчети на Европейския съюз. Държавите членки гарантират съвместно изплащането на доходите съгласно член 83 от Правилника за длъжностните лица и член 4, параграф 3 от Договора за Европейския съюз (вж. COM(2018) 829 за подробно описание на схемата).</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Annual accounts of the European Union 2020</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2020 г.</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2020 г.</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7B54ADE4">
      <w:start w:val="1"/>
      <w:numFmt w:val="lowerLetter"/>
      <w:pStyle w:val="Textstand-alonenumberingLetters"/>
      <w:lvlText w:val="%1)"/>
      <w:lvlJc w:val="left"/>
      <w:pPr>
        <w:ind w:left="720" w:hanging="360"/>
      </w:pPr>
      <w:rPr>
        <w:rFonts w:hint="default"/>
      </w:rPr>
    </w:lvl>
    <w:lvl w:ilvl="1" w:tplc="8BB89DB6" w:tentative="1">
      <w:start w:val="1"/>
      <w:numFmt w:val="lowerLetter"/>
      <w:lvlText w:val="%2."/>
      <w:lvlJc w:val="left"/>
      <w:pPr>
        <w:ind w:left="1440" w:hanging="360"/>
      </w:pPr>
    </w:lvl>
    <w:lvl w:ilvl="2" w:tplc="F766CF30" w:tentative="1">
      <w:start w:val="1"/>
      <w:numFmt w:val="lowerRoman"/>
      <w:lvlText w:val="%3."/>
      <w:lvlJc w:val="right"/>
      <w:pPr>
        <w:ind w:left="2160" w:hanging="180"/>
      </w:pPr>
    </w:lvl>
    <w:lvl w:ilvl="3" w:tplc="DAE07C3C" w:tentative="1">
      <w:start w:val="1"/>
      <w:numFmt w:val="decimal"/>
      <w:lvlText w:val="%4."/>
      <w:lvlJc w:val="left"/>
      <w:pPr>
        <w:ind w:left="2880" w:hanging="360"/>
      </w:pPr>
    </w:lvl>
    <w:lvl w:ilvl="4" w:tplc="6DEC6408" w:tentative="1">
      <w:start w:val="1"/>
      <w:numFmt w:val="lowerLetter"/>
      <w:lvlText w:val="%5."/>
      <w:lvlJc w:val="left"/>
      <w:pPr>
        <w:ind w:left="3600" w:hanging="360"/>
      </w:pPr>
    </w:lvl>
    <w:lvl w:ilvl="5" w:tplc="E5E05196" w:tentative="1">
      <w:start w:val="1"/>
      <w:numFmt w:val="lowerRoman"/>
      <w:lvlText w:val="%6."/>
      <w:lvlJc w:val="right"/>
      <w:pPr>
        <w:ind w:left="4320" w:hanging="180"/>
      </w:pPr>
    </w:lvl>
    <w:lvl w:ilvl="6" w:tplc="5182740C" w:tentative="1">
      <w:start w:val="1"/>
      <w:numFmt w:val="decimal"/>
      <w:lvlText w:val="%7."/>
      <w:lvlJc w:val="left"/>
      <w:pPr>
        <w:ind w:left="5040" w:hanging="360"/>
      </w:pPr>
    </w:lvl>
    <w:lvl w:ilvl="7" w:tplc="6F02FB0C" w:tentative="1">
      <w:start w:val="1"/>
      <w:numFmt w:val="lowerLetter"/>
      <w:lvlText w:val="%8."/>
      <w:lvlJc w:val="left"/>
      <w:pPr>
        <w:ind w:left="5760" w:hanging="360"/>
      </w:pPr>
    </w:lvl>
    <w:lvl w:ilvl="8" w:tplc="9F645EC6" w:tentative="1">
      <w:start w:val="1"/>
      <w:numFmt w:val="lowerRoman"/>
      <w:lvlText w:val="%9."/>
      <w:lvlJc w:val="right"/>
      <w:pPr>
        <w:ind w:left="6480" w:hanging="180"/>
      </w:pPr>
    </w:lvl>
  </w:abstractNum>
  <w:abstractNum w:abstractNumId="2">
    <w:nsid w:val="00000004"/>
    <w:multiLevelType w:val="hybridMultilevel"/>
    <w:tmpl w:val="7CB6E1C4"/>
    <w:lvl w:ilvl="0" w:tplc="2F54F3FA">
      <w:start w:val="1"/>
      <w:numFmt w:val="decimal"/>
      <w:pStyle w:val="DGTextstand-alonenumbering"/>
      <w:lvlText w:val="(%1)"/>
      <w:lvlJc w:val="left"/>
      <w:pPr>
        <w:ind w:left="720" w:hanging="360"/>
      </w:pPr>
      <w:rPr>
        <w:rFonts w:hint="default"/>
      </w:rPr>
    </w:lvl>
    <w:lvl w:ilvl="1" w:tplc="5B880D2C" w:tentative="1">
      <w:start w:val="1"/>
      <w:numFmt w:val="lowerLetter"/>
      <w:lvlText w:val="%2."/>
      <w:lvlJc w:val="left"/>
      <w:pPr>
        <w:ind w:left="1440" w:hanging="360"/>
      </w:pPr>
    </w:lvl>
    <w:lvl w:ilvl="2" w:tplc="C2D87EE2" w:tentative="1">
      <w:start w:val="1"/>
      <w:numFmt w:val="lowerRoman"/>
      <w:lvlText w:val="%3."/>
      <w:lvlJc w:val="right"/>
      <w:pPr>
        <w:ind w:left="2160" w:hanging="180"/>
      </w:pPr>
    </w:lvl>
    <w:lvl w:ilvl="3" w:tplc="2C869B58" w:tentative="1">
      <w:start w:val="1"/>
      <w:numFmt w:val="decimal"/>
      <w:lvlText w:val="%4."/>
      <w:lvlJc w:val="left"/>
      <w:pPr>
        <w:ind w:left="2880" w:hanging="360"/>
      </w:pPr>
    </w:lvl>
    <w:lvl w:ilvl="4" w:tplc="F05C845A" w:tentative="1">
      <w:start w:val="1"/>
      <w:numFmt w:val="lowerLetter"/>
      <w:lvlText w:val="%5."/>
      <w:lvlJc w:val="left"/>
      <w:pPr>
        <w:ind w:left="3600" w:hanging="360"/>
      </w:pPr>
    </w:lvl>
    <w:lvl w:ilvl="5" w:tplc="E06AD56A" w:tentative="1">
      <w:start w:val="1"/>
      <w:numFmt w:val="lowerRoman"/>
      <w:lvlText w:val="%6."/>
      <w:lvlJc w:val="right"/>
      <w:pPr>
        <w:ind w:left="4320" w:hanging="180"/>
      </w:pPr>
    </w:lvl>
    <w:lvl w:ilvl="6" w:tplc="F140DC9C" w:tentative="1">
      <w:start w:val="1"/>
      <w:numFmt w:val="decimal"/>
      <w:lvlText w:val="%7."/>
      <w:lvlJc w:val="left"/>
      <w:pPr>
        <w:ind w:left="5040" w:hanging="360"/>
      </w:pPr>
    </w:lvl>
    <w:lvl w:ilvl="7" w:tplc="0C1E413E" w:tentative="1">
      <w:start w:val="1"/>
      <w:numFmt w:val="lowerLetter"/>
      <w:lvlText w:val="%8."/>
      <w:lvlJc w:val="left"/>
      <w:pPr>
        <w:ind w:left="5760" w:hanging="360"/>
      </w:pPr>
    </w:lvl>
    <w:lvl w:ilvl="8" w:tplc="6CA8DD90" w:tentative="1">
      <w:start w:val="1"/>
      <w:numFmt w:val="lowerRoman"/>
      <w:lvlText w:val="%9."/>
      <w:lvlJc w:val="right"/>
      <w:pPr>
        <w:ind w:left="6480" w:hanging="180"/>
      </w:pPr>
    </w:lvl>
  </w:abstractNum>
  <w:abstractNum w:abstractNumId="3">
    <w:nsid w:val="00000006"/>
    <w:multiLevelType w:val="hybridMultilevel"/>
    <w:tmpl w:val="B8C03BC4"/>
    <w:lvl w:ilvl="0" w:tplc="1BACE5F8">
      <w:start w:val="1"/>
      <w:numFmt w:val="lowerRoman"/>
      <w:pStyle w:val="TextSubtitlenumberingRCItalic"/>
      <w:lvlText w:val="%1)"/>
      <w:lvlJc w:val="left"/>
      <w:pPr>
        <w:ind w:left="720" w:hanging="360"/>
      </w:pPr>
      <w:rPr>
        <w:rFonts w:hint="default"/>
      </w:rPr>
    </w:lvl>
    <w:lvl w:ilvl="1" w:tplc="7772ED60">
      <w:start w:val="1"/>
      <w:numFmt w:val="lowerLetter"/>
      <w:lvlText w:val="%2."/>
      <w:lvlJc w:val="left"/>
      <w:pPr>
        <w:ind w:left="1440" w:hanging="360"/>
      </w:pPr>
    </w:lvl>
    <w:lvl w:ilvl="2" w:tplc="4192FB58" w:tentative="1">
      <w:start w:val="1"/>
      <w:numFmt w:val="lowerRoman"/>
      <w:lvlText w:val="%3."/>
      <w:lvlJc w:val="right"/>
      <w:pPr>
        <w:ind w:left="2160" w:hanging="180"/>
      </w:pPr>
    </w:lvl>
    <w:lvl w:ilvl="3" w:tplc="22706902" w:tentative="1">
      <w:start w:val="1"/>
      <w:numFmt w:val="decimal"/>
      <w:lvlText w:val="%4."/>
      <w:lvlJc w:val="left"/>
      <w:pPr>
        <w:ind w:left="2880" w:hanging="360"/>
      </w:pPr>
    </w:lvl>
    <w:lvl w:ilvl="4" w:tplc="CD48F44E" w:tentative="1">
      <w:start w:val="1"/>
      <w:numFmt w:val="lowerLetter"/>
      <w:lvlText w:val="%5."/>
      <w:lvlJc w:val="left"/>
      <w:pPr>
        <w:ind w:left="3600" w:hanging="360"/>
      </w:pPr>
    </w:lvl>
    <w:lvl w:ilvl="5" w:tplc="DADA69CC" w:tentative="1">
      <w:start w:val="1"/>
      <w:numFmt w:val="lowerRoman"/>
      <w:lvlText w:val="%6."/>
      <w:lvlJc w:val="right"/>
      <w:pPr>
        <w:ind w:left="4320" w:hanging="180"/>
      </w:pPr>
    </w:lvl>
    <w:lvl w:ilvl="6" w:tplc="567AE4B0" w:tentative="1">
      <w:start w:val="1"/>
      <w:numFmt w:val="decimal"/>
      <w:lvlText w:val="%7."/>
      <w:lvlJc w:val="left"/>
      <w:pPr>
        <w:ind w:left="5040" w:hanging="360"/>
      </w:pPr>
    </w:lvl>
    <w:lvl w:ilvl="7" w:tplc="E850F73C" w:tentative="1">
      <w:start w:val="1"/>
      <w:numFmt w:val="lowerLetter"/>
      <w:lvlText w:val="%8."/>
      <w:lvlJc w:val="left"/>
      <w:pPr>
        <w:ind w:left="5760" w:hanging="360"/>
      </w:pPr>
    </w:lvl>
    <w:lvl w:ilvl="8" w:tplc="53601228" w:tentative="1">
      <w:start w:val="1"/>
      <w:numFmt w:val="lowerRoman"/>
      <w:lvlText w:val="%9."/>
      <w:lvlJc w:val="right"/>
      <w:pPr>
        <w:ind w:left="6480" w:hanging="180"/>
      </w:pPr>
    </w:lvl>
  </w:abstractNum>
  <w:abstractNum w:abstractNumId="4">
    <w:nsid w:val="00000007"/>
    <w:multiLevelType w:val="hybridMultilevel"/>
    <w:tmpl w:val="5DD0517A"/>
    <w:lvl w:ilvl="0" w:tplc="1408F55A">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2B2A308C" w:tentative="1">
      <w:start w:val="1"/>
      <w:numFmt w:val="lowerLetter"/>
      <w:lvlText w:val="%2."/>
      <w:lvlJc w:val="left"/>
      <w:pPr>
        <w:ind w:left="1797" w:hanging="360"/>
      </w:pPr>
    </w:lvl>
    <w:lvl w:ilvl="2" w:tplc="BF048CA6" w:tentative="1">
      <w:start w:val="1"/>
      <w:numFmt w:val="lowerRoman"/>
      <w:lvlText w:val="%3."/>
      <w:lvlJc w:val="right"/>
      <w:pPr>
        <w:ind w:left="2517" w:hanging="180"/>
      </w:pPr>
    </w:lvl>
    <w:lvl w:ilvl="3" w:tplc="30545302" w:tentative="1">
      <w:start w:val="1"/>
      <w:numFmt w:val="decimal"/>
      <w:lvlText w:val="%4."/>
      <w:lvlJc w:val="left"/>
      <w:pPr>
        <w:ind w:left="3237" w:hanging="360"/>
      </w:pPr>
    </w:lvl>
    <w:lvl w:ilvl="4" w:tplc="E2FEDCFA" w:tentative="1">
      <w:start w:val="1"/>
      <w:numFmt w:val="lowerLetter"/>
      <w:lvlText w:val="%5."/>
      <w:lvlJc w:val="left"/>
      <w:pPr>
        <w:ind w:left="3957" w:hanging="360"/>
      </w:pPr>
    </w:lvl>
    <w:lvl w:ilvl="5" w:tplc="FEBAB5B4" w:tentative="1">
      <w:start w:val="1"/>
      <w:numFmt w:val="lowerRoman"/>
      <w:lvlText w:val="%6."/>
      <w:lvlJc w:val="right"/>
      <w:pPr>
        <w:ind w:left="4677" w:hanging="180"/>
      </w:pPr>
    </w:lvl>
    <w:lvl w:ilvl="6" w:tplc="5B58A248" w:tentative="1">
      <w:start w:val="1"/>
      <w:numFmt w:val="decimal"/>
      <w:lvlText w:val="%7."/>
      <w:lvlJc w:val="left"/>
      <w:pPr>
        <w:ind w:left="5397" w:hanging="360"/>
      </w:pPr>
    </w:lvl>
    <w:lvl w:ilvl="7" w:tplc="4642BF92" w:tentative="1">
      <w:start w:val="1"/>
      <w:numFmt w:val="lowerLetter"/>
      <w:lvlText w:val="%8."/>
      <w:lvlJc w:val="left"/>
      <w:pPr>
        <w:ind w:left="6117" w:hanging="360"/>
      </w:pPr>
    </w:lvl>
    <w:lvl w:ilvl="8" w:tplc="D69827BE" w:tentative="1">
      <w:start w:val="1"/>
      <w:numFmt w:val="lowerRoman"/>
      <w:lvlText w:val="%9."/>
      <w:lvlJc w:val="right"/>
      <w:pPr>
        <w:ind w:left="6837" w:hanging="180"/>
      </w:pPr>
    </w:lvl>
  </w:abstractNum>
  <w:abstractNum w:abstractNumId="5">
    <w:nsid w:val="00000008"/>
    <w:multiLevelType w:val="multilevel"/>
    <w:tmpl w:val="9EEEC196"/>
    <w:lvl w:ilvl="0">
      <w:start w:val="1"/>
      <w:numFmt w:val="lowerLetter"/>
      <w:pStyle w:val="TextSubtitleItalicnumberinglettera"/>
      <w:lvlText w:val="(%1)"/>
      <w:lvlJc w:val="left"/>
      <w:pPr>
        <w:ind w:left="0" w:firstLine="0"/>
      </w:pPr>
      <w:rPr>
        <w:rFonts w:ascii="Verdana" w:hAnsi="Verdana" w:hint="default"/>
        <w:b w:val="0"/>
        <w:i/>
        <w:iCs w:val="0"/>
        <w:caps w:val="0"/>
        <w:smallCaps w:val="0"/>
        <w:strike w:val="0"/>
        <w:dstrike w:val="0"/>
        <w:noProof w:val="0"/>
        <w:vanish w:val="0"/>
        <w:color w:val="auto"/>
        <w:spacing w:val="0"/>
        <w:position w:val="0"/>
        <w:sz w:val="18"/>
        <w:u w:val="none"/>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2D84663"/>
    <w:multiLevelType w:val="hybridMultilevel"/>
    <w:tmpl w:val="2C8AF8BE"/>
    <w:lvl w:ilvl="0" w:tplc="5E2E7E7C">
      <w:start w:val="1"/>
      <w:numFmt w:val="bullet"/>
      <w:lvlText w:val=""/>
      <w:lvlJc w:val="left"/>
      <w:pPr>
        <w:ind w:left="720" w:hanging="360"/>
      </w:pPr>
      <w:rPr>
        <w:rFonts w:ascii="Symbol" w:hAnsi="Symbol" w:hint="default"/>
      </w:rPr>
    </w:lvl>
    <w:lvl w:ilvl="1" w:tplc="FE164712" w:tentative="1">
      <w:start w:val="1"/>
      <w:numFmt w:val="bullet"/>
      <w:lvlText w:val="o"/>
      <w:lvlJc w:val="left"/>
      <w:pPr>
        <w:ind w:left="1440" w:hanging="360"/>
      </w:pPr>
      <w:rPr>
        <w:rFonts w:ascii="Courier New" w:hAnsi="Courier New" w:cs="Courier New" w:hint="default"/>
      </w:rPr>
    </w:lvl>
    <w:lvl w:ilvl="2" w:tplc="E1E0E226" w:tentative="1">
      <w:start w:val="1"/>
      <w:numFmt w:val="bullet"/>
      <w:lvlText w:val=""/>
      <w:lvlJc w:val="left"/>
      <w:pPr>
        <w:ind w:left="2160" w:hanging="360"/>
      </w:pPr>
      <w:rPr>
        <w:rFonts w:ascii="Wingdings" w:hAnsi="Wingdings" w:hint="default"/>
      </w:rPr>
    </w:lvl>
    <w:lvl w:ilvl="3" w:tplc="8D2A1438" w:tentative="1">
      <w:start w:val="1"/>
      <w:numFmt w:val="bullet"/>
      <w:lvlText w:val=""/>
      <w:lvlJc w:val="left"/>
      <w:pPr>
        <w:ind w:left="2880" w:hanging="360"/>
      </w:pPr>
      <w:rPr>
        <w:rFonts w:ascii="Symbol" w:hAnsi="Symbol" w:hint="default"/>
      </w:rPr>
    </w:lvl>
    <w:lvl w:ilvl="4" w:tplc="EFB6DB50" w:tentative="1">
      <w:start w:val="1"/>
      <w:numFmt w:val="bullet"/>
      <w:lvlText w:val="o"/>
      <w:lvlJc w:val="left"/>
      <w:pPr>
        <w:ind w:left="3600" w:hanging="360"/>
      </w:pPr>
      <w:rPr>
        <w:rFonts w:ascii="Courier New" w:hAnsi="Courier New" w:cs="Courier New" w:hint="default"/>
      </w:rPr>
    </w:lvl>
    <w:lvl w:ilvl="5" w:tplc="3FB8F7F0" w:tentative="1">
      <w:start w:val="1"/>
      <w:numFmt w:val="bullet"/>
      <w:lvlText w:val=""/>
      <w:lvlJc w:val="left"/>
      <w:pPr>
        <w:ind w:left="4320" w:hanging="360"/>
      </w:pPr>
      <w:rPr>
        <w:rFonts w:ascii="Wingdings" w:hAnsi="Wingdings" w:hint="default"/>
      </w:rPr>
    </w:lvl>
    <w:lvl w:ilvl="6" w:tplc="69648D4C" w:tentative="1">
      <w:start w:val="1"/>
      <w:numFmt w:val="bullet"/>
      <w:lvlText w:val=""/>
      <w:lvlJc w:val="left"/>
      <w:pPr>
        <w:ind w:left="5040" w:hanging="360"/>
      </w:pPr>
      <w:rPr>
        <w:rFonts w:ascii="Symbol" w:hAnsi="Symbol" w:hint="default"/>
      </w:rPr>
    </w:lvl>
    <w:lvl w:ilvl="7" w:tplc="08AE3DAC" w:tentative="1">
      <w:start w:val="1"/>
      <w:numFmt w:val="bullet"/>
      <w:lvlText w:val="o"/>
      <w:lvlJc w:val="left"/>
      <w:pPr>
        <w:ind w:left="5760" w:hanging="360"/>
      </w:pPr>
      <w:rPr>
        <w:rFonts w:ascii="Courier New" w:hAnsi="Courier New" w:cs="Courier New" w:hint="default"/>
      </w:rPr>
    </w:lvl>
    <w:lvl w:ilvl="8" w:tplc="3B6295BE" w:tentative="1">
      <w:start w:val="1"/>
      <w:numFmt w:val="bullet"/>
      <w:lvlText w:val=""/>
      <w:lvlJc w:val="left"/>
      <w:pPr>
        <w:ind w:left="6480" w:hanging="360"/>
      </w:pPr>
      <w:rPr>
        <w:rFonts w:ascii="Wingdings" w:hAnsi="Wingdings" w:hint="default"/>
      </w:rPr>
    </w:lvl>
  </w:abstractNum>
  <w:abstractNum w:abstractNumId="8">
    <w:nsid w:val="098A3198"/>
    <w:multiLevelType w:val="hybridMultilevel"/>
    <w:tmpl w:val="A99C3C74"/>
    <w:lvl w:ilvl="0" w:tplc="A9129C70">
      <w:start w:val="1"/>
      <w:numFmt w:val="decimal"/>
      <w:pStyle w:val="HEADER4Part3"/>
      <w:lvlText w:val="%1.1.1.1"/>
      <w:lvlJc w:val="left"/>
      <w:pPr>
        <w:ind w:left="720" w:hanging="360"/>
      </w:pPr>
      <w:rPr>
        <w:rFonts w:ascii="Verdana" w:hAnsi="Verdana" w:hint="default"/>
        <w:sz w:val="18"/>
        <w:szCs w:val="18"/>
      </w:rPr>
    </w:lvl>
    <w:lvl w:ilvl="1" w:tplc="1F5EE3C0" w:tentative="1">
      <w:start w:val="1"/>
      <w:numFmt w:val="lowerLetter"/>
      <w:lvlText w:val="%2."/>
      <w:lvlJc w:val="left"/>
      <w:pPr>
        <w:ind w:left="1440" w:hanging="360"/>
      </w:pPr>
    </w:lvl>
    <w:lvl w:ilvl="2" w:tplc="E8968670" w:tentative="1">
      <w:start w:val="1"/>
      <w:numFmt w:val="lowerRoman"/>
      <w:lvlText w:val="%3."/>
      <w:lvlJc w:val="right"/>
      <w:pPr>
        <w:ind w:left="2160" w:hanging="180"/>
      </w:pPr>
    </w:lvl>
    <w:lvl w:ilvl="3" w:tplc="D6CAAC58">
      <w:start w:val="1"/>
      <w:numFmt w:val="decimal"/>
      <w:lvlText w:val="%4."/>
      <w:lvlJc w:val="left"/>
      <w:pPr>
        <w:ind w:left="2880" w:hanging="360"/>
      </w:pPr>
    </w:lvl>
    <w:lvl w:ilvl="4" w:tplc="5B24CB4C" w:tentative="1">
      <w:start w:val="1"/>
      <w:numFmt w:val="lowerLetter"/>
      <w:lvlText w:val="%5."/>
      <w:lvlJc w:val="left"/>
      <w:pPr>
        <w:ind w:left="3600" w:hanging="360"/>
      </w:pPr>
    </w:lvl>
    <w:lvl w:ilvl="5" w:tplc="AE8225BE" w:tentative="1">
      <w:start w:val="1"/>
      <w:numFmt w:val="lowerRoman"/>
      <w:lvlText w:val="%6."/>
      <w:lvlJc w:val="right"/>
      <w:pPr>
        <w:ind w:left="4320" w:hanging="180"/>
      </w:pPr>
    </w:lvl>
    <w:lvl w:ilvl="6" w:tplc="72D60A1C" w:tentative="1">
      <w:start w:val="1"/>
      <w:numFmt w:val="decimal"/>
      <w:lvlText w:val="%7."/>
      <w:lvlJc w:val="left"/>
      <w:pPr>
        <w:ind w:left="5040" w:hanging="360"/>
      </w:pPr>
    </w:lvl>
    <w:lvl w:ilvl="7" w:tplc="58202EC4" w:tentative="1">
      <w:start w:val="1"/>
      <w:numFmt w:val="lowerLetter"/>
      <w:lvlText w:val="%8."/>
      <w:lvlJc w:val="left"/>
      <w:pPr>
        <w:ind w:left="5760" w:hanging="360"/>
      </w:pPr>
    </w:lvl>
    <w:lvl w:ilvl="8" w:tplc="A1B633AA" w:tentative="1">
      <w:start w:val="1"/>
      <w:numFmt w:val="lowerRoman"/>
      <w:lvlText w:val="%9."/>
      <w:lvlJc w:val="right"/>
      <w:pPr>
        <w:ind w:left="6480" w:hanging="180"/>
      </w:pPr>
    </w:lvl>
  </w:abstractNum>
  <w:abstractNum w:abstractNumId="9">
    <w:nsid w:val="0EDD5548"/>
    <w:multiLevelType w:val="hybridMultilevel"/>
    <w:tmpl w:val="EA124DB0"/>
    <w:lvl w:ilvl="0" w:tplc="6E1A636A">
      <w:start w:val="1"/>
      <w:numFmt w:val="decimal"/>
      <w:lvlText w:val="%1."/>
      <w:lvlJc w:val="left"/>
      <w:pPr>
        <w:ind w:left="720" w:hanging="360"/>
      </w:pPr>
    </w:lvl>
    <w:lvl w:ilvl="1" w:tplc="6C741CB0" w:tentative="1">
      <w:start w:val="1"/>
      <w:numFmt w:val="lowerLetter"/>
      <w:lvlText w:val="%2."/>
      <w:lvlJc w:val="left"/>
      <w:pPr>
        <w:ind w:left="1440" w:hanging="360"/>
      </w:pPr>
    </w:lvl>
    <w:lvl w:ilvl="2" w:tplc="E8C200C2" w:tentative="1">
      <w:start w:val="1"/>
      <w:numFmt w:val="lowerRoman"/>
      <w:lvlText w:val="%3."/>
      <w:lvlJc w:val="right"/>
      <w:pPr>
        <w:ind w:left="2160" w:hanging="180"/>
      </w:pPr>
    </w:lvl>
    <w:lvl w:ilvl="3" w:tplc="4CEA0F28" w:tentative="1">
      <w:start w:val="1"/>
      <w:numFmt w:val="decimal"/>
      <w:lvlText w:val="%4."/>
      <w:lvlJc w:val="left"/>
      <w:pPr>
        <w:ind w:left="2880" w:hanging="360"/>
      </w:pPr>
    </w:lvl>
    <w:lvl w:ilvl="4" w:tplc="B68EFF28" w:tentative="1">
      <w:start w:val="1"/>
      <w:numFmt w:val="lowerLetter"/>
      <w:lvlText w:val="%5."/>
      <w:lvlJc w:val="left"/>
      <w:pPr>
        <w:ind w:left="3600" w:hanging="360"/>
      </w:pPr>
    </w:lvl>
    <w:lvl w:ilvl="5" w:tplc="6F14BEBA" w:tentative="1">
      <w:start w:val="1"/>
      <w:numFmt w:val="lowerRoman"/>
      <w:lvlText w:val="%6."/>
      <w:lvlJc w:val="right"/>
      <w:pPr>
        <w:ind w:left="4320" w:hanging="180"/>
      </w:pPr>
    </w:lvl>
    <w:lvl w:ilvl="6" w:tplc="662AD920" w:tentative="1">
      <w:start w:val="1"/>
      <w:numFmt w:val="decimal"/>
      <w:lvlText w:val="%7."/>
      <w:lvlJc w:val="left"/>
      <w:pPr>
        <w:ind w:left="5040" w:hanging="360"/>
      </w:pPr>
    </w:lvl>
    <w:lvl w:ilvl="7" w:tplc="5A249E68" w:tentative="1">
      <w:start w:val="1"/>
      <w:numFmt w:val="lowerLetter"/>
      <w:lvlText w:val="%8."/>
      <w:lvlJc w:val="left"/>
      <w:pPr>
        <w:ind w:left="5760" w:hanging="360"/>
      </w:pPr>
    </w:lvl>
    <w:lvl w:ilvl="8" w:tplc="6712B2FE" w:tentative="1">
      <w:start w:val="1"/>
      <w:numFmt w:val="lowerRoman"/>
      <w:lvlText w:val="%9."/>
      <w:lvlJc w:val="right"/>
      <w:pPr>
        <w:ind w:left="6480" w:hanging="180"/>
      </w:pPr>
    </w:lvl>
  </w:abstractNum>
  <w:abstractNum w:abstractNumId="10">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1">
    <w:nsid w:val="10FF3492"/>
    <w:multiLevelType w:val="multilevel"/>
    <w:tmpl w:val="10D4DB34"/>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rPr>
    </w:lvl>
    <w:lvl w:ilvl="1">
      <w:start w:val="1"/>
      <w:numFmt w:val="decimal"/>
      <w:pStyle w:val="HEADER2PartBUDG"/>
      <w:lvlText w:val="%1.%2."/>
      <w:lvlJc w:val="left"/>
      <w:pPr>
        <w:ind w:left="360" w:hanging="360"/>
      </w:pPr>
      <w:rPr>
        <w:rFonts w:hint="default"/>
        <w:sz w:val="28"/>
        <w:szCs w:val="28"/>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2">
    <w:nsid w:val="12865EF8"/>
    <w:multiLevelType w:val="hybridMultilevel"/>
    <w:tmpl w:val="7A1604BC"/>
    <w:lvl w:ilvl="0" w:tplc="B8507C08">
      <w:start w:val="1"/>
      <w:numFmt w:val="lowerLetter"/>
      <w:lvlText w:val="%1)"/>
      <w:lvlJc w:val="left"/>
      <w:pPr>
        <w:ind w:left="717" w:hanging="360"/>
      </w:pPr>
      <w:rPr>
        <w:rFonts w:hint="default"/>
      </w:rPr>
    </w:lvl>
    <w:lvl w:ilvl="1" w:tplc="B61CF50A" w:tentative="1">
      <w:start w:val="1"/>
      <w:numFmt w:val="lowerLetter"/>
      <w:lvlText w:val="%2."/>
      <w:lvlJc w:val="left"/>
      <w:pPr>
        <w:ind w:left="1437" w:hanging="360"/>
      </w:pPr>
    </w:lvl>
    <w:lvl w:ilvl="2" w:tplc="3F10C2C2" w:tentative="1">
      <w:start w:val="1"/>
      <w:numFmt w:val="lowerRoman"/>
      <w:lvlText w:val="%3."/>
      <w:lvlJc w:val="right"/>
      <w:pPr>
        <w:ind w:left="2157" w:hanging="180"/>
      </w:pPr>
    </w:lvl>
    <w:lvl w:ilvl="3" w:tplc="3CDC127A" w:tentative="1">
      <w:start w:val="1"/>
      <w:numFmt w:val="decimal"/>
      <w:lvlText w:val="%4."/>
      <w:lvlJc w:val="left"/>
      <w:pPr>
        <w:ind w:left="2877" w:hanging="360"/>
      </w:pPr>
    </w:lvl>
    <w:lvl w:ilvl="4" w:tplc="27CE564C" w:tentative="1">
      <w:start w:val="1"/>
      <w:numFmt w:val="lowerLetter"/>
      <w:lvlText w:val="%5."/>
      <w:lvlJc w:val="left"/>
      <w:pPr>
        <w:ind w:left="3597" w:hanging="360"/>
      </w:pPr>
    </w:lvl>
    <w:lvl w:ilvl="5" w:tplc="30D482DC" w:tentative="1">
      <w:start w:val="1"/>
      <w:numFmt w:val="lowerRoman"/>
      <w:lvlText w:val="%6."/>
      <w:lvlJc w:val="right"/>
      <w:pPr>
        <w:ind w:left="4317" w:hanging="180"/>
      </w:pPr>
    </w:lvl>
    <w:lvl w:ilvl="6" w:tplc="A37C6028" w:tentative="1">
      <w:start w:val="1"/>
      <w:numFmt w:val="decimal"/>
      <w:lvlText w:val="%7."/>
      <w:lvlJc w:val="left"/>
      <w:pPr>
        <w:ind w:left="5037" w:hanging="360"/>
      </w:pPr>
    </w:lvl>
    <w:lvl w:ilvl="7" w:tplc="53BE3934" w:tentative="1">
      <w:start w:val="1"/>
      <w:numFmt w:val="lowerLetter"/>
      <w:lvlText w:val="%8."/>
      <w:lvlJc w:val="left"/>
      <w:pPr>
        <w:ind w:left="5757" w:hanging="360"/>
      </w:pPr>
    </w:lvl>
    <w:lvl w:ilvl="8" w:tplc="D61EEB40" w:tentative="1">
      <w:start w:val="1"/>
      <w:numFmt w:val="lowerRoman"/>
      <w:lvlText w:val="%9."/>
      <w:lvlJc w:val="right"/>
      <w:pPr>
        <w:ind w:left="6477" w:hanging="180"/>
      </w:pPr>
    </w:lvl>
  </w:abstractNum>
  <w:abstractNum w:abstractNumId="13">
    <w:nsid w:val="161C77D2"/>
    <w:multiLevelType w:val="hybridMultilevel"/>
    <w:tmpl w:val="0318EF0E"/>
    <w:lvl w:ilvl="0" w:tplc="663433F8">
      <w:start w:val="1"/>
      <w:numFmt w:val="bullet"/>
      <w:lvlText w:val=""/>
      <w:lvlJc w:val="left"/>
      <w:pPr>
        <w:ind w:left="720" w:hanging="360"/>
      </w:pPr>
      <w:rPr>
        <w:rFonts w:ascii="Symbol" w:hAnsi="Symbol" w:hint="default"/>
      </w:rPr>
    </w:lvl>
    <w:lvl w:ilvl="1" w:tplc="38046D48" w:tentative="1">
      <w:start w:val="1"/>
      <w:numFmt w:val="bullet"/>
      <w:lvlText w:val="o"/>
      <w:lvlJc w:val="left"/>
      <w:pPr>
        <w:ind w:left="1440" w:hanging="360"/>
      </w:pPr>
      <w:rPr>
        <w:rFonts w:ascii="Courier New" w:hAnsi="Courier New" w:cs="Courier New" w:hint="default"/>
      </w:rPr>
    </w:lvl>
    <w:lvl w:ilvl="2" w:tplc="BF70C15A" w:tentative="1">
      <w:start w:val="1"/>
      <w:numFmt w:val="bullet"/>
      <w:lvlText w:val=""/>
      <w:lvlJc w:val="left"/>
      <w:pPr>
        <w:ind w:left="2160" w:hanging="360"/>
      </w:pPr>
      <w:rPr>
        <w:rFonts w:ascii="Wingdings" w:hAnsi="Wingdings" w:hint="default"/>
      </w:rPr>
    </w:lvl>
    <w:lvl w:ilvl="3" w:tplc="27F0A568" w:tentative="1">
      <w:start w:val="1"/>
      <w:numFmt w:val="bullet"/>
      <w:lvlText w:val=""/>
      <w:lvlJc w:val="left"/>
      <w:pPr>
        <w:ind w:left="2880" w:hanging="360"/>
      </w:pPr>
      <w:rPr>
        <w:rFonts w:ascii="Symbol" w:hAnsi="Symbol" w:hint="default"/>
      </w:rPr>
    </w:lvl>
    <w:lvl w:ilvl="4" w:tplc="359E78A8" w:tentative="1">
      <w:start w:val="1"/>
      <w:numFmt w:val="bullet"/>
      <w:lvlText w:val="o"/>
      <w:lvlJc w:val="left"/>
      <w:pPr>
        <w:ind w:left="3600" w:hanging="360"/>
      </w:pPr>
      <w:rPr>
        <w:rFonts w:ascii="Courier New" w:hAnsi="Courier New" w:cs="Courier New" w:hint="default"/>
      </w:rPr>
    </w:lvl>
    <w:lvl w:ilvl="5" w:tplc="5FDC0B32" w:tentative="1">
      <w:start w:val="1"/>
      <w:numFmt w:val="bullet"/>
      <w:lvlText w:val=""/>
      <w:lvlJc w:val="left"/>
      <w:pPr>
        <w:ind w:left="4320" w:hanging="360"/>
      </w:pPr>
      <w:rPr>
        <w:rFonts w:ascii="Wingdings" w:hAnsi="Wingdings" w:hint="default"/>
      </w:rPr>
    </w:lvl>
    <w:lvl w:ilvl="6" w:tplc="C2BE688C" w:tentative="1">
      <w:start w:val="1"/>
      <w:numFmt w:val="bullet"/>
      <w:lvlText w:val=""/>
      <w:lvlJc w:val="left"/>
      <w:pPr>
        <w:ind w:left="5040" w:hanging="360"/>
      </w:pPr>
      <w:rPr>
        <w:rFonts w:ascii="Symbol" w:hAnsi="Symbol" w:hint="default"/>
      </w:rPr>
    </w:lvl>
    <w:lvl w:ilvl="7" w:tplc="28188A6A" w:tentative="1">
      <w:start w:val="1"/>
      <w:numFmt w:val="bullet"/>
      <w:lvlText w:val="o"/>
      <w:lvlJc w:val="left"/>
      <w:pPr>
        <w:ind w:left="5760" w:hanging="360"/>
      </w:pPr>
      <w:rPr>
        <w:rFonts w:ascii="Courier New" w:hAnsi="Courier New" w:cs="Courier New" w:hint="default"/>
      </w:rPr>
    </w:lvl>
    <w:lvl w:ilvl="8" w:tplc="7F740EF2" w:tentative="1">
      <w:start w:val="1"/>
      <w:numFmt w:val="bullet"/>
      <w:lvlText w:val=""/>
      <w:lvlJc w:val="left"/>
      <w:pPr>
        <w:ind w:left="6480" w:hanging="360"/>
      </w:pPr>
      <w:rPr>
        <w:rFonts w:ascii="Wingdings" w:hAnsi="Wingdings" w:hint="default"/>
      </w:rPr>
    </w:lvl>
  </w:abstractNum>
  <w:abstractNum w:abstractNumId="14">
    <w:nsid w:val="199F1DAA"/>
    <w:multiLevelType w:val="hybridMultilevel"/>
    <w:tmpl w:val="1248AB5A"/>
    <w:lvl w:ilvl="0" w:tplc="706A0A60">
      <w:start w:val="1"/>
      <w:numFmt w:val="decimal"/>
      <w:pStyle w:val="Textstand-alonenumberingJustified"/>
      <w:lvlText w:val="(%1)"/>
      <w:lvlJc w:val="left"/>
      <w:pPr>
        <w:ind w:left="720" w:hanging="360"/>
      </w:pPr>
      <w:rPr>
        <w:rFonts w:ascii="Verdana" w:hAnsi="Verdana" w:hint="default"/>
        <w:b w:val="0"/>
        <w:i w:val="0"/>
        <w:sz w:val="18"/>
      </w:rPr>
    </w:lvl>
    <w:lvl w:ilvl="1" w:tplc="6B528CAA" w:tentative="1">
      <w:start w:val="1"/>
      <w:numFmt w:val="lowerLetter"/>
      <w:lvlText w:val="%2."/>
      <w:lvlJc w:val="left"/>
      <w:pPr>
        <w:ind w:left="1440" w:hanging="360"/>
      </w:pPr>
    </w:lvl>
    <w:lvl w:ilvl="2" w:tplc="EBAEFCC0" w:tentative="1">
      <w:start w:val="1"/>
      <w:numFmt w:val="lowerRoman"/>
      <w:lvlText w:val="%3."/>
      <w:lvlJc w:val="right"/>
      <w:pPr>
        <w:ind w:left="2160" w:hanging="180"/>
      </w:pPr>
    </w:lvl>
    <w:lvl w:ilvl="3" w:tplc="E82EF3B4" w:tentative="1">
      <w:start w:val="1"/>
      <w:numFmt w:val="decimal"/>
      <w:lvlText w:val="%4."/>
      <w:lvlJc w:val="left"/>
      <w:pPr>
        <w:ind w:left="2880" w:hanging="360"/>
      </w:pPr>
    </w:lvl>
    <w:lvl w:ilvl="4" w:tplc="DCA2B626" w:tentative="1">
      <w:start w:val="1"/>
      <w:numFmt w:val="lowerLetter"/>
      <w:lvlText w:val="%5."/>
      <w:lvlJc w:val="left"/>
      <w:pPr>
        <w:ind w:left="3600" w:hanging="360"/>
      </w:pPr>
    </w:lvl>
    <w:lvl w:ilvl="5" w:tplc="3CAABAE2" w:tentative="1">
      <w:start w:val="1"/>
      <w:numFmt w:val="lowerRoman"/>
      <w:lvlText w:val="%6."/>
      <w:lvlJc w:val="right"/>
      <w:pPr>
        <w:ind w:left="4320" w:hanging="180"/>
      </w:pPr>
    </w:lvl>
    <w:lvl w:ilvl="6" w:tplc="01CC2AD4" w:tentative="1">
      <w:start w:val="1"/>
      <w:numFmt w:val="decimal"/>
      <w:lvlText w:val="%7."/>
      <w:lvlJc w:val="left"/>
      <w:pPr>
        <w:ind w:left="5040" w:hanging="360"/>
      </w:pPr>
    </w:lvl>
    <w:lvl w:ilvl="7" w:tplc="49F4A872" w:tentative="1">
      <w:start w:val="1"/>
      <w:numFmt w:val="lowerLetter"/>
      <w:lvlText w:val="%8."/>
      <w:lvlJc w:val="left"/>
      <w:pPr>
        <w:ind w:left="5760" w:hanging="360"/>
      </w:pPr>
    </w:lvl>
    <w:lvl w:ilvl="8" w:tplc="8DFA1204" w:tentative="1">
      <w:start w:val="1"/>
      <w:numFmt w:val="lowerRoman"/>
      <w:lvlText w:val="%9."/>
      <w:lvlJc w:val="right"/>
      <w:pPr>
        <w:ind w:left="6480" w:hanging="180"/>
      </w:pPr>
    </w:lvl>
  </w:abstractNum>
  <w:abstractNum w:abstractNumId="15">
    <w:nsid w:val="214F78CA"/>
    <w:multiLevelType w:val="hybridMultilevel"/>
    <w:tmpl w:val="43686B9E"/>
    <w:lvl w:ilvl="0" w:tplc="FFF64BA2">
      <w:start w:val="1"/>
      <w:numFmt w:val="bullet"/>
      <w:lvlText w:val=""/>
      <w:lvlJc w:val="left"/>
      <w:pPr>
        <w:ind w:left="720" w:hanging="360"/>
      </w:pPr>
      <w:rPr>
        <w:rFonts w:ascii="Symbol" w:hAnsi="Symbol" w:hint="default"/>
      </w:rPr>
    </w:lvl>
    <w:lvl w:ilvl="1" w:tplc="1A2A01FA" w:tentative="1">
      <w:start w:val="1"/>
      <w:numFmt w:val="bullet"/>
      <w:lvlText w:val="o"/>
      <w:lvlJc w:val="left"/>
      <w:pPr>
        <w:ind w:left="1440" w:hanging="360"/>
      </w:pPr>
      <w:rPr>
        <w:rFonts w:ascii="Courier New" w:hAnsi="Courier New" w:cs="Courier New" w:hint="default"/>
      </w:rPr>
    </w:lvl>
    <w:lvl w:ilvl="2" w:tplc="30C6A0C8" w:tentative="1">
      <w:start w:val="1"/>
      <w:numFmt w:val="bullet"/>
      <w:lvlText w:val=""/>
      <w:lvlJc w:val="left"/>
      <w:pPr>
        <w:ind w:left="2160" w:hanging="360"/>
      </w:pPr>
      <w:rPr>
        <w:rFonts w:ascii="Wingdings" w:hAnsi="Wingdings" w:hint="default"/>
      </w:rPr>
    </w:lvl>
    <w:lvl w:ilvl="3" w:tplc="AC16432C" w:tentative="1">
      <w:start w:val="1"/>
      <w:numFmt w:val="bullet"/>
      <w:lvlText w:val=""/>
      <w:lvlJc w:val="left"/>
      <w:pPr>
        <w:ind w:left="2880" w:hanging="360"/>
      </w:pPr>
      <w:rPr>
        <w:rFonts w:ascii="Symbol" w:hAnsi="Symbol" w:hint="default"/>
      </w:rPr>
    </w:lvl>
    <w:lvl w:ilvl="4" w:tplc="7BE21294" w:tentative="1">
      <w:start w:val="1"/>
      <w:numFmt w:val="bullet"/>
      <w:lvlText w:val="o"/>
      <w:lvlJc w:val="left"/>
      <w:pPr>
        <w:ind w:left="3600" w:hanging="360"/>
      </w:pPr>
      <w:rPr>
        <w:rFonts w:ascii="Courier New" w:hAnsi="Courier New" w:cs="Courier New" w:hint="default"/>
      </w:rPr>
    </w:lvl>
    <w:lvl w:ilvl="5" w:tplc="28E2C63A" w:tentative="1">
      <w:start w:val="1"/>
      <w:numFmt w:val="bullet"/>
      <w:lvlText w:val=""/>
      <w:lvlJc w:val="left"/>
      <w:pPr>
        <w:ind w:left="4320" w:hanging="360"/>
      </w:pPr>
      <w:rPr>
        <w:rFonts w:ascii="Wingdings" w:hAnsi="Wingdings" w:hint="default"/>
      </w:rPr>
    </w:lvl>
    <w:lvl w:ilvl="6" w:tplc="21CC0920" w:tentative="1">
      <w:start w:val="1"/>
      <w:numFmt w:val="bullet"/>
      <w:lvlText w:val=""/>
      <w:lvlJc w:val="left"/>
      <w:pPr>
        <w:ind w:left="5040" w:hanging="360"/>
      </w:pPr>
      <w:rPr>
        <w:rFonts w:ascii="Symbol" w:hAnsi="Symbol" w:hint="default"/>
      </w:rPr>
    </w:lvl>
    <w:lvl w:ilvl="7" w:tplc="8206A8DE" w:tentative="1">
      <w:start w:val="1"/>
      <w:numFmt w:val="bullet"/>
      <w:lvlText w:val="o"/>
      <w:lvlJc w:val="left"/>
      <w:pPr>
        <w:ind w:left="5760" w:hanging="360"/>
      </w:pPr>
      <w:rPr>
        <w:rFonts w:ascii="Courier New" w:hAnsi="Courier New" w:cs="Courier New" w:hint="default"/>
      </w:rPr>
    </w:lvl>
    <w:lvl w:ilvl="8" w:tplc="F2066544" w:tentative="1">
      <w:start w:val="1"/>
      <w:numFmt w:val="bullet"/>
      <w:lvlText w:val=""/>
      <w:lvlJc w:val="left"/>
      <w:pPr>
        <w:ind w:left="6480" w:hanging="360"/>
      </w:pPr>
      <w:rPr>
        <w:rFonts w:ascii="Wingdings" w:hAnsi="Wingdings" w:hint="default"/>
      </w:rPr>
    </w:lvl>
  </w:abstractNum>
  <w:abstractNum w:abstractNumId="16">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7">
    <w:nsid w:val="26C620F3"/>
    <w:multiLevelType w:val="hybridMultilevel"/>
    <w:tmpl w:val="A81E17F6"/>
    <w:lvl w:ilvl="0" w:tplc="6F627A9C">
      <w:start w:val="1"/>
      <w:numFmt w:val="bullet"/>
      <w:lvlText w:val=""/>
      <w:lvlJc w:val="left"/>
      <w:pPr>
        <w:ind w:left="720" w:hanging="360"/>
      </w:pPr>
      <w:rPr>
        <w:rFonts w:ascii="Symbol" w:hAnsi="Symbol" w:hint="default"/>
      </w:rPr>
    </w:lvl>
    <w:lvl w:ilvl="1" w:tplc="4FD4CE92" w:tentative="1">
      <w:start w:val="1"/>
      <w:numFmt w:val="bullet"/>
      <w:lvlText w:val="o"/>
      <w:lvlJc w:val="left"/>
      <w:pPr>
        <w:ind w:left="1440" w:hanging="360"/>
      </w:pPr>
      <w:rPr>
        <w:rFonts w:ascii="Courier New" w:hAnsi="Courier New" w:cs="Courier New" w:hint="default"/>
      </w:rPr>
    </w:lvl>
    <w:lvl w:ilvl="2" w:tplc="3C0CEF4E" w:tentative="1">
      <w:start w:val="1"/>
      <w:numFmt w:val="bullet"/>
      <w:lvlText w:val=""/>
      <w:lvlJc w:val="left"/>
      <w:pPr>
        <w:ind w:left="2160" w:hanging="360"/>
      </w:pPr>
      <w:rPr>
        <w:rFonts w:ascii="Wingdings" w:hAnsi="Wingdings" w:hint="default"/>
      </w:rPr>
    </w:lvl>
    <w:lvl w:ilvl="3" w:tplc="45286CCA" w:tentative="1">
      <w:start w:val="1"/>
      <w:numFmt w:val="bullet"/>
      <w:lvlText w:val=""/>
      <w:lvlJc w:val="left"/>
      <w:pPr>
        <w:ind w:left="2880" w:hanging="360"/>
      </w:pPr>
      <w:rPr>
        <w:rFonts w:ascii="Symbol" w:hAnsi="Symbol" w:hint="default"/>
      </w:rPr>
    </w:lvl>
    <w:lvl w:ilvl="4" w:tplc="19D68046" w:tentative="1">
      <w:start w:val="1"/>
      <w:numFmt w:val="bullet"/>
      <w:lvlText w:val="o"/>
      <w:lvlJc w:val="left"/>
      <w:pPr>
        <w:ind w:left="3600" w:hanging="360"/>
      </w:pPr>
      <w:rPr>
        <w:rFonts w:ascii="Courier New" w:hAnsi="Courier New" w:cs="Courier New" w:hint="default"/>
      </w:rPr>
    </w:lvl>
    <w:lvl w:ilvl="5" w:tplc="644E6A86" w:tentative="1">
      <w:start w:val="1"/>
      <w:numFmt w:val="bullet"/>
      <w:lvlText w:val=""/>
      <w:lvlJc w:val="left"/>
      <w:pPr>
        <w:ind w:left="4320" w:hanging="360"/>
      </w:pPr>
      <w:rPr>
        <w:rFonts w:ascii="Wingdings" w:hAnsi="Wingdings" w:hint="default"/>
      </w:rPr>
    </w:lvl>
    <w:lvl w:ilvl="6" w:tplc="2E004636" w:tentative="1">
      <w:start w:val="1"/>
      <w:numFmt w:val="bullet"/>
      <w:lvlText w:val=""/>
      <w:lvlJc w:val="left"/>
      <w:pPr>
        <w:ind w:left="5040" w:hanging="360"/>
      </w:pPr>
      <w:rPr>
        <w:rFonts w:ascii="Symbol" w:hAnsi="Symbol" w:hint="default"/>
      </w:rPr>
    </w:lvl>
    <w:lvl w:ilvl="7" w:tplc="15DC184A" w:tentative="1">
      <w:start w:val="1"/>
      <w:numFmt w:val="bullet"/>
      <w:lvlText w:val="o"/>
      <w:lvlJc w:val="left"/>
      <w:pPr>
        <w:ind w:left="5760" w:hanging="360"/>
      </w:pPr>
      <w:rPr>
        <w:rFonts w:ascii="Courier New" w:hAnsi="Courier New" w:cs="Courier New" w:hint="default"/>
      </w:rPr>
    </w:lvl>
    <w:lvl w:ilvl="8" w:tplc="55F899F2" w:tentative="1">
      <w:start w:val="1"/>
      <w:numFmt w:val="bullet"/>
      <w:lvlText w:val=""/>
      <w:lvlJc w:val="left"/>
      <w:pPr>
        <w:ind w:left="6480" w:hanging="360"/>
      </w:pPr>
      <w:rPr>
        <w:rFonts w:ascii="Wingdings" w:hAnsi="Wingdings" w:hint="default"/>
      </w:rPr>
    </w:lvl>
  </w:abstractNum>
  <w:abstractNum w:abstractNumId="18">
    <w:nsid w:val="29F83925"/>
    <w:multiLevelType w:val="hybridMultilevel"/>
    <w:tmpl w:val="F9469CB6"/>
    <w:lvl w:ilvl="0" w:tplc="05FE5F96">
      <w:start w:val="1"/>
      <w:numFmt w:val="bullet"/>
      <w:lvlText w:val=""/>
      <w:lvlJc w:val="left"/>
      <w:pPr>
        <w:ind w:left="720" w:hanging="360"/>
      </w:pPr>
      <w:rPr>
        <w:rFonts w:ascii="Symbol" w:hAnsi="Symbol" w:hint="default"/>
      </w:rPr>
    </w:lvl>
    <w:lvl w:ilvl="1" w:tplc="6F2EB2AC" w:tentative="1">
      <w:start w:val="1"/>
      <w:numFmt w:val="bullet"/>
      <w:lvlText w:val="o"/>
      <w:lvlJc w:val="left"/>
      <w:pPr>
        <w:ind w:left="1440" w:hanging="360"/>
      </w:pPr>
      <w:rPr>
        <w:rFonts w:ascii="Courier New" w:hAnsi="Courier New" w:cs="Courier New" w:hint="default"/>
      </w:rPr>
    </w:lvl>
    <w:lvl w:ilvl="2" w:tplc="22486FEE" w:tentative="1">
      <w:start w:val="1"/>
      <w:numFmt w:val="bullet"/>
      <w:lvlText w:val=""/>
      <w:lvlJc w:val="left"/>
      <w:pPr>
        <w:ind w:left="2160" w:hanging="360"/>
      </w:pPr>
      <w:rPr>
        <w:rFonts w:ascii="Wingdings" w:hAnsi="Wingdings" w:hint="default"/>
      </w:rPr>
    </w:lvl>
    <w:lvl w:ilvl="3" w:tplc="7BC839FC" w:tentative="1">
      <w:start w:val="1"/>
      <w:numFmt w:val="bullet"/>
      <w:lvlText w:val=""/>
      <w:lvlJc w:val="left"/>
      <w:pPr>
        <w:ind w:left="2880" w:hanging="360"/>
      </w:pPr>
      <w:rPr>
        <w:rFonts w:ascii="Symbol" w:hAnsi="Symbol" w:hint="default"/>
      </w:rPr>
    </w:lvl>
    <w:lvl w:ilvl="4" w:tplc="E362A3CC" w:tentative="1">
      <w:start w:val="1"/>
      <w:numFmt w:val="bullet"/>
      <w:lvlText w:val="o"/>
      <w:lvlJc w:val="left"/>
      <w:pPr>
        <w:ind w:left="3600" w:hanging="360"/>
      </w:pPr>
      <w:rPr>
        <w:rFonts w:ascii="Courier New" w:hAnsi="Courier New" w:cs="Courier New" w:hint="default"/>
      </w:rPr>
    </w:lvl>
    <w:lvl w:ilvl="5" w:tplc="75BE7DF6" w:tentative="1">
      <w:start w:val="1"/>
      <w:numFmt w:val="bullet"/>
      <w:lvlText w:val=""/>
      <w:lvlJc w:val="left"/>
      <w:pPr>
        <w:ind w:left="4320" w:hanging="360"/>
      </w:pPr>
      <w:rPr>
        <w:rFonts w:ascii="Wingdings" w:hAnsi="Wingdings" w:hint="default"/>
      </w:rPr>
    </w:lvl>
    <w:lvl w:ilvl="6" w:tplc="A78043A6" w:tentative="1">
      <w:start w:val="1"/>
      <w:numFmt w:val="bullet"/>
      <w:lvlText w:val=""/>
      <w:lvlJc w:val="left"/>
      <w:pPr>
        <w:ind w:left="5040" w:hanging="360"/>
      </w:pPr>
      <w:rPr>
        <w:rFonts w:ascii="Symbol" w:hAnsi="Symbol" w:hint="default"/>
      </w:rPr>
    </w:lvl>
    <w:lvl w:ilvl="7" w:tplc="B33221D6" w:tentative="1">
      <w:start w:val="1"/>
      <w:numFmt w:val="bullet"/>
      <w:lvlText w:val="o"/>
      <w:lvlJc w:val="left"/>
      <w:pPr>
        <w:ind w:left="5760" w:hanging="360"/>
      </w:pPr>
      <w:rPr>
        <w:rFonts w:ascii="Courier New" w:hAnsi="Courier New" w:cs="Courier New" w:hint="default"/>
      </w:rPr>
    </w:lvl>
    <w:lvl w:ilvl="8" w:tplc="90BCFA5C" w:tentative="1">
      <w:start w:val="1"/>
      <w:numFmt w:val="bullet"/>
      <w:lvlText w:val=""/>
      <w:lvlJc w:val="left"/>
      <w:pPr>
        <w:ind w:left="6480" w:hanging="360"/>
      </w:pPr>
      <w:rPr>
        <w:rFonts w:ascii="Wingdings" w:hAnsi="Wingdings" w:hint="default"/>
      </w:rPr>
    </w:lvl>
  </w:abstractNum>
  <w:abstractNum w:abstractNumId="19">
    <w:nsid w:val="2DF123A2"/>
    <w:multiLevelType w:val="multilevel"/>
    <w:tmpl w:val="19A2D72A"/>
    <w:lvl w:ilvl="0">
      <w:start w:val="1"/>
      <w:numFmt w:val="decimal"/>
      <w:pStyle w:val="HEADER1Part4"/>
      <w:lvlText w:val="%1."/>
      <w:lvlJc w:val="left"/>
      <w:pPr>
        <w:ind w:left="360" w:hanging="360"/>
      </w:pPr>
      <w:rPr>
        <w:rFonts w:hint="default"/>
        <w:sz w:val="32"/>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0">
    <w:nsid w:val="31D31BBD"/>
    <w:multiLevelType w:val="hybridMultilevel"/>
    <w:tmpl w:val="AB545582"/>
    <w:lvl w:ilvl="0" w:tplc="0DEEBE3A">
      <w:start w:val="1"/>
      <w:numFmt w:val="bullet"/>
      <w:pStyle w:val="Textstand-alonebulletpointJustified"/>
      <w:lvlText w:val=""/>
      <w:lvlJc w:val="left"/>
      <w:pPr>
        <w:ind w:left="1080" w:hanging="360"/>
      </w:pPr>
      <w:rPr>
        <w:rFonts w:ascii="Verdana" w:hAnsi="Verdana" w:hint="default"/>
      </w:rPr>
    </w:lvl>
    <w:lvl w:ilvl="1" w:tplc="4D2C1C06" w:tentative="1">
      <w:start w:val="1"/>
      <w:numFmt w:val="bullet"/>
      <w:lvlText w:val="o"/>
      <w:lvlJc w:val="left"/>
      <w:pPr>
        <w:ind w:left="1800" w:hanging="360"/>
      </w:pPr>
      <w:rPr>
        <w:rFonts w:ascii="Courier New" w:hAnsi="Courier New" w:cs="Courier New" w:hint="default"/>
      </w:rPr>
    </w:lvl>
    <w:lvl w:ilvl="2" w:tplc="9892B1C2" w:tentative="1">
      <w:start w:val="1"/>
      <w:numFmt w:val="bullet"/>
      <w:lvlText w:val=""/>
      <w:lvlJc w:val="left"/>
      <w:pPr>
        <w:ind w:left="2520" w:hanging="360"/>
      </w:pPr>
      <w:rPr>
        <w:rFonts w:ascii="Wingdings" w:hAnsi="Wingdings" w:hint="default"/>
      </w:rPr>
    </w:lvl>
    <w:lvl w:ilvl="3" w:tplc="0602B818" w:tentative="1">
      <w:start w:val="1"/>
      <w:numFmt w:val="bullet"/>
      <w:lvlText w:val=""/>
      <w:lvlJc w:val="left"/>
      <w:pPr>
        <w:ind w:left="3240" w:hanging="360"/>
      </w:pPr>
      <w:rPr>
        <w:rFonts w:ascii="Symbol" w:hAnsi="Symbol" w:hint="default"/>
      </w:rPr>
    </w:lvl>
    <w:lvl w:ilvl="4" w:tplc="1BDE8770" w:tentative="1">
      <w:start w:val="1"/>
      <w:numFmt w:val="bullet"/>
      <w:lvlText w:val="o"/>
      <w:lvlJc w:val="left"/>
      <w:pPr>
        <w:ind w:left="3960" w:hanging="360"/>
      </w:pPr>
      <w:rPr>
        <w:rFonts w:ascii="Courier New" w:hAnsi="Courier New" w:cs="Courier New" w:hint="default"/>
      </w:rPr>
    </w:lvl>
    <w:lvl w:ilvl="5" w:tplc="5C8003DC" w:tentative="1">
      <w:start w:val="1"/>
      <w:numFmt w:val="bullet"/>
      <w:lvlText w:val=""/>
      <w:lvlJc w:val="left"/>
      <w:pPr>
        <w:ind w:left="4680" w:hanging="360"/>
      </w:pPr>
      <w:rPr>
        <w:rFonts w:ascii="Wingdings" w:hAnsi="Wingdings" w:hint="default"/>
      </w:rPr>
    </w:lvl>
    <w:lvl w:ilvl="6" w:tplc="8606188E" w:tentative="1">
      <w:start w:val="1"/>
      <w:numFmt w:val="bullet"/>
      <w:lvlText w:val=""/>
      <w:lvlJc w:val="left"/>
      <w:pPr>
        <w:ind w:left="5400" w:hanging="360"/>
      </w:pPr>
      <w:rPr>
        <w:rFonts w:ascii="Symbol" w:hAnsi="Symbol" w:hint="default"/>
      </w:rPr>
    </w:lvl>
    <w:lvl w:ilvl="7" w:tplc="74AA4054" w:tentative="1">
      <w:start w:val="1"/>
      <w:numFmt w:val="bullet"/>
      <w:lvlText w:val="o"/>
      <w:lvlJc w:val="left"/>
      <w:pPr>
        <w:ind w:left="6120" w:hanging="360"/>
      </w:pPr>
      <w:rPr>
        <w:rFonts w:ascii="Courier New" w:hAnsi="Courier New" w:cs="Courier New" w:hint="default"/>
      </w:rPr>
    </w:lvl>
    <w:lvl w:ilvl="8" w:tplc="36C6B562" w:tentative="1">
      <w:start w:val="1"/>
      <w:numFmt w:val="bullet"/>
      <w:lvlText w:val=""/>
      <w:lvlJc w:val="left"/>
      <w:pPr>
        <w:ind w:left="6840" w:hanging="360"/>
      </w:pPr>
      <w:rPr>
        <w:rFonts w:ascii="Wingdings" w:hAnsi="Wingdings" w:hint="default"/>
      </w:rPr>
    </w:lvl>
  </w:abstractNum>
  <w:abstractNum w:abstractNumId="21">
    <w:nsid w:val="48AC237C"/>
    <w:multiLevelType w:val="hybridMultilevel"/>
    <w:tmpl w:val="25BE3B7A"/>
    <w:lvl w:ilvl="0" w:tplc="1FDA432C">
      <w:start w:val="1"/>
      <w:numFmt w:val="lowerRoman"/>
      <w:lvlText w:val="%1."/>
      <w:lvlJc w:val="right"/>
      <w:pPr>
        <w:ind w:left="720" w:hanging="360"/>
      </w:pPr>
    </w:lvl>
    <w:lvl w:ilvl="1" w:tplc="4394F7BA" w:tentative="1">
      <w:start w:val="1"/>
      <w:numFmt w:val="lowerLetter"/>
      <w:lvlText w:val="%2."/>
      <w:lvlJc w:val="left"/>
      <w:pPr>
        <w:ind w:left="1440" w:hanging="360"/>
      </w:pPr>
    </w:lvl>
    <w:lvl w:ilvl="2" w:tplc="35183DDE" w:tentative="1">
      <w:start w:val="1"/>
      <w:numFmt w:val="lowerRoman"/>
      <w:lvlText w:val="%3."/>
      <w:lvlJc w:val="right"/>
      <w:pPr>
        <w:ind w:left="2160" w:hanging="180"/>
      </w:pPr>
    </w:lvl>
    <w:lvl w:ilvl="3" w:tplc="F116772C" w:tentative="1">
      <w:start w:val="1"/>
      <w:numFmt w:val="decimal"/>
      <w:lvlText w:val="%4."/>
      <w:lvlJc w:val="left"/>
      <w:pPr>
        <w:ind w:left="2880" w:hanging="360"/>
      </w:pPr>
    </w:lvl>
    <w:lvl w:ilvl="4" w:tplc="4412DC0C" w:tentative="1">
      <w:start w:val="1"/>
      <w:numFmt w:val="lowerLetter"/>
      <w:lvlText w:val="%5."/>
      <w:lvlJc w:val="left"/>
      <w:pPr>
        <w:ind w:left="3600" w:hanging="360"/>
      </w:pPr>
    </w:lvl>
    <w:lvl w:ilvl="5" w:tplc="6EB6B928" w:tentative="1">
      <w:start w:val="1"/>
      <w:numFmt w:val="lowerRoman"/>
      <w:lvlText w:val="%6."/>
      <w:lvlJc w:val="right"/>
      <w:pPr>
        <w:ind w:left="4320" w:hanging="180"/>
      </w:pPr>
    </w:lvl>
    <w:lvl w:ilvl="6" w:tplc="E2B28AD6" w:tentative="1">
      <w:start w:val="1"/>
      <w:numFmt w:val="decimal"/>
      <w:lvlText w:val="%7."/>
      <w:lvlJc w:val="left"/>
      <w:pPr>
        <w:ind w:left="5040" w:hanging="360"/>
      </w:pPr>
    </w:lvl>
    <w:lvl w:ilvl="7" w:tplc="B7F84520" w:tentative="1">
      <w:start w:val="1"/>
      <w:numFmt w:val="lowerLetter"/>
      <w:lvlText w:val="%8."/>
      <w:lvlJc w:val="left"/>
      <w:pPr>
        <w:ind w:left="5760" w:hanging="360"/>
      </w:pPr>
    </w:lvl>
    <w:lvl w:ilvl="8" w:tplc="3B22FB76" w:tentative="1">
      <w:start w:val="1"/>
      <w:numFmt w:val="lowerRoman"/>
      <w:lvlText w:val="%9."/>
      <w:lvlJc w:val="right"/>
      <w:pPr>
        <w:ind w:left="6480" w:hanging="180"/>
      </w:pPr>
    </w:lvl>
  </w:abstractNum>
  <w:abstractNum w:abstractNumId="22">
    <w:nsid w:val="52F542F7"/>
    <w:multiLevelType w:val="hybridMultilevel"/>
    <w:tmpl w:val="6B704140"/>
    <w:lvl w:ilvl="0" w:tplc="7AEE59CC">
      <w:start w:val="1"/>
      <w:numFmt w:val="bullet"/>
      <w:lvlText w:val=""/>
      <w:lvlJc w:val="left"/>
      <w:pPr>
        <w:ind w:left="720" w:hanging="360"/>
      </w:pPr>
      <w:rPr>
        <w:rFonts w:ascii="Symbol" w:hAnsi="Symbol" w:hint="default"/>
      </w:rPr>
    </w:lvl>
    <w:lvl w:ilvl="1" w:tplc="6E7E4E00" w:tentative="1">
      <w:start w:val="1"/>
      <w:numFmt w:val="bullet"/>
      <w:lvlText w:val="o"/>
      <w:lvlJc w:val="left"/>
      <w:pPr>
        <w:ind w:left="1440" w:hanging="360"/>
      </w:pPr>
      <w:rPr>
        <w:rFonts w:ascii="Courier New" w:hAnsi="Courier New" w:cs="Courier New" w:hint="default"/>
      </w:rPr>
    </w:lvl>
    <w:lvl w:ilvl="2" w:tplc="B5867BE4" w:tentative="1">
      <w:start w:val="1"/>
      <w:numFmt w:val="bullet"/>
      <w:lvlText w:val=""/>
      <w:lvlJc w:val="left"/>
      <w:pPr>
        <w:ind w:left="2160" w:hanging="360"/>
      </w:pPr>
      <w:rPr>
        <w:rFonts w:ascii="Wingdings" w:hAnsi="Wingdings" w:hint="default"/>
      </w:rPr>
    </w:lvl>
    <w:lvl w:ilvl="3" w:tplc="6EF4050A" w:tentative="1">
      <w:start w:val="1"/>
      <w:numFmt w:val="bullet"/>
      <w:lvlText w:val=""/>
      <w:lvlJc w:val="left"/>
      <w:pPr>
        <w:ind w:left="2880" w:hanging="360"/>
      </w:pPr>
      <w:rPr>
        <w:rFonts w:ascii="Symbol" w:hAnsi="Symbol" w:hint="default"/>
      </w:rPr>
    </w:lvl>
    <w:lvl w:ilvl="4" w:tplc="C6703ECE" w:tentative="1">
      <w:start w:val="1"/>
      <w:numFmt w:val="bullet"/>
      <w:lvlText w:val="o"/>
      <w:lvlJc w:val="left"/>
      <w:pPr>
        <w:ind w:left="3600" w:hanging="360"/>
      </w:pPr>
      <w:rPr>
        <w:rFonts w:ascii="Courier New" w:hAnsi="Courier New" w:cs="Courier New" w:hint="default"/>
      </w:rPr>
    </w:lvl>
    <w:lvl w:ilvl="5" w:tplc="DE367566" w:tentative="1">
      <w:start w:val="1"/>
      <w:numFmt w:val="bullet"/>
      <w:lvlText w:val=""/>
      <w:lvlJc w:val="left"/>
      <w:pPr>
        <w:ind w:left="4320" w:hanging="360"/>
      </w:pPr>
      <w:rPr>
        <w:rFonts w:ascii="Wingdings" w:hAnsi="Wingdings" w:hint="default"/>
      </w:rPr>
    </w:lvl>
    <w:lvl w:ilvl="6" w:tplc="6B8C71D4" w:tentative="1">
      <w:start w:val="1"/>
      <w:numFmt w:val="bullet"/>
      <w:lvlText w:val=""/>
      <w:lvlJc w:val="left"/>
      <w:pPr>
        <w:ind w:left="5040" w:hanging="360"/>
      </w:pPr>
      <w:rPr>
        <w:rFonts w:ascii="Symbol" w:hAnsi="Symbol" w:hint="default"/>
      </w:rPr>
    </w:lvl>
    <w:lvl w:ilvl="7" w:tplc="4B989694" w:tentative="1">
      <w:start w:val="1"/>
      <w:numFmt w:val="bullet"/>
      <w:lvlText w:val="o"/>
      <w:lvlJc w:val="left"/>
      <w:pPr>
        <w:ind w:left="5760" w:hanging="360"/>
      </w:pPr>
      <w:rPr>
        <w:rFonts w:ascii="Courier New" w:hAnsi="Courier New" w:cs="Courier New" w:hint="default"/>
      </w:rPr>
    </w:lvl>
    <w:lvl w:ilvl="8" w:tplc="27BE263A" w:tentative="1">
      <w:start w:val="1"/>
      <w:numFmt w:val="bullet"/>
      <w:lvlText w:val=""/>
      <w:lvlJc w:val="left"/>
      <w:pPr>
        <w:ind w:left="6480" w:hanging="360"/>
      </w:pPr>
      <w:rPr>
        <w:rFonts w:ascii="Wingdings" w:hAnsi="Wingdings" w:hint="default"/>
      </w:rPr>
    </w:lvl>
  </w:abstractNum>
  <w:abstractNum w:abstractNumId="23">
    <w:nsid w:val="569843EB"/>
    <w:multiLevelType w:val="hybridMultilevel"/>
    <w:tmpl w:val="0A107A4A"/>
    <w:lvl w:ilvl="0" w:tplc="ED7A0CBE">
      <w:start w:val="1"/>
      <w:numFmt w:val="bullet"/>
      <w:lvlText w:val=""/>
      <w:lvlJc w:val="left"/>
      <w:pPr>
        <w:ind w:left="720" w:hanging="360"/>
      </w:pPr>
      <w:rPr>
        <w:rFonts w:ascii="Symbol" w:hAnsi="Symbol" w:hint="default"/>
      </w:rPr>
    </w:lvl>
    <w:lvl w:ilvl="1" w:tplc="1FECFD1A" w:tentative="1">
      <w:start w:val="1"/>
      <w:numFmt w:val="bullet"/>
      <w:lvlText w:val="o"/>
      <w:lvlJc w:val="left"/>
      <w:pPr>
        <w:ind w:left="1440" w:hanging="360"/>
      </w:pPr>
      <w:rPr>
        <w:rFonts w:ascii="Courier New" w:hAnsi="Courier New" w:cs="Courier New" w:hint="default"/>
      </w:rPr>
    </w:lvl>
    <w:lvl w:ilvl="2" w:tplc="835013E6" w:tentative="1">
      <w:start w:val="1"/>
      <w:numFmt w:val="bullet"/>
      <w:lvlText w:val=""/>
      <w:lvlJc w:val="left"/>
      <w:pPr>
        <w:ind w:left="2160" w:hanging="360"/>
      </w:pPr>
      <w:rPr>
        <w:rFonts w:ascii="Wingdings" w:hAnsi="Wingdings" w:hint="default"/>
      </w:rPr>
    </w:lvl>
    <w:lvl w:ilvl="3" w:tplc="A456FF24" w:tentative="1">
      <w:start w:val="1"/>
      <w:numFmt w:val="bullet"/>
      <w:lvlText w:val=""/>
      <w:lvlJc w:val="left"/>
      <w:pPr>
        <w:ind w:left="2880" w:hanging="360"/>
      </w:pPr>
      <w:rPr>
        <w:rFonts w:ascii="Symbol" w:hAnsi="Symbol" w:hint="default"/>
      </w:rPr>
    </w:lvl>
    <w:lvl w:ilvl="4" w:tplc="90A8067C" w:tentative="1">
      <w:start w:val="1"/>
      <w:numFmt w:val="bullet"/>
      <w:lvlText w:val="o"/>
      <w:lvlJc w:val="left"/>
      <w:pPr>
        <w:ind w:left="3600" w:hanging="360"/>
      </w:pPr>
      <w:rPr>
        <w:rFonts w:ascii="Courier New" w:hAnsi="Courier New" w:cs="Courier New" w:hint="default"/>
      </w:rPr>
    </w:lvl>
    <w:lvl w:ilvl="5" w:tplc="21DEC882" w:tentative="1">
      <w:start w:val="1"/>
      <w:numFmt w:val="bullet"/>
      <w:lvlText w:val=""/>
      <w:lvlJc w:val="left"/>
      <w:pPr>
        <w:ind w:left="4320" w:hanging="360"/>
      </w:pPr>
      <w:rPr>
        <w:rFonts w:ascii="Wingdings" w:hAnsi="Wingdings" w:hint="default"/>
      </w:rPr>
    </w:lvl>
    <w:lvl w:ilvl="6" w:tplc="CEF891B0" w:tentative="1">
      <w:start w:val="1"/>
      <w:numFmt w:val="bullet"/>
      <w:lvlText w:val=""/>
      <w:lvlJc w:val="left"/>
      <w:pPr>
        <w:ind w:left="5040" w:hanging="360"/>
      </w:pPr>
      <w:rPr>
        <w:rFonts w:ascii="Symbol" w:hAnsi="Symbol" w:hint="default"/>
      </w:rPr>
    </w:lvl>
    <w:lvl w:ilvl="7" w:tplc="B76C5288" w:tentative="1">
      <w:start w:val="1"/>
      <w:numFmt w:val="bullet"/>
      <w:lvlText w:val="o"/>
      <w:lvlJc w:val="left"/>
      <w:pPr>
        <w:ind w:left="5760" w:hanging="360"/>
      </w:pPr>
      <w:rPr>
        <w:rFonts w:ascii="Courier New" w:hAnsi="Courier New" w:cs="Courier New" w:hint="default"/>
      </w:rPr>
    </w:lvl>
    <w:lvl w:ilvl="8" w:tplc="92BCB9A4" w:tentative="1">
      <w:start w:val="1"/>
      <w:numFmt w:val="bullet"/>
      <w:lvlText w:val=""/>
      <w:lvlJc w:val="left"/>
      <w:pPr>
        <w:ind w:left="6480" w:hanging="360"/>
      </w:pPr>
      <w:rPr>
        <w:rFonts w:ascii="Wingdings" w:hAnsi="Wingdings" w:hint="default"/>
      </w:rPr>
    </w:lvl>
  </w:abstractNum>
  <w:abstractNum w:abstractNumId="24">
    <w:nsid w:val="57EA7EB0"/>
    <w:multiLevelType w:val="hybridMultilevel"/>
    <w:tmpl w:val="E6387B90"/>
    <w:lvl w:ilvl="0" w:tplc="FE2C897C">
      <w:start w:val="1"/>
      <w:numFmt w:val="bullet"/>
      <w:lvlText w:val=""/>
      <w:lvlJc w:val="left"/>
      <w:pPr>
        <w:ind w:left="720" w:hanging="360"/>
      </w:pPr>
      <w:rPr>
        <w:rFonts w:ascii="Symbol" w:hAnsi="Symbol" w:hint="default"/>
      </w:rPr>
    </w:lvl>
    <w:lvl w:ilvl="1" w:tplc="D0D87AF6" w:tentative="1">
      <w:start w:val="1"/>
      <w:numFmt w:val="bullet"/>
      <w:lvlText w:val="o"/>
      <w:lvlJc w:val="left"/>
      <w:pPr>
        <w:ind w:left="1440" w:hanging="360"/>
      </w:pPr>
      <w:rPr>
        <w:rFonts w:ascii="Courier New" w:hAnsi="Courier New" w:cs="Courier New" w:hint="default"/>
      </w:rPr>
    </w:lvl>
    <w:lvl w:ilvl="2" w:tplc="9B56B2BE" w:tentative="1">
      <w:start w:val="1"/>
      <w:numFmt w:val="bullet"/>
      <w:lvlText w:val=""/>
      <w:lvlJc w:val="left"/>
      <w:pPr>
        <w:ind w:left="2160" w:hanging="360"/>
      </w:pPr>
      <w:rPr>
        <w:rFonts w:ascii="Wingdings" w:hAnsi="Wingdings" w:hint="default"/>
      </w:rPr>
    </w:lvl>
    <w:lvl w:ilvl="3" w:tplc="A21EC41E" w:tentative="1">
      <w:start w:val="1"/>
      <w:numFmt w:val="bullet"/>
      <w:lvlText w:val=""/>
      <w:lvlJc w:val="left"/>
      <w:pPr>
        <w:ind w:left="2880" w:hanging="360"/>
      </w:pPr>
      <w:rPr>
        <w:rFonts w:ascii="Symbol" w:hAnsi="Symbol" w:hint="default"/>
      </w:rPr>
    </w:lvl>
    <w:lvl w:ilvl="4" w:tplc="3164514C" w:tentative="1">
      <w:start w:val="1"/>
      <w:numFmt w:val="bullet"/>
      <w:lvlText w:val="o"/>
      <w:lvlJc w:val="left"/>
      <w:pPr>
        <w:ind w:left="3600" w:hanging="360"/>
      </w:pPr>
      <w:rPr>
        <w:rFonts w:ascii="Courier New" w:hAnsi="Courier New" w:cs="Courier New" w:hint="default"/>
      </w:rPr>
    </w:lvl>
    <w:lvl w:ilvl="5" w:tplc="4F7A8956" w:tentative="1">
      <w:start w:val="1"/>
      <w:numFmt w:val="bullet"/>
      <w:lvlText w:val=""/>
      <w:lvlJc w:val="left"/>
      <w:pPr>
        <w:ind w:left="4320" w:hanging="360"/>
      </w:pPr>
      <w:rPr>
        <w:rFonts w:ascii="Wingdings" w:hAnsi="Wingdings" w:hint="default"/>
      </w:rPr>
    </w:lvl>
    <w:lvl w:ilvl="6" w:tplc="152ED8E2" w:tentative="1">
      <w:start w:val="1"/>
      <w:numFmt w:val="bullet"/>
      <w:lvlText w:val=""/>
      <w:lvlJc w:val="left"/>
      <w:pPr>
        <w:ind w:left="5040" w:hanging="360"/>
      </w:pPr>
      <w:rPr>
        <w:rFonts w:ascii="Symbol" w:hAnsi="Symbol" w:hint="default"/>
      </w:rPr>
    </w:lvl>
    <w:lvl w:ilvl="7" w:tplc="D4E84540" w:tentative="1">
      <w:start w:val="1"/>
      <w:numFmt w:val="bullet"/>
      <w:lvlText w:val="o"/>
      <w:lvlJc w:val="left"/>
      <w:pPr>
        <w:ind w:left="5760" w:hanging="360"/>
      </w:pPr>
      <w:rPr>
        <w:rFonts w:ascii="Courier New" w:hAnsi="Courier New" w:cs="Courier New" w:hint="default"/>
      </w:rPr>
    </w:lvl>
    <w:lvl w:ilvl="8" w:tplc="FD88EC82" w:tentative="1">
      <w:start w:val="1"/>
      <w:numFmt w:val="bullet"/>
      <w:lvlText w:val=""/>
      <w:lvlJc w:val="left"/>
      <w:pPr>
        <w:ind w:left="6480" w:hanging="360"/>
      </w:pPr>
      <w:rPr>
        <w:rFonts w:ascii="Wingdings" w:hAnsi="Wingdings" w:hint="default"/>
      </w:rPr>
    </w:lvl>
  </w:abstractNum>
  <w:abstractNum w:abstractNumId="25">
    <w:nsid w:val="5B9F3574"/>
    <w:multiLevelType w:val="hybridMultilevel"/>
    <w:tmpl w:val="DD882B50"/>
    <w:lvl w:ilvl="0" w:tplc="6214265A">
      <w:start w:val="1"/>
      <w:numFmt w:val="bullet"/>
      <w:lvlText w:val=""/>
      <w:lvlJc w:val="left"/>
      <w:pPr>
        <w:ind w:left="720" w:hanging="360"/>
      </w:pPr>
      <w:rPr>
        <w:rFonts w:ascii="Symbol" w:hAnsi="Symbol" w:hint="default"/>
      </w:rPr>
    </w:lvl>
    <w:lvl w:ilvl="1" w:tplc="B5C6FB90" w:tentative="1">
      <w:start w:val="1"/>
      <w:numFmt w:val="bullet"/>
      <w:lvlText w:val="o"/>
      <w:lvlJc w:val="left"/>
      <w:pPr>
        <w:ind w:left="1440" w:hanging="360"/>
      </w:pPr>
      <w:rPr>
        <w:rFonts w:ascii="Courier New" w:hAnsi="Courier New" w:cs="Courier New" w:hint="default"/>
      </w:rPr>
    </w:lvl>
    <w:lvl w:ilvl="2" w:tplc="5AFE5392" w:tentative="1">
      <w:start w:val="1"/>
      <w:numFmt w:val="bullet"/>
      <w:lvlText w:val=""/>
      <w:lvlJc w:val="left"/>
      <w:pPr>
        <w:ind w:left="2160" w:hanging="360"/>
      </w:pPr>
      <w:rPr>
        <w:rFonts w:ascii="Wingdings" w:hAnsi="Wingdings" w:hint="default"/>
      </w:rPr>
    </w:lvl>
    <w:lvl w:ilvl="3" w:tplc="9E6650E0" w:tentative="1">
      <w:start w:val="1"/>
      <w:numFmt w:val="bullet"/>
      <w:lvlText w:val=""/>
      <w:lvlJc w:val="left"/>
      <w:pPr>
        <w:ind w:left="2880" w:hanging="360"/>
      </w:pPr>
      <w:rPr>
        <w:rFonts w:ascii="Symbol" w:hAnsi="Symbol" w:hint="default"/>
      </w:rPr>
    </w:lvl>
    <w:lvl w:ilvl="4" w:tplc="F082433C" w:tentative="1">
      <w:start w:val="1"/>
      <w:numFmt w:val="bullet"/>
      <w:lvlText w:val="o"/>
      <w:lvlJc w:val="left"/>
      <w:pPr>
        <w:ind w:left="3600" w:hanging="360"/>
      </w:pPr>
      <w:rPr>
        <w:rFonts w:ascii="Courier New" w:hAnsi="Courier New" w:cs="Courier New" w:hint="default"/>
      </w:rPr>
    </w:lvl>
    <w:lvl w:ilvl="5" w:tplc="E6ACF416" w:tentative="1">
      <w:start w:val="1"/>
      <w:numFmt w:val="bullet"/>
      <w:lvlText w:val=""/>
      <w:lvlJc w:val="left"/>
      <w:pPr>
        <w:ind w:left="4320" w:hanging="360"/>
      </w:pPr>
      <w:rPr>
        <w:rFonts w:ascii="Wingdings" w:hAnsi="Wingdings" w:hint="default"/>
      </w:rPr>
    </w:lvl>
    <w:lvl w:ilvl="6" w:tplc="970E9240" w:tentative="1">
      <w:start w:val="1"/>
      <w:numFmt w:val="bullet"/>
      <w:lvlText w:val=""/>
      <w:lvlJc w:val="left"/>
      <w:pPr>
        <w:ind w:left="5040" w:hanging="360"/>
      </w:pPr>
      <w:rPr>
        <w:rFonts w:ascii="Symbol" w:hAnsi="Symbol" w:hint="default"/>
      </w:rPr>
    </w:lvl>
    <w:lvl w:ilvl="7" w:tplc="2C30AC2A" w:tentative="1">
      <w:start w:val="1"/>
      <w:numFmt w:val="bullet"/>
      <w:lvlText w:val="o"/>
      <w:lvlJc w:val="left"/>
      <w:pPr>
        <w:ind w:left="5760" w:hanging="360"/>
      </w:pPr>
      <w:rPr>
        <w:rFonts w:ascii="Courier New" w:hAnsi="Courier New" w:cs="Courier New" w:hint="default"/>
      </w:rPr>
    </w:lvl>
    <w:lvl w:ilvl="8" w:tplc="72083D50" w:tentative="1">
      <w:start w:val="1"/>
      <w:numFmt w:val="bullet"/>
      <w:lvlText w:val=""/>
      <w:lvlJc w:val="left"/>
      <w:pPr>
        <w:ind w:left="6480" w:hanging="360"/>
      </w:pPr>
      <w:rPr>
        <w:rFonts w:ascii="Wingdings" w:hAnsi="Wingdings" w:hint="default"/>
      </w:rPr>
    </w:lvl>
  </w:abstractNum>
  <w:abstractNum w:abstractNumId="26">
    <w:nsid w:val="5EA07653"/>
    <w:multiLevelType w:val="hybridMultilevel"/>
    <w:tmpl w:val="549C48F2"/>
    <w:lvl w:ilvl="0" w:tplc="58567008">
      <w:start w:val="1"/>
      <w:numFmt w:val="bullet"/>
      <w:pStyle w:val="Textstand-aloneBulletpoint"/>
      <w:lvlText w:val="-"/>
      <w:lvlJc w:val="left"/>
      <w:pPr>
        <w:ind w:left="1080" w:hanging="360"/>
      </w:pPr>
      <w:rPr>
        <w:rFonts w:ascii="Verdana" w:hAnsi="Verdana" w:hint="default"/>
      </w:rPr>
    </w:lvl>
    <w:lvl w:ilvl="1" w:tplc="4EC6787A" w:tentative="1">
      <w:start w:val="1"/>
      <w:numFmt w:val="bullet"/>
      <w:lvlText w:val="o"/>
      <w:lvlJc w:val="left"/>
      <w:pPr>
        <w:ind w:left="1800" w:hanging="360"/>
      </w:pPr>
      <w:rPr>
        <w:rFonts w:ascii="Courier New" w:hAnsi="Courier New" w:cs="Courier New" w:hint="default"/>
      </w:rPr>
    </w:lvl>
    <w:lvl w:ilvl="2" w:tplc="623E3AFC" w:tentative="1">
      <w:start w:val="1"/>
      <w:numFmt w:val="bullet"/>
      <w:lvlText w:val=""/>
      <w:lvlJc w:val="left"/>
      <w:pPr>
        <w:ind w:left="2520" w:hanging="360"/>
      </w:pPr>
      <w:rPr>
        <w:rFonts w:ascii="Wingdings" w:hAnsi="Wingdings" w:hint="default"/>
      </w:rPr>
    </w:lvl>
    <w:lvl w:ilvl="3" w:tplc="5678B172" w:tentative="1">
      <w:start w:val="1"/>
      <w:numFmt w:val="bullet"/>
      <w:lvlText w:val=""/>
      <w:lvlJc w:val="left"/>
      <w:pPr>
        <w:ind w:left="3240" w:hanging="360"/>
      </w:pPr>
      <w:rPr>
        <w:rFonts w:ascii="Symbol" w:hAnsi="Symbol" w:hint="default"/>
      </w:rPr>
    </w:lvl>
    <w:lvl w:ilvl="4" w:tplc="DDACD202" w:tentative="1">
      <w:start w:val="1"/>
      <w:numFmt w:val="bullet"/>
      <w:lvlText w:val="o"/>
      <w:lvlJc w:val="left"/>
      <w:pPr>
        <w:ind w:left="3960" w:hanging="360"/>
      </w:pPr>
      <w:rPr>
        <w:rFonts w:ascii="Courier New" w:hAnsi="Courier New" w:cs="Courier New" w:hint="default"/>
      </w:rPr>
    </w:lvl>
    <w:lvl w:ilvl="5" w:tplc="31F86A6C" w:tentative="1">
      <w:start w:val="1"/>
      <w:numFmt w:val="bullet"/>
      <w:lvlText w:val=""/>
      <w:lvlJc w:val="left"/>
      <w:pPr>
        <w:ind w:left="4680" w:hanging="360"/>
      </w:pPr>
      <w:rPr>
        <w:rFonts w:ascii="Wingdings" w:hAnsi="Wingdings" w:hint="default"/>
      </w:rPr>
    </w:lvl>
    <w:lvl w:ilvl="6" w:tplc="0DB421FC" w:tentative="1">
      <w:start w:val="1"/>
      <w:numFmt w:val="bullet"/>
      <w:lvlText w:val=""/>
      <w:lvlJc w:val="left"/>
      <w:pPr>
        <w:ind w:left="5400" w:hanging="360"/>
      </w:pPr>
      <w:rPr>
        <w:rFonts w:ascii="Symbol" w:hAnsi="Symbol" w:hint="default"/>
      </w:rPr>
    </w:lvl>
    <w:lvl w:ilvl="7" w:tplc="2CD8EA40" w:tentative="1">
      <w:start w:val="1"/>
      <w:numFmt w:val="bullet"/>
      <w:lvlText w:val="o"/>
      <w:lvlJc w:val="left"/>
      <w:pPr>
        <w:ind w:left="6120" w:hanging="360"/>
      </w:pPr>
      <w:rPr>
        <w:rFonts w:ascii="Courier New" w:hAnsi="Courier New" w:cs="Courier New" w:hint="default"/>
      </w:rPr>
    </w:lvl>
    <w:lvl w:ilvl="8" w:tplc="5E7E7C98" w:tentative="1">
      <w:start w:val="1"/>
      <w:numFmt w:val="bullet"/>
      <w:lvlText w:val=""/>
      <w:lvlJc w:val="left"/>
      <w:pPr>
        <w:ind w:left="6840" w:hanging="360"/>
      </w:pPr>
      <w:rPr>
        <w:rFonts w:ascii="Wingdings" w:hAnsi="Wingdings" w:hint="default"/>
      </w:rPr>
    </w:lvl>
  </w:abstractNum>
  <w:abstractNum w:abstractNumId="27">
    <w:nsid w:val="614C74C1"/>
    <w:multiLevelType w:val="hybridMultilevel"/>
    <w:tmpl w:val="C27EFDD0"/>
    <w:lvl w:ilvl="0" w:tplc="3CDAF614">
      <w:start w:val="1"/>
      <w:numFmt w:val="bullet"/>
      <w:lvlText w:val=""/>
      <w:lvlJc w:val="left"/>
      <w:pPr>
        <w:ind w:left="720" w:hanging="360"/>
      </w:pPr>
      <w:rPr>
        <w:rFonts w:ascii="Symbol" w:hAnsi="Symbol" w:hint="default"/>
      </w:rPr>
    </w:lvl>
    <w:lvl w:ilvl="1" w:tplc="E2F0C9BC" w:tentative="1">
      <w:start w:val="1"/>
      <w:numFmt w:val="bullet"/>
      <w:lvlText w:val="o"/>
      <w:lvlJc w:val="left"/>
      <w:pPr>
        <w:ind w:left="1440" w:hanging="360"/>
      </w:pPr>
      <w:rPr>
        <w:rFonts w:ascii="Courier New" w:hAnsi="Courier New" w:cs="Courier New" w:hint="default"/>
      </w:rPr>
    </w:lvl>
    <w:lvl w:ilvl="2" w:tplc="CA70CF5C" w:tentative="1">
      <w:start w:val="1"/>
      <w:numFmt w:val="bullet"/>
      <w:lvlText w:val=""/>
      <w:lvlJc w:val="left"/>
      <w:pPr>
        <w:ind w:left="2160" w:hanging="360"/>
      </w:pPr>
      <w:rPr>
        <w:rFonts w:ascii="Wingdings" w:hAnsi="Wingdings" w:hint="default"/>
      </w:rPr>
    </w:lvl>
    <w:lvl w:ilvl="3" w:tplc="8D44D456" w:tentative="1">
      <w:start w:val="1"/>
      <w:numFmt w:val="bullet"/>
      <w:lvlText w:val=""/>
      <w:lvlJc w:val="left"/>
      <w:pPr>
        <w:ind w:left="2880" w:hanging="360"/>
      </w:pPr>
      <w:rPr>
        <w:rFonts w:ascii="Symbol" w:hAnsi="Symbol" w:hint="default"/>
      </w:rPr>
    </w:lvl>
    <w:lvl w:ilvl="4" w:tplc="7CE4A626" w:tentative="1">
      <w:start w:val="1"/>
      <w:numFmt w:val="bullet"/>
      <w:lvlText w:val="o"/>
      <w:lvlJc w:val="left"/>
      <w:pPr>
        <w:ind w:left="3600" w:hanging="360"/>
      </w:pPr>
      <w:rPr>
        <w:rFonts w:ascii="Courier New" w:hAnsi="Courier New" w:cs="Courier New" w:hint="default"/>
      </w:rPr>
    </w:lvl>
    <w:lvl w:ilvl="5" w:tplc="A186449C" w:tentative="1">
      <w:start w:val="1"/>
      <w:numFmt w:val="bullet"/>
      <w:lvlText w:val=""/>
      <w:lvlJc w:val="left"/>
      <w:pPr>
        <w:ind w:left="4320" w:hanging="360"/>
      </w:pPr>
      <w:rPr>
        <w:rFonts w:ascii="Wingdings" w:hAnsi="Wingdings" w:hint="default"/>
      </w:rPr>
    </w:lvl>
    <w:lvl w:ilvl="6" w:tplc="95208B36" w:tentative="1">
      <w:start w:val="1"/>
      <w:numFmt w:val="bullet"/>
      <w:lvlText w:val=""/>
      <w:lvlJc w:val="left"/>
      <w:pPr>
        <w:ind w:left="5040" w:hanging="360"/>
      </w:pPr>
      <w:rPr>
        <w:rFonts w:ascii="Symbol" w:hAnsi="Symbol" w:hint="default"/>
      </w:rPr>
    </w:lvl>
    <w:lvl w:ilvl="7" w:tplc="3D1A7DF4" w:tentative="1">
      <w:start w:val="1"/>
      <w:numFmt w:val="bullet"/>
      <w:lvlText w:val="o"/>
      <w:lvlJc w:val="left"/>
      <w:pPr>
        <w:ind w:left="5760" w:hanging="360"/>
      </w:pPr>
      <w:rPr>
        <w:rFonts w:ascii="Courier New" w:hAnsi="Courier New" w:cs="Courier New" w:hint="default"/>
      </w:rPr>
    </w:lvl>
    <w:lvl w:ilvl="8" w:tplc="86560E68" w:tentative="1">
      <w:start w:val="1"/>
      <w:numFmt w:val="bullet"/>
      <w:lvlText w:val=""/>
      <w:lvlJc w:val="left"/>
      <w:pPr>
        <w:ind w:left="6480" w:hanging="360"/>
      </w:pPr>
      <w:rPr>
        <w:rFonts w:ascii="Wingdings" w:hAnsi="Wingdings" w:hint="default"/>
      </w:rPr>
    </w:lvl>
  </w:abstractNum>
  <w:abstractNum w:abstractNumId="28">
    <w:nsid w:val="6189026D"/>
    <w:multiLevelType w:val="hybridMultilevel"/>
    <w:tmpl w:val="3EC20C2E"/>
    <w:lvl w:ilvl="0" w:tplc="3C2CC5AC">
      <w:start w:val="1"/>
      <w:numFmt w:val="bullet"/>
      <w:lvlText w:val=""/>
      <w:lvlJc w:val="left"/>
      <w:pPr>
        <w:ind w:left="720" w:hanging="360"/>
      </w:pPr>
      <w:rPr>
        <w:rFonts w:ascii="Symbol" w:hAnsi="Symbol" w:hint="default"/>
      </w:rPr>
    </w:lvl>
    <w:lvl w:ilvl="1" w:tplc="0388E88E" w:tentative="1">
      <w:start w:val="1"/>
      <w:numFmt w:val="bullet"/>
      <w:lvlText w:val="o"/>
      <w:lvlJc w:val="left"/>
      <w:pPr>
        <w:ind w:left="1440" w:hanging="360"/>
      </w:pPr>
      <w:rPr>
        <w:rFonts w:ascii="Courier New" w:hAnsi="Courier New" w:cs="Courier New" w:hint="default"/>
      </w:rPr>
    </w:lvl>
    <w:lvl w:ilvl="2" w:tplc="2230D59E" w:tentative="1">
      <w:start w:val="1"/>
      <w:numFmt w:val="bullet"/>
      <w:lvlText w:val=""/>
      <w:lvlJc w:val="left"/>
      <w:pPr>
        <w:ind w:left="2160" w:hanging="360"/>
      </w:pPr>
      <w:rPr>
        <w:rFonts w:ascii="Wingdings" w:hAnsi="Wingdings" w:hint="default"/>
      </w:rPr>
    </w:lvl>
    <w:lvl w:ilvl="3" w:tplc="B4FE1F50" w:tentative="1">
      <w:start w:val="1"/>
      <w:numFmt w:val="bullet"/>
      <w:lvlText w:val=""/>
      <w:lvlJc w:val="left"/>
      <w:pPr>
        <w:ind w:left="2880" w:hanging="360"/>
      </w:pPr>
      <w:rPr>
        <w:rFonts w:ascii="Symbol" w:hAnsi="Symbol" w:hint="default"/>
      </w:rPr>
    </w:lvl>
    <w:lvl w:ilvl="4" w:tplc="89646926" w:tentative="1">
      <w:start w:val="1"/>
      <w:numFmt w:val="bullet"/>
      <w:lvlText w:val="o"/>
      <w:lvlJc w:val="left"/>
      <w:pPr>
        <w:ind w:left="3600" w:hanging="360"/>
      </w:pPr>
      <w:rPr>
        <w:rFonts w:ascii="Courier New" w:hAnsi="Courier New" w:cs="Courier New" w:hint="default"/>
      </w:rPr>
    </w:lvl>
    <w:lvl w:ilvl="5" w:tplc="5A04D15C" w:tentative="1">
      <w:start w:val="1"/>
      <w:numFmt w:val="bullet"/>
      <w:lvlText w:val=""/>
      <w:lvlJc w:val="left"/>
      <w:pPr>
        <w:ind w:left="4320" w:hanging="360"/>
      </w:pPr>
      <w:rPr>
        <w:rFonts w:ascii="Wingdings" w:hAnsi="Wingdings" w:hint="default"/>
      </w:rPr>
    </w:lvl>
    <w:lvl w:ilvl="6" w:tplc="68B45978" w:tentative="1">
      <w:start w:val="1"/>
      <w:numFmt w:val="bullet"/>
      <w:lvlText w:val=""/>
      <w:lvlJc w:val="left"/>
      <w:pPr>
        <w:ind w:left="5040" w:hanging="360"/>
      </w:pPr>
      <w:rPr>
        <w:rFonts w:ascii="Symbol" w:hAnsi="Symbol" w:hint="default"/>
      </w:rPr>
    </w:lvl>
    <w:lvl w:ilvl="7" w:tplc="C6FEB77C" w:tentative="1">
      <w:start w:val="1"/>
      <w:numFmt w:val="bullet"/>
      <w:lvlText w:val="o"/>
      <w:lvlJc w:val="left"/>
      <w:pPr>
        <w:ind w:left="5760" w:hanging="360"/>
      </w:pPr>
      <w:rPr>
        <w:rFonts w:ascii="Courier New" w:hAnsi="Courier New" w:cs="Courier New" w:hint="default"/>
      </w:rPr>
    </w:lvl>
    <w:lvl w:ilvl="8" w:tplc="C0A87F76" w:tentative="1">
      <w:start w:val="1"/>
      <w:numFmt w:val="bullet"/>
      <w:lvlText w:val=""/>
      <w:lvlJc w:val="left"/>
      <w:pPr>
        <w:ind w:left="6480" w:hanging="360"/>
      </w:pPr>
      <w:rPr>
        <w:rFonts w:ascii="Wingdings" w:hAnsi="Wingdings" w:hint="default"/>
      </w:rPr>
    </w:lvl>
  </w:abstractNum>
  <w:abstractNum w:abstractNumId="29">
    <w:nsid w:val="6E2E225E"/>
    <w:multiLevelType w:val="hybridMultilevel"/>
    <w:tmpl w:val="39804DFE"/>
    <w:lvl w:ilvl="0" w:tplc="AF48F14E">
      <w:start w:val="1"/>
      <w:numFmt w:val="bullet"/>
      <w:lvlText w:val=""/>
      <w:lvlJc w:val="left"/>
      <w:pPr>
        <w:ind w:left="720" w:hanging="360"/>
      </w:pPr>
      <w:rPr>
        <w:rFonts w:ascii="Symbol" w:hAnsi="Symbol" w:hint="default"/>
      </w:rPr>
    </w:lvl>
    <w:lvl w:ilvl="1" w:tplc="DB607DC0" w:tentative="1">
      <w:start w:val="1"/>
      <w:numFmt w:val="bullet"/>
      <w:lvlText w:val="o"/>
      <w:lvlJc w:val="left"/>
      <w:pPr>
        <w:ind w:left="1440" w:hanging="360"/>
      </w:pPr>
      <w:rPr>
        <w:rFonts w:ascii="Courier New" w:hAnsi="Courier New" w:cs="Courier New" w:hint="default"/>
      </w:rPr>
    </w:lvl>
    <w:lvl w:ilvl="2" w:tplc="8E6C462A" w:tentative="1">
      <w:start w:val="1"/>
      <w:numFmt w:val="bullet"/>
      <w:lvlText w:val=""/>
      <w:lvlJc w:val="left"/>
      <w:pPr>
        <w:ind w:left="2160" w:hanging="360"/>
      </w:pPr>
      <w:rPr>
        <w:rFonts w:ascii="Wingdings" w:hAnsi="Wingdings" w:hint="default"/>
      </w:rPr>
    </w:lvl>
    <w:lvl w:ilvl="3" w:tplc="0EB21B46" w:tentative="1">
      <w:start w:val="1"/>
      <w:numFmt w:val="bullet"/>
      <w:lvlText w:val=""/>
      <w:lvlJc w:val="left"/>
      <w:pPr>
        <w:ind w:left="2880" w:hanging="360"/>
      </w:pPr>
      <w:rPr>
        <w:rFonts w:ascii="Symbol" w:hAnsi="Symbol" w:hint="default"/>
      </w:rPr>
    </w:lvl>
    <w:lvl w:ilvl="4" w:tplc="8BB0400A" w:tentative="1">
      <w:start w:val="1"/>
      <w:numFmt w:val="bullet"/>
      <w:lvlText w:val="o"/>
      <w:lvlJc w:val="left"/>
      <w:pPr>
        <w:ind w:left="3600" w:hanging="360"/>
      </w:pPr>
      <w:rPr>
        <w:rFonts w:ascii="Courier New" w:hAnsi="Courier New" w:cs="Courier New" w:hint="default"/>
      </w:rPr>
    </w:lvl>
    <w:lvl w:ilvl="5" w:tplc="317E32C4" w:tentative="1">
      <w:start w:val="1"/>
      <w:numFmt w:val="bullet"/>
      <w:lvlText w:val=""/>
      <w:lvlJc w:val="left"/>
      <w:pPr>
        <w:ind w:left="4320" w:hanging="360"/>
      </w:pPr>
      <w:rPr>
        <w:rFonts w:ascii="Wingdings" w:hAnsi="Wingdings" w:hint="default"/>
      </w:rPr>
    </w:lvl>
    <w:lvl w:ilvl="6" w:tplc="E38CF49C" w:tentative="1">
      <w:start w:val="1"/>
      <w:numFmt w:val="bullet"/>
      <w:lvlText w:val=""/>
      <w:lvlJc w:val="left"/>
      <w:pPr>
        <w:ind w:left="5040" w:hanging="360"/>
      </w:pPr>
      <w:rPr>
        <w:rFonts w:ascii="Symbol" w:hAnsi="Symbol" w:hint="default"/>
      </w:rPr>
    </w:lvl>
    <w:lvl w:ilvl="7" w:tplc="AD8EC356" w:tentative="1">
      <w:start w:val="1"/>
      <w:numFmt w:val="bullet"/>
      <w:lvlText w:val="o"/>
      <w:lvlJc w:val="left"/>
      <w:pPr>
        <w:ind w:left="5760" w:hanging="360"/>
      </w:pPr>
      <w:rPr>
        <w:rFonts w:ascii="Courier New" w:hAnsi="Courier New" w:cs="Courier New" w:hint="default"/>
      </w:rPr>
    </w:lvl>
    <w:lvl w:ilvl="8" w:tplc="313C1306" w:tentative="1">
      <w:start w:val="1"/>
      <w:numFmt w:val="bullet"/>
      <w:lvlText w:val=""/>
      <w:lvlJc w:val="left"/>
      <w:pPr>
        <w:ind w:left="6480" w:hanging="360"/>
      </w:pPr>
      <w:rPr>
        <w:rFonts w:ascii="Wingdings" w:hAnsi="Wingdings" w:hint="default"/>
      </w:rPr>
    </w:lvl>
  </w:abstractNum>
  <w:abstractNum w:abstractNumId="30">
    <w:nsid w:val="6F351A53"/>
    <w:multiLevelType w:val="hybridMultilevel"/>
    <w:tmpl w:val="A22E4046"/>
    <w:lvl w:ilvl="0" w:tplc="F3188D2E">
      <w:start w:val="1"/>
      <w:numFmt w:val="lowerRoman"/>
      <w:pStyle w:val="Textstand-alonenumberingRCIndentJustified"/>
      <w:lvlText w:val="(%1)"/>
      <w:lvlJc w:val="left"/>
      <w:pPr>
        <w:ind w:left="720" w:hanging="360"/>
      </w:pPr>
      <w:rPr>
        <w:rFonts w:hint="default"/>
      </w:rPr>
    </w:lvl>
    <w:lvl w:ilvl="1" w:tplc="9A6CA572" w:tentative="1">
      <w:start w:val="1"/>
      <w:numFmt w:val="lowerLetter"/>
      <w:lvlText w:val="%2."/>
      <w:lvlJc w:val="left"/>
      <w:pPr>
        <w:ind w:left="1440" w:hanging="360"/>
      </w:pPr>
    </w:lvl>
    <w:lvl w:ilvl="2" w:tplc="B4302EDA" w:tentative="1">
      <w:start w:val="1"/>
      <w:numFmt w:val="lowerRoman"/>
      <w:lvlText w:val="%3."/>
      <w:lvlJc w:val="right"/>
      <w:pPr>
        <w:ind w:left="2160" w:hanging="180"/>
      </w:pPr>
    </w:lvl>
    <w:lvl w:ilvl="3" w:tplc="C3FAEDCE" w:tentative="1">
      <w:start w:val="1"/>
      <w:numFmt w:val="decimal"/>
      <w:lvlText w:val="%4."/>
      <w:lvlJc w:val="left"/>
      <w:pPr>
        <w:ind w:left="2880" w:hanging="360"/>
      </w:pPr>
    </w:lvl>
    <w:lvl w:ilvl="4" w:tplc="7BB41DB4" w:tentative="1">
      <w:start w:val="1"/>
      <w:numFmt w:val="lowerLetter"/>
      <w:lvlText w:val="%5."/>
      <w:lvlJc w:val="left"/>
      <w:pPr>
        <w:ind w:left="3600" w:hanging="360"/>
      </w:pPr>
    </w:lvl>
    <w:lvl w:ilvl="5" w:tplc="C2C0DDB6" w:tentative="1">
      <w:start w:val="1"/>
      <w:numFmt w:val="lowerRoman"/>
      <w:lvlText w:val="%6."/>
      <w:lvlJc w:val="right"/>
      <w:pPr>
        <w:ind w:left="4320" w:hanging="180"/>
      </w:pPr>
    </w:lvl>
    <w:lvl w:ilvl="6" w:tplc="454CFF16" w:tentative="1">
      <w:start w:val="1"/>
      <w:numFmt w:val="decimal"/>
      <w:lvlText w:val="%7."/>
      <w:lvlJc w:val="left"/>
      <w:pPr>
        <w:ind w:left="5040" w:hanging="360"/>
      </w:pPr>
    </w:lvl>
    <w:lvl w:ilvl="7" w:tplc="7B341D6A" w:tentative="1">
      <w:start w:val="1"/>
      <w:numFmt w:val="lowerLetter"/>
      <w:lvlText w:val="%8."/>
      <w:lvlJc w:val="left"/>
      <w:pPr>
        <w:ind w:left="5760" w:hanging="360"/>
      </w:pPr>
    </w:lvl>
    <w:lvl w:ilvl="8" w:tplc="BCF495B6" w:tentative="1">
      <w:start w:val="1"/>
      <w:numFmt w:val="lowerRoman"/>
      <w:lvlText w:val="%9."/>
      <w:lvlJc w:val="right"/>
      <w:pPr>
        <w:ind w:left="6480" w:hanging="180"/>
      </w:pPr>
    </w:lvl>
  </w:abstractNum>
  <w:abstractNum w:abstractNumId="31">
    <w:nsid w:val="6F351A54"/>
    <w:multiLevelType w:val="hybridMultilevel"/>
    <w:tmpl w:val="0C4AF42A"/>
    <w:lvl w:ilvl="0" w:tplc="055870DC">
      <w:start w:val="1"/>
      <w:numFmt w:val="bullet"/>
      <w:lvlText w:val=""/>
      <w:lvlJc w:val="left"/>
      <w:pPr>
        <w:ind w:left="720" w:hanging="360"/>
      </w:pPr>
      <w:rPr>
        <w:rFonts w:ascii="Symbol" w:hAnsi="Symbol" w:hint="default"/>
      </w:rPr>
    </w:lvl>
    <w:lvl w:ilvl="1" w:tplc="2D764D64" w:tentative="1">
      <w:start w:val="1"/>
      <w:numFmt w:val="bullet"/>
      <w:lvlText w:val="o"/>
      <w:lvlJc w:val="left"/>
      <w:pPr>
        <w:ind w:left="1440" w:hanging="360"/>
      </w:pPr>
      <w:rPr>
        <w:rFonts w:ascii="Courier New" w:hAnsi="Courier New" w:cs="Courier New" w:hint="default"/>
      </w:rPr>
    </w:lvl>
    <w:lvl w:ilvl="2" w:tplc="480685DC" w:tentative="1">
      <w:start w:val="1"/>
      <w:numFmt w:val="bullet"/>
      <w:lvlText w:val=""/>
      <w:lvlJc w:val="left"/>
      <w:pPr>
        <w:ind w:left="2160" w:hanging="360"/>
      </w:pPr>
      <w:rPr>
        <w:rFonts w:ascii="Wingdings" w:hAnsi="Wingdings" w:hint="default"/>
      </w:rPr>
    </w:lvl>
    <w:lvl w:ilvl="3" w:tplc="AE906346" w:tentative="1">
      <w:start w:val="1"/>
      <w:numFmt w:val="bullet"/>
      <w:lvlText w:val=""/>
      <w:lvlJc w:val="left"/>
      <w:pPr>
        <w:ind w:left="2880" w:hanging="360"/>
      </w:pPr>
      <w:rPr>
        <w:rFonts w:ascii="Symbol" w:hAnsi="Symbol" w:hint="default"/>
      </w:rPr>
    </w:lvl>
    <w:lvl w:ilvl="4" w:tplc="FD902682" w:tentative="1">
      <w:start w:val="1"/>
      <w:numFmt w:val="bullet"/>
      <w:lvlText w:val="o"/>
      <w:lvlJc w:val="left"/>
      <w:pPr>
        <w:ind w:left="3600" w:hanging="360"/>
      </w:pPr>
      <w:rPr>
        <w:rFonts w:ascii="Courier New" w:hAnsi="Courier New" w:cs="Courier New" w:hint="default"/>
      </w:rPr>
    </w:lvl>
    <w:lvl w:ilvl="5" w:tplc="941448A4" w:tentative="1">
      <w:start w:val="1"/>
      <w:numFmt w:val="bullet"/>
      <w:lvlText w:val=""/>
      <w:lvlJc w:val="left"/>
      <w:pPr>
        <w:ind w:left="4320" w:hanging="360"/>
      </w:pPr>
      <w:rPr>
        <w:rFonts w:ascii="Wingdings" w:hAnsi="Wingdings" w:hint="default"/>
      </w:rPr>
    </w:lvl>
    <w:lvl w:ilvl="6" w:tplc="0B74CF82" w:tentative="1">
      <w:start w:val="1"/>
      <w:numFmt w:val="bullet"/>
      <w:lvlText w:val=""/>
      <w:lvlJc w:val="left"/>
      <w:pPr>
        <w:ind w:left="5040" w:hanging="360"/>
      </w:pPr>
      <w:rPr>
        <w:rFonts w:ascii="Symbol" w:hAnsi="Symbol" w:hint="default"/>
      </w:rPr>
    </w:lvl>
    <w:lvl w:ilvl="7" w:tplc="6D887FC2" w:tentative="1">
      <w:start w:val="1"/>
      <w:numFmt w:val="bullet"/>
      <w:lvlText w:val="o"/>
      <w:lvlJc w:val="left"/>
      <w:pPr>
        <w:ind w:left="5760" w:hanging="360"/>
      </w:pPr>
      <w:rPr>
        <w:rFonts w:ascii="Courier New" w:hAnsi="Courier New" w:cs="Courier New" w:hint="default"/>
      </w:rPr>
    </w:lvl>
    <w:lvl w:ilvl="8" w:tplc="C3D2D294" w:tentative="1">
      <w:start w:val="1"/>
      <w:numFmt w:val="bullet"/>
      <w:lvlText w:val=""/>
      <w:lvlJc w:val="left"/>
      <w:pPr>
        <w:ind w:left="6480" w:hanging="360"/>
      </w:pPr>
      <w:rPr>
        <w:rFonts w:ascii="Wingdings" w:hAnsi="Wingdings" w:hint="default"/>
      </w:rPr>
    </w:lvl>
  </w:abstractNum>
  <w:abstractNum w:abstractNumId="32">
    <w:nsid w:val="6F351A55"/>
    <w:multiLevelType w:val="hybridMultilevel"/>
    <w:tmpl w:val="1B526418"/>
    <w:lvl w:ilvl="0" w:tplc="31D8726E">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7C38E9B4">
      <w:start w:val="1"/>
      <w:numFmt w:val="bullet"/>
      <w:lvlText w:val="o"/>
      <w:lvlJc w:val="left"/>
      <w:pPr>
        <w:ind w:left="1440" w:hanging="360"/>
      </w:pPr>
      <w:rPr>
        <w:rFonts w:ascii="Courier New" w:hAnsi="Courier New" w:cs="Courier New" w:hint="default"/>
      </w:rPr>
    </w:lvl>
    <w:lvl w:ilvl="2" w:tplc="5E882062" w:tentative="1">
      <w:start w:val="1"/>
      <w:numFmt w:val="bullet"/>
      <w:lvlText w:val=""/>
      <w:lvlJc w:val="left"/>
      <w:pPr>
        <w:ind w:left="2160" w:hanging="360"/>
      </w:pPr>
      <w:rPr>
        <w:rFonts w:ascii="Wingdings" w:hAnsi="Wingdings" w:hint="default"/>
      </w:rPr>
    </w:lvl>
    <w:lvl w:ilvl="3" w:tplc="C15A4890" w:tentative="1">
      <w:start w:val="1"/>
      <w:numFmt w:val="bullet"/>
      <w:lvlText w:val=""/>
      <w:lvlJc w:val="left"/>
      <w:pPr>
        <w:ind w:left="2880" w:hanging="360"/>
      </w:pPr>
      <w:rPr>
        <w:rFonts w:ascii="Symbol" w:hAnsi="Symbol" w:hint="default"/>
      </w:rPr>
    </w:lvl>
    <w:lvl w:ilvl="4" w:tplc="42BA3F46" w:tentative="1">
      <w:start w:val="1"/>
      <w:numFmt w:val="bullet"/>
      <w:lvlText w:val="o"/>
      <w:lvlJc w:val="left"/>
      <w:pPr>
        <w:ind w:left="3600" w:hanging="360"/>
      </w:pPr>
      <w:rPr>
        <w:rFonts w:ascii="Courier New" w:hAnsi="Courier New" w:cs="Courier New" w:hint="default"/>
      </w:rPr>
    </w:lvl>
    <w:lvl w:ilvl="5" w:tplc="F1722B3A" w:tentative="1">
      <w:start w:val="1"/>
      <w:numFmt w:val="bullet"/>
      <w:lvlText w:val=""/>
      <w:lvlJc w:val="left"/>
      <w:pPr>
        <w:ind w:left="4320" w:hanging="360"/>
      </w:pPr>
      <w:rPr>
        <w:rFonts w:ascii="Wingdings" w:hAnsi="Wingdings" w:hint="default"/>
      </w:rPr>
    </w:lvl>
    <w:lvl w:ilvl="6" w:tplc="D08E86B2" w:tentative="1">
      <w:start w:val="1"/>
      <w:numFmt w:val="bullet"/>
      <w:lvlText w:val=""/>
      <w:lvlJc w:val="left"/>
      <w:pPr>
        <w:ind w:left="5040" w:hanging="360"/>
      </w:pPr>
      <w:rPr>
        <w:rFonts w:ascii="Symbol" w:hAnsi="Symbol" w:hint="default"/>
      </w:rPr>
    </w:lvl>
    <w:lvl w:ilvl="7" w:tplc="D8D26D62" w:tentative="1">
      <w:start w:val="1"/>
      <w:numFmt w:val="bullet"/>
      <w:lvlText w:val="o"/>
      <w:lvlJc w:val="left"/>
      <w:pPr>
        <w:ind w:left="5760" w:hanging="360"/>
      </w:pPr>
      <w:rPr>
        <w:rFonts w:ascii="Courier New" w:hAnsi="Courier New" w:cs="Courier New" w:hint="default"/>
      </w:rPr>
    </w:lvl>
    <w:lvl w:ilvl="8" w:tplc="D7C405E0" w:tentative="1">
      <w:start w:val="1"/>
      <w:numFmt w:val="bullet"/>
      <w:lvlText w:val=""/>
      <w:lvlJc w:val="left"/>
      <w:pPr>
        <w:ind w:left="6480" w:hanging="360"/>
      </w:pPr>
      <w:rPr>
        <w:rFonts w:ascii="Wingdings" w:hAnsi="Wingdings" w:hint="default"/>
      </w:rPr>
    </w:lvl>
  </w:abstractNum>
  <w:abstractNum w:abstractNumId="33">
    <w:nsid w:val="6F351A61"/>
    <w:multiLevelType w:val="hybridMultilevel"/>
    <w:tmpl w:val="7200EC64"/>
    <w:lvl w:ilvl="0" w:tplc="AF5E32FC">
      <w:start w:val="1"/>
      <w:numFmt w:val="bullet"/>
      <w:lvlText w:val=""/>
      <w:lvlJc w:val="left"/>
      <w:pPr>
        <w:ind w:left="720" w:hanging="360"/>
      </w:pPr>
      <w:rPr>
        <w:rFonts w:ascii="Symbol" w:hAnsi="Symbol" w:hint="default"/>
      </w:rPr>
    </w:lvl>
    <w:lvl w:ilvl="1" w:tplc="400EBF98" w:tentative="1">
      <w:start w:val="1"/>
      <w:numFmt w:val="bullet"/>
      <w:lvlText w:val="o"/>
      <w:lvlJc w:val="left"/>
      <w:pPr>
        <w:ind w:left="1440" w:hanging="360"/>
      </w:pPr>
      <w:rPr>
        <w:rFonts w:ascii="Courier New" w:hAnsi="Courier New" w:cs="Courier New" w:hint="default"/>
      </w:rPr>
    </w:lvl>
    <w:lvl w:ilvl="2" w:tplc="9E107B44" w:tentative="1">
      <w:start w:val="1"/>
      <w:numFmt w:val="bullet"/>
      <w:lvlText w:val=""/>
      <w:lvlJc w:val="left"/>
      <w:pPr>
        <w:ind w:left="2160" w:hanging="360"/>
      </w:pPr>
      <w:rPr>
        <w:rFonts w:ascii="Wingdings" w:hAnsi="Wingdings" w:hint="default"/>
      </w:rPr>
    </w:lvl>
    <w:lvl w:ilvl="3" w:tplc="69929998" w:tentative="1">
      <w:start w:val="1"/>
      <w:numFmt w:val="bullet"/>
      <w:lvlText w:val=""/>
      <w:lvlJc w:val="left"/>
      <w:pPr>
        <w:ind w:left="2880" w:hanging="360"/>
      </w:pPr>
      <w:rPr>
        <w:rFonts w:ascii="Symbol" w:hAnsi="Symbol" w:hint="default"/>
      </w:rPr>
    </w:lvl>
    <w:lvl w:ilvl="4" w:tplc="D68063AA" w:tentative="1">
      <w:start w:val="1"/>
      <w:numFmt w:val="bullet"/>
      <w:lvlText w:val="o"/>
      <w:lvlJc w:val="left"/>
      <w:pPr>
        <w:ind w:left="3600" w:hanging="360"/>
      </w:pPr>
      <w:rPr>
        <w:rFonts w:ascii="Courier New" w:hAnsi="Courier New" w:cs="Courier New" w:hint="default"/>
      </w:rPr>
    </w:lvl>
    <w:lvl w:ilvl="5" w:tplc="D7CE937E" w:tentative="1">
      <w:start w:val="1"/>
      <w:numFmt w:val="bullet"/>
      <w:lvlText w:val=""/>
      <w:lvlJc w:val="left"/>
      <w:pPr>
        <w:ind w:left="4320" w:hanging="360"/>
      </w:pPr>
      <w:rPr>
        <w:rFonts w:ascii="Wingdings" w:hAnsi="Wingdings" w:hint="default"/>
      </w:rPr>
    </w:lvl>
    <w:lvl w:ilvl="6" w:tplc="CC8EF092" w:tentative="1">
      <w:start w:val="1"/>
      <w:numFmt w:val="bullet"/>
      <w:lvlText w:val=""/>
      <w:lvlJc w:val="left"/>
      <w:pPr>
        <w:ind w:left="5040" w:hanging="360"/>
      </w:pPr>
      <w:rPr>
        <w:rFonts w:ascii="Symbol" w:hAnsi="Symbol" w:hint="default"/>
      </w:rPr>
    </w:lvl>
    <w:lvl w:ilvl="7" w:tplc="C0E0E3F2" w:tentative="1">
      <w:start w:val="1"/>
      <w:numFmt w:val="bullet"/>
      <w:lvlText w:val="o"/>
      <w:lvlJc w:val="left"/>
      <w:pPr>
        <w:ind w:left="5760" w:hanging="360"/>
      </w:pPr>
      <w:rPr>
        <w:rFonts w:ascii="Courier New" w:hAnsi="Courier New" w:cs="Courier New" w:hint="default"/>
      </w:rPr>
    </w:lvl>
    <w:lvl w:ilvl="8" w:tplc="5694FDBA" w:tentative="1">
      <w:start w:val="1"/>
      <w:numFmt w:val="bullet"/>
      <w:lvlText w:val=""/>
      <w:lvlJc w:val="left"/>
      <w:pPr>
        <w:ind w:left="6480" w:hanging="360"/>
      </w:pPr>
      <w:rPr>
        <w:rFonts w:ascii="Wingdings" w:hAnsi="Wingdings" w:hint="default"/>
      </w:rPr>
    </w:lvl>
  </w:abstractNum>
  <w:abstractNum w:abstractNumId="34">
    <w:nsid w:val="6F351A62"/>
    <w:multiLevelType w:val="hybridMultilevel"/>
    <w:tmpl w:val="E9BA324C"/>
    <w:lvl w:ilvl="0" w:tplc="8FE83B46">
      <w:start w:val="1"/>
      <w:numFmt w:val="bullet"/>
      <w:lvlText w:val=""/>
      <w:lvlJc w:val="left"/>
      <w:pPr>
        <w:ind w:left="720" w:hanging="360"/>
      </w:pPr>
      <w:rPr>
        <w:rFonts w:ascii="Symbol" w:hAnsi="Symbol" w:hint="default"/>
      </w:rPr>
    </w:lvl>
    <w:lvl w:ilvl="1" w:tplc="750E3674" w:tentative="1">
      <w:start w:val="1"/>
      <w:numFmt w:val="bullet"/>
      <w:lvlText w:val="o"/>
      <w:lvlJc w:val="left"/>
      <w:pPr>
        <w:ind w:left="1440" w:hanging="360"/>
      </w:pPr>
      <w:rPr>
        <w:rFonts w:ascii="Courier New" w:hAnsi="Courier New" w:cs="Courier New" w:hint="default"/>
      </w:rPr>
    </w:lvl>
    <w:lvl w:ilvl="2" w:tplc="82DCBD38" w:tentative="1">
      <w:start w:val="1"/>
      <w:numFmt w:val="bullet"/>
      <w:lvlText w:val=""/>
      <w:lvlJc w:val="left"/>
      <w:pPr>
        <w:ind w:left="2160" w:hanging="360"/>
      </w:pPr>
      <w:rPr>
        <w:rFonts w:ascii="Wingdings" w:hAnsi="Wingdings" w:hint="default"/>
      </w:rPr>
    </w:lvl>
    <w:lvl w:ilvl="3" w:tplc="8F066A16" w:tentative="1">
      <w:start w:val="1"/>
      <w:numFmt w:val="bullet"/>
      <w:lvlText w:val=""/>
      <w:lvlJc w:val="left"/>
      <w:pPr>
        <w:ind w:left="2880" w:hanging="360"/>
      </w:pPr>
      <w:rPr>
        <w:rFonts w:ascii="Symbol" w:hAnsi="Symbol" w:hint="default"/>
      </w:rPr>
    </w:lvl>
    <w:lvl w:ilvl="4" w:tplc="5D924832" w:tentative="1">
      <w:start w:val="1"/>
      <w:numFmt w:val="bullet"/>
      <w:lvlText w:val="o"/>
      <w:lvlJc w:val="left"/>
      <w:pPr>
        <w:ind w:left="3600" w:hanging="360"/>
      </w:pPr>
      <w:rPr>
        <w:rFonts w:ascii="Courier New" w:hAnsi="Courier New" w:cs="Courier New" w:hint="default"/>
      </w:rPr>
    </w:lvl>
    <w:lvl w:ilvl="5" w:tplc="2E8E7EDE" w:tentative="1">
      <w:start w:val="1"/>
      <w:numFmt w:val="bullet"/>
      <w:lvlText w:val=""/>
      <w:lvlJc w:val="left"/>
      <w:pPr>
        <w:ind w:left="4320" w:hanging="360"/>
      </w:pPr>
      <w:rPr>
        <w:rFonts w:ascii="Wingdings" w:hAnsi="Wingdings" w:hint="default"/>
      </w:rPr>
    </w:lvl>
    <w:lvl w:ilvl="6" w:tplc="AB3829D2" w:tentative="1">
      <w:start w:val="1"/>
      <w:numFmt w:val="bullet"/>
      <w:lvlText w:val=""/>
      <w:lvlJc w:val="left"/>
      <w:pPr>
        <w:ind w:left="5040" w:hanging="360"/>
      </w:pPr>
      <w:rPr>
        <w:rFonts w:ascii="Symbol" w:hAnsi="Symbol" w:hint="default"/>
      </w:rPr>
    </w:lvl>
    <w:lvl w:ilvl="7" w:tplc="ADE84A44" w:tentative="1">
      <w:start w:val="1"/>
      <w:numFmt w:val="bullet"/>
      <w:lvlText w:val="o"/>
      <w:lvlJc w:val="left"/>
      <w:pPr>
        <w:ind w:left="5760" w:hanging="360"/>
      </w:pPr>
      <w:rPr>
        <w:rFonts w:ascii="Courier New" w:hAnsi="Courier New" w:cs="Courier New" w:hint="default"/>
      </w:rPr>
    </w:lvl>
    <w:lvl w:ilvl="8" w:tplc="850EDC8A" w:tentative="1">
      <w:start w:val="1"/>
      <w:numFmt w:val="bullet"/>
      <w:lvlText w:val=""/>
      <w:lvlJc w:val="left"/>
      <w:pPr>
        <w:ind w:left="6480" w:hanging="360"/>
      </w:pPr>
      <w:rPr>
        <w:rFonts w:ascii="Wingdings" w:hAnsi="Wingdings" w:hint="default"/>
      </w:rPr>
    </w:lvl>
  </w:abstractNum>
  <w:abstractNum w:abstractNumId="35">
    <w:nsid w:val="6F351A66"/>
    <w:multiLevelType w:val="hybridMultilevel"/>
    <w:tmpl w:val="14BE167C"/>
    <w:lvl w:ilvl="0" w:tplc="7C16BEA6">
      <w:start w:val="1"/>
      <w:numFmt w:val="bullet"/>
      <w:lvlText w:val=""/>
      <w:lvlJc w:val="left"/>
      <w:pPr>
        <w:ind w:left="720" w:hanging="360"/>
      </w:pPr>
      <w:rPr>
        <w:rFonts w:ascii="Symbol" w:hAnsi="Symbol" w:hint="default"/>
      </w:rPr>
    </w:lvl>
    <w:lvl w:ilvl="1" w:tplc="7AAA3624" w:tentative="1">
      <w:start w:val="1"/>
      <w:numFmt w:val="bullet"/>
      <w:lvlText w:val="o"/>
      <w:lvlJc w:val="left"/>
      <w:pPr>
        <w:ind w:left="1440" w:hanging="360"/>
      </w:pPr>
      <w:rPr>
        <w:rFonts w:ascii="Courier New" w:hAnsi="Courier New" w:cs="Courier New" w:hint="default"/>
      </w:rPr>
    </w:lvl>
    <w:lvl w:ilvl="2" w:tplc="93908EEC" w:tentative="1">
      <w:start w:val="1"/>
      <w:numFmt w:val="bullet"/>
      <w:lvlText w:val=""/>
      <w:lvlJc w:val="left"/>
      <w:pPr>
        <w:ind w:left="2160" w:hanging="360"/>
      </w:pPr>
      <w:rPr>
        <w:rFonts w:ascii="Wingdings" w:hAnsi="Wingdings" w:hint="default"/>
      </w:rPr>
    </w:lvl>
    <w:lvl w:ilvl="3" w:tplc="7DCC80B2" w:tentative="1">
      <w:start w:val="1"/>
      <w:numFmt w:val="bullet"/>
      <w:lvlText w:val=""/>
      <w:lvlJc w:val="left"/>
      <w:pPr>
        <w:ind w:left="2880" w:hanging="360"/>
      </w:pPr>
      <w:rPr>
        <w:rFonts w:ascii="Symbol" w:hAnsi="Symbol" w:hint="default"/>
      </w:rPr>
    </w:lvl>
    <w:lvl w:ilvl="4" w:tplc="A9F6D732" w:tentative="1">
      <w:start w:val="1"/>
      <w:numFmt w:val="bullet"/>
      <w:lvlText w:val="o"/>
      <w:lvlJc w:val="left"/>
      <w:pPr>
        <w:ind w:left="3600" w:hanging="360"/>
      </w:pPr>
      <w:rPr>
        <w:rFonts w:ascii="Courier New" w:hAnsi="Courier New" w:cs="Courier New" w:hint="default"/>
      </w:rPr>
    </w:lvl>
    <w:lvl w:ilvl="5" w:tplc="4AE6AD74" w:tentative="1">
      <w:start w:val="1"/>
      <w:numFmt w:val="bullet"/>
      <w:lvlText w:val=""/>
      <w:lvlJc w:val="left"/>
      <w:pPr>
        <w:ind w:left="4320" w:hanging="360"/>
      </w:pPr>
      <w:rPr>
        <w:rFonts w:ascii="Wingdings" w:hAnsi="Wingdings" w:hint="default"/>
      </w:rPr>
    </w:lvl>
    <w:lvl w:ilvl="6" w:tplc="B97A0356" w:tentative="1">
      <w:start w:val="1"/>
      <w:numFmt w:val="bullet"/>
      <w:lvlText w:val=""/>
      <w:lvlJc w:val="left"/>
      <w:pPr>
        <w:ind w:left="5040" w:hanging="360"/>
      </w:pPr>
      <w:rPr>
        <w:rFonts w:ascii="Symbol" w:hAnsi="Symbol" w:hint="default"/>
      </w:rPr>
    </w:lvl>
    <w:lvl w:ilvl="7" w:tplc="746CB94C" w:tentative="1">
      <w:start w:val="1"/>
      <w:numFmt w:val="bullet"/>
      <w:lvlText w:val="o"/>
      <w:lvlJc w:val="left"/>
      <w:pPr>
        <w:ind w:left="5760" w:hanging="360"/>
      </w:pPr>
      <w:rPr>
        <w:rFonts w:ascii="Courier New" w:hAnsi="Courier New" w:cs="Courier New" w:hint="default"/>
      </w:rPr>
    </w:lvl>
    <w:lvl w:ilvl="8" w:tplc="485C5416" w:tentative="1">
      <w:start w:val="1"/>
      <w:numFmt w:val="bullet"/>
      <w:lvlText w:val=""/>
      <w:lvlJc w:val="left"/>
      <w:pPr>
        <w:ind w:left="6480" w:hanging="360"/>
      </w:pPr>
      <w:rPr>
        <w:rFonts w:ascii="Wingdings" w:hAnsi="Wingdings" w:hint="default"/>
      </w:rPr>
    </w:lvl>
  </w:abstractNum>
  <w:abstractNum w:abstractNumId="36">
    <w:nsid w:val="6FC76223"/>
    <w:multiLevelType w:val="hybridMultilevel"/>
    <w:tmpl w:val="2A682C6A"/>
    <w:lvl w:ilvl="0" w:tplc="5A4EC9EC">
      <w:start w:val="1"/>
      <w:numFmt w:val="lowerLetter"/>
      <w:lvlText w:val="%1)"/>
      <w:lvlJc w:val="left"/>
      <w:pPr>
        <w:ind w:left="720" w:hanging="360"/>
      </w:pPr>
    </w:lvl>
    <w:lvl w:ilvl="1" w:tplc="1DCCA12E" w:tentative="1">
      <w:start w:val="1"/>
      <w:numFmt w:val="lowerLetter"/>
      <w:lvlText w:val="%2."/>
      <w:lvlJc w:val="left"/>
      <w:pPr>
        <w:ind w:left="1440" w:hanging="360"/>
      </w:pPr>
    </w:lvl>
    <w:lvl w:ilvl="2" w:tplc="EC2A8E14" w:tentative="1">
      <w:start w:val="1"/>
      <w:numFmt w:val="lowerRoman"/>
      <w:lvlText w:val="%3."/>
      <w:lvlJc w:val="right"/>
      <w:pPr>
        <w:ind w:left="2160" w:hanging="180"/>
      </w:pPr>
    </w:lvl>
    <w:lvl w:ilvl="3" w:tplc="16366450" w:tentative="1">
      <w:start w:val="1"/>
      <w:numFmt w:val="decimal"/>
      <w:lvlText w:val="%4."/>
      <w:lvlJc w:val="left"/>
      <w:pPr>
        <w:ind w:left="2880" w:hanging="360"/>
      </w:pPr>
    </w:lvl>
    <w:lvl w:ilvl="4" w:tplc="AF6430CE" w:tentative="1">
      <w:start w:val="1"/>
      <w:numFmt w:val="lowerLetter"/>
      <w:lvlText w:val="%5."/>
      <w:lvlJc w:val="left"/>
      <w:pPr>
        <w:ind w:left="3600" w:hanging="360"/>
      </w:pPr>
    </w:lvl>
    <w:lvl w:ilvl="5" w:tplc="9BC2DC38" w:tentative="1">
      <w:start w:val="1"/>
      <w:numFmt w:val="lowerRoman"/>
      <w:lvlText w:val="%6."/>
      <w:lvlJc w:val="right"/>
      <w:pPr>
        <w:ind w:left="4320" w:hanging="180"/>
      </w:pPr>
    </w:lvl>
    <w:lvl w:ilvl="6" w:tplc="F4A27A44" w:tentative="1">
      <w:start w:val="1"/>
      <w:numFmt w:val="decimal"/>
      <w:lvlText w:val="%7."/>
      <w:lvlJc w:val="left"/>
      <w:pPr>
        <w:ind w:left="5040" w:hanging="360"/>
      </w:pPr>
    </w:lvl>
    <w:lvl w:ilvl="7" w:tplc="FF120E5C" w:tentative="1">
      <w:start w:val="1"/>
      <w:numFmt w:val="lowerLetter"/>
      <w:lvlText w:val="%8."/>
      <w:lvlJc w:val="left"/>
      <w:pPr>
        <w:ind w:left="5760" w:hanging="360"/>
      </w:pPr>
    </w:lvl>
    <w:lvl w:ilvl="8" w:tplc="547479B8" w:tentative="1">
      <w:start w:val="1"/>
      <w:numFmt w:val="lowerRoman"/>
      <w:lvlText w:val="%9."/>
      <w:lvlJc w:val="right"/>
      <w:pPr>
        <w:ind w:left="6480" w:hanging="180"/>
      </w:pPr>
    </w:lvl>
  </w:abstractNum>
  <w:abstractNum w:abstractNumId="37">
    <w:nsid w:val="7B165141"/>
    <w:multiLevelType w:val="multilevel"/>
    <w:tmpl w:val="97AC25AC"/>
    <w:lvl w:ilvl="0">
      <w:start w:val="1"/>
      <w:numFmt w:val="decimal"/>
      <w:lvlText w:val="%1."/>
      <w:lvlJc w:val="left"/>
      <w:pPr>
        <w:ind w:left="907" w:hanging="907"/>
      </w:pPr>
      <w:rPr>
        <w:rFonts w:hint="default"/>
        <w:sz w:val="32"/>
      </w:rPr>
    </w:lvl>
    <w:lvl w:ilvl="1">
      <w:start w:val="1"/>
      <w:numFmt w:val="decimal"/>
      <w:lvlText w:val="%1.%2."/>
      <w:lvlJc w:val="left"/>
      <w:pPr>
        <w:ind w:left="907" w:hanging="907"/>
      </w:pPr>
      <w:rPr>
        <w:rFonts w:hint="default"/>
      </w:rPr>
    </w:lvl>
    <w:lvl w:ilvl="2">
      <w:start w:val="1"/>
      <w:numFmt w:val="decimal"/>
      <w:lvlText w:val="%1.%2.%3."/>
      <w:lvlJc w:val="left"/>
      <w:pPr>
        <w:ind w:left="907" w:hanging="907"/>
      </w:pPr>
      <w:rPr>
        <w:rFonts w:hint="default"/>
      </w:rPr>
    </w:lvl>
    <w:lvl w:ilvl="3">
      <w:start w:val="1"/>
      <w:numFmt w:val="decimal"/>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38">
    <w:nsid w:val="7C342F4E"/>
    <w:multiLevelType w:val="multilevel"/>
    <w:tmpl w:val="E46A7BD8"/>
    <w:lvl w:ilvl="0">
      <w:start w:val="1"/>
      <w:numFmt w:val="decimal"/>
      <w:lvlText w:val="%1."/>
      <w:lvlJc w:val="left"/>
      <w:pPr>
        <w:ind w:left="720" w:hanging="360"/>
      </w:pPr>
      <w:rPr>
        <w:rFonts w:hint="default"/>
      </w:rPr>
    </w:lvl>
    <w:lvl w:ilvl="1">
      <w:start w:val="1"/>
      <w:numFmt w:val="lowerLetter"/>
      <w:lvlText w:val="%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
  </w:num>
  <w:num w:numId="3">
    <w:abstractNumId w:val="5"/>
  </w:num>
  <w:num w:numId="4">
    <w:abstractNumId w:val="6"/>
  </w:num>
  <w:num w:numId="5">
    <w:abstractNumId w:val="0"/>
  </w:num>
  <w:num w:numId="6">
    <w:abstractNumId w:val="14"/>
  </w:num>
  <w:num w:numId="7">
    <w:abstractNumId w:val="20"/>
  </w:num>
  <w:num w:numId="8">
    <w:abstractNumId w:val="4"/>
  </w:num>
  <w:num w:numId="9">
    <w:abstractNumId w:val="26"/>
  </w:num>
  <w:num w:numId="10">
    <w:abstractNumId w:val="16"/>
  </w:num>
  <w:num w:numId="11">
    <w:abstractNumId w:val="30"/>
  </w:num>
  <w:num w:numId="12">
    <w:abstractNumId w:val="2"/>
  </w:num>
  <w:num w:numId="13">
    <w:abstractNumId w:val="8"/>
  </w:num>
  <w:num w:numId="14">
    <w:abstractNumId w:val="19"/>
  </w:num>
  <w:num w:numId="15">
    <w:abstractNumId w:val="11"/>
  </w:num>
  <w:num w:numId="16">
    <w:abstractNumId w:val="10"/>
  </w:num>
  <w:num w:numId="17">
    <w:abstractNumId w:val="11"/>
  </w:num>
  <w:num w:numId="18">
    <w:abstractNumId w:val="9"/>
  </w:num>
  <w:num w:numId="19">
    <w:abstractNumId w:val="22"/>
  </w:num>
  <w:num w:numId="20">
    <w:abstractNumId w:val="23"/>
  </w:num>
  <w:num w:numId="21">
    <w:abstractNumId w:val="18"/>
  </w:num>
  <w:num w:numId="22">
    <w:abstractNumId w:val="28"/>
  </w:num>
  <w:num w:numId="23">
    <w:abstractNumId w:val="36"/>
  </w:num>
  <w:num w:numId="24">
    <w:abstractNumId w:val="21"/>
  </w:num>
  <w:num w:numId="25">
    <w:abstractNumId w:val="12"/>
  </w:num>
  <w:num w:numId="26">
    <w:abstractNumId w:val="27"/>
  </w:num>
  <w:num w:numId="27">
    <w:abstractNumId w:val="25"/>
  </w:num>
  <w:num w:numId="28">
    <w:abstractNumId w:val="29"/>
  </w:num>
  <w:num w:numId="29">
    <w:abstractNumId w:val="13"/>
  </w:num>
  <w:num w:numId="30">
    <w:abstractNumId w:val="24"/>
  </w:num>
  <w:num w:numId="31">
    <w:abstractNumId w:val="33"/>
  </w:num>
  <w:num w:numId="32">
    <w:abstractNumId w:val="34"/>
  </w:num>
  <w:num w:numId="33">
    <w:abstractNumId w:val="7"/>
  </w:num>
  <w:num w:numId="34">
    <w:abstractNumId w:val="15"/>
  </w:num>
  <w:num w:numId="35">
    <w:abstractNumId w:val="17"/>
  </w:num>
  <w:num w:numId="36">
    <w:abstractNumId w:val="35"/>
  </w:num>
  <w:num w:numId="37">
    <w:abstractNumId w:val="38"/>
  </w:num>
  <w:num w:numId="38">
    <w:abstractNumId w:val="31"/>
  </w:num>
  <w:num w:numId="39">
    <w:abstractNumId w:val="32"/>
  </w:num>
  <w:num w:numId="40">
    <w:abstractNumId w:val="37"/>
    <w:lvlOverride w:ilvl="0">
      <w:lvl w:ilvl="0">
        <w:start w:val="1"/>
        <w:numFmt w:val="decimal"/>
        <w:lvlText w:val="%1."/>
        <w:lvlJc w:val="left"/>
        <w:pPr>
          <w:ind w:left="907" w:hanging="907"/>
        </w:pPr>
        <w:rPr>
          <w:rFonts w:cs="Times New Roman" w:hint="default"/>
          <w:i w:val="0"/>
          <w:iCs w:val="0"/>
          <w:caps w:val="0"/>
          <w:smallCaps w:val="0"/>
          <w:strike w:val="0"/>
          <w:dstrike w:val="0"/>
          <w:vanish w:val="0"/>
          <w:color w:val="016794"/>
          <w:spacing w:val="0"/>
          <w:position w:val="0"/>
          <w:sz w:val="32"/>
          <w:szCs w:val="32"/>
          <w:u w:val="none"/>
          <w:effect w:val="none"/>
          <w:vertAlign w:val="baseline"/>
        </w:rPr>
      </w:lvl>
    </w:lvlOverride>
    <w:lvlOverride w:ilvl="1">
      <w:lvl w:ilvl="1">
        <w:start w:val="1"/>
        <w:numFmt w:val="decimal"/>
        <w:lvlText w:val="%1.%2."/>
        <w:lvlJc w:val="left"/>
        <w:pPr>
          <w:ind w:left="907" w:hanging="907"/>
        </w:pPr>
        <w:rPr>
          <w:rFonts w:cs="Times New Roman" w:hint="default"/>
          <w:i w:val="0"/>
          <w:iCs w:val="0"/>
          <w:caps w:val="0"/>
          <w:smallCaps w:val="0"/>
          <w:strike w:val="0"/>
          <w:dstrike w:val="0"/>
          <w:vanish w:val="0"/>
          <w:color w:val="016794"/>
          <w:spacing w:val="0"/>
          <w:position w:val="0"/>
          <w:u w:val="none"/>
          <w:effect w:val="none"/>
          <w:vertAlign w:val="baseline"/>
        </w:rPr>
      </w:lvl>
    </w:lvlOverride>
    <w:lvlOverride w:ilvl="2">
      <w:lvl w:ilvl="2">
        <w:start w:val="1"/>
        <w:numFmt w:val="decimal"/>
        <w:lvlText w:val="%1.%2.%3."/>
        <w:lvlJc w:val="left"/>
        <w:pPr>
          <w:ind w:left="907" w:hanging="907"/>
        </w:pPr>
        <w:rPr>
          <w:rFonts w:cs="Times New Roman" w:hint="default"/>
          <w:i w:val="0"/>
          <w:iCs w:val="0"/>
          <w:caps w:val="0"/>
          <w:smallCaps w:val="0"/>
          <w:strike w:val="0"/>
          <w:dstrike w:val="0"/>
          <w:vanish w:val="0"/>
          <w:color w:val="016794"/>
          <w:spacing w:val="0"/>
          <w:position w:val="0"/>
          <w:u w:val="none"/>
          <w:effect w:val="none"/>
          <w:vertAlign w:val="baseline"/>
        </w:rPr>
      </w:lvl>
    </w:lvlOverride>
    <w:lvlOverride w:ilvl="3">
      <w:lvl w:ilvl="3">
        <w:start w:val="1"/>
        <w:numFmt w:val="decimal"/>
        <w:lvlText w:val="%1.%2.%3.%4."/>
        <w:lvlJc w:val="left"/>
        <w:pPr>
          <w:ind w:left="907" w:hanging="907"/>
        </w:pPr>
        <w:rPr>
          <w:rFonts w:ascii="Times New Roman" w:hAnsi="Times New Roman" w:cs="Times New Roman" w:hint="default"/>
          <w:b w:val="0"/>
          <w:bCs w:val="0"/>
          <w:i w:val="0"/>
          <w:iCs w:val="0"/>
          <w:caps w:val="0"/>
          <w:smallCaps w:val="0"/>
          <w:strike w:val="0"/>
          <w:dstrike w:val="0"/>
          <w:snapToGrid w:val="0"/>
          <w:vanish w:val="0"/>
          <w:color w:val="000000"/>
          <w:spacing w:val="0"/>
          <w:w w:val="0"/>
          <w:kern w:val="0"/>
          <w:position w:val="0"/>
          <w:sz w:val="0"/>
          <w:szCs w:val="0"/>
          <w:u w:val="none" w:color="000000"/>
          <w:effect w:val="none"/>
          <w:vertAlign w:val="baseline"/>
        </w:rPr>
      </w:lvl>
    </w:lvlOverride>
    <w:lvlOverride w:ilvl="4">
      <w:lvl w:ilvl="4">
        <w:start w:val="1"/>
        <w:numFmt w:val="lowerLetter"/>
        <w:lvlText w:val="(%5)"/>
        <w:lvlJc w:val="left"/>
        <w:pPr>
          <w:ind w:left="907" w:hanging="907"/>
        </w:pPr>
        <w:rPr>
          <w:rFonts w:hint="default"/>
        </w:rPr>
      </w:lvl>
    </w:lvlOverride>
    <w:lvlOverride w:ilvl="5">
      <w:lvl w:ilvl="5">
        <w:start w:val="1"/>
        <w:numFmt w:val="lowerRoman"/>
        <w:lvlText w:val="(%6)"/>
        <w:lvlJc w:val="left"/>
        <w:pPr>
          <w:ind w:left="907" w:hanging="907"/>
        </w:pPr>
        <w:rPr>
          <w:rFonts w:hint="default"/>
        </w:rPr>
      </w:lvl>
    </w:lvlOverride>
    <w:lvlOverride w:ilvl="6">
      <w:lvl w:ilvl="6">
        <w:start w:val="1"/>
        <w:numFmt w:val="decimal"/>
        <w:lvlText w:val="%7."/>
        <w:lvlJc w:val="left"/>
        <w:pPr>
          <w:ind w:left="907" w:hanging="907"/>
        </w:pPr>
        <w:rPr>
          <w:rFonts w:hint="default"/>
        </w:rPr>
      </w:lvl>
    </w:lvlOverride>
    <w:lvlOverride w:ilvl="7">
      <w:lvl w:ilvl="7">
        <w:start w:val="1"/>
        <w:numFmt w:val="lowerLetter"/>
        <w:lvlText w:val="%8."/>
        <w:lvlJc w:val="left"/>
        <w:pPr>
          <w:ind w:left="907" w:hanging="907"/>
        </w:pPr>
        <w:rPr>
          <w:rFonts w:hint="default"/>
        </w:rPr>
      </w:lvl>
    </w:lvlOverride>
    <w:lvlOverride w:ilvl="8">
      <w:lvl w:ilvl="8">
        <w:start w:val="1"/>
        <w:numFmt w:val="lowerRoman"/>
        <w:lvlText w:val="%9."/>
        <w:lvlJc w:val="left"/>
        <w:pPr>
          <w:ind w:left="907" w:hanging="907"/>
        </w:pPr>
        <w:rPr>
          <w:rFonts w:hint="default"/>
        </w:rPr>
      </w:lvl>
    </w:lvlOverride>
  </w:num>
  <w:num w:numId="41">
    <w:abstractNumId w:val="10"/>
  </w:num>
  <w:num w:numId="42">
    <w:abstractNumId w:val="10"/>
  </w:num>
  <w:num w:numId="43">
    <w:abstractNumId w:val="10"/>
  </w:num>
  <w:num w:numId="44">
    <w:abstractNumId w:val="10"/>
  </w:num>
  <w:num w:numId="45">
    <w:abstractNumId w:val="10"/>
  </w:num>
  <w:num w:numId="46">
    <w:abstractNumId w:val="19"/>
  </w:num>
  <w:num w:numId="47">
    <w:abstractNumId w:val="19"/>
  </w:num>
  <w:num w:numId="48">
    <w:abstractNumId w:val="19"/>
  </w:num>
  <w:num w:numId="49">
    <w:abstractNumId w:val="19"/>
  </w:num>
  <w:numIdMacAtCleanup w:val="4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oNotTrackMoves/>
  <w:defaultTabStop w:val="907"/>
  <w:hyphenationZone w:val="425"/>
  <w:characterSpacingControl w:val="doNotCompress"/>
  <w:hdrShapeDefaults>
    <o:shapedefaults v:ext="edit" spidmax="2155"/>
    <o:shapelayout v:ext="edit">
      <o:idmap v:ext="edit" data="2"/>
    </o:shapelayout>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ASH00008" w:val="&lt;OBJECT&gt;&lt;META&gt;&lt;ID&gt;&lt;/ID&gt;&lt;NAME&gt;DOC_ASH00008&lt;/NAME&gt;&lt;TYPE&gt;&lt;ID&gt;1&lt;/ID&gt;&lt;FRIENDLYNAME&gt;AutoShap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ASH00009" w:val="&lt;OBJECT&gt;&lt;META&gt;&lt;ID&gt;&lt;/ID&gt;&lt;NAME&gt;DOC_ASH00009&lt;/NAME&gt;&lt;TYPE&gt;&lt;ID&gt;1&lt;/ID&gt;&lt;FRIENDLYNAME&gt;AutoShap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ASH00010" w:val="&lt;OBJECT&gt;&lt;META&gt;&lt;ID&gt;&lt;/ID&gt;&lt;NAME&gt;DOC_ASH00010&lt;/NAME&gt;&lt;TYPE&gt;&lt;ID&gt;1&lt;/ID&gt;&lt;FRIENDLYNAME&gt;AutoShap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ASH00011" w:val="&lt;OBJECT&gt;&lt;META&gt;&lt;ID&gt;&lt;/ID&gt;&lt;NAME&gt;DOC_ASH00011&lt;/NAME&gt;&lt;TYPE&gt;&lt;ID&gt;1&lt;/ID&gt;&lt;FRIENDLYNAME&gt;AutoShap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ASH00012" w:val="&lt;OBJECT&gt;&lt;META&gt;&lt;ID&gt;&lt;/ID&gt;&lt;NAME&gt;DOC_ASH00012&lt;/NAME&gt;&lt;TYPE&gt;&lt;ID&gt;1&lt;/ID&gt;&lt;FRIENDLYNAME&gt;AutoShap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ASH00013" w:val="&lt;OBJECT&gt;&lt;META&gt;&lt;ID&gt;&lt;/ID&gt;&lt;NAME&gt;DOC_ASH00013&lt;/NAME&gt;&lt;TYPE&gt;&lt;ID&gt;1&lt;/ID&gt;&lt;FRIENDLYNAME&gt;AutoShap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ASH00014" w:val="&lt;OBJECT&gt;&lt;META&gt;&lt;ID&gt;&lt;/ID&gt;&lt;NAME&gt;DOC_ASH00014&lt;/NAME&gt;&lt;TYPE&gt;&lt;ID&gt;1&lt;/ID&gt;&lt;FRIENDLYNAME&gt;AutoShap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1:51:04&lt;/DYNAMIZEDON&gt;&lt;LASTUPDATEDBY&gt;Ruberla&lt;/LASTUPDATEDBY&gt;&lt;LASTUPDATEDON&gt;3/30/2021 7:05:57 AM&lt;/LASTUPDATEDON&gt;&lt;UTC&gt;1&lt;/UTC&gt;&lt;/UPDATE&gt;&lt;QUERIES bbk=&quot;19858&quot; bbkdesc=&quot;2020 Annual Accounts/EU Annual Accounts/DC - Balance Sheet&quot; datapro=&quot;BIP_BS&quot; tdatapro=&quot;BIP_BS&quot; author=&quot;&quot; modtime=&quot;3/30/2021 7:05:49 AM&quot; moduser=&quot;Ruberla&quot; rolluptime=&quot;&quot; syuser=&quot;Ruberla&quot; syuzeit=&quot;3/30/2021 7:05:49 AM&quot; root=&quot;/BBOOK/DATAPROVIDER[./META/PROPS/ID='BIP_BS']/DATA&quot; colcount=&quot;4&quot; rowcount=&quot;38&quot; url=&quot;&quot; dynamizeds=&quot;SAP Disclosure Management - Production&quot; dynamizedstype=&quot;9&quot; refreshds=&quot;&quot; viewtype=&quot;1&quot;&gt;&lt;QUERY reftype=&quot;ABS&quot; elmntsel=&quot;TABLE&quot; bbk=&quot;19858&quot; bbkdesc=&quot;2020 Annual Accounts/EU Annual Accounts/DC - Balance Sheet&quot; datapro=&quot;BIP_BS&quot; infos=&quot;&quot; iscomment=&quot;0&quot;&gt;&lt;SELECT&gt;/BBOOK/DATAPROVIDER[./META/PROPS/ID='BIP_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bournai&lt;/DYNAMIZEDBY&gt;&lt;DYNAMIZEDON&gt;29-Mar-21 7:33:00 AM&lt;/DYNAMIZEDON&gt;&lt;LASTUPDATEDBY&gt;Ruberla&lt;/LASTUPDATEDBY&gt;&lt;LASTUPDATEDON&gt;3/30/2021 7:12:03 AM&lt;/LASTUPDATEDON&gt;&lt;UTC&gt;1&lt;/UTC&gt;&lt;/UPDATE&gt;&lt;QUERIES bbk=&quot;19872&quot; bbkdesc=&quot;2020 Annual Accounts/EU Annual Accounts/DC - Statement of Financial Performance&quot; datapro=&quot;BIP_SOFP&quot; tdatapro=&quot;BIP_SOFP&quot; author=&quot;&quot; modtime=&quot;3/26/2021 7:03:39 PM&quot; moduser=&quot;bournai&quot; rolluptime=&quot;&quot; syuser=&quot;bournai&quot; syuzeit=&quot;3/26/2021 7:03:39 PM&quot; root=&quot;/DATA&quot; colcount=&quot;4&quot; rowcount=&quot;33&quot; url=&quot;&quot; dynamizeds=&quot;SAP Disclosure Management - Production&quot; dynamizedstype=&quot;9&quot; refreshds=&quot;&quot; viewtype=&quot;1&quot;&gt;&lt;QUERY reftype=&quot;ABS&quot; elmntsel=&quot;TABLE&quot; bbk=&quot;19872&quot; bbkdesc=&quot;2020 Annual Accounts/EU Annual Accounts/DC - Statement of Financial Performance&quot; datapro=&quot;BIP_SOFP&quot; infos=&quot;&quot; iscomment=&quot;0&quot;&gt;&lt;SELECT&gt;/BBOOK/DATAPROVIDER[./META/PROPS/ID='BIP_SO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bournai&lt;/DYNAMIZEDBY&gt;&lt;DYNAMIZEDON&gt;29-Mar-21 7:47:59 AM&lt;/DYNAMIZEDON&gt;&lt;LASTUPDATEDBY&gt;Ruberla&lt;/LASTUPDATEDBY&gt;&lt;LASTUPDATEDON&gt;3/30/2021 7:06:33 AM&lt;/LASTUPDATEDON&gt;&lt;UTC&gt;1&lt;/UTC&gt;&lt;/UPDATE&gt;&lt;QUERIES bbk=&quot;19873&quot; bbkdesc=&quot;2020 Annual Accounts/EU Annual Accounts/DC - Cashflow statement&quot; datapro=&quot;BIP_CF&quot; tdatapro=&quot;BIP_CF&quot; author=&quot;&quot; modtime=&quot;3/30/2021 7:06:28 AM&quot; moduser=&quot;Ruberla&quot; rolluptime=&quot;&quot; syuser=&quot;Ruberla&quot; syuzeit=&quot;3/30/2021 7:06:28 AM&quot; root=&quot;/BBOOK/DATAPROVIDER[./META/PROPS/ID='BIP_CF']/DATA&quot; colcount=&quot;3&quot; rowcount=&quot;28&quot; url=&quot;&quot; dynamizeds=&quot;SAP Disclosure Management - Production&quot; dynamizedstype=&quot;9&quot; refreshds=&quot;&quot; viewtype=&quot;1&quot;&gt;&lt;QUERY reftype=&quot;ABS&quot; elmntsel=&quot;TABLE&quot; bbk=&quot;19873&quot; bbkdesc=&quot;2020 Annual Accounts/EU Annual Accounts/DC - Cashflow statement&quot; datapro=&quot;BIP_CF&quot; infos=&quot;&quot; iscomment=&quot;0&quot;&gt;&lt;SELECT&gt;/BBOOK/DATAPROVIDER[./META/PROPS/ID='BIP_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2/08/2019 12:24:25&lt;/DYNAMIZEDON&gt;&lt;LASTUPDATEDBY&gt;Ruberla&lt;/LASTUPDATEDBY&gt;&lt;LASTUPDATEDON&gt;3/30/2021 7:12:02 AM&lt;/LASTUPDATEDON&gt;&lt;UTC&gt;1&lt;/UTC&gt;&lt;/UPDATE&gt;&lt;QUERIES bbk=&quot;19849&quot; bbkdesc=&quot;2020 Annual Accounts/EU Annual Accounts/DC - Statement of changes in net assets EU&quot; datapro=&quot;BIP_SCNA&quot; tdatapro=&quot;BIP_SCNA&quot; author=&quot;&quot; modtime=&quot;3/30/2021 7:09:09 AM&quot; moduser=&quot;Ruberla&quot; rolluptime=&quot;&quot; syuser=&quot;Ruberla&quot; syuzeit=&quot;3/30/2021 7:09:09 AM&quot; root=&quot;/BBOOK/DATAPROVIDER[./META/PROPS/ID='BIP_SCNA']/DATA&quot; colcount=&quot;5&quot; rowcount=&quot;17&quot; url=&quot;&quot; dynamizeds=&quot;SAP Disclosure Management - Production&quot; dynamizedstype=&quot;9&quot; refreshds=&quot;&quot; viewtype=&quot;1&quot;&gt;&lt;QUERY reftype=&quot;ABS&quot; elmntsel=&quot;TABLE&quot; bbk=&quot;19849&quot; bbkdesc=&quot;2020 Annual Accounts/EU Annual Accounts/DC - Statement of changes in net assets EU&quot; datapro=&quot;BIP_SCNA&quot; infos=&quot;&quot; iscomment=&quot;0&quot;&gt;&lt;SELECT&gt;/BBOOK/DATAPROVIDER[./META/PROPS/ID='BIP_S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7/30/2019 11:27:04 AM&lt;/DYNAMIZEDON&gt;&lt;LASTUPDATEDBY&gt;Ruberla&lt;/LASTUPDATEDBY&gt;&lt;LASTUPDATEDON&gt;3/30/2021 7:12:00 AM&lt;/LASTUPDATEDON&gt;&lt;UTC&gt;1&lt;/UTC&gt;&lt;/UPDATE&gt;&lt;QUERIES bbk=&quot;19837&quot; bbkdesc=&quot;2020 Annual Accounts/EU Annual Accounts/DC - Currency table and Deprec. Rates&quot; datapro=&quot;BIP_CURR&quot; tdatapro=&quot;BIP_CURR&quot; author=&quot;&quot; modtime=&quot;3/30/2021 7:08:33 AM&quot; moduser=&quot;Ruberla&quot; rolluptime=&quot;&quot; syuser=&quot;Ruberla&quot; syuzeit=&quot;3/30/2021 7:08:33 AM&quot; root=&quot;/BBOOK/DATAPROVIDER[./META/PROPS/ID='BIP_CURR']/DATA&quot; colcount=&quot;6&quot; rowcount=&quot;7&quot; url=&quot;&quot; dynamizeds=&quot;SAP Disclosure Management - Production&quot; dynamizedstype=&quot;9&quot; refreshds=&quot;&quot; viewtype=&quot;1&quot;&gt;&lt;QUERY reftype=&quot;ABS&quot; elmntsel=&quot;TABLE&quot; bbk=&quot;19837&quot; bbkdesc=&quot;2020 Annual Accounts/EU Annual Accounts/DC - Currency table and Deprec. Rates&quot; datapro=&quot;BIP_CURR&quot; infos=&quot;&quot; iscomment=&quot;0&quot;&gt;&lt;SELECT&gt;/BBOOK/DATAPROVIDER[./META/PROPS/ID='BIP_CURR']/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ruberla&lt;/DYNAMIZEDBY&gt;&lt;DYNAMIZEDON&gt;24-01-2020 12:26:20&lt;/DYNAMIZEDON&gt;&lt;LASTUPDATEDBY&gt;Ruberla&lt;/LASTUPDATEDBY&gt;&lt;LASTUPDATEDON&gt;3/30/2021 7:12:00 AM&lt;/LASTUPDATEDON&gt;&lt;UTC&gt;1&lt;/UTC&gt;&lt;/UPDATE&gt;&lt;QUERIES bbk=&quot;19837&quot; bbkdesc=&quot;2020 Annual Accounts/EU Annual Accounts/DC - Currency table and Deprec. Rates&quot; datapro=&quot;BIP_DR&quot; tdatapro=&quot;BIP_DR&quot; author=&quot;&quot; modtime=&quot;3/30/2021 7:08:33 AM&quot; moduser=&quot;Ruberla&quot; rolluptime=&quot;&quot; syuser=&quot;Ruberla&quot; syuzeit=&quot;3/30/2021 7:08:33 AM&quot; root=&quot;/BBOOK/DATAPROVIDER[./META/PROPS/ID='BIP_DR']/DATA&quot; colcount=&quot;2&quot; rowcount=&quot;7&quot; url=&quot;&quot; dynamizeds=&quot;SAP Disclosure Management - Production&quot; dynamizedstype=&quot;9&quot; refreshds=&quot;&quot; viewtype=&quot;1&quot;&gt;&lt;QUERY reftype=&quot;ABS&quot; elmntsel=&quot;TABLE&quot; bbk=&quot;19837&quot; bbkdesc=&quot;2020 Annual Accounts/EU Annual Accounts/DC - Currency table and Deprec. Rates&quot; datapro=&quot;BIP_DR&quot; infos=&quot;&quot; iscomment=&quot;0&quot;&gt;&lt;SELECT&gt;/BBOOK/DATAPROVIDER[./META/PROPS/ID='BIP_DR']/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7:37:09&lt;/DYNAMIZEDON&gt;&lt;LASTUPDATEDBY&gt;Ruberla&lt;/LASTUPDATEDBY&gt;&lt;LASTUPDATEDON&gt;3/30/2021 7:11:47 AM&lt;/LASTUPDATEDON&gt;&lt;UTC&gt;1&lt;/UTC&gt;&lt;/UPDATE&gt;&lt;QUERIES bbk=&quot;19850&quot; bbkdesc=&quot;2020 Annual Accounts/EU Annual Accounts/DC - Intangible assets and PPE&quot; datapro=&quot;BIP_INFA&quot; tdatapro=&quot;BIP_INFA&quot; author=&quot;&quot; modtime=&quot;3/30/2021 7:08:44 AM&quot; moduser=&quot;Ruberla&quot; rolluptime=&quot;&quot; syuser=&quot;Ruberla&quot; syuzeit=&quot;3/30/2021 7:08:44 AM&quot; root=&quot;/BBOOK/DATAPROVIDER[./META/PROPS/ID='BIP_INFA']/DATA&quot; colcount=&quot;2&quot; rowcount=&quot;18&quot; url=&quot;&quot; dynamizeds=&quot;SAP Disclosure Management - Production&quot; dynamizedstype=&quot;9&quot; refreshds=&quot;&quot; viewtype=&quot;1&quot;&gt;&lt;QUERY reftype=&quot;ABS&quot; elmntsel=&quot;TABLE&quot; bbk=&quot;19850&quot; bbkdesc=&quot;2020 Annual Accounts/EU Annual Accounts/DC - Intangible assets and PPE&quot; datapro=&quot;BIP_INFA&quot; infos=&quot;&quot; iscomment=&quot;0&quot;&gt;&lt;SELECT&gt;/BBOOK/DATAPROVIDER[./META/PROPS/ID='BIP_IN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7:38:24&lt;/DYNAMIZEDON&gt;&lt;LASTUPDATEDBY&gt;Ruberla&lt;/LASTUPDATEDBY&gt;&lt;LASTUPDATEDON&gt;3/30/2021 7:11:47 AM&lt;/LASTUPDATEDON&gt;&lt;UTC&gt;1&lt;/UTC&gt;&lt;/UPDATE&gt;&lt;QUERIES bbk=&quot;19850&quot; bbkdesc=&quot;2020 Annual Accounts/EU Annual Accounts/DC - Intangible assets and PPE&quot; datapro=&quot;BIP_EUPPE&quot; tdatapro=&quot;BIP_EUPPE&quot; author=&quot;&quot; modtime=&quot;3/30/2021 7:08:44 AM&quot; moduser=&quot;Ruberla&quot; rolluptime=&quot;&quot; syuser=&quot;Ruberla&quot; syuzeit=&quot;3/30/2021 7:08:44 AM&quot; root=&quot;/BBOOK/DATAPROVIDER[./META/PROPS/ID='BIP_EUPPE']/DATA&quot; colcount=&quot;10&quot; rowcount=&quot;18&quot; url=&quot;&quot; dynamizeds=&quot;SAP Disclosure Management - Production&quot; dynamizedstype=&quot;9&quot; refreshds=&quot;&quot; viewtype=&quot;1&quot;&gt;&lt;QUERY reftype=&quot;ABS&quot; elmntsel=&quot;TABLE&quot; bbk=&quot;19850&quot; bbkdesc=&quot;2020 Annual Accounts/EU Annual Accounts/DC - Intangible assets and PPE&quot; datapro=&quot;BIP_EUPPE&quot; infos=&quot;&quot; iscomment=&quot;0&quot;&gt;&lt;SELECT&gt;/BBOOK/DATAPROVIDER[./META/PROPS/ID='BIP_EU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0:11&lt;/DYNAMIZEDON&gt;&lt;LASTUPDATEDBY&gt;Ruberla&lt;/LASTUPDATEDBY&gt;&lt;LASTUPDATEDON&gt;3/30/2021 7:11:49 AM&lt;/LASTUPDATEDON&gt;&lt;UTC&gt;1&lt;/UTC&gt;&lt;/UPDATE&gt;&lt;QUERIES bbk=&quot;19561&quot; bbkdesc=&quot;2020 Annual Accounts/EC Annual Accounts/DC - Investments accounted for using the equity method new&quot; datapro=&quot;BIP_PARTASS1&quot; tdatapro=&quot;BIP_PARTASS1&quot; author=&quot;&quot; modtime=&quot;3/26/2021 7:01:17 PM&quot; moduser=&quot;koehlmn&quot; rolluptime=&quot;&quot; syuser=&quot;koehlmn&quot; syuzeit=&quot;3/26/2021 7:01:17 PM&quot; root=&quot;/BBOOK/DATAPROVIDER[./META/PROPS/ID='BIP_PARTASS1']/DATA&quot; colcount=&quot;2&quot; rowcount=&quot;8&quot; url=&quot;&quot; dynamizeds=&quot;SAP Disclosure Management - Production&quot; dynamizedstype=&quot;9&quot; refreshds=&quot;&quot; viewtype=&quot;1&quot;&gt;&lt;QUERY reftype=&quot;ABS&quot; elmntsel=&quot;TABLE&quot; bbk=&quot;19561&quot; bbkdesc=&quot;2020 Annual Accounts/EC Annual Accounts/DC - Investments accounted for using the equity method new&quot; datapro=&quot;BIP_PARTASS1&quot; infos=&quot;&quot; iscomment=&quot;0&quot;&gt;&lt;SELECT&gt;/BBOOK/DATAPROVIDER[./META/PROPS/ID='BIP_PARTASS1']/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4:01&lt;/DYNAMIZEDON&gt;&lt;LASTUPDATEDBY&gt;Ruberla&lt;/LASTUPDATEDBY&gt;&lt;LASTUPDATEDON&gt;3/30/2021 7:11:49 AM&lt;/LASTUPDATEDON&gt;&lt;UTC&gt;1&lt;/UTC&gt;&lt;/UPDATE&gt;&lt;QUERIES bbk=&quot;19561&quot; bbkdesc=&quot;2020 Annual Accounts/EC Annual Accounts/DC - Investments accounted for using the equity method new&quot; datapro=&quot;BIP_PARTASS2&quot; tdatapro=&quot;BIP_PARTASS2&quot; author=&quot;&quot; modtime=&quot;3/26/2021 7:01:17 PM&quot; moduser=&quot;koehlmn&quot; rolluptime=&quot;&quot; syuser=&quot;koehlmn&quot; syuzeit=&quot;3/26/2021 7:01:17 PM&quot; root=&quot;/BBOOK/DATAPROVIDER[./META/PROPS/ID='BIP_PARTASS2']/DATA&quot; colcount=&quot;3&quot; rowcount=&quot;8&quot; url=&quot;&quot; dynamizeds=&quot;SAP Disclosure Management - Production&quot; dynamizedstype=&quot;9&quot; refreshds=&quot;&quot; viewtype=&quot;1&quot;&gt;&lt;QUERY reftype=&quot;ABS&quot; elmntsel=&quot;TABLE&quot; bbk=&quot;19561&quot; bbkdesc=&quot;2020 Annual Accounts/EC Annual Accounts/DC - Investments accounted for using the equity method new&quot; datapro=&quot;BIP_PARTASS2&quot; infos=&quot;&quot; iscomment=&quot;0&quot;&gt;&lt;SELECT&gt;/BBOOK/DATAPROVIDER[./META/PROPS/ID='BIP_PARTASS2']/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9:55&lt;/DYNAMIZEDON&gt;&lt;LASTUPDATEDBY&gt;Ruberla&lt;/LASTUPDATEDBY&gt;&lt;LASTUPDATEDON&gt;3/30/2021 7:11:49 AM&lt;/LASTUPDATEDON&gt;&lt;UTC&gt;1&lt;/UTC&gt;&lt;/UPDATE&gt;&lt;QUERIES bbk=&quot;19561&quot; bbkdesc=&quot;2020 Annual Accounts/EC Annual Accounts/DC - Investments accounted for using the equity method new&quot; datapro=&quot;BIP_EIF2&quot; tdatapro=&quot;BIP_EIF2&quot; author=&quot;&quot; modtime=&quot;3/26/2021 7:01:17 PM&quot; moduser=&quot;koehlmn&quot; rolluptime=&quot;&quot; syuser=&quot;koehlmn&quot; syuzeit=&quot;3/26/2021 7:01:17 PM&quot; root=&quot;/BBOOK/DATAPROVIDER[./META/PROPS/ID='BIP_EIF2']/DATA&quot; colcount=&quot;3&quot; rowcount=&quot;5&quot; url=&quot;&quot; dynamizeds=&quot;SAP Disclosure Management - Production&quot; dynamizedstype=&quot;9&quot; refreshds=&quot;&quot; viewtype=&quot;1&quot;&gt;&lt;QUERY reftype=&quot;ABS&quot; elmntsel=&quot;TABLE&quot; bbk=&quot;19561&quot; bbkdesc=&quot;2020 Annual Accounts/EC Annual Accounts/DC - Investments accounted for using the equity method new&quot; datapro=&quot;BIP_EIF2&quot; infos=&quot;&quot; iscomment=&quot;0&quot;&gt;&lt;SELECT&gt;/BBOOK/DATAPROVIDER[./META/PROPS/ID='BIP_EIF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40:56&lt;/DYNAMIZEDON&gt;&lt;LASTUPDATEDBY&gt;Ruberla&lt;/LASTUPDATEDBY&gt;&lt;LASTUPDATEDON&gt;3/30/2021 7:11:49 AM&lt;/LASTUPDATEDON&gt;&lt;UTC&gt;1&lt;/UTC&gt;&lt;/UPDATE&gt;&lt;QUERIES bbk=&quot;19561&quot; bbkdesc=&quot;2020 Annual Accounts/EC Annual Accounts/DC - Investments accounted for using the equity method new&quot; datapro=&quot;BIP_EIF1&quot; tdatapro=&quot;BIP_EIF1&quot; author=&quot;&quot; modtime=&quot;3/26/2021 7:01:17 PM&quot; moduser=&quot;koehlmn&quot; rolluptime=&quot;&quot; syuser=&quot;koehlmn&quot; syuzeit=&quot;3/26/2021 7:01:17 PM&quot; root=&quot;/BBOOK/DATAPROVIDER[./META/PROPS/ID='BIP_EIF1']/DATA&quot; colcount=&quot;3&quot; rowcount=&quot;5&quot; url=&quot;&quot; dynamizeds=&quot;SAP Disclosure Management - Production&quot; dynamizedstype=&quot;9&quot; refreshds=&quot;&quot; viewtype=&quot;1&quot;&gt;&lt;QUERY reftype=&quot;ABS&quot; elmntsel=&quot;TABLE&quot; bbk=&quot;19561&quot; bbkdesc=&quot;2020 Annual Accounts/EC Annual Accounts/DC - Investments accounted for using the equity method new&quot; datapro=&quot;BIP_EIF1&quot; infos=&quot;&quot; iscomment=&quot;0&quot;&gt;&lt;SELECT&gt;/BBOOK/DATAPROVIDER[./META/PROPS/ID='BIP_EIF1']/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56:44&lt;/DYNAMIZEDON&gt;&lt;LASTUPDATEDBY&gt;Ruberla&lt;/LASTUPDATEDBY&gt;&lt;LASTUPDATEDON&gt;3/30/2021 7:11:35 AM&lt;/LASTUPDATEDON&gt;&lt;UTC&gt;1&lt;/UTC&gt;&lt;/UPDATE&gt;&lt;QUERIES bbk=&quot;19879&quot; bbkdesc=&quot;2020 Annual Accounts/EU Annual Accounts/DC - Financial assets&quot; datapro=&quot;BIP_FINA&quot; tdatapro=&quot;BIP_FINA&quot; author=&quot;&quot; modtime=&quot;3/30/2021 7:08:40 AM&quot; moduser=&quot;Ruberla&quot; rolluptime=&quot;&quot; syuser=&quot;Ruberla&quot; syuzeit=&quot;3/30/2021 7:08:40 AM&quot; root=&quot;/BBOOK/DATAPROVIDER[./META/PROPS/ID='BIP_FINA']/DATA&quot; colcount=&quot;4&quot; rowcount=&quot;13&quot; url=&quot;&quot; dynamizeds=&quot;SAP Disclosure Management - Production&quot; dynamizedstype=&quot;9&quot; refreshds=&quot;&quot; viewtype=&quot;1&quot;&gt;&lt;QUERY reftype=&quot;ABS&quot; elmntsel=&quot;TABLE&quot; bbk=&quot;19879&quot; bbkdesc=&quot;2020 Annual Accounts/EU Annual Accounts/DC - Financial assets&quot; datapro=&quot;BIP_FINA&quot; infos=&quot;&quot; iscomment=&quot;0&quot;&gt;&lt;SELECT&gt;/BBOOK/DATAPROVIDER[./META/PROPS/ID='BIP_FINA']/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57:54&lt;/DYNAMIZEDON&gt;&lt;LASTUPDATEDBY&gt;Ruberla&lt;/LASTUPDATEDBY&gt;&lt;LASTUPDATEDON&gt;3/30/2021 7:11:35 AM&lt;/LASTUPDATEDON&gt;&lt;UTC&gt;1&lt;/UTC&gt;&lt;/UPDATE&gt;&lt;QUERIES bbk=&quot;19879&quot; bbkdesc=&quot;2020 Annual Accounts/EU Annual Accounts/DC - Financial assets&quot; datapro=&quot;BIP_AFS&quot; tdatapro=&quot;BIP_AFS&quot; author=&quot;&quot; modtime=&quot;3/30/2021 7:08:40 AM&quot; moduser=&quot;Ruberla&quot; rolluptime=&quot;&quot; syuser=&quot;Ruberla&quot; syuzeit=&quot;3/30/2021 7:08:40 AM&quot; root=&quot;/BBOOK/DATAPROVIDER[./META/PROPS/ID='BIP_AFS']/DATA&quot; colcount=&quot;3&quot; rowcount=&quot;26&quot; url=&quot;&quot; dynamizeds=&quot;SAP Disclosure Management - Production&quot; dynamizedstype=&quot;9&quot; refreshds=&quot;&quot; viewtype=&quot;1&quot;&gt;&lt;QUERY reftype=&quot;ABS&quot; elmntsel=&quot;TABLE&quot; bbk=&quot;19879&quot; bbkdesc=&quot;2020 Annual Accounts/EU Annual Accounts/DC - Financial assets&quot; datapro=&quot;BIP_AFS&quot; infos=&quot;&quot; iscomment=&quot;0&quot;&gt;&lt;SELECT&gt;/BBOOK/DATAPROVIDER[./META/PROPS/ID='BIP_AFS']/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0:18&lt;/DYNAMIZEDON&gt;&lt;LASTUPDATEDBY&gt;Ruberla&lt;/LASTUPDATEDBY&gt;&lt;LASTUPDATEDON&gt;3/30/2021 7:11:35 AM&lt;/LASTUPDATEDON&gt;&lt;UTC&gt;1&lt;/UTC&gt;&lt;/UPDATE&gt;&lt;QUERIES bbk=&quot;19879&quot; bbkdesc=&quot;2020 Annual Accounts/EU Annual Accounts/DC - Financial assets&quot; datapro=&quot;BIP_FAFVTSD&quot; tdatapro=&quot;BIP_FAFVTSD&quot; author=&quot;&quot; modtime=&quot;3/30/2021 7:08:40 AM&quot; moduser=&quot;Ruberla&quot; rolluptime=&quot;&quot; syuser=&quot;Ruberla&quot; syuzeit=&quot;3/30/2021 7:08:40 AM&quot; root=&quot;/BBOOK/DATAPROVIDER[./META/PROPS/ID='BIP_FAFVTSD']/DATA&quot; colcount=&quot;5&quot; rowcount=&quot;9&quot; url=&quot;&quot; dynamizeds=&quot;SAP Disclosure Management - Production&quot; dynamizedstype=&quot;9&quot; refreshds=&quot;&quot; viewtype=&quot;1&quot;&gt;&lt;QUERY reftype=&quot;ABS&quot; elmntsel=&quot;TABLE&quot; bbk=&quot;19879&quot; bbkdesc=&quot;2020 Annual Accounts/EU Annual Accounts/DC - Financial assets&quot; datapro=&quot;BIP_FAFVTSD&quot; infos=&quot;&quot; iscomment=&quot;0&quot;&gt;&lt;SELECT&gt;/BBOOK/DATAPROVIDER[./META/PROPS/ID='BIP_FAFVTSD']/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3:17&lt;/DYNAMIZEDON&gt;&lt;LASTUPDATEDBY&gt;Ruberla&lt;/LASTUPDATEDBY&gt;&lt;LASTUPDATEDON&gt;3/30/2021 7:11:35 AM&lt;/LASTUPDATEDON&gt;&lt;UTC&gt;1&lt;/UTC&gt;&lt;/UPDATE&gt;&lt;QUERIES bbk=&quot;19879&quot; bbkdesc=&quot;2020 Annual Accounts/EU Annual Accounts/DC - Financial assets&quot; datapro=&quot;BIP_FVH&quot; tdatapro=&quot;BIP_FVH&quot; author=&quot;&quot; modtime=&quot;3/30/2021 7:08:40 AM&quot; moduser=&quot;Ruberla&quot; rolluptime=&quot;&quot; syuser=&quot;Ruberla&quot; syuzeit=&quot;3/30/2021 7:08:40 AM&quot; root=&quot;/BBOOK/DATAPROVIDER[./META/PROPS/ID='BIP_FVH']/DATA&quot; colcount=&quot;3&quot; rowcount=&quot;6&quot; url=&quot;&quot; dynamizeds=&quot;SAP Disclosure Management - Production&quot; dynamizedstype=&quot;9&quot; refreshds=&quot;&quot; viewtype=&quot;1&quot;&gt;&lt;QUERY reftype=&quot;ABS&quot; elmntsel=&quot;TABLE&quot; bbk=&quot;19879&quot; bbkdesc=&quot;2020 Annual Accounts/EU Annual Accounts/DC - Financial assets&quot; datapro=&quot;BIP_FVH&quot; infos=&quot;&quot; iscomment=&quot;0&quot;&gt;&lt;SELECT&gt;/BBOOK/DATAPROVIDER[./META/PROPS/ID='BIP_FVH']/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6:39&lt;/DYNAMIZEDON&gt;&lt;LASTUPDATEDBY&gt;Ruberla&lt;/LASTUPDATEDBY&gt;&lt;LASTUPDATEDON&gt;3/30/2021 7:11:35 AM&lt;/LASTUPDATEDON&gt;&lt;UTC&gt;1&lt;/UTC&gt;&lt;/UPDATE&gt;&lt;QUERIES bbk=&quot;19538&quot; bbkdesc=&quot;2020 Annual Accounts/EC Annual Accounts/DC - Financial assets&quot; datapro=&quot;BIP_RECOFINA&quot; tdatapro=&quot;BIP_RECOFINA&quot; author=&quot;&quot; modtime=&quot;3/29/2021 2:48:38 PM&quot; moduser=&quot;piperar&quot; rolluptime=&quot;&quot; syuser=&quot;piperar&quot; syuzeit=&quot;3/29/2021 2:48:38 PM&quot; root=&quot;/BBOOK/DATAPROVIDER[./META/PROPS/ID='BIP_RECOFINA']/DATA&quot; colcount=&quot;2&quot; rowcount=&quot;10&quot; url=&quot;&quot; dynamizeds=&quot;SAP Disclosure Management - Production&quot; dynamizedstype=&quot;9&quot; refreshds=&quot;&quot; viewtype=&quot;1&quot;&gt;&lt;QUERY reftype=&quot;ABS&quot; elmntsel=&quot;TABLE&quot; bbk=&quot;19538&quot; bbkdesc=&quot;2020 Annual Accounts/EC Annual Accounts/DC - Financial assets&quot; datapro=&quot;BIP_RECOFINA&quot; infos=&quot;&quot; iscomment=&quot;0&quot;&gt;&lt;SELECT&gt;/BBOOK/DATAPROVIDER[./META/PROPS/ID='BIP_RECOFINA']/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8:35&lt;/DYNAMIZEDON&gt;&lt;LASTUPDATEDBY&gt;Ruberla&lt;/LASTUPDATEDBY&gt;&lt;LASTUPDATEDON&gt;3/30/2021 7:11:35 AM&lt;/LASTUPDATEDON&gt;&lt;UTC&gt;1&lt;/UTC&gt;&lt;/UPDATE&gt;&lt;QUERIES bbk=&quot;19879&quot; bbkdesc=&quot;2020 Annual Accounts/EU Annual Accounts/DC - Financial assets&quot; datapro=&quot;BIP_LO&quot; tdatapro=&quot;BIP_LO&quot; author=&quot;&quot; modtime=&quot;3/30/2021 7:08:40 AM&quot; moduser=&quot;Ruberla&quot; rolluptime=&quot;&quot; syuser=&quot;Ruberla&quot; syuzeit=&quot;3/30/2021 7:08:40 AM&quot; root=&quot;/BBOOK/DATAPROVIDER[./META/PROPS/ID='BIP_LO']/DATA&quot; colcount=&quot;4&quot; rowcount=&quot;7&quot; url=&quot;&quot; dynamizeds=&quot;SAP Disclosure Management - Production&quot; dynamizedstype=&quot;9&quot; refreshds=&quot;&quot; viewtype=&quot;1&quot;&gt;&lt;QUERY reftype=&quot;ABS&quot; elmntsel=&quot;TABLE&quot; bbk=&quot;19879&quot; bbkdesc=&quot;2020 Annual Accounts/EU Annual Accounts/DC - Financial assets&quot; datapro=&quot;BIP_LO&quot; infos=&quot;&quot; iscomment=&quot;0&quot;&gt;&lt;SELECT&gt;/BBOOK/DATAPROVIDER[./META/PROPS/ID='BIP_LO']/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9:36&lt;/DYNAMIZEDON&gt;&lt;LASTUPDATEDBY&gt;Ruberla&lt;/LASTUPDATEDBY&gt;&lt;LASTUPDATEDON&gt;3/30/2021 7:11:35 AM&lt;/LASTUPDATEDON&gt;&lt;UTC&gt;1&lt;/UTC&gt;&lt;/UPDATE&gt;&lt;QUERIES bbk=&quot;19879&quot; bbkdesc=&quot;2020 Annual Accounts/EU Annual Accounts/DC - Financial assets&quot; datapro=&quot;BIP_LGFBF&quot; tdatapro=&quot;BIP_LGFBF&quot; author=&quot;&quot; modtime=&quot;3/30/2021 7:08:40 AM&quot; moduser=&quot;Ruberla&quot; rolluptime=&quot;&quot; syuser=&quot;Ruberla&quot; syuzeit=&quot;3/30/2021 7:08:40 AM&quot; root=&quot;/BBOOK/DATAPROVIDER[./META/PROPS/ID='BIP_LGFBF']/DATA&quot; colcount=&quot;7&quot; rowcount=&quot;12&quot; url=&quot;&quot; dynamizeds=&quot;SAP Disclosure Management - Production&quot; dynamizedstype=&quot;9&quot; refreshds=&quot;&quot; viewtype=&quot;1&quot;&gt;&lt;QUERY reftype=&quot;ABS&quot; elmntsel=&quot;TABLE&quot; bbk=&quot;19879&quot; bbkdesc=&quot;2020 Annual Accounts/EU Annual Accounts/DC - Financial assets&quot; datapro=&quot;BIP_LGFBF&quot; infos=&quot;&quot; iscomment=&quot;0&quot;&gt;&lt;SELECT&gt;/BBOOK/DATAPROVIDER[./META/PROPS/ID='BIP_LGFBF']/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11:47&lt;/DYNAMIZEDON&gt;&lt;LASTUPDATEDBY&gt;Ruberla&lt;/LASTUPDATEDBY&gt;&lt;LASTUPDATEDON&gt;3/30/2021 7:11:35 AM&lt;/LASTUPDATEDON&gt;&lt;UTC&gt;1&lt;/UTC&gt;&lt;/UPDATE&gt;&lt;QUERIES bbk=&quot;19879&quot; bbkdesc=&quot;2020 Annual Accounts/EU Annual Accounts/DC - Financial assets&quot; datapro=&quot;BIP_BORR2&quot; tdatapro=&quot;BIP_BORR2&quot; author=&quot;&quot; modtime=&quot;3/30/2021 7:08:40 AM&quot; moduser=&quot;Ruberla&quot; rolluptime=&quot;&quot; syuser=&quot;Ruberla&quot; syuzeit=&quot;3/30/2021 7:08:40 AM&quot; root=&quot;/BBOOK/DATAPROVIDER[./META/PROPS/ID='BIP_BORR2']/DATA&quot; colcount=&quot;3&quot; rowcount=&quot;6&quot; url=&quot;&quot; dynamizeds=&quot;SAP Disclosure Management - Production&quot; dynamizedstype=&quot;9&quot; refreshds=&quot;&quot; viewtype=&quot;1&quot;&gt;&lt;QUERY reftype=&quot;ABS&quot; elmntsel=&quot;TABLE&quot; bbk=&quot;19879&quot; bbkdesc=&quot;2020 Annual Accounts/EU Annual Accounts/DC - Financial assets&quot; datapro=&quot;BIP_BORR2&quot; infos=&quot;&quot; iscomment=&quot;0&quot;&gt;&lt;SELECT&gt;/BBOOK/DATAPROVIDER[./META/PROPS/ID='BIP_BORR2']/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14:05&lt;/DYNAMIZEDON&gt;&lt;LASTUPDATEDBY&gt;Ruberla&lt;/LASTUPDATEDBY&gt;&lt;LASTUPDATEDON&gt;3/30/2021 7:11:35 AM&lt;/LASTUPDATEDON&gt;&lt;UTC&gt;1&lt;/UTC&gt;&lt;/UPDATE&gt;&lt;QUERIES bbk=&quot;19879&quot; bbkdesc=&quot;2020 Annual Accounts/EU Annual Accounts/DC - Financial assets&quot; datapro=&quot;BIP_IMP&quot; tdatapro=&quot;BIP_IMP&quot; author=&quot;&quot; modtime=&quot;3/30/2021 7:08:40 AM&quot; moduser=&quot;Ruberla&quot; rolluptime=&quot;&quot; syuser=&quot;Ruberla&quot; syuzeit=&quot;3/30/2021 7:08:40 AM&quot; root=&quot;/BBOOK/DATAPROVIDER[./META/PROPS/ID='BIP_IMP']/DATA&quot; colcount=&quot;7&quot; rowcount=&quot;6&quot; url=&quot;&quot; dynamizeds=&quot;SAP Disclosure Management - Production&quot; dynamizedstype=&quot;9&quot; refreshds=&quot;&quot; viewtype=&quot;1&quot;&gt;&lt;QUERY reftype=&quot;ABS&quot; elmntsel=&quot;TABLE&quot; bbk=&quot;19879&quot; bbkdesc=&quot;2020 Annual Accounts/EU Annual Accounts/DC - Financial assets&quot; datapro=&quot;BIP_IMP&quot; infos=&quot;&quot; iscomment=&quot;0&quot;&gt;&lt;SELECT&gt;/BBOOK/DATAPROVIDER[./META/PROPS/ID='BIP_IMP']/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13:00&lt;/DYNAMIZEDON&gt;&lt;LASTUPDATEDBY&gt;Ruberla&lt;/LASTUPDATEDBY&gt;&lt;LASTUPDATEDON&gt;3/30/2021 7:11:55 AM&lt;/LASTUPDATEDON&gt;&lt;UTC&gt;1&lt;/UTC&gt;&lt;/UPDATE&gt;&lt;QUERIES bbk=&quot;19880&quot; bbkdesc=&quot;2020 Annual Accounts/EU Annual Accounts/DC - Pre-financing&quot; datapro=&quot;BIP_PF&quot; tdatapro=&quot;BIP_PF&quot; author=&quot;&quot; modtime=&quot;3/30/2021 7:08:58 AM&quot; moduser=&quot;Ruberla&quot; rolluptime=&quot;&quot; syuser=&quot;Ruberla&quot; syuzeit=&quot;3/30/2021 7:08:58 AM&quot; root=&quot;/BBOOK/DATAPROVIDER[./META/PROPS/ID='BIP_PF']/DATA&quot; colcount=&quot;4&quot; rowcount=&quot;12&quot; url=&quot;&quot; dynamizeds=&quot;SAP Disclosure Management - Production&quot; dynamizedstype=&quot;9&quot; refreshds=&quot;&quot; viewtype=&quot;1&quot;&gt;&lt;QUERY reftype=&quot;ABS&quot; elmntsel=&quot;TABLE&quot; bbk=&quot;19880&quot; bbkdesc=&quot;2020 Annual Accounts/EU Annual Accounts/DC - Pre-financing&quot; datapro=&quot;BIP_PF&quot; infos=&quot;&quot; iscomment=&quot;0&quot;&gt;&lt;SELECT&gt;/BBOOK/DATAPROVIDER[./META/PROPS/ID='BIP_PF']/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8/09/2019 08:02:06&lt;/DYNAMIZEDON&gt;&lt;LASTUPDATEDBY&gt;Ruberla&lt;/LASTUPDATEDBY&gt;&lt;LASTUPDATEDON&gt;3/30/2021 7:11:55 AM&lt;/LASTUPDATEDON&gt;&lt;UTC&gt;1&lt;/UTC&gt;&lt;/UPDATE&gt;&lt;QUERIES bbk=&quot;19880&quot; bbkdesc=&quot;2020 Annual Accounts/EU Annual Accounts/DC - Pre-financing&quot; datapro=&quot;BIP_PFD&quot; tdatapro=&quot;BIP_PFD&quot; author=&quot;&quot; modtime=&quot;3/30/2021 7:08:58 AM&quot; moduser=&quot;Ruberla&quot; rolluptime=&quot;&quot; syuser=&quot;Ruberla&quot; syuzeit=&quot;3/30/2021 7:08:58 AM&quot; root=&quot;/BBOOK/DATAPROVIDER[./META/PROPS/ID='BIP_PFD']/DATA&quot; colcount=&quot;7&quot; rowcount=&quot;24&quot; url=&quot;&quot; dynamizeds=&quot;SAP Disclosure Management - Production&quot; dynamizedstype=&quot;9&quot; refreshds=&quot;&quot; viewtype=&quot;1&quot;&gt;&lt;QUERY reftype=&quot;ABS&quot; elmntsel=&quot;TABLE&quot; bbk=&quot;19880&quot; bbkdesc=&quot;2020 Annual Accounts/EU Annual Accounts/DC - Pre-financing&quot; datapro=&quot;BIP_PFD&quot; infos=&quot;&quot; iscomment=&quot;0&quot;&gt;&lt;SELECT&gt;/BBOOK/DATAPROVIDER[./META/PROPS/ID='BIP_PFD']/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20:58&lt;/DYNAMIZEDON&gt;&lt;LASTUPDATEDBY&gt;Ruberla&lt;/LASTUPDATEDBY&gt;&lt;LASTUPDATEDON&gt;3/30/2021 7:11:55 AM&lt;/LASTUPDATEDON&gt;&lt;UTC&gt;1&lt;/UTC&gt;&lt;/UPDATE&gt;&lt;QUERIES bbk=&quot;19540&quot; bbkdesc=&quot;2020 Annual Accounts/EC Annual Accounts/DC - Pre-financing&quot; datapro=&quot;BIP_FEIAS&quot; tdatapro=&quot;BIP_FEIAS&quot; author=&quot;&quot; modtime=&quot;3/26/2021 7:01:31 PM&quot; moduser=&quot;koehlmn&quot; rolluptime=&quot;&quot; syuser=&quot;koehlmn&quot; syuzeit=&quot;3/26/2021 7:01:31 PM&quot; root=&quot;/BBOOK/DATAPROVIDER[./META/PROPS/ID='BIP_FEIAS']/DATA&quot; colcount=&quot;3&quot; rowcount=&quot;7&quot; url=&quot;&quot; dynamizeds=&quot;SAP Disclosure Management - Production&quot; dynamizedstype=&quot;9&quot; refreshds=&quot;&quot; viewtype=&quot;1&quot;&gt;&lt;QUERY reftype=&quot;ABS&quot; elmntsel=&quot;TABLE&quot; bbk=&quot;19540&quot; bbkdesc=&quot;2020 Annual Accounts/EC Annual Accounts/DC - Pre-financing&quot; datapro=&quot;BIP_FEIAS&quot; infos=&quot;&quot; iscomment=&quot;0&quot;&gt;&lt;SELECT&gt;/BBOOK/DATAPROVIDER[./META/PROPS/ID='BIP_FEIAS']/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38:10&lt;/DYNAMIZEDON&gt;&lt;LASTUPDATEDBY&gt;Ruberla&lt;/LASTUPDATEDBY&gt;&lt;LASTUPDATEDON&gt;3/30/2021 7:11:33 AM&lt;/LASTUPDATEDON&gt;&lt;UTC&gt;1&lt;/UTC&gt;&lt;/UPDATE&gt;&lt;QUERIES bbk=&quot;19860&quot; bbkdesc=&quot;2020 Annual Accounts/EU Annual Accounts/DC - Exchange receivables and Non-exchange recoverables&quot; datapro=&quot;BIP_ERNER&quot; tdatapro=&quot;BIP_ERNER&quot; author=&quot;&quot; modtime=&quot;3/30/2021 7:08:36 AM&quot; moduser=&quot;Ruberla&quot; rolluptime=&quot;&quot; syuser=&quot;Ruberla&quot; syuzeit=&quot;3/30/2021 7:08:36 AM&quot; root=&quot;/BBOOK/DATAPROVIDER[./META/PROPS/ID='BIP_ERNER']/DATA&quot; colcount=&quot;4&quot; rowcount=&quot;11&quot; url=&quot;&quot; dynamizeds=&quot;SAP Disclosure Management - Production&quot; dynamizedstype=&quot;9&quot; refreshds=&quot;&quot; viewtype=&quot;1&quot;&gt;&lt;QUERY reftype=&quot;ABS&quot; elmntsel=&quot;TABLE&quot; bbk=&quot;19860&quot; bbkdesc=&quot;2020 Annual Accounts/EU Annual Accounts/DC - Exchange receivables and Non-exchange recoverables&quot; datapro=&quot;BIP_ERNER&quot; infos=&quot;&quot; iscomment=&quot;0&quot;&gt;&lt;SELECT&gt;/BBOOK/DATAPROVIDER[./META/PROPS/ID='BIP_ERNER']/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39:26&lt;/DYNAMIZEDON&gt;&lt;LASTUPDATEDBY&gt;Ruberla&lt;/LASTUPDATEDBY&gt;&lt;LASTUPDATEDON&gt;3/30/2021 7:11:33 AM&lt;/LASTUPDATEDON&gt;&lt;UTC&gt;1&lt;/UTC&gt;&lt;/UPDATE&gt;&lt;QUERIES bbk=&quot;19860&quot; bbkdesc=&quot;2020 Annual Accounts/EU Annual Accounts/DC - Exchange receivables and Non-exchange recoverables&quot; datapro=&quot;BIP_RNET&quot; tdatapro=&quot;BIP_RNET&quot; author=&quot;&quot; modtime=&quot;3/30/2021 7:08:36 AM&quot; moduser=&quot;Ruberla&quot; rolluptime=&quot;&quot; syuser=&quot;Ruberla&quot; syuzeit=&quot;3/30/2021 7:08:36 AM&quot; root=&quot;/BBOOK/DATAPROVIDER[./META/PROPS/ID='BIP_RNET']/DATA&quot; colcount=&quot;4&quot; rowcount=&quot;15&quot; url=&quot;&quot; dynamizeds=&quot;SAP Disclosure Management - Production&quot; dynamizedstype=&quot;9&quot; refreshds=&quot;&quot; viewtype=&quot;1&quot;&gt;&lt;QUERY reftype=&quot;ABS&quot; elmntsel=&quot;TABLE&quot; bbk=&quot;19860&quot; bbkdesc=&quot;2020 Annual Accounts/EU Annual Accounts/DC - Exchange receivables and Non-exchange recoverables&quot; datapro=&quot;BIP_RNET&quot; infos=&quot;&quot; iscomment=&quot;0&quot;&gt;&lt;SELECT&gt;/BBOOK/DATAPROVIDER[./META/PROPS/ID='BIP_RNET']/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bournai&lt;/DYNAMIZEDBY&gt;&lt;DYNAMIZEDON&gt;26-Mar-21 3:58:12 PM&lt;/DYNAMIZEDON&gt;&lt;LASTUPDATEDBY&gt;Ruberla&lt;/LASTUPDATEDBY&gt;&lt;LASTUPDATEDON&gt;3/30/2021 7:11:33 AM&lt;/LASTUPDATEDON&gt;&lt;UTC&gt;1&lt;/UTC&gt;&lt;/UPDATE&gt;&lt;QUERIES bbk=&quot;19861&quot; bbkdesc=&quot;2020 Annual Accounts/EU Annual Accounts/DC - Recoverables from Member States&quot; datapro=&quot;BIP_RMS&quot; tdatapro=&quot;BIP_RMS&quot; author=&quot;&quot; modtime=&quot;3/30/2021 7:09:01 AM&quot; moduser=&quot;Ruberla&quot; rolluptime=&quot;&quot; syuser=&quot;Ruberla&quot; syuzeit=&quot;3/30/2021 7:09:01 AM&quot; root=&quot;/BBOOK/DATAPROVIDER[./META/PROPS/ID='BIP_RMS']/DATA&quot; colcount=&quot;3&quot; rowcount=&quot;18&quot; url=&quot;&quot; dynamizeds=&quot;SAP Disclosure Management - Production&quot; dynamizedstype=&quot;9&quot; refreshds=&quot;&quot; viewtype=&quot;1&quot;&gt;&lt;QUERY reftype=&quot;ABS&quot; elmntsel=&quot;TABLE&quot; bbk=&quot;19861&quot; bbkdesc=&quot;2020 Annual Accounts/EU Annual Accounts/DC - Recoverables from Member States&quot; datapro=&quot;BIP_RMS&quot; infos=&quot;&quot; iscomment=&quot;0&quot;&gt;&lt;SELECT&gt;/BBOOK/DATAPROVIDER[./META/PROPS/ID='BIP_RMS']/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preutan&lt;/DYNAMIZEDBY&gt;&lt;DYNAMIZEDON&gt;15-03-2021 14:55:01&lt;/DYNAMIZEDON&gt;&lt;LASTUPDATEDBY&gt;Ruberla&lt;/LASTUPDATEDBY&gt;&lt;LASTUPDATEDON&gt;3/30/2021 7:11:33 AM&lt;/LASTUPDATEDON&gt;&lt;UTC&gt;1&lt;/UTC&gt;&lt;/UPDATE&gt;&lt;QUERIES bbk=&quot;19860&quot; bbkdesc=&quot;2020 Annual Accounts/EU Annual Accounts/DC - Exchange receivables and Non-exchange recoverables&quot; datapro=&quot;BIP_UKWA&quot; tdatapro=&quot;BIP_UKWA&quot; author=&quot;&quot; modtime=&quot;3/30/2021 7:08:36 AM&quot; moduser=&quot;Ruberla&quot; rolluptime=&quot;&quot; syuser=&quot;Ruberla&quot; syuzeit=&quot;3/30/2021 7:08:36 AM&quot; root=&quot;/BBOOK/DATAPROVIDER[./META/PROPS/ID='BIP_UKWA']/DATA&quot; colcount=&quot;5&quot; rowcount=&quot;7&quot; url=&quot;&quot; dynamizeds=&quot;SAP Disclosure Management - Production&quot; dynamizedstype=&quot;9&quot; refreshds=&quot;&quot; viewtype=&quot;1&quot;&gt;&lt;QUERY reftype=&quot;ABS&quot; elmntsel=&quot;TABLE&quot; bbk=&quot;19860&quot; bbkdesc=&quot;2020 Annual Accounts/EU Annual Accounts/DC - Exchange receivables and Non-exchange recoverables&quot; datapro=&quot;BIP_UKWA&quot; infos=&quot;&quot; iscomment=&quot;0&quot;&gt;&lt;SELECT&gt;/BBOOK/DATAPROVIDER[./META/PROPS/ID='BIP_UKWA']/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preutan&lt;/DYNAMIZEDBY&gt;&lt;DYNAMIZEDON&gt;15-03-2021 16:04:05&lt;/DYNAMIZEDON&gt;&lt;LASTUPDATEDBY&gt;Ruberla&lt;/LASTUPDATEDBY&gt;&lt;LASTUPDATEDON&gt;3/30/2021 7:11:33 AM&lt;/LASTUPDATEDON&gt;&lt;UTC&gt;1&lt;/UTC&gt;&lt;/UPDATE&gt;&lt;QUERIES bbk=&quot;19860&quot; bbkdesc=&quot;2020 Annual Accounts/EU Annual Accounts/DC - Exchange receivables and Non-exchange recoverables&quot; datapro=&quot;BIP_OComm&quot; tdatapro=&quot;BIP_OComm&quot; author=&quot;&quot; modtime=&quot;3/30/2021 7:08:36 AM&quot; moduser=&quot;Ruberla&quot; rolluptime=&quot;&quot; syuser=&quot;Ruberla&quot; syuzeit=&quot;3/30/2021 7:08:36 AM&quot; root=&quot;/BBOOK/DATAPROVIDER[./META/PROPS/ID='BIP_OComm']/DATA&quot; colcount=&quot;2&quot; rowcount=&quot;15&quot; url=&quot;&quot; dynamizeds=&quot;SAP Disclosure Management - Production&quot; dynamizedstype=&quot;9&quot; refreshds=&quot;&quot; viewtype=&quot;1&quot;&gt;&lt;QUERY reftype=&quot;ABS&quot; elmntsel=&quot;TABLE&quot; bbk=&quot;19860&quot; bbkdesc=&quot;2020 Annual Accounts/EU Annual Accounts/DC - Exchange receivables and Non-exchange recoverables&quot; datapro=&quot;BIP_OComm&quot; infos=&quot;&quot; iscomment=&quot;0&quot;&gt;&lt;SELECT&gt;/BBOOK/DATAPROVIDER[./META/PROPS/ID='BIP_OComm']/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preutan&lt;/DYNAMIZEDBY&gt;&lt;DYNAMIZEDON&gt;15-03-2021 16:06:41&lt;/DYNAMIZEDON&gt;&lt;LASTUPDATEDBY&gt;Ruberla&lt;/LASTUPDATEDBY&gt;&lt;LASTUPDATEDON&gt;3/30/2021 7:11:33 AM&lt;/LASTUPDATEDON&gt;&lt;UTC&gt;1&lt;/UTC&gt;&lt;/UPDATE&gt;&lt;QUERIES bbk=&quot;19860&quot; bbkdesc=&quot;2020 Annual Accounts/EU Annual Accounts/DC - Exchange receivables and Non-exchange recoverables&quot; datapro=&quot;BIP_Uliab&quot; tdatapro=&quot;BIP_Uliab&quot; author=&quot;&quot; modtime=&quot;3/30/2021 7:08:36 AM&quot; moduser=&quot;Ruberla&quot; rolluptime=&quot;&quot; syuser=&quot;Ruberla&quot; syuzeit=&quot;3/30/2021 7:08:36 AM&quot; root=&quot;/BBOOK/DATAPROVIDER[./META/PROPS/ID='BIP_Uliab']/DATA&quot; colcount=&quot;5&quot; rowcount=&quot;7&quot; url=&quot;&quot; dynamizeds=&quot;SAP Disclosure Management - Production&quot; dynamizedstype=&quot;9&quot; refreshds=&quot;&quot; viewtype=&quot;1&quot;&gt;&lt;QUERY reftype=&quot;ABS&quot; elmntsel=&quot;TABLE&quot; bbk=&quot;19860&quot; bbkdesc=&quot;2020 Annual Accounts/EU Annual Accounts/DC - Exchange receivables and Non-exchange recoverables&quot; datapro=&quot;BIP_Uliab&quot; infos=&quot;&quot; iscomment=&quot;0&quot;&gt;&lt;SELECT&gt;/BBOOK/DATAPROVIDER[./META/PROPS/ID='BIP_Uliab']/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preutan&lt;/DYNAMIZEDBY&gt;&lt;DYNAMIZEDON&gt;16-03-2021 11:29:03&lt;/DYNAMIZEDON&gt;&lt;LASTUPDATEDBY&gt;Ruberla&lt;/LASTUPDATEDBY&gt;&lt;LASTUPDATEDON&gt;3/30/2021 7:11:33 AM&lt;/LASTUPDATEDON&gt;&lt;UTC&gt;1&lt;/UTC&gt;&lt;/UPDATE&gt;&lt;QUERIES bbk=&quot;19860&quot; bbkdesc=&quot;2020 Annual Accounts/EU Annual Accounts/DC - Exchange receivables and Non-exchange recoverables&quot; datapro=&quot;BIP_OthAm&quot; tdatapro=&quot;BIP_OthAm&quot; author=&quot;&quot; modtime=&quot;3/30/2021 7:08:36 AM&quot; moduser=&quot;Ruberla&quot; rolluptime=&quot;&quot; syuser=&quot;Ruberla&quot; syuzeit=&quot;3/30/2021 7:08:36 AM&quot; root=&quot;/BBOOK/DATAPROVIDER[./META/PROPS/ID='BIP_OthAm']/DATA&quot; colcount=&quot;2&quot; rowcount=&quot;16&quot; url=&quot;&quot; dynamizeds=&quot;SAP Disclosure Management - Production&quot; dynamizedstype=&quot;9&quot; refreshds=&quot;&quot; viewtype=&quot;1&quot;&gt;&lt;QUERY reftype=&quot;ABS&quot; elmntsel=&quot;TABLE&quot; bbk=&quot;19860&quot; bbkdesc=&quot;2020 Annual Accounts/EU Annual Accounts/DC - Exchange receivables and Non-exchange recoverables&quot; datapro=&quot;BIP_OthAm&quot; infos=&quot;&quot; iscomment=&quot;0&quot;&gt;&lt;SELECT&gt;/BBOOK/DATAPROVIDER[./META/PROPS/ID='BIP_OthAm']/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40:29&lt;/DYNAMIZEDON&gt;&lt;LASTUPDATEDBY&gt;Ruberla&lt;/LASTUPDATEDBY&gt;&lt;LASTUPDATEDON&gt;3/30/2021 7:11:33 AM&lt;/LASTUPDATEDON&gt;&lt;UTC&gt;1&lt;/UTC&gt;&lt;/UPDATE&gt;&lt;QUERIES bbk=&quot;19860&quot; bbkdesc=&quot;2020 Annual Accounts/EU Annual Accounts/DC - Exchange receivables and Non-exchange recoverables&quot; datapro=&quot;BIP_FINES&quot; tdatapro=&quot;BIP_FINES&quot; author=&quot;&quot; modtime=&quot;3/30/2021 7:08:36 AM&quot; moduser=&quot;Ruberla&quot; rolluptime=&quot;&quot; syuser=&quot;Ruberla&quot; syuzeit=&quot;3/30/2021 7:08:36 AM&quot; root=&quot;/BBOOK/DATAPROVIDER[./META/PROPS/ID='BIP_FINES']/DATA&quot; colcount=&quot;3&quot; rowcount=&quot;9&quot; url=&quot;&quot; dynamizeds=&quot;SAP Disclosure Management - Production&quot; dynamizedstype=&quot;9&quot; refreshds=&quot;&quot; viewtype=&quot;1&quot;&gt;&lt;QUERY reftype=&quot;ABS&quot; elmntsel=&quot;TABLE&quot; bbk=&quot;19860&quot; bbkdesc=&quot;2020 Annual Accounts/EU Annual Accounts/DC - Exchange receivables and Non-exchange recoverables&quot; datapro=&quot;BIP_FINES&quot; infos=&quot;&quot; iscomment=&quot;0&quot;&gt;&lt;SELECT&gt;/BBOOK/DATAPROVIDER[./META/PROPS/ID='BIP_FINES']/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01:09&lt;/DYNAMIZEDON&gt;&lt;LASTUPDATEDBY&gt;Ruberla&lt;/LASTUPDATEDBY&gt;&lt;LASTUPDATEDON&gt;3/30/2021 7:11:33 AM&lt;/LASTUPDATEDON&gt;&lt;UTC&gt;1&lt;/UTC&gt;&lt;/UPDATE&gt;&lt;QUERIES bbk=&quot;19862&quot; bbkdesc=&quot;2020 Annual Accounts/EU Annual Accounts/DC - Accrued income and Deferred charges&quot; datapro=&quot;BIP_AIDC&quot; tdatapro=&quot;BIP_AIDC&quot; author=&quot;&quot; modtime=&quot;3/30/2021 7:08:28 AM&quot; moduser=&quot;Ruberla&quot; rolluptime=&quot;&quot; syuser=&quot;Ruberla&quot; syuzeit=&quot;3/30/2021 7:08:28 AM&quot; root=&quot;/BBOOK/DATAPROVIDER[./META/PROPS/ID='BIP_AIDC']/DATA&quot; colcount=&quot;3&quot; rowcount=&quot;7&quot; url=&quot;&quot; dynamizeds=&quot;SAP Disclosure Management - Production&quot; dynamizedstype=&quot;9&quot; refreshds=&quot;&quot; viewtype=&quot;1&quot;&gt;&lt;QUERY reftype=&quot;ABS&quot; elmntsel=&quot;TABLE&quot; bbk=&quot;19862&quot; bbkdesc=&quot;2020 Annual Accounts/EU Annual Accounts/DC - Accrued income and Deferred charges&quot; datapro=&quot;BIP_AIDC&quot; infos=&quot;&quot; iscomment=&quot;0&quot;&gt;&lt;SELECT&gt;/BBOOK/DATAPROVIDER[./META/PROPS/ID='BIP_AIDC']/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41:32&lt;/DYNAMIZEDON&gt;&lt;LASTUPDATEDBY&gt;Ruberla&lt;/LASTUPDATEDBY&gt;&lt;LASTUPDATEDON&gt;3/30/2021 7:11:33 AM&lt;/LASTUPDATEDON&gt;&lt;UTC&gt;1&lt;/UTC&gt;&lt;/UPDATE&gt;&lt;QUERIES bbk=&quot;19860&quot; bbkdesc=&quot;2020 Annual Accounts/EU Annual Accounts/DC - Exchange receivables and Non-exchange recoverables&quot; datapro=&quot;BIP_RET&quot; tdatapro=&quot;BIP_RET&quot; author=&quot;&quot; modtime=&quot;3/30/2021 7:08:36 AM&quot; moduser=&quot;Ruberla&quot; rolluptime=&quot;&quot; syuser=&quot;Ruberla&quot; syuzeit=&quot;3/30/2021 7:08:36 AM&quot; root=&quot;/BBOOK/DATAPROVIDER[./META/PROPS/ID='BIP_RET']/DATA&quot; colcount=&quot;3&quot; rowcount=&quot;14&quot; url=&quot;&quot; dynamizeds=&quot;SAP Disclosure Management - Production&quot; dynamizedstype=&quot;9&quot; refreshds=&quot;&quot; viewtype=&quot;1&quot;&gt;&lt;QUERY reftype=&quot;ABS&quot; elmntsel=&quot;TABLE&quot; bbk=&quot;19860&quot; bbkdesc=&quot;2020 Annual Accounts/EU Annual Accounts/DC - Exchange receivables and Non-exchange recoverables&quot; datapro=&quot;BIP_RET&quot; infos=&quot;&quot; iscomment=&quot;0&quot;&gt;&lt;SELECT&gt;/BBOOK/DATAPROVIDER[./META/PROPS/ID='BIP_RET']/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0:25:51&lt;/DYNAMIZEDON&gt;&lt;LASTUPDATEDBY&gt;Ruberla&lt;/LASTUPDATEDBY&gt;&lt;LASTUPDATEDON&gt;3/30/2021 7:11:48 AM&lt;/LASTUPDATEDON&gt;&lt;UTC&gt;1&lt;/UTC&gt;&lt;/UPDATE&gt;&lt;QUERIES bbk=&quot;19881&quot; bbkdesc=&quot;2020 Annual Accounts/EU Annual Accounts/DC - Inventories&quot; datapro=&quot;BIP_INV&quot; tdatapro=&quot;BIP_INV&quot; author=&quot;&quot; modtime=&quot;3/30/2021 7:08:47 AM&quot; moduser=&quot;Ruberla&quot; rolluptime=&quot;&quot; syuser=&quot;Ruberla&quot; syuzeit=&quot;3/30/2021 7:08:47 AM&quot; root=&quot;/BBOOK/DATAPROVIDER[./META/PROPS/ID='BIP_INV']/DATA&quot; colcount=&quot;3&quot; rowcount=&quot;5&quot; url=&quot;&quot; dynamizeds=&quot;SAP Disclosure Management - Production&quot; dynamizedstype=&quot;9&quot; refreshds=&quot;&quot; viewtype=&quot;1&quot;&gt;&lt;QUERY reftype=&quot;ABS&quot; elmntsel=&quot;TABLE&quot; bbk=&quot;19881&quot; bbkdesc=&quot;2020 Annual Accounts/EU Annual Accounts/DC - Inventories&quot; datapro=&quot;BIP_INV&quot; infos=&quot;&quot; iscomment=&quot;0&quot;&gt;&lt;SELECT&gt;/BBOOK/DATAPROVIDER[./META/PROPS/ID='BIP_INV']/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34:46&lt;/DYNAMIZEDON&gt;&lt;LASTUPDATEDBY&gt;Ruberla&lt;/LASTUPDATEDBY&gt;&lt;LASTUPDATEDON&gt;3/30/2021 7:06:25 AM&lt;/LASTUPDATEDON&gt;&lt;UTC&gt;1&lt;/UTC&gt;&lt;/UPDATE&gt;&lt;QUERIES bbk=&quot;19882&quot; bbkdesc=&quot;2020 Annual Accounts/EU Annual Accounts/DC - Cash and cash equivalents&quot; datapro=&quot;BIP_CCE&quot; tdatapro=&quot;BIP_CCE&quot; author=&quot;&quot; modtime=&quot;3/30/2021 7:06:20 AM&quot; moduser=&quot;Ruberla&quot; rolluptime=&quot;&quot; syuser=&quot;Ruberla&quot; syuzeit=&quot;3/30/2021 7:06:20 AM&quot; root=&quot;/BBOOK/DATAPROVIDER[./META/PROPS/ID='BIP_CCE']/DATA&quot; colcount=&quot;4&quot; rowcount=&quot;12&quot; url=&quot;&quot; dynamizeds=&quot;SAP Disclosure Management - Production&quot; dynamizedstype=&quot;9&quot; refreshds=&quot;&quot; viewtype=&quot;1&quot;&gt;&lt;QUERY reftype=&quot;ABS&quot; elmntsel=&quot;TABLE&quot; bbk=&quot;19882&quot; bbkdesc=&quot;2020 Annual Accounts/EU Annual Accounts/DC - Cash and cash equivalents&quot; datapro=&quot;BIP_CCE&quot; infos=&quot;&quot; iscomment=&quot;0&quot;&gt;&lt;SELECT&gt;/BBOOK/DATAPROVIDER[./META/PROPS/ID='BIP_CCE']/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49:54&lt;/DYNAMIZEDON&gt;&lt;LASTUPDATEDBY&gt;Ruberla&lt;/LASTUPDATEDBY&gt;&lt;LASTUPDATEDON&gt;3/30/2021 7:11:54 AM&lt;/LASTUPDATEDON&gt;&lt;UTC&gt;1&lt;/UTC&gt;&lt;/UPDATE&gt;&lt;QUERIES bbk=&quot;19883&quot; bbkdesc=&quot;2020 Annual Accounts/EU Annual Accounts/DC - Pension and other employee benefits&quot; datapro=&quot;BIP_PENS1&quot; tdatapro=&quot;BIP_PENS1&quot; author=&quot;&quot; modtime=&quot;3/30/2021 7:08:57 AM&quot; moduser=&quot;Ruberla&quot; rolluptime=&quot;&quot; syuser=&quot;Ruberla&quot; syuzeit=&quot;3/30/2021 7:08:57 AM&quot; root=&quot;/BBOOK/DATAPROVIDER[./META/PROPS/ID='BIP_PENS1']/DATA&quot; colcount=&quot;6&quot; rowcount=&quot;5&quot; url=&quot;&quot; dynamizeds=&quot;SAP Disclosure Management - Production&quot; dynamizedstype=&quot;9&quot; refreshds=&quot;&quot; viewtype=&quot;1&quot;&gt;&lt;QUERY reftype=&quot;ABS&quot; elmntsel=&quot;TABLE&quot; bbk=&quot;19883&quot; bbkdesc=&quot;2020 Annual Accounts/EU Annual Accounts/DC - Pension and other employee benefits&quot; datapro=&quot;BIP_PENS1&quot; infos=&quot;&quot; iscomment=&quot;0&quot;&gt;&lt;SELECT&gt;/BBOOK/DATAPROVIDER[./META/PROPS/ID='BIP_PENS1']/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1:04&lt;/DYNAMIZEDON&gt;&lt;LASTUPDATEDBY&gt;Ruberla&lt;/LASTUPDATEDBY&gt;&lt;LASTUPDATEDON&gt;3/30/2021 7:11:54 AM&lt;/LASTUPDATEDON&gt;&lt;UTC&gt;1&lt;/UTC&gt;&lt;/UPDATE&gt;&lt;QUERIES bbk=&quot;19883&quot; bbkdesc=&quot;2020 Annual Accounts/EU Annual Accounts/DC - Pension and other employee benefits&quot; datapro=&quot;BIP_PENS2&quot; tdatapro=&quot;BIP_PENS2&quot; author=&quot;&quot; modtime=&quot;3/30/2021 7:08:57 AM&quot; moduser=&quot;Ruberla&quot; rolluptime=&quot;&quot; syuser=&quot;Ruberla&quot; syuzeit=&quot;3/30/2021 7:08:57 AM&quot; root=&quot;/BBOOK/DATAPROVIDER[./META/PROPS/ID='BIP_PENS2']/DATA&quot; colcount=&quot;5&quot; rowcount=&quot;15&quot; url=&quot;&quot; dynamizeds=&quot;SAP Disclosure Management - Production&quot; dynamizedstype=&quot;9&quot; refreshds=&quot;&quot; viewtype=&quot;1&quot;&gt;&lt;QUERY reftype=&quot;ABS&quot; elmntsel=&quot;TABLE&quot; bbk=&quot;19883&quot; bbkdesc=&quot;2020 Annual Accounts/EU Annual Accounts/DC - Pension and other employee benefits&quot; datapro=&quot;BIP_PENS2&quot; infos=&quot;&quot; iscomment=&quot;0&quot;&gt;&lt;SELECT&gt;/BBOOK/DATAPROVIDER[./META/PROPS/ID='BIP_PENS2']/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7:01&lt;/DYNAMIZEDON&gt;&lt;LASTUPDATEDBY&gt;Ruberla&lt;/LASTUPDATEDBY&gt;&lt;LASTUPDATEDON&gt;3/30/2021 7:11:53 AM&lt;/LASTUPDATEDON&gt;&lt;UTC&gt;1&lt;/UTC&gt;&lt;/UPDATE&gt;&lt;QUERIES bbk=&quot;19883&quot; bbkdesc=&quot;2020 Annual Accounts/EU Annual Accounts/DC - Pension and other employee benefits&quot; datapro=&quot;BIP_PENS3&quot; tdatapro=&quot;BIP_PENS3&quot; author=&quot;&quot; modtime=&quot;3/30/2021 7:08:57 AM&quot; moduser=&quot;Ruberla&quot; rolluptime=&quot;&quot; syuser=&quot;Ruberla&quot; syuzeit=&quot;3/30/2021 7:08:57 AM&quot; root=&quot;/BBOOK/DATAPROVIDER[./META/PROPS/ID='BIP_PENS3']/DATA&quot; colcount=&quot;4&quot; rowcount=&quot;5&quot; url=&quot;&quot; dynamizeds=&quot;SAP Disclosure Management - Production&quot; dynamizedstype=&quot;9&quot; refreshds=&quot;&quot; viewtype=&quot;1&quot;&gt;&lt;QUERY reftype=&quot;ABS&quot; elmntsel=&quot;TABLE&quot; bbk=&quot;19883&quot; bbkdesc=&quot;2020 Annual Accounts/EU Annual Accounts/DC - Pension and other employee benefits&quot; datapro=&quot;BIP_PENS3&quot; infos=&quot;&quot; iscomment=&quot;0&quot;&gt;&lt;SELECT&gt;/BBOOK/DATAPROVIDER[./META/PROPS/ID='BIP_PENS3']/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8:10&lt;/DYNAMIZEDON&gt;&lt;LASTUPDATEDBY&gt;Ruberla&lt;/LASTUPDATEDBY&gt;&lt;LASTUPDATEDON&gt;3/30/2021 7:11:54 AM&lt;/LASTUPDATEDON&gt;&lt;UTC&gt;1&lt;/UTC&gt;&lt;/UPDATE&gt;&lt;QUERIES bbk=&quot;19883&quot; bbkdesc=&quot;2020 Annual Accounts/EU Annual Accounts/DC - Pension and other employee benefits&quot; datapro=&quot;BIP_SPL&quot; tdatapro=&quot;BIP_SPL&quot; author=&quot;&quot; modtime=&quot;3/30/2021 7:08:57 AM&quot; moduser=&quot;Ruberla&quot; rolluptime=&quot;&quot; syuser=&quot;Ruberla&quot; syuzeit=&quot;3/30/2021 7:08:57 AM&quot; root=&quot;/BBOOK/DATAPROVIDER[./META/PROPS/ID='BIP_SPL']/DATA&quot; colcount=&quot;3&quot; rowcount=&quot;15&quot; url=&quot;&quot; dynamizeds=&quot;SAP Disclosure Management - Production&quot; dynamizedstype=&quot;9&quot; refreshds=&quot;&quot; viewtype=&quot;1&quot;&gt;&lt;QUERY reftype=&quot;ABS&quot; elmntsel=&quot;TABLE&quot; bbk=&quot;19883&quot; bbkdesc=&quot;2020 Annual Accounts/EU Annual Accounts/DC - Pension and other employee benefits&quot; datapro=&quot;BIP_SPL&quot; infos=&quot;&quot; iscomment=&quot;0&quot;&gt;&lt;SELECT&gt;/BBOOK/DATAPROVIDER[./META/PROPS/ID='BIP_SPL']/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bournai&lt;/DYNAMIZEDBY&gt;&lt;DYNAMIZEDON&gt;29-Mar-21 7:11:05 AM&lt;/DYNAMIZEDON&gt;&lt;LASTUPDATEDBY&gt;Ruberla&lt;/LASTUPDATEDBY&gt;&lt;LASTUPDATEDON&gt;3/30/2021 7:11:54 AM&lt;/LASTUPDATEDON&gt;&lt;UTC&gt;1&lt;/UTC&gt;&lt;/UPDATE&gt;&lt;QUERIES bbk=&quot;19883&quot; bbkdesc=&quot;2020 Annual Accounts/EU Annual Accounts/DC - Pension and other employee benefits&quot; datapro=&quot;BIP_PENS10&quot; tdatapro=&quot;BIP_PENS10&quot; author=&quot;&quot; modtime=&quot;3/30/2021 7:08:57 AM&quot; moduser=&quot;Ruberla&quot; rolluptime=&quot;&quot; syuser=&quot;Ruberla&quot; syuzeit=&quot;3/30/2021 7:08:57 AM&quot; root=&quot;/BBOOK/DATAPROVIDER[./META/PROPS/ID='BIP_PENS10']/DATA&quot; colcount=&quot;5&quot; rowcount=&quot;4&quot; url=&quot;&quot; dynamizeds=&quot;SAP Disclosure Management - Production&quot; dynamizedstype=&quot;9&quot; refreshds=&quot;&quot; viewtype=&quot;1&quot;&gt;&lt;QUERY reftype=&quot;ABS&quot; elmntsel=&quot;TABLE&quot; bbk=&quot;19883&quot; bbkdesc=&quot;2020 Annual Accounts/EU Annual Accounts/DC - Pension and other employee benefits&quot; datapro=&quot;BIP_PENS10&quot; infos=&quot;&quot; iscomment=&quot;0&quot;&gt;&lt;SELECT&gt;/BBOOK/DATAPROVIDER[./META/PROPS/ID='BIP_PENS10']/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6:54&lt;/DYNAMIZEDON&gt;&lt;LASTUPDATEDBY&gt;Ruberla&lt;/LASTUPDATEDBY&gt;&lt;LASTUPDATEDON&gt;3/30/2021 7:11:53 AM&lt;/LASTUPDATEDON&gt;&lt;UTC&gt;1&lt;/UTC&gt;&lt;/UPDATE&gt;&lt;QUERIES bbk=&quot;19883&quot; bbkdesc=&quot;2020 Annual Accounts/EU Annual Accounts/DC - Pension and other employee benefits&quot; datapro=&quot;BIP_PENS11&quot; tdatapro=&quot;BIP_PENS11&quot; author=&quot;&quot; modtime=&quot;3/30/2021 7:08:57 AM&quot; moduser=&quot;Ruberla&quot; rolluptime=&quot;&quot; syuser=&quot;Ruberla&quot; syuzeit=&quot;3/30/2021 7:08:57 AM&quot; root=&quot;/BBOOK/DATAPROVIDER[./META/PROPS/ID='BIP_PENS11']/DATA&quot; colcount=&quot;5&quot; rowcount=&quot;4&quot; url=&quot;&quot; dynamizeds=&quot;SAP Disclosure Management - Production&quot; dynamizedstype=&quot;9&quot; refreshds=&quot;&quot; viewtype=&quot;1&quot;&gt;&lt;QUERY reftype=&quot;ABS&quot; elmntsel=&quot;TABLE&quot; bbk=&quot;19883&quot; bbkdesc=&quot;2020 Annual Accounts/EU Annual Accounts/DC - Pension and other employee benefits&quot; datapro=&quot;BIP_PENS11&quot; infos=&quot;&quot; iscomment=&quot;0&quot;&gt;&lt;SELECT&gt;/BBOOK/DATAPROVIDER[./META/PROPS/ID='BIP_PENS11']/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7:36&lt;/DYNAMIZEDON&gt;&lt;LASTUPDATEDBY&gt;Ruberla&lt;/LASTUPDATEDBY&gt;&lt;LASTUPDATEDON&gt;3/30/2021 7:11:54 AM&lt;/LASTUPDATEDON&gt;&lt;UTC&gt;1&lt;/UTC&gt;&lt;/UPDATE&gt;&lt;QUERIES bbk=&quot;19883&quot; bbkdesc=&quot;2020 Annual Accounts/EU Annual Accounts/DC - Pension and other employee benefits&quot; datapro=&quot;BIP_PENS12&quot; tdatapro=&quot;BIP_PENS12&quot; author=&quot;&quot; modtime=&quot;3/30/2021 7:08:57 AM&quot; moduser=&quot;Ruberla&quot; rolluptime=&quot;&quot; syuser=&quot;Ruberla&quot; syuzeit=&quot;3/30/2021 7:08:57 AM&quot; root=&quot;/BBOOK/DATAPROVIDER[./META/PROPS/ID='BIP_PENS12']/DATA&quot; colcount=&quot;5&quot; rowcount=&quot;4&quot; url=&quot;&quot; dynamizeds=&quot;SAP Disclosure Management - Production&quot; dynamizedstype=&quot;9&quot; refreshds=&quot;&quot; viewtype=&quot;1&quot;&gt;&lt;QUERY reftype=&quot;ABS&quot; elmntsel=&quot;TABLE&quot; bbk=&quot;19883&quot; bbkdesc=&quot;2020 Annual Accounts/EU Annual Accounts/DC - Pension and other employee benefits&quot; datapro=&quot;BIP_PENS12&quot; infos=&quot;&quot; iscomment=&quot;0&quot;&gt;&lt;SELECT&gt;/BBOOK/DATAPROVIDER[./META/PROPS/ID='BIP_PENS12']/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9:53&lt;/DYNAMIZEDON&gt;&lt;LASTUPDATEDBY&gt;Ruberla&lt;/LASTUPDATEDBY&gt;&lt;LASTUPDATEDON&gt;3/30/2021 7:11:53 AM&lt;/LASTUPDATEDON&gt;&lt;UTC&gt;1&lt;/UTC&gt;&lt;/UPDATE&gt;&lt;QUERIES bbk=&quot;19883&quot; bbkdesc=&quot;2020 Annual Accounts/EU Annual Accounts/DC - Pension and other employee benefits&quot; datapro=&quot;BIP_PENS6&quot; tdatapro=&quot;BIP_PENS6&quot; author=&quot;&quot; modtime=&quot;3/30/2021 7:08:57 AM&quot; moduser=&quot;Ruberla&quot; rolluptime=&quot;&quot; syuser=&quot;Ruberla&quot; syuzeit=&quot;3/30/2021 7:08:57 AM&quot; root=&quot;/BBOOK/DATAPROVIDER[./META/PROPS/ID='BIP_PENS6']/DATA&quot; colcount=&quot;5&quot; rowcount=&quot;5&quot; url=&quot;&quot; dynamizeds=&quot;SAP Disclosure Management - Production&quot; dynamizedstype=&quot;9&quot; refreshds=&quot;&quot; viewtype=&quot;1&quot;&gt;&lt;QUERY reftype=&quot;ABS&quot; elmntsel=&quot;TABLE&quot; bbk=&quot;19883&quot; bbkdesc=&quot;2020 Annual Accounts/EU Annual Accounts/DC - Pension and other employee benefits&quot; datapro=&quot;BIP_PENS6&quot; infos=&quot;&quot; iscomment=&quot;0&quot;&gt;&lt;SELECT&gt;/BBOOK/DATAPROVIDER[./META/PROPS/ID='BIP_PENS6']/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0:50&lt;/DYNAMIZEDON&gt;&lt;LASTUPDATEDBY&gt;Ruberla&lt;/LASTUPDATEDBY&gt;&lt;LASTUPDATEDON&gt;3/30/2021 7:11:54 AM&lt;/LASTUPDATEDON&gt;&lt;UTC&gt;1&lt;/UTC&gt;&lt;/UPDATE&gt;&lt;QUERIES bbk=&quot;19883&quot; bbkdesc=&quot;2020 Annual Accounts/EU Annual Accounts/DC - Pension and other employee benefits&quot; datapro=&quot;BIP_PENS7&quot; tdatapro=&quot;BIP_PENS7&quot; author=&quot;&quot; modtime=&quot;3/30/2021 7:08:57 AM&quot; moduser=&quot;Ruberla&quot; rolluptime=&quot;&quot; syuser=&quot;Ruberla&quot; syuzeit=&quot;3/30/2021 7:08:57 AM&quot; root=&quot;/BBOOK/DATAPROVIDER[./META/PROPS/ID='BIP_PENS7']/DATA&quot; colcount=&quot;5&quot; rowcount=&quot;4&quot; url=&quot;&quot; dynamizeds=&quot;SAP Disclosure Management - Production&quot; dynamizedstype=&quot;9&quot; refreshds=&quot;&quot; viewtype=&quot;1&quot;&gt;&lt;QUERY reftype=&quot;ABS&quot; elmntsel=&quot;TABLE&quot; bbk=&quot;19883&quot; bbkdesc=&quot;2020 Annual Accounts/EU Annual Accounts/DC - Pension and other employee benefits&quot; datapro=&quot;BIP_PENS7&quot; infos=&quot;&quot; iscomment=&quot;0&quot;&gt;&lt;SELECT&gt;/BBOOK/DATAPROVIDER[./META/PROPS/ID='BIP_PENS7']/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1:31&lt;/DYNAMIZEDON&gt;&lt;LASTUPDATEDBY&gt;Ruberla&lt;/LASTUPDATEDBY&gt;&lt;LASTUPDATEDON&gt;3/30/2021 7:11:54 AM&lt;/LASTUPDATEDON&gt;&lt;UTC&gt;1&lt;/UTC&gt;&lt;/UPDATE&gt;&lt;QUERIES bbk=&quot;19883&quot; bbkdesc=&quot;2020 Annual Accounts/EU Annual Accounts/DC - Pension and other employee benefits&quot; datapro=&quot;BIP_PENS8&quot; tdatapro=&quot;BIP_PENS8&quot; author=&quot;&quot; modtime=&quot;3/30/2021 7:08:57 AM&quot; moduser=&quot;Ruberla&quot; rolluptime=&quot;&quot; syuser=&quot;Ruberla&quot; syuzeit=&quot;3/30/2021 7:08:57 AM&quot; root=&quot;/BBOOK/DATAPROVIDER[./META/PROPS/ID='BIP_PENS8']/DATA&quot; colcount=&quot;5&quot; rowcount=&quot;4&quot; url=&quot;&quot; dynamizeds=&quot;SAP Disclosure Management - Production&quot; dynamizedstype=&quot;9&quot; refreshds=&quot;&quot; viewtype=&quot;1&quot;&gt;&lt;QUERY reftype=&quot;ABS&quot; elmntsel=&quot;TABLE&quot; bbk=&quot;19883&quot; bbkdesc=&quot;2020 Annual Accounts/EU Annual Accounts/DC - Pension and other employee benefits&quot; datapro=&quot;BIP_PENS8&quot; infos=&quot;&quot; iscomment=&quot;0&quot;&gt;&lt;SELECT&gt;/BBOOK/DATAPROVIDER[./META/PROPS/ID='BIP_PENS8']/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2:15&lt;/DYNAMIZEDON&gt;&lt;LASTUPDATEDBY&gt;Ruberla&lt;/LASTUPDATEDBY&gt;&lt;LASTUPDATEDON&gt;3/30/2021 7:11:54 AM&lt;/LASTUPDATEDON&gt;&lt;UTC&gt;1&lt;/UTC&gt;&lt;/UPDATE&gt;&lt;QUERIES bbk=&quot;19883&quot; bbkdesc=&quot;2020 Annual Accounts/EU Annual Accounts/DC - Pension and other employee benefits&quot; datapro=&quot;BIP_PENS9&quot; tdatapro=&quot;BIP_PENS9&quot; author=&quot;&quot; modtime=&quot;3/30/2021 7:08:57 AM&quot; moduser=&quot;Ruberla&quot; rolluptime=&quot;&quot; syuser=&quot;Ruberla&quot; syuzeit=&quot;3/30/2021 7:08:57 AM&quot; root=&quot;/BBOOK/DATAPROVIDER[./META/PROPS/ID='BIP_PENS9']/DATA&quot; colcount=&quot;5&quot; rowcount=&quot;4&quot; url=&quot;&quot; dynamizeds=&quot;SAP Disclosure Management - Production&quot; dynamizedstype=&quot;9&quot; refreshds=&quot;&quot; viewtype=&quot;1&quot;&gt;&lt;QUERY reftype=&quot;ABS&quot; elmntsel=&quot;TABLE&quot; bbk=&quot;19883&quot; bbkdesc=&quot;2020 Annual Accounts/EU Annual Accounts/DC - Pension and other employee benefits&quot; datapro=&quot;BIP_PENS9&quot; infos=&quot;&quot; iscomment=&quot;0&quot;&gt;&lt;SELECT&gt;/BBOOK/DATAPROVIDER[./META/PROPS/ID='BIP_PENS9']/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5/08/2019 11:14:47&lt;/DYNAMIZEDON&gt;&lt;LASTUPDATEDBY&gt;Ruberla&lt;/LASTUPDATEDBY&gt;&lt;LASTUPDATEDON&gt;3/30/2021 7:11:55 AM&lt;/LASTUPDATEDON&gt;&lt;UTC&gt;1&lt;/UTC&gt;&lt;/UPDATE&gt;&lt;QUERIES bbk=&quot;19884&quot; bbkdesc=&quot;2020 Annual Accounts/EU Annual Accounts/DC - Provisions&quot; datapro=&quot;BIP_PROV&quot; tdatapro=&quot;BIP_PROV&quot; author=&quot;&quot; modtime=&quot;3/30/2021 7:09:00 AM&quot; moduser=&quot;Ruberla&quot; rolluptime=&quot;&quot; syuser=&quot;Ruberla&quot; syuzeit=&quot;3/30/2021 7:09:00 AM&quot; root=&quot;/BBOOK/DATAPROVIDER[./META/PROPS/ID='BIP_PROV']/DATA&quot; colcount=&quot;8&quot; rowcount=&quot;12&quot; url=&quot;&quot; dynamizeds=&quot;SAP Disclosure Management - Production&quot; dynamizedstype=&quot;9&quot; refreshds=&quot;&quot; viewtype=&quot;1&quot;&gt;&lt;QUERY reftype=&quot;ABS&quot; elmntsel=&quot;TABLE&quot; bbk=&quot;19884&quot; bbkdesc=&quot;2020 Annual Accounts/EU Annual Accounts/DC - Provisions&quot; datapro=&quot;BIP_PROV&quot; infos=&quot;&quot; iscomment=&quot;0&quot;&gt;&lt;SELECT&gt;/BBOOK/DATAPROVIDER[./META/PROPS/ID='BIP_PROV']/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26:29&lt;/DYNAMIZEDON&gt;&lt;LASTUPDATEDBY&gt;Ruberla&lt;/LASTUPDATEDBY&gt;&lt;LASTUPDATEDON&gt;3/30/2021 7:11:36 AM&lt;/LASTUPDATEDON&gt;&lt;UTC&gt;1&lt;/UTC&gt;&lt;/UPDATE&gt;&lt;QUERIES bbk=&quot;19885&quot; bbkdesc=&quot;2020 Annual Accounts/EU Annual Accounts/DC - Financial liabilities&quot; datapro=&quot;BIP_FINL&quot; tdatapro=&quot;BIP_FINL&quot; author=&quot;&quot; modtime=&quot;3/30/2021 7:08:41 AM&quot; moduser=&quot;Ruberla&quot; rolluptime=&quot;&quot; syuser=&quot;Ruberla&quot; syuzeit=&quot;3/30/2021 7:08:41 AM&quot; root=&quot;/BBOOK/DATAPROVIDER[./META/PROPS/ID='BIP_FINL']/DATA&quot; colcount=&quot;4&quot; rowcount=&quot;12&quot; url=&quot;&quot; dynamizeds=&quot;SAP Disclosure Management - Production&quot; dynamizedstype=&quot;9&quot; refreshds=&quot;&quot; viewtype=&quot;1&quot;&gt;&lt;QUERY reftype=&quot;ABS&quot; elmntsel=&quot;TABLE&quot; bbk=&quot;19885&quot; bbkdesc=&quot;2020 Annual Accounts/EU Annual Accounts/DC - Financial liabilities&quot; datapro=&quot;BIP_FINL&quot; infos=&quot;&quot; iscomment=&quot;0&quot;&gt;&lt;SELECT&gt;/BBOOK/DATAPROVIDER[./META/PROPS/ID='BIP_FINL']/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27:23&lt;/DYNAMIZEDON&gt;&lt;LASTUPDATEDBY&gt;Ruberla&lt;/LASTUPDATEDBY&gt;&lt;LASTUPDATEDON&gt;3/30/2021 7:11:37 AM&lt;/LASTUPDATEDON&gt;&lt;UTC&gt;1&lt;/UTC&gt;&lt;/UPDATE&gt;&lt;QUERIES bbk=&quot;19885&quot; bbkdesc=&quot;2020 Annual Accounts/EU Annual Accounts/DC - Financial liabilities&quot; datapro=&quot;BIP_FLB&quot; tdatapro=&quot;BIP_FLB&quot; author=&quot;&quot; modtime=&quot;3/30/2021 7:08:41 AM&quot; moduser=&quot;Ruberla&quot; rolluptime=&quot;&quot; syuser=&quot;Ruberla&quot; syuzeit=&quot;3/30/2021 7:08:41 AM&quot; root=&quot;/BBOOK/DATAPROVIDER[./META/PROPS/ID='BIP_FLB']/DATA&quot; colcount=&quot;4&quot; rowcount=&quot;7&quot; url=&quot;&quot; dynamizeds=&quot;SAP Disclosure Management - Production&quot; dynamizedstype=&quot;9&quot; refreshds=&quot;&quot; viewtype=&quot;1&quot;&gt;&lt;QUERY reftype=&quot;ABS&quot; elmntsel=&quot;TABLE&quot; bbk=&quot;19885&quot; bbkdesc=&quot;2020 Annual Accounts/EU Annual Accounts/DC - Financial liabilities&quot; datapro=&quot;BIP_FLB&quot; infos=&quot;&quot; iscomment=&quot;0&quot;&gt;&lt;SELECT&gt;/BBOOK/DATAPROVIDER[./META/PROPS/ID='BIP_FLB']/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09:33:02&lt;/DYNAMIZEDON&gt;&lt;LASTUPDATEDBY&gt;Ruberla&lt;/LASTUPDATEDBY&gt;&lt;LASTUPDATEDON&gt;3/30/2021 7:11:37 AM&lt;/LASTUPDATEDON&gt;&lt;UTC&gt;1&lt;/UTC&gt;&lt;/UPDATE&gt;&lt;QUERIES bbk=&quot;19885&quot; bbkdesc=&quot;2020 Annual Accounts/EU Annual Accounts/DC - Financial liabilities&quot; datapro=&quot;BIP_LGFBF&quot; tdatapro=&quot;BIP_LGFBF&quot; author=&quot;&quot; modtime=&quot;3/30/2021 7:08:41 AM&quot; moduser=&quot;Ruberla&quot; rolluptime=&quot;&quot; syuser=&quot;Ruberla&quot; syuzeit=&quot;3/30/2021 7:08:41 AM&quot; root=&quot;/BBOOK/DATAPROVIDER[./META/PROPS/ID='BIP_LGFBF']/DATA&quot; colcount=&quot;7&quot; rowcount=&quot;10&quot; url=&quot;&quot; dynamizeds=&quot;SAP Disclosure Management - Production&quot; dynamizedstype=&quot;9&quot; refreshds=&quot;&quot; viewtype=&quot;1&quot;&gt;&lt;QUERY reftype=&quot;ABS&quot; elmntsel=&quot;TABLE&quot; bbk=&quot;19885&quot; bbkdesc=&quot;2020 Annual Accounts/EU Annual Accounts/DC - Financial liabilities&quot; datapro=&quot;BIP_LGFBF&quot; infos=&quot;&quot; iscomment=&quot;0&quot;&gt;&lt;SELECT&gt;/BBOOK/DATAPROVIDER[./META/PROPS/ID='BIP_LGFBF']/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7/10/2019 12:54:19&lt;/DYNAMIZEDON&gt;&lt;LASTUPDATEDBY&gt;Ruberla&lt;/LASTUPDATEDBY&gt;&lt;LASTUPDATEDON&gt;3/30/2021 7:11:37 AM&lt;/LASTUPDATEDON&gt;&lt;UTC&gt;1&lt;/UTC&gt;&lt;/UPDATE&gt;&lt;QUERIES bbk=&quot;19885&quot; bbkdesc=&quot;2020 Annual Accounts/EU Annual Accounts/DC - Financial liabilities&quot; datapro=&quot;BIP_BORR3&quot; tdatapro=&quot;BIP_BORR3&quot; author=&quot;&quot; modtime=&quot;7/31/2019 8:52:13 AM&quot; moduser=&quot;milemar&quot; rolluptime=&quot;&quot; syuser=&quot;milemar&quot; syuzeit=&quot;7/31/2019 8:52:13 AM&quot; root=&quot;/BBOOK/DATAPROVIDER[./META/PROPS/ID='BIP_Reconciliation']/DATA&quot; colcount=&quot;3&quot; rowcount=&quot;6&quot; url=&quot;&quot; dynamizeds=&quot;SAP Disclosure Management - Production&quot; dynamizedstype=&quot;9&quot; refreshds=&quot;&quot; viewtype=&quot;1&quot;&gt;&lt;QUERY reftype=&quot;ABS&quot; elmntsel=&quot;TABLE&quot; bbk=&quot;19885&quot; bbkdesc=&quot;2020 Annual Accounts/EU Annual Accounts/DC - Financial liabilities&quot; datapro=&quot;BIP_BORR3&quot; infos=&quot;&quot; iscomment=&quot;0&quot;&gt;&lt;SELECT&gt;/BBOOK/DATAPROVIDER[./META/PROPS/ID='BIP_BORR3']/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40:11&lt;/DYNAMIZEDON&gt;&lt;LASTUPDATEDBY&gt;Ruberla&lt;/LASTUPDATEDBY&gt;&lt;LASTUPDATEDON&gt;3/30/2021 7:11:37 AM&lt;/LASTUPDATEDON&gt;&lt;UTC&gt;1&lt;/UTC&gt;&lt;/UPDATE&gt;&lt;QUERIES bbk=&quot;19886&quot; bbkdesc=&quot;2020 Annual Accounts/EU Annual Accounts/DC - Other financial liabilities&quot; datapro=&quot;BIP_OFL&quot; tdatapro=&quot;BIP_OFL&quot; author=&quot;&quot; modtime=&quot;3/30/2021 7:08:53 AM&quot; moduser=&quot;Ruberla&quot; rolluptime=&quot;&quot; syuser=&quot;Ruberla&quot; syuzeit=&quot;3/30/2021 7:08:53 AM&quot; root=&quot;/BBOOK/DATAPROVIDER[./META/PROPS/ID='BIP_OFL']/DATA&quot; colcount=&quot;3&quot; rowcount=&quot;14&quot; url=&quot;&quot; dynamizeds=&quot;SAP Disclosure Management - Production&quot; dynamizedstype=&quot;9&quot; refreshds=&quot;&quot; viewtype=&quot;1&quot;&gt;&lt;QUERY reftype=&quot;ABS&quot; elmntsel=&quot;TABLE&quot; bbk=&quot;19886&quot; bbkdesc=&quot;2020 Annual Accounts/EU Annual Accounts/DC - Other financial liabilities&quot; datapro=&quot;BIP_OFL&quot; infos=&quot;&quot; iscomment=&quot;0&quot;&gt;&lt;SELECT&gt;/BBOOK/DATAPROVIDER[./META/PROPS/ID='BIP_OFL']/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45:47&lt;/DYNAMIZEDON&gt;&lt;LASTUPDATEDBY&gt;Ruberla&lt;/LASTUPDATEDBY&gt;&lt;LASTUPDATEDON&gt;3/30/2021 7:11:36 AM&lt;/LASTUPDATEDON&gt;&lt;UTC&gt;1&lt;/UTC&gt;&lt;/UPDATE&gt;&lt;QUERIES bbk=&quot;19887&quot; bbkdesc=&quot;2020 Annual Accounts/EU Annual Accounts/DC - Finance Lease liabilities&quot; datapro=&quot;BIP_FL&quot; tdatapro=&quot;BIP_FL&quot; author=&quot;&quot; modtime=&quot;3/30/2021 7:08:38 AM&quot; moduser=&quot;Ruberla&quot; rolluptime=&quot;&quot; syuser=&quot;Ruberla&quot; syuzeit=&quot;3/30/2021 7:08:38 AM&quot; root=&quot;/BBOOK/DATAPROVIDER[./META/PROPS/ID='BIP_FL']/DATA&quot; colcount=&quot;5&quot; rowcount=&quot;9&quot; url=&quot;&quot; dynamizeds=&quot;SAP Disclosure Management - Production&quot; dynamizedstype=&quot;9&quot; refreshds=&quot;&quot; viewtype=&quot;1&quot;&gt;&lt;QUERY reftype=&quot;ABS&quot; elmntsel=&quot;TABLE&quot; bbk=&quot;19887&quot; bbkdesc=&quot;2020 Annual Accounts/EU Annual Accounts/DC - Finance Lease liabilities&quot; datapro=&quot;BIP_FL&quot; infos=&quot;&quot; iscomment=&quot;0&quot;&gt;&lt;SELECT&gt;/BBOOK/DATAPROVIDER[./META/PROPS/ID='BIP_FL']/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01:41&lt;/DYNAMIZEDON&gt;&lt;LASTUPDATEDBY&gt;Ruberla&lt;/LASTUPDATEDBY&gt;&lt;LASTUPDATEDON&gt;3/30/2021 7:11:36 AM&lt;/LASTUPDATEDON&gt;&lt;UTC&gt;1&lt;/UTC&gt;&lt;/UPDATE&gt;&lt;QUERIES bbk=&quot;19544&quot; bbkdesc=&quot;2020 Annual Accounts/EC Annual Accounts/DC - Financial liabilities&quot; datapro=&quot;BIP_NOTIONALFL&quot; tdatapro=&quot;BIP_NOTIONALFL&quot; author=&quot;&quot; modtime=&quot;3/29/2021 2:37:51 PM&quot; moduser=&quot;michipat&quot; rolluptime=&quot;&quot; syuser=&quot;michipat&quot; syuzeit=&quot;3/29/2021 2:37:51 PM&quot; root=&quot;/BBOOK/DATAPROVIDER[./META/PROPS/ID='BIP_NOTIONALFL']/DATA&quot; colcount=&quot;5&quot; rowcount=&quot;8&quot; url=&quot;&quot; dynamizeds=&quot;SAP Disclosure Management - Production&quot; dynamizedstype=&quot;9&quot; refreshds=&quot;&quot; viewtype=&quot;1&quot;&gt;&lt;QUERY reftype=&quot;ABS&quot; elmntsel=&quot;TABLE&quot; bbk=&quot;19544&quot; bbkdesc=&quot;2020 Annual Accounts/EC Annual Accounts/DC - Financial liabilities&quot; datapro=&quot;BIP_NOTIONALFL&quot; infos=&quot;&quot; iscomment=&quot;0&quot;&gt;&lt;SELECT&gt;/BBOOK/DATAPROVIDER[./META/PROPS/ID='BIP_NOTIONALFL']/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02:51&lt;/DYNAMIZEDON&gt;&lt;LASTUPDATEDBY&gt;Ruberla&lt;/LASTUPDATEDBY&gt;&lt;LASTUPDATEDON&gt;3/30/2021 7:11:37 AM&lt;/LASTUPDATEDON&gt;&lt;UTC&gt;1&lt;/UTC&gt;&lt;/UPDATE&gt;&lt;QUERIES bbk=&quot;19544&quot; bbkdesc=&quot;2020 Annual Accounts/EC Annual Accounts/DC - Financial liabilities&quot; datapro=&quot;BIP_FVH&quot; tdatapro=&quot;BIP_FVH&quot; author=&quot;&quot; modtime=&quot;3/29/2021 2:37:51 PM&quot; moduser=&quot;michipat&quot; rolluptime=&quot;&quot; syuser=&quot;michipat&quot; syuzeit=&quot;3/29/2021 2:37:51 PM&quot; root=&quot;/BBOOK/DATAPROVIDER[./META/PROPS/ID='BIP_FVH']/DATA&quot; colcount=&quot;3&quot; rowcount=&quot;6&quot; url=&quot;&quot; dynamizeds=&quot;SAP Disclosure Management - Production&quot; dynamizedstype=&quot;9&quot; refreshds=&quot;&quot; viewtype=&quot;1&quot;&gt;&lt;QUERY reftype=&quot;ABS&quot; elmntsel=&quot;TABLE&quot; bbk=&quot;19544&quot; bbkdesc=&quot;2020 Annual Accounts/EC Annual Accounts/DC - Financial liabilities&quot; datapro=&quot;BIP_FVH&quot; infos=&quot;&quot; iscomment=&quot;0&quot;&gt;&lt;SELECT&gt;/BBOOK/DATAPROVIDER[./META/PROPS/ID='BIP_FVH']/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5/08/2019 12:17:01&lt;/DYNAMIZEDON&gt;&lt;LASTUPDATEDBY&gt;Ruberla&lt;/LASTUPDATEDBY&gt;&lt;LASTUPDATEDON&gt;3/30/2021 7:11:53 AM&lt;/LASTUPDATEDON&gt;&lt;UTC&gt;1&lt;/UTC&gt;&lt;/UPDATE&gt;&lt;QUERIES bbk=&quot;19863&quot; bbkdesc=&quot;2020 Annual Accounts/EU Annual Accounts/DC - Payables&quot; datapro=&quot;BIP_PAYAB&quot; tdatapro=&quot;BIP_PAYAB&quot; author=&quot;&quot; modtime=&quot;3/30/2021 7:08:56 AM&quot; moduser=&quot;Ruberla&quot; rolluptime=&quot;&quot; syuser=&quot;Ruberla&quot; syuzeit=&quot;3/30/2021 7:08:56 AM&quot; root=&quot;/BBOOK/DATAPROVIDER[./META/PROPS/ID='BIP_PAYAB']/DATA&quot; colcount=&quot;7&quot; rowcount=&quot;14&quot; url=&quot;&quot; dynamizeds=&quot;SAP Disclosure Management - Production&quot; dynamizedstype=&quot;9&quot; refreshds=&quot;&quot; viewtype=&quot;1&quot;&gt;&lt;QUERY reftype=&quot;ABS&quot; elmntsel=&quot;TABLE&quot; bbk=&quot;19863&quot; bbkdesc=&quot;2020 Annual Accounts/EU Annual Accounts/DC - Payables&quot; datapro=&quot;BIP_PAYAB&quot; infos=&quot;&quot; iscomment=&quot;0&quot;&gt;&lt;SELECT&gt;/BBOOK/DATAPROVIDER[./META/PROPS/ID='BIP_PAYAB']/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preutan&lt;/DYNAMIZEDBY&gt;&lt;DYNAMIZEDON&gt;25-03-2021 19:42:18&lt;/DYNAMIZEDON&gt;&lt;LASTUPDATEDBY&gt;Ruberla&lt;/LASTUPDATEDBY&gt;&lt;LASTUPDATEDON&gt;3/30/2021 7:05:46 AM&lt;/LASTUPDATEDON&gt;&lt;UTC&gt;1&lt;/UTC&gt;&lt;/UPDATE&gt;&lt;QUERIES bbk=&quot;19888&quot; bbkdesc=&quot;2020 Annual Accounts/EU Annual Accounts/DC - Accrued charges and Deferred income&quot; datapro=&quot;BIP_ACCDEF&quot; tdatapro=&quot;BIP_ACCDEF&quot; author=&quot;&quot; modtime=&quot;3/30/2021 7:05:40 AM&quot; moduser=&quot;Ruberla&quot; rolluptime=&quot;&quot; syuser=&quot;Ruberla&quot; syuzeit=&quot;3/30/2021 7:05:40 AM&quot; root=&quot;/BBOOK/DATAPROVIDER[./META/PROPS/ID='BIP_ACCDEF']/DATA&quot; colcount=&quot;3&quot; rowcount=&quot;11&quot; url=&quot;&quot; dynamizeds=&quot;SAP Disclosure Management - Production&quot; dynamizedstype=&quot;9&quot; refreshds=&quot;&quot; viewtype=&quot;1&quot;&gt;&lt;QUERY reftype=&quot;ABS&quot; elmntsel=&quot;TABLE&quot; bbk=&quot;19888&quot; bbkdesc=&quot;2020 Annual Accounts/EU Annual Accounts/DC - Accrued charges and Deferred income&quot; datapro=&quot;BIP_ACCDEF&quot; infos=&quot;&quot; iscomment=&quot;0&quot;&gt;&lt;SELECT&gt;/BBOOK/DATAPROVIDER[./META/PROPS/ID='BIP_ACCDEF']/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32:03&lt;/DYNAMIZEDON&gt;&lt;LASTUPDATEDBY&gt;Ruberla&lt;/LASTUPDATEDBY&gt;&lt;LASTUPDATEDON&gt;3/30/2021 7:05:46 AM&lt;/LASTUPDATEDON&gt;&lt;UTC&gt;1&lt;/UTC&gt;&lt;/UPDATE&gt;&lt;QUERIES bbk=&quot;19888&quot; bbkdesc=&quot;2020 Annual Accounts/EU Annual Accounts/DC - Accrued charges and Deferred income&quot; datapro=&quot;BIP_ACDISPLIT&quot; tdatapro=&quot;BIP_ACDISPLIT&quot; author=&quot;&quot; modtime=&quot;3/30/2021 7:05:40 AM&quot; moduser=&quot;Ruberla&quot; rolluptime=&quot;&quot; syuser=&quot;Ruberla&quot; syuzeit=&quot;3/30/2021 7:05:40 AM&quot; root=&quot;/BBOOK/DATAPROVIDER[./META/PROPS/ID='BIP_ACDISPLIT']/DATA&quot; colcount=&quot;3&quot; rowcount=&quot;8&quot; url=&quot;&quot; dynamizeds=&quot;SAP Disclosure Management - Production&quot; dynamizedstype=&quot;9&quot; refreshds=&quot;&quot; viewtype=&quot;1&quot;&gt;&lt;QUERY reftype=&quot;ABS&quot; elmntsel=&quot;TABLE&quot; bbk=&quot;19888&quot; bbkdesc=&quot;2020 Annual Accounts/EU Annual Accounts/DC - Accrued charges and Deferred income&quot; datapro=&quot;BIP_ACDISPLIT&quot; infos=&quot;&quot; iscomment=&quot;0&quot;&gt;&lt;SELECT&gt;/BBOOK/DATAPROVIDER[./META/PROPS/ID='BIP_ACDISPLIT']/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31/07/2019 12:31:15&lt;/DYNAMIZEDON&gt;&lt;LASTUPDATEDBY&gt;Ruberla&lt;/LASTUPDATEDBY&gt;&lt;LASTUPDATEDON&gt;3/30/2021 7:11:50 AM&lt;/LASTUPDATEDON&gt;&lt;UTC&gt;1&lt;/UTC&gt;&lt;/UPDATE&gt;&lt;QUERIES bbk=&quot;19889&quot; bbkdesc=&quot;2020 Annual Accounts/EU Annual Accounts/DC - Net assets&quot; datapro=&quot;BIP_RES&quot; tdatapro=&quot;BIP_RES&quot; author=&quot;&quot; modtime=&quot;3/30/2021 7:08:49 AM&quot; moduser=&quot;Ruberla&quot; rolluptime=&quot;&quot; syuser=&quot;Ruberla&quot; syuzeit=&quot;3/30/2021 7:08:49 AM&quot; root=&quot;/BBOOK/DATAPROVIDER[./META/PROPS/ID='BIP_RES']/DATA&quot; colcount=&quot;4&quot; rowcount=&quot;6&quot; url=&quot;&quot; dynamizeds=&quot;SAP Disclosure Management - Production&quot; dynamizedstype=&quot;9&quot; refreshds=&quot;&quot; viewtype=&quot;1&quot;&gt;&lt;QUERY reftype=&quot;ABS&quot; elmntsel=&quot;TABLE&quot; bbk=&quot;19889&quot; bbkdesc=&quot;2020 Annual Accounts/EU Annual Accounts/DC - Net assets&quot; datapro=&quot;BIP_RES&quot; infos=&quot;&quot; iscomment=&quot;0&quot;&gt;&lt;SELECT&gt;/BBOOK/DATAPROVIDER[./META/PROPS/ID='BIP_RES']/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31/07/2019 12:32:25&lt;/DYNAMIZEDON&gt;&lt;LASTUPDATEDBY&gt;Ruberla&lt;/LASTUPDATEDBY&gt;&lt;LASTUPDATEDON&gt;3/30/2021 7:11:50 AM&lt;/LASTUPDATEDON&gt;&lt;UTC&gt;1&lt;/UTC&gt;&lt;/UPDATE&gt;&lt;QUERIES bbk=&quot;19889&quot; bbkdesc=&quot;2020 Annual Accounts/EU Annual Accounts/DC - Net assets&quot; datapro=&quot;BIP_FVMAFS&quot; tdatapro=&quot;BIP_FVMAFS&quot; author=&quot;&quot; modtime=&quot;3/30/2021 7:08:49 AM&quot; moduser=&quot;Ruberla&quot; rolluptime=&quot;&quot; syuser=&quot;Ruberla&quot; syuzeit=&quot;3/30/2021 7:08:49 AM&quot; root=&quot;/BBOOK/DATAPROVIDER[./META/PROPS/ID='BIP_FVMAFS']/DATA&quot; colcount=&quot;3&quot; rowcount=&quot;5&quot; url=&quot;&quot; dynamizeds=&quot;SAP Disclosure Management - Production&quot; dynamizedstype=&quot;9&quot; refreshds=&quot;&quot; viewtype=&quot;1&quot;&gt;&lt;QUERY reftype=&quot;ABS&quot; elmntsel=&quot;TABLE&quot; bbk=&quot;19889&quot; bbkdesc=&quot;2020 Annual Accounts/EU Annual Accounts/DC - Net assets&quot; datapro=&quot;BIP_FVMAFS&quot; infos=&quot;&quot; iscomment=&quot;0&quot;&gt;&lt;SELECT&gt;/BBOOK/DATAPROVIDER[./META/PROPS/ID='BIP_FVMAFS']/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3:37&lt;/DYNAMIZEDON&gt;&lt;LASTUPDATEDBY&gt;Ruberla&lt;/LASTUPDATEDBY&gt;&lt;LASTUPDATEDON&gt;3/30/2021 7:11:50 AM&lt;/LASTUPDATEDON&gt;&lt;UTC&gt;1&lt;/UTC&gt;&lt;/UPDATE&gt;&lt;QUERIES bbk=&quot;19889&quot; bbkdesc=&quot;2020 Annual Accounts/EU Annual Accounts/DC - Net assets&quot; datapro=&quot;BIP_MEMST1&quot; tdatapro=&quot;BIP_MEMST1&quot; author=&quot;&quot; modtime=&quot;3/30/2021 7:08:49 AM&quot; moduser=&quot;Ruberla&quot; rolluptime=&quot;&quot; syuser=&quot;Ruberla&quot; syuzeit=&quot;3/30/2021 7:08:49 AM&quot; root=&quot;/BBOOK/DATAPROVIDER[./META/PROPS/ID='BIP_MEMST1']/DATA&quot; colcount=&quot;2&quot; rowcount=&quot;9&quot; url=&quot;&quot; dynamizeds=&quot;SAP Disclosure Management - Production&quot; dynamizedstype=&quot;9&quot; refreshds=&quot;&quot; viewtype=&quot;1&quot;&gt;&lt;QUERY reftype=&quot;ABS&quot; elmntsel=&quot;TABLE&quot; bbk=&quot;19889&quot; bbkdesc=&quot;2020 Annual Accounts/EU Annual Accounts/DC - Net assets&quot; datapro=&quot;BIP_MEMST1&quot; infos=&quot;&quot; iscomment=&quot;0&quot;&gt;&lt;SELECT&gt;/BBOOK/DATAPROVIDER[./META/PROPS/ID='BIP_MEMST1']/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3:25:53&lt;/DYNAMIZEDON&gt;&lt;LASTUPDATEDBY&gt;Ruberla&lt;/LASTUPDATEDBY&gt;&lt;LASTUPDATEDON&gt;3/30/2021 7:11:57 AM&lt;/LASTUPDATEDON&gt;&lt;UTC&gt;1&lt;/UTC&gt;&lt;/UPDATE&gt;&lt;QUERIES bbk=&quot;19891&quot; bbkdesc=&quot;2020 Annual Accounts/EU Annual Accounts/DC - Recovery of expenses&quot; datapro=&quot;BIP_RECOVEXP&quot; tdatapro=&quot;BIP_RECOVEXP&quot; author=&quot;&quot; modtime=&quot;3/30/2021 7:09:02 AM&quot; moduser=&quot;Ruberla&quot; rolluptime=&quot;&quot; syuser=&quot;Ruberla&quot; syuzeit=&quot;3/30/2021 7:09:02 AM&quot; root=&quot;/BBOOK/DATAPROVIDER[./META/PROPS/ID='BIP_RECOVEXP']/DATA&quot; colcount=&quot;3&quot; rowcount=&quot;6&quot; url=&quot;&quot; dynamizeds=&quot;SAP Disclosure Management - Production&quot; dynamizedstype=&quot;9&quot; refreshds=&quot;&quot; viewtype=&quot;1&quot;&gt;&lt;QUERY reftype=&quot;ABS&quot; elmntsel=&quot;TABLE&quot; bbk=&quot;19891&quot; bbkdesc=&quot;2020 Annual Accounts/EU Annual Accounts/DC - Recovery of expenses&quot; datapro=&quot;BIP_RECOVEXP&quot; infos=&quot;&quot; iscomment=&quot;0&quot;&gt;&lt;SELECT&gt;/BBOOK/DATAPROVIDER[./META/PROPS/ID='BIP_RECOVEXP']/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31/07/2019 13:33:15&lt;/DYNAMIZEDON&gt;&lt;LASTUPDATEDBY&gt;Ruberla&lt;/LASTUPDATEDBY&gt;&lt;LASTUPDATEDON&gt;3/30/2021 7:11:57 AM&lt;/LASTUPDATEDON&gt;&lt;UTC&gt;1&lt;/UTC&gt;&lt;/UPDATE&gt;&lt;QUERIES bbk=&quot;19864&quot; bbkdesc=&quot;2020 Annual Accounts/EU Annual Accounts/DC - Other non-exchange revenue&quot; datapro=&quot;BIP_ONER&quot; tdatapro=&quot;BIP_ONER&quot; author=&quot;&quot; modtime=&quot;3/30/2021 7:08:55 AM&quot; moduser=&quot;Ruberla&quot; rolluptime=&quot;&quot; syuser=&quot;Ruberla&quot; syuzeit=&quot;3/30/2021 7:08:55 AM&quot; root=&quot;/BBOOK/DATAPROVIDER[./META/PROPS/ID='BIP_ONER']/DATA&quot; colcount=&quot;3&quot; rowcount=&quot;10&quot; url=&quot;&quot; dynamizeds=&quot;SAP Disclosure Management - Production&quot; dynamizedstype=&quot;9&quot; refreshds=&quot;&quot; viewtype=&quot;1&quot;&gt;&lt;QUERY reftype=&quot;ABS&quot; elmntsel=&quot;TABLE&quot; bbk=&quot;19864&quot; bbkdesc=&quot;2020 Annual Accounts/EU Annual Accounts/DC - Other non-exchange revenue&quot; datapro=&quot;BIP_ONER&quot; infos=&quot;&quot; iscomment=&quot;0&quot;&gt;&lt;SELECT&gt;/BBOOK/DATAPROVIDER[./META/PROPS/ID='BIP_ONER']/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4:05:43&lt;/DYNAMIZEDON&gt;&lt;LASTUPDATEDBY&gt;Ruberla&lt;/LASTUPDATEDBY&gt;&lt;LASTUPDATEDON&gt;3/30/2021 7:11:57 AM&lt;/LASTUPDATEDON&gt;&lt;UTC&gt;1&lt;/UTC&gt;&lt;/UPDATE&gt;&lt;QUERIES bbk=&quot;19874&quot; bbkdesc=&quot;2020 Annual Accounts/EU Annual Accounts/DC - Financial revenue&quot; datapro=&quot;BIP_FINREV&quot; tdatapro=&quot;BIP_FINREV&quot; author=&quot;&quot; modtime=&quot;3/30/2021 7:08:42 AM&quot; moduser=&quot;Ruberla&quot; rolluptime=&quot;&quot; syuser=&quot;Ruberla&quot; syuzeit=&quot;3/30/2021 7:08:42 AM&quot; root=&quot;/BBOOK/DATAPROVIDER[./META/PROPS/ID='BIP_FINREV']/DATA&quot; colcount=&quot;3&quot; rowcount=&quot;13&quot; url=&quot;&quot; dynamizeds=&quot;SAP Disclosure Management - Production&quot; dynamizedstype=&quot;9&quot; refreshds=&quot;&quot; viewtype=&quot;1&quot;&gt;&lt;QUERY reftype=&quot;ABS&quot; elmntsel=&quot;TABLE&quot; bbk=&quot;19874&quot; bbkdesc=&quot;2020 Annual Accounts/EU Annual Accounts/DC - Financial revenue&quot; datapro=&quot;BIP_FINREV&quot; infos=&quot;&quot; iscomment=&quot;0&quot;&gt;&lt;SELECT&gt;/BBOOK/DATAPROVIDER[./META/PROPS/ID='BIP_FINREV']/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4:07:08&lt;/DYNAMIZEDON&gt;&lt;LASTUPDATEDBY&gt;Ruberla&lt;/LASTUPDATEDBY&gt;&lt;LASTUPDATEDON&gt;3/30/2021 7:11:57 AM&lt;/LASTUPDATEDON&gt;&lt;UTC&gt;1&lt;/UTC&gt;&lt;/UPDATE&gt;&lt;QUERIES bbk=&quot;19892&quot; bbkdesc=&quot;2020 Annual Accounts/EU Annual Accounts/DC - Other exchange revenue&quot; datapro=&quot;BIP_OER&quot; tdatapro=&quot;BIP_OER&quot; author=&quot;&quot; modtime=&quot;3/30/2021 7:08:51 AM&quot; moduser=&quot;Ruberla&quot; rolluptime=&quot;&quot; syuser=&quot;Ruberla&quot; syuzeit=&quot;3/30/2021 7:08:51 AM&quot; root=&quot;/BBOOK/DATAPROVIDER[./META/PROPS/ID='BIP_OER']/DATA&quot; colcount=&quot;3&quot; rowcount=&quot;10&quot; url=&quot;&quot; dynamizeds=&quot;SAP Disclosure Management - Production&quot; dynamizedstype=&quot;9&quot; refreshds=&quot;&quot; viewtype=&quot;1&quot;&gt;&lt;QUERY reftype=&quot;ABS&quot; elmntsel=&quot;TABLE&quot; bbk=&quot;19892&quot; bbkdesc=&quot;2020 Annual Accounts/EU Annual Accounts/DC - Other exchange revenue&quot; datapro=&quot;BIP_OER&quot; infos=&quot;&quot; iscomment=&quot;0&quot;&gt;&lt;SELECT&gt;/BBOOK/DATAPROVIDER[./META/PROPS/ID='BIP_OER']/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48:44&lt;/DYNAMIZEDON&gt;&lt;LASTUPDATEDBY&gt;Ruberla&lt;/LASTUPDATEDBY&gt;&lt;LASTUPDATEDON&gt;3/30/2021 7:12:00 AM&lt;/LASTUPDATEDON&gt;&lt;UTC&gt;1&lt;/UTC&gt;&lt;/UPDATE&gt;&lt;QUERIES bbk=&quot;19487&quot; bbkdesc=&quot;2020 Annual Accounts/EC Annual Accounts/DC - Shared Direct and Indirect Management&quot; datapro=&quot;BIP_SM&quot; tdatapro=&quot;BIP_SM&quot; author=&quot;&quot; modtime=&quot;3/26/2021 7:01:44 PM&quot; moduser=&quot;koehlmn&quot; rolluptime=&quot;&quot; syuser=&quot;koehlmn&quot; syuzeit=&quot;3/26/2021 7:01:44 PM&quot; root=&quot;/BBOOK/DATAPROVIDER[./META/PROPS/ID='BIP_SM']/DATA&quot; colcount=&quot;3&quot; rowcount=&quot;8&quot; url=&quot;&quot; dynamizeds=&quot;SAP Disclosure Management - Production&quot; dynamizedstype=&quot;9&quot; refreshds=&quot;&quot; viewtype=&quot;1&quot;&gt;&lt;QUERY reftype=&quot;ABS&quot; elmntsel=&quot;TABLE&quot; bbk=&quot;19487&quot; bbkdesc=&quot;2020 Annual Accounts/EC Annual Accounts/DC - Shared Direct and Indirect Management&quot; datapro=&quot;BIP_SM&quot; infos=&quot;&quot; iscomment=&quot;0&quot;&gt;&lt;SELECT&gt;/BBOOK/DATAPROVIDER[./META/PROPS/ID='BIP_SM']/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57:08&lt;/DYNAMIZEDON&gt;&lt;LASTUPDATEDBY&gt;Ruberla&lt;/LASTUPDATEDBY&gt;&lt;LASTUPDATEDON&gt;3/30/2021 7:11:59 AM&lt;/LASTUPDATEDON&gt;&lt;UTC&gt;1&lt;/UTC&gt;&lt;/UPDATE&gt;&lt;QUERIES bbk=&quot;19865&quot; bbkdesc=&quot;2020 Annual Accounts/EU Annual Accounts/DC - Shared Direct and Indirect management&quot; datapro=&quot;BIP_DM&quot; tdatapro=&quot;BIP_DM&quot; author=&quot;&quot; modtime=&quot;3/30/2021 7:09:06 AM&quot; moduser=&quot;Ruberla&quot; rolluptime=&quot;&quot; syuser=&quot;Ruberla&quot; syuzeit=&quot;3/30/2021 7:09:06 AM&quot; root=&quot;/BBOOK/DATAPROVIDER[./META/PROPS/ID='BIP_DM']/DATA&quot; colcount=&quot;3&quot; rowcount=&quot;6&quot; url=&quot;&quot; dynamizeds=&quot;SAP Disclosure Management - Production&quot; dynamizedstype=&quot;9&quot; refreshds=&quot;&quot; viewtype=&quot;1&quot;&gt;&lt;QUERY reftype=&quot;ABS&quot; elmntsel=&quot;TABLE&quot; bbk=&quot;19865&quot; bbkdesc=&quot;2020 Annual Accounts/EU Annual Accounts/DC - Shared Direct and Indirect management&quot; datapro=&quot;BIP_DM&quot; infos=&quot;&quot; iscomment=&quot;0&quot;&gt;&lt;SELECT&gt;/BBOOK/DATAPROVIDER[./META/PROPS/ID='BIP_DM']/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58:42&lt;/DYNAMIZEDON&gt;&lt;LASTUPDATEDBY&gt;Ruberla&lt;/LASTUPDATEDBY&gt;&lt;LASTUPDATEDON&gt;3/30/2021 7:12:00 AM&lt;/LASTUPDATEDON&gt;&lt;UTC&gt;1&lt;/UTC&gt;&lt;/UPDATE&gt;&lt;QUERIES bbk=&quot;19865&quot; bbkdesc=&quot;2020 Annual Accounts/EU Annual Accounts/DC - Shared Direct and Indirect management&quot; datapro=&quot;BIP_IM&quot; tdatapro=&quot;BIP_IM&quot; author=&quot;&quot; modtime=&quot;3/30/2021 7:09:06 AM&quot; moduser=&quot;Ruberla&quot; rolluptime=&quot;&quot; syuser=&quot;Ruberla&quot; syuzeit=&quot;3/30/2021 7:09:06 AM&quot; root=&quot;/BBOOK/DATAPROVIDER[./META/PROPS/ID='BIP_IM']/DATA&quot; colcount=&quot;3&quot; rowcount=&quot;7&quot; url=&quot;&quot; dynamizeds=&quot;SAP Disclosure Management - Production&quot; dynamizedstype=&quot;9&quot; refreshds=&quot;&quot; viewtype=&quot;1&quot;&gt;&lt;QUERY reftype=&quot;ABS&quot; elmntsel=&quot;TABLE&quot; bbk=&quot;19865&quot; bbkdesc=&quot;2020 Annual Accounts/EU Annual Accounts/DC - Shared Direct and Indirect management&quot; datapro=&quot;BIP_IM&quot; infos=&quot;&quot; iscomment=&quot;0&quot;&gt;&lt;SELECT&gt;/BBOOK/DATAPROVIDER[./META/PROPS/ID='BIP_IM']/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8:08:06&lt;/DYNAMIZEDON&gt;&lt;LASTUPDATEDBY&gt;Ruberla&lt;/LASTUPDATEDBY&gt;&lt;LASTUPDATEDON&gt;3/30/2021 7:12:01 AM&lt;/LASTUPDATEDON&gt;&lt;UTC&gt;1&lt;/UTC&gt;&lt;/UPDATE&gt;&lt;QUERIES bbk=&quot;19893&quot; bbkdesc=&quot;2020 Annual Accounts/EU Annual Accounts/DC - Staff and Pension costs - Changes in employee benefits actuarial assumptions&quot; datapro=&quot;BIP_SPC&quot; tdatapro=&quot;BIP_SPC&quot; author=&quot;&quot; modtime=&quot;3/30/2021 7:09:08 AM&quot; moduser=&quot;Ruberla&quot; rolluptime=&quot;&quot; syuser=&quot;Ruberla&quot; syuzeit=&quot;3/30/2021 7:09:08 AM&quot; root=&quot;/BBOOK/DATAPROVIDER[./META/PROPS/ID='BIP_SPC']/DATA&quot; colcount=&quot;3&quot; rowcount=&quot;5&quot; url=&quot;&quot; dynamizeds=&quot;SAP Disclosure Management - Production&quot; dynamizedstype=&quot;9&quot; refreshds=&quot;&quot; viewtype=&quot;1&quot;&gt;&lt;QUERY reftype=&quot;ABS&quot; elmntsel=&quot;TABLE&quot; bbk=&quot;19893&quot; bbkdesc=&quot;2020 Annual Accounts/EU Annual Accounts/DC - Staff and Pension costs - Changes in employee benefits actuarial assumptions&quot; datapro=&quot;BIP_SPC&quot; infos=&quot;&quot; iscomment=&quot;0&quot;&gt;&lt;SELECT&gt;/BBOOK/DATAPROVIDER[./META/PROPS/ID='BIP_SPC']/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5/08/2019 12:41:29&lt;/DYNAMIZEDON&gt;&lt;LASTUPDATEDBY&gt;Ruberla&lt;/LASTUPDATEDBY&gt;&lt;LASTUPDATEDON&gt;3/30/2021 7:11:34 AM&lt;/LASTUPDATEDON&gt;&lt;UTC&gt;1&lt;/UTC&gt;&lt;/UPDATE&gt;&lt;QUERIES bbk=&quot;19875&quot; bbkdesc=&quot;2020 Annual Accounts/EU Annual Accounts/DC - Finance costs&quot; datapro=&quot;BIP_FINEXP&quot; tdatapro=&quot;BIP_FINEXP&quot; author=&quot;&quot; modtime=&quot;3/30/2021 7:08:37 AM&quot; moduser=&quot;Ruberla&quot; rolluptime=&quot;&quot; syuser=&quot;Ruberla&quot; syuzeit=&quot;3/30/2021 7:08:37 AM&quot; root=&quot;/BBOOK/DATAPROVIDER[./META/PROPS/ID='BIP_FINEXP']/DATA&quot; colcount=&quot;3&quot; rowcount=&quot;13&quot; url=&quot;&quot; dynamizeds=&quot;SAP Disclosure Management - Production&quot; dynamizedstype=&quot;9&quot; refreshds=&quot;&quot; viewtype=&quot;1&quot;&gt;&lt;QUERY reftype=&quot;ABS&quot; elmntsel=&quot;TABLE&quot; bbk=&quot;19875&quot; bbkdesc=&quot;2020 Annual Accounts/EU Annual Accounts/DC - Finance costs&quot; datapro=&quot;BIP_FINEXP&quot; infos=&quot;&quot; iscomment=&quot;0&quot;&gt;&lt;SELECT&gt;/BBOOK/DATAPROVIDER[./META/PROPS/ID='BIP_FINEXP']/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8:23:55&lt;/DYNAMIZEDON&gt;&lt;LASTUPDATEDBY&gt;Ruberla&lt;/LASTUPDATEDBY&gt;&lt;LASTUPDATEDON&gt;3/30/2021 7:11:52 AM&lt;/LASTUPDATEDON&gt;&lt;UTC&gt;1&lt;/UTC&gt;&lt;/UPDATE&gt;&lt;QUERIES bbk=&quot;19866&quot; bbkdesc=&quot;2020 Annual Accounts/EU Annual Accounts/DC - Other expenses and Research and Development costs&quot; datapro=&quot;BIP_OE&quot; tdatapro=&quot;BIP_OE&quot; author=&quot;&quot; modtime=&quot;3/30/2021 7:08:52 AM&quot; moduser=&quot;Ruberla&quot; rolluptime=&quot;&quot; syuser=&quot;Ruberla&quot; syuzeit=&quot;3/30/2021 7:08:52 AM&quot; root=&quot;/BBOOK/DATAPROVIDER[./META/PROPS/ID='BIP_OE']/DATA&quot; colcount=&quot;3&quot; rowcount=&quot;10&quot; url=&quot;&quot; dynamizeds=&quot;SAP Disclosure Management - Production&quot; dynamizedstype=&quot;9&quot; refreshds=&quot;&quot; viewtype=&quot;1&quot;&gt;&lt;QUERY reftype=&quot;ABS&quot; elmntsel=&quot;TABLE&quot; bbk=&quot;19866&quot; bbkdesc=&quot;2020 Annual Accounts/EU Annual Accounts/DC - Other expenses and Research and Development costs&quot; datapro=&quot;BIP_OE&quot; infos=&quot;&quot; iscomment=&quot;0&quot;&gt;&lt;SELECT&gt;/BBOOK/DATAPROVIDER[./META/PROPS/ID='BIP_OE']/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8:24:47&lt;/DYNAMIZEDON&gt;&lt;LASTUPDATEDBY&gt;Ruberla&lt;/LASTUPDATEDBY&gt;&lt;LASTUPDATEDON&gt;3/30/2021 7:11:52 AM&lt;/LASTUPDATEDON&gt;&lt;UTC&gt;1&lt;/UTC&gt;&lt;/UPDATE&gt;&lt;QUERIES bbk=&quot;19866&quot; bbkdesc=&quot;2020 Annual Accounts/EU Annual Accounts/DC - Other expenses and Research and Development costs&quot; datapro=&quot;BIP_RD&quot; tdatapro=&quot;BIP_RD&quot; author=&quot;&quot; modtime=&quot;3/30/2021 7:08:52 AM&quot; moduser=&quot;Ruberla&quot; rolluptime=&quot;&quot; syuser=&quot;Ruberla&quot; syuzeit=&quot;3/30/2021 7:08:52 AM&quot; root=&quot;/BBOOK/DATAPROVIDER[./META/PROPS/ID='BIP_RD']/DATA&quot; colcount=&quot;3&quot; rowcount=&quot;5&quot; url=&quot;&quot; dynamizeds=&quot;SAP Disclosure Management - Production&quot; dynamizedstype=&quot;9&quot; refreshds=&quot;&quot; viewtype=&quot;1&quot;&gt;&lt;QUERY reftype=&quot;ABS&quot; elmntsel=&quot;TABLE&quot; bbk=&quot;19866&quot; bbkdesc=&quot;2020 Annual Accounts/EU Annual Accounts/DC - Other expenses and Research and Development costs&quot; datapro=&quot;BIP_RD&quot; infos=&quot;&quot; iscomment=&quot;0&quot;&gt;&lt;SELECT&gt;/BBOOK/DATAPROVIDER[./META/PROPS/ID='BIP_RD']/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5/08/2019 12:48:04&lt;/DYNAMIZEDON&gt;&lt;LASTUPDATEDBY&gt;Ruberla&lt;/LASTUPDATEDBY&gt;&lt;LASTUPDATEDON&gt;3/30/2021 7:11:59 AM&lt;/LASTUPDATEDON&gt;&lt;UTC&gt;1&lt;/UTC&gt;&lt;/UPDATE&gt;&lt;QUERIES bbk=&quot;19867&quot; bbkdesc=&quot;2020 Annual Accounts/EU Annual Accounts/DC - Segment report&quot; datapro=&quot;BIP_SEGREP&quot; tdatapro=&quot;BIP_SEGREP&quot; author=&quot;&quot; modtime=&quot;3/30/2021 7:09:05 AM&quot; moduser=&quot;Ruberla&quot; rolluptime=&quot;&quot; syuser=&quot;Ruberla&quot; syuzeit=&quot;3/30/2021 7:09:05 AM&quot; root=&quot;/BBOOK/DATAPROVIDER[./META/PROPS/ID='BIP_SEGREP']/DATA&quot; colcount=&quot;8&quot; rowcount=&quot;29&quot; url=&quot;&quot; dynamizeds=&quot;SAP Disclosure Management - Production&quot; dynamizedstype=&quot;9&quot; refreshds=&quot;&quot; viewtype=&quot;1&quot;&gt;&lt;QUERY reftype=&quot;ABS&quot; elmntsel=&quot;TABLE&quot; bbk=&quot;19867&quot; bbkdesc=&quot;2020 Annual Accounts/EU Annual Accounts/DC - Segment report&quot; datapro=&quot;BIP_SEGREP&quot; infos=&quot;&quot; iscomment=&quot;0&quot;&gt;&lt;SELECT&gt;/BBOOK/DATAPROVIDER[./META/PROPS/ID='BIP_SEGREP']/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8:39:11&lt;/DYNAMIZEDON&gt;&lt;LASTUPDATEDBY&gt;Ruberla&lt;/LASTUPDATEDBY&gt;&lt;LASTUPDATEDON&gt;3/30/2021 7:07:30 AM&lt;/LASTUPDATEDON&gt;&lt;UTC&gt;1&lt;/UTC&gt;&lt;/UPDATE&gt;&lt;QUERIES bbk=&quot;19550&quot; bbkdesc=&quot;2020 Annual Accounts/EC Annual Accounts/DC - Guarantees given&quot; datapro=&quot;BIP_GUAR&quot; tdatapro=&quot;BIP_GUAR&quot; author=&quot;&quot; modtime=&quot;3/26/2021 6:58:21 PM&quot; moduser=&quot;koehlmn&quot; rolluptime=&quot;&quot; syuser=&quot;koehlmn&quot; syuzeit=&quot;3/26/2021 6:58:21 PM&quot; root=&quot;/BBOOK/DATAPROVIDER[./META/PROPS/ID='BIP_GUAR']/DATA&quot; colcount=&quot;7&quot; rowcount=&quot;7&quot; url=&quot;&quot; dynamizeds=&quot;SAP Disclosure Management - Production&quot; dynamizedstype=&quot;9&quot; refreshds=&quot;&quot; viewtype=&quot;1&quot;&gt;&lt;QUERY reftype=&quot;ABS&quot; elmntsel=&quot;TABLE&quot; bbk=&quot;19550&quot; bbkdesc=&quot;2020 Annual Accounts/EC Annual Accounts/DC - Guarantees given&quot; datapro=&quot;BIP_GUAR&quot; infos=&quot;&quot; iscomment=&quot;0&quot;&gt;&lt;SELECT&gt;/BBOOK/DATAPROVIDER[./META/PROPS/ID='BIP_GUAR']/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8:42:03&lt;/DYNAMIZEDON&gt;&lt;LASTUPDATEDBY&gt;Ruberla&lt;/LASTUPDATEDBY&gt;&lt;LASTUPDATEDON&gt;3/30/2021 7:07:30 AM&lt;/LASTUPDATEDON&gt;&lt;UTC&gt;1&lt;/UTC&gt;&lt;/UPDATE&gt;&lt;QUERIES bbk=&quot;19549&quot; bbkdesc=&quot;2020 Annual Accounts/EC Annual Accounts/DC - Contingent liabilities&quot; datapro=&quot;BIP_GUARFA&quot; tdatapro=&quot;BIP_GUARFA&quot; author=&quot;&quot; modtime=&quot;3/26/2021 6:58:20 PM&quot; moduser=&quot;koehlmn&quot; rolluptime=&quot;&quot; syuser=&quot;koehlmn&quot; syuzeit=&quot;3/26/2021 6:58:20 PM&quot; root=&quot;/BBOOK/DATAPROVIDER[./META/PROPS/ID='BIP_GUARFA']/DATA&quot; colcount=&quot;7&quot; rowcount=&quot;9&quot; url=&quot;&quot; dynamizeds=&quot;SAP Disclosure Management - Production&quot; dynamizedstype=&quot;9&quot; refreshds=&quot;&quot; viewtype=&quot;1&quot;&gt;&lt;QUERY reftype=&quot;ABS&quot; elmntsel=&quot;TABLE&quot; bbk=&quot;19549&quot; bbkdesc=&quot;2020 Annual Accounts/EC Annual Accounts/DC - Contingent liabilities&quot; datapro=&quot;BIP_GUARFA&quot; infos=&quot;&quot; iscomment=&quot;0&quot;&gt;&lt;SELECT&gt;/BBOOK/DATAPROVIDER[./META/PROPS/ID='BIP_GUARFA']/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8:44:05&lt;/DYNAMIZEDON&gt;&lt;LASTUPDATEDBY&gt;Ruberla&lt;/LASTUPDATEDBY&gt;&lt;LASTUPDATEDON&gt;3/30/2021 7:07:30 AM&lt;/LASTUPDATEDON&gt;&lt;UTC&gt;1&lt;/UTC&gt;&lt;/UPDATE&gt;&lt;QUERIES bbk=&quot;19549&quot; bbkdesc=&quot;2020 Annual Accounts/EC Annual Accounts/DC - Contingent liabilities&quot; datapro=&quot;BIP_INSGUA&quot; tdatapro=&quot;BIP_INSGUA&quot; author=&quot;&quot; modtime=&quot;3/26/2021 6:58:20 PM&quot; moduser=&quot;koehlmn&quot; rolluptime=&quot;&quot; syuser=&quot;koehlmn&quot; syuzeit=&quot;3/26/2021 6:58:20 PM&quot; root=&quot;/BBOOK/DATAPROVIDER[./META/PROPS/ID='BIP_INSGUA']/DATA&quot; colcount=&quot;3&quot; rowcount=&quot;7&quot; url=&quot;&quot; dynamizeds=&quot;SAP Disclosure Management - Production&quot; dynamizedstype=&quot;9&quot; refreshds=&quot;&quot; viewtype=&quot;1&quot;&gt;&lt;QUERY reftype=&quot;ABS&quot; elmntsel=&quot;TABLE&quot; bbk=&quot;19549&quot; bbkdesc=&quot;2020 Annual Accounts/EC Annual Accounts/DC - Contingent liabilities&quot; datapro=&quot;BIP_INSGUA&quot; infos=&quot;&quot; iscomment=&quot;0&quot;&gt;&lt;SELECT&gt;/BBOOK/DATAPROVIDER[./META/PROPS/ID='BIP_INSGUA']/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8:52:26&lt;/DYNAMIZEDON&gt;&lt;LASTUPDATEDBY&gt;Ruberla&lt;/LASTUPDATEDBY&gt;&lt;LASTUPDATEDON&gt;3/30/2021 7:07:30 AM&lt;/LASTUPDATEDON&gt;&lt;UTC&gt;1&lt;/UTC&gt;&lt;/UPDATE&gt;&lt;QUERIES bbk=&quot;19877&quot; bbkdesc=&quot;2020 Annual Accounts/EU Annual Accounts/DC - Contingent liabilities and assets&quot; datapro=&quot;BIP_CL&quot; tdatapro=&quot;BIP_CL&quot; author=&quot;&quot; modtime=&quot;3/30/2021 7:06:36 AM&quot; moduser=&quot;Ruberla&quot; rolluptime=&quot;&quot; syuser=&quot;Ruberla&quot; syuzeit=&quot;3/30/2021 7:06:36 AM&quot; root=&quot;/BBOOK/DATAPROVIDER[./META/PROPS/ID='BIP_CL']/DATA&quot; colcount=&quot;3&quot; rowcount=&quot;7&quot; url=&quot;&quot; dynamizeds=&quot;SAP Disclosure Management - Production&quot; dynamizedstype=&quot;9&quot; refreshds=&quot;&quot; viewtype=&quot;1&quot;&gt;&lt;QUERY reftype=&quot;ABS&quot; elmntsel=&quot;TABLE&quot; bbk=&quot;19877&quot; bbkdesc=&quot;2020 Annual Accounts/EU Annual Accounts/DC - Contingent liabilities and assets&quot; datapro=&quot;BIP_CL&quot; infos=&quot;&quot; iscomment=&quot;0&quot;&gt;&lt;SELECT&gt;/BBOOK/DATAPROVIDER[./META/PROPS/ID='BIP_CL']/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8:54:39&lt;/DYNAMIZEDON&gt;&lt;LASTUPDATEDBY&gt;Ruberla&lt;/LASTUPDATEDBY&gt;&lt;LASTUPDATEDON&gt;3/30/2021 7:07:30 AM&lt;/LASTUPDATEDON&gt;&lt;UTC&gt;1&lt;/UTC&gt;&lt;/UPDATE&gt;&lt;QUERIES bbk=&quot;19877&quot; bbkdesc=&quot;2020 Annual Accounts/EU Annual Accounts/DC - Contingent liabilities and assets&quot; datapro=&quot;BIP_CA&quot; tdatapro=&quot;BIP_CA&quot; author=&quot;&quot; modtime=&quot;3/30/2021 7:06:36 AM&quot; moduser=&quot;Ruberla&quot; rolluptime=&quot;&quot; syuser=&quot;Ruberla&quot; syuzeit=&quot;3/30/2021 7:06:36 AM&quot; root=&quot;/BBOOK/DATAPROVIDER[./META/PROPS/ID='BIP_CA']/DATA&quot; colcount=&quot;3&quot; rowcount=&quot;7&quot; url=&quot;&quot; dynamizeds=&quot;SAP Disclosure Management - Production&quot; dynamizedstype=&quot;9&quot; refreshds=&quot;&quot; viewtype=&quot;1&quot;&gt;&lt;QUERY reftype=&quot;ABS&quot; elmntsel=&quot;TABLE&quot; bbk=&quot;19877&quot; bbkdesc=&quot;2020 Annual Accounts/EU Annual Accounts/DC - Contingent liabilities and assets&quot; datapro=&quot;BIP_CA&quot; infos=&quot;&quot; iscomment=&quot;0&quot;&gt;&lt;SELECT&gt;/BBOOK/DATAPROVIDER[./META/PROPS/ID='BIP_CA']/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9:25:16&lt;/DYNAMIZEDON&gt;&lt;LASTUPDATEDBY&gt;Ruberla&lt;/LASTUPDATEDBY&gt;&lt;LASTUPDATEDON&gt;3/30/2021 7:06:14 AM&lt;/LASTUPDATEDON&gt;&lt;UTC&gt;1&lt;/UTC&gt;&lt;/UPDATE&gt;&lt;QUERIES bbk=&quot;19878&quot; bbkdesc=&quot;2020 Annual Accounts/EU Annual Accounts/DC - Outstanding commitments not yet expensed - Significant legal commitments&quot; datapro=&quot;BIP_OBULEG&quot; tdatapro=&quot;BIP_OBULEG&quot; author=&quot;&quot; modtime=&quot;3/30/2021 7:06:04 AM&quot; moduser=&quot;Ruberla&quot; rolluptime=&quot;&quot; syuser=&quot;Ruberla&quot; syuzeit=&quot;3/30/2021 7:06:04 AM&quot; root=&quot;/BBOOK/DATAPROVIDER[./META/PROPS/ID='BIP_OBULEG']/DATA&quot; colcount=&quot;4&quot; rowcount=&quot;6&quot; url=&quot;&quot; dynamizeds=&quot;SAP Disclosure Management - Production&quot; dynamizedstype=&quot;9&quot; refreshds=&quot;&quot; viewtype=&quot;1&quot;&gt;&lt;QUERY reftype=&quot;ABS&quot; elmntsel=&quot;TABLE&quot; bbk=&quot;19878&quot; bbkdesc=&quot;2020 Annual Accounts/EU Annual Accounts/DC - Outstanding commitments not yet expensed - Significant legal commitments&quot; datapro=&quot;BIP_OBULEG&quot; infos=&quot;&quot; iscomment=&quot;0&quot;&gt;&lt;SELECT&gt;/BBOOK/DATAPROVIDER[./META/PROPS/ID='BIP_OBULEG']/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9:26:57&lt;/DYNAMIZEDON&gt;&lt;LASTUPDATEDBY&gt;Ruberla&lt;/LASTUPDATEDBY&gt;&lt;LASTUPDATEDON&gt;3/30/2021 7:06:15 AM&lt;/LASTUPDATEDON&gt;&lt;UTC&gt;1&lt;/UTC&gt;&lt;/UPDATE&gt;&lt;QUERIES bbk=&quot;19878&quot; bbkdesc=&quot;2020 Annual Accounts/EU Annual Accounts/DC - Outstanding commitments not yet expensed - Significant legal commitments&quot; datapro=&quot;BIP_OCNYE&quot; tdatapro=&quot;BIP_OCNYE&quot; author=&quot;&quot; modtime=&quot;3/30/2021 7:06:04 AM&quot; moduser=&quot;Ruberla&quot; rolluptime=&quot;&quot; syuser=&quot;Ruberla&quot; syuzeit=&quot;3/30/2021 7:06:04 AM&quot; root=&quot;/BBOOK/DATAPROVIDER[./META/PROPS/ID='BIP_OCNYE']/DATA&quot; colcount=&quot;3&quot; rowcount=&quot;3&quot; url=&quot;&quot; dynamizeds=&quot;SAP Disclosure Management - Production&quot; dynamizedstype=&quot;9&quot; refreshds=&quot;&quot; viewtype=&quot;1&quot;&gt;&lt;QUERY reftype=&quot;ABS&quot; elmntsel=&quot;TABLE&quot; bbk=&quot;19878&quot; bbkdesc=&quot;2020 Annual Accounts/EU Annual Accounts/DC - Outstanding commitments not yet expensed - Significant legal commitments&quot; datapro=&quot;BIP_OCNYE&quot; infos=&quot;&quot; iscomment=&quot;0&quot;&gt;&lt;SELECT&gt;/BBOOK/DATAPROVIDER[./META/PROPS/ID='BIP_OCNYE']/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9:29:08&lt;/DYNAMIZEDON&gt;&lt;LASTUPDATEDBY&gt;Ruberla&lt;/LASTUPDATEDBY&gt;&lt;LASTUPDATEDON&gt;3/30/2021 7:06:14 AM&lt;/LASTUPDATEDON&gt;&lt;UTC&gt;1&lt;/UTC&gt;&lt;/UPDATE&gt;&lt;QUERIES bbk=&quot;19552&quot; bbkdesc=&quot;2020 Annual Accounts/EC Annual Accounts/DC - Significant legal commitments&quot; datapro=&quot;BIP_STRUCAC&quot; tdatapro=&quot;BIP_STRUCAC&quot; author=&quot;&quot; modtime=&quot;3/26/2021 6:57:33 PM&quot; moduser=&quot;koehlmn&quot; rolluptime=&quot;&quot; syuser=&quot;koehlmn&quot; syuzeit=&quot;3/26/2021 6:57:33 PM&quot; root=&quot;/BBOOK/DATAPROVIDER[./META/PROPS/ID='BIP_STRUCAC']/DATA&quot; colcount=&quot;5&quot; rowcount=&quot;15&quot; url=&quot;&quot; dynamizeds=&quot;SAP Disclosure Management - Production&quot; dynamizedstype=&quot;9&quot; refreshds=&quot;&quot; viewtype=&quot;1&quot;&gt;&lt;QUERY reftype=&quot;ABS&quot; elmntsel=&quot;TABLE&quot; bbk=&quot;19552&quot; bbkdesc=&quot;2020 Annual Accounts/EC Annual Accounts/DC - Significant legal commitments&quot; datapro=&quot;BIP_STRUCAC&quot; infos=&quot;&quot; iscomment=&quot;0&quot;&gt;&lt;SELECT&gt;/BBOOK/DATAPROVIDER[./META/PROPS/ID='BIP_STRUCAC']/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9:36:45&lt;/DYNAMIZEDON&gt;&lt;LASTUPDATEDBY&gt;Ruberla&lt;/LASTUPDATEDBY&gt;&lt;LASTUPDATEDON&gt;3/30/2021 7:06:15 AM&lt;/LASTUPDATEDON&gt;&lt;UTC&gt;1&lt;/UTC&gt;&lt;/UPDATE&gt;&lt;QUERIES bbk=&quot;19878&quot; bbkdesc=&quot;2020 Annual Accounts/EU Annual Accounts/DC - Outstanding commitments not yet expensed - Significant legal commitments&quot; datapro=&quot;BIP_LEGCOM&quot; tdatapro=&quot;BIP_LEGCOM&quot; author=&quot;&quot; modtime=&quot;3/30/2021 7:06:04 AM&quot; moduser=&quot;Ruberla&quot; rolluptime=&quot;&quot; syuser=&quot;Ruberla&quot; syuzeit=&quot;3/30/2021 7:06:04 AM&quot; root=&quot;/BBOOK/DATAPROVIDER[./META/PROPS/ID='BIP_LEGCOM']/DATA&quot; colcount=&quot;3&quot; rowcount=&quot;10&quot; url=&quot;&quot; dynamizeds=&quot;SAP Disclosure Management - Production&quot; dynamizedstype=&quot;9&quot; refreshds=&quot;&quot; viewtype=&quot;1&quot;&gt;&lt;QUERY reftype=&quot;ABS&quot; elmntsel=&quot;TABLE&quot; bbk=&quot;19878&quot; bbkdesc=&quot;2020 Annual Accounts/EU Annual Accounts/DC - Outstanding commitments not yet expensed - Significant legal commitments&quot; datapro=&quot;BIP_LEGCOM&quot; infos=&quot;&quot; iscomment=&quot;0&quot;&gt;&lt;SELECT&gt;/BBOOK/DATAPROVIDER[./META/PROPS/ID='BIP_LEGCOM']/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09:38:55&lt;/DYNAMIZEDON&gt;&lt;LASTUPDATEDBY&gt;Ruberla&lt;/LASTUPDATEDBY&gt;&lt;LASTUPDATEDON&gt;3/30/2021 7:06:15 AM&lt;/LASTUPDATEDON&gt;&lt;UTC&gt;1&lt;/UTC&gt;&lt;/UPDATE&gt;&lt;QUERIES bbk=&quot;19876&quot; bbkdesc=&quot;2020 Annual Accounts/EU Annual Accounts/DC - Operating lease commitments&quot; datapro=&quot;BIP_PPERE&quot; tdatapro=&quot;BIP_PPERE&quot; author=&quot;&quot; modtime=&quot;3/30/2021 7:06:03 AM&quot; moduser=&quot;Ruberla&quot; rolluptime=&quot;&quot; syuser=&quot;Ruberla&quot; syuzeit=&quot;3/30/2021 7:06:03 AM&quot; root=&quot;/BBOOK/DATAPROVIDER[./META/PROPS/ID='BIP_PPERE']/DATA&quot; colcount=&quot;5&quot; rowcount=&quot;6&quot; url=&quot;&quot; dynamizeds=&quot;SAP Disclosure Management - Production&quot; dynamizedstype=&quot;9&quot; refreshds=&quot;&quot; viewtype=&quot;1&quot;&gt;&lt;QUERY reftype=&quot;ABS&quot; elmntsel=&quot;TABLE&quot; bbk=&quot;19876&quot; bbkdesc=&quot;2020 Annual Accounts/EU Annual Accounts/DC - Operating lease commitments&quot; datapro=&quot;BIP_PPERE&quot; infos=&quot;&quot; iscomment=&quot;0&quot;&gt;&lt;SELECT&gt;/BBOOK/DATAPROVIDER[./META/PROPS/ID='BIP_PPERE']/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9/03/2020 09:12:01&lt;/DYNAMIZEDON&gt;&lt;LASTUPDATEDBY&gt;Ruberla&lt;/LASTUPDATEDBY&gt;&lt;LASTUPDATEDON&gt;3/30/2021 7:11:38 AM&lt;/LASTUPDATEDON&gt;&lt;UTC&gt;1&lt;/UTC&gt;&lt;/UPDATE&gt;&lt;QUERIES bbk=&quot;19868&quot; bbkdesc=&quot;2020 Annual Accounts/EU Annual Accounts/DC - Currency risk&quot; datapro=&quot;BIP_CRCY&quot; tdatapro=&quot;BIP_CRCY&quot; author=&quot;&quot; modtime=&quot;3/30/2021 7:08:32 AM&quot; moduser=&quot;Ruberla&quot; rolluptime=&quot;&quot; syuser=&quot;Ruberla&quot; syuzeit=&quot;3/30/2021 7:08:32 AM&quot; root=&quot;/BBOOK/DATAPROVIDER[./META/PROPS/ID='BIP_CRCY']/DATA&quot; colcount=&quot;8&quot; rowcount=&quot;15&quot; url=&quot;&quot; dynamizeds=&quot;SAP Disclosure Management - Production&quot; dynamizedstype=&quot;9&quot; refreshds=&quot;&quot; viewtype=&quot;1&quot;&gt;&lt;QUERY reftype=&quot;ABS&quot; elmntsel=&quot;TABLE&quot; bbk=&quot;19868&quot; bbkdesc=&quot;2020 Annual Accounts/EU Annual Accounts/DC - Currency risk&quot; datapro=&quot;BIP_CRCY&quot; infos=&quot;&quot; iscomment=&quot;0&quot;&gt;&lt;SELECT&gt;/BBOOK/DATAPROVIDER[./META/PROPS/ID='BIP_CRCY']/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9/03/2020 10:13:26&lt;/DYNAMIZEDON&gt;&lt;LASTUPDATEDBY&gt;Ruberla&lt;/LASTUPDATEDBY&gt;&lt;LASTUPDATEDON&gt;3/30/2021 7:11:38 AM&lt;/LASTUPDATEDON&gt;&lt;UTC&gt;1&lt;/UTC&gt;&lt;/UPDATE&gt;&lt;QUERIES bbk=&quot;19868&quot; bbkdesc=&quot;2020 Annual Accounts/EU Annual Accounts/DC - Currency risk&quot; datapro=&quot;BIP_CRPY&quot; tdatapro=&quot;BIP_CRPY&quot; author=&quot;&quot; modtime=&quot;3/30/2021 7:08:32 AM&quot; moduser=&quot;Ruberla&quot; rolluptime=&quot;&quot; syuser=&quot;Ruberla&quot; syuzeit=&quot;3/30/2021 7:08:32 AM&quot; root=&quot;/BBOOK/DATAPROVIDER[./META/PROPS/ID='BIP_CRPY']/DATA&quot; colcount=&quot;8&quot; rowcount=&quot;15&quot; url=&quot;&quot; dynamizeds=&quot;SAP Disclosure Management - Production&quot; dynamizedstype=&quot;9&quot; refreshds=&quot;&quot; viewtype=&quot;1&quot;&gt;&lt;QUERY reftype=&quot;ABS&quot; elmntsel=&quot;TABLE&quot; bbk=&quot;19868&quot; bbkdesc=&quot;2020 Annual Accounts/EU Annual Accounts/DC - Currency risk&quot; datapro=&quot;BIP_CRPY&quot; infos=&quot;&quot; iscomment=&quot;0&quot;&gt;&lt;SELECT&gt;/BBOOK/DATAPROVIDER[./META/PROPS/ID='BIP_CRPY']/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0:53:11&lt;/DYNAMIZEDON&gt;&lt;LASTUPDATEDBY&gt;Ruberla&lt;/LASTUPDATEDBY&gt;&lt;LASTUPDATEDON&gt;3/30/2021 7:11:38 AM&lt;/LASTUPDATEDON&gt;&lt;UTC&gt;1&lt;/UTC&gt;&lt;/UPDATE&gt;&lt;QUERIES bbk=&quot;19868&quot; bbkdesc=&quot;2020 Annual Accounts/EU Annual Accounts/DC - Currency risk&quot; datapro=&quot;BIP_SDS&quot; tdatapro=&quot;BIP_SDS&quot; author=&quot;&quot; modtime=&quot;3/30/2021 7:08:32 AM&quot; moduser=&quot;Ruberla&quot; rolluptime=&quot;&quot; syuser=&quot;Ruberla&quot; syuzeit=&quot;3/30/2021 7:08:32 AM&quot; root=&quot;/BBOOK/DATAPROVIDER[./META/PROPS/ID='BIP_SDS']/DATA&quot; colcount=&quot;5&quot; rowcount=&quot;5&quot; url=&quot;&quot; dynamizeds=&quot;SAP Disclosure Management - Production&quot; dynamizedstype=&quot;9&quot; refreshds=&quot;&quot; viewtype=&quot;1&quot;&gt;&lt;QUERY reftype=&quot;ABS&quot; elmntsel=&quot;TABLE&quot; bbk=&quot;19868&quot; bbkdesc=&quot;2020 Annual Accounts/EU Annual Accounts/DC - Currency risk&quot; datapro=&quot;BIP_SDS&quot; infos=&quot;&quot; iscomment=&quot;0&quot;&gt;&lt;SELECT&gt;/BBOOK/DATAPROVIDER[./META/PROPS/ID='BIP_SDS']/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25/2020 9:54:50 AM&lt;/DYNAMIZEDON&gt;&lt;LASTUPDATEDBY&gt;Ruberla&lt;/LASTUPDATEDBY&gt;&lt;LASTUPDATEDON&gt;3/30/2021 7:11:38 AM&lt;/LASTUPDATEDON&gt;&lt;UTC&gt;1&lt;/UTC&gt;&lt;/UPDATE&gt;&lt;QUERIES bbk=&quot;19868&quot; bbkdesc=&quot;2020 Annual Accounts/EU Annual Accounts/DC - Currency risk&quot; datapro=&quot;BIP_NAS&quot; tdatapro=&quot;BIP_NAS&quot; author=&quot;&quot; modtime=&quot;3/30/2021 7:08:32 AM&quot; moduser=&quot;Ruberla&quot; rolluptime=&quot;&quot; syuser=&quot;Ruberla&quot; syuzeit=&quot;3/30/2021 7:08:32 AM&quot; root=&quot;/BBOOK/DATAPROVIDER[./META/PROPS/ID='BIP_NAS']/DATA&quot; colcount=&quot;5&quot; rowcount=&quot;5&quot; url=&quot;&quot; dynamizeds=&quot;SAP Disclosure Management - Production&quot; dynamizedstype=&quot;9&quot; refreshds=&quot;&quot; viewtype=&quot;1&quot;&gt;&lt;QUERY reftype=&quot;ABS&quot; elmntsel=&quot;TABLE&quot; bbk=&quot;19868&quot; bbkdesc=&quot;2020 Annual Accounts/EU Annual Accounts/DC - Currency risk&quot; datapro=&quot;BIP_NAS&quot; infos=&quot;&quot; iscomment=&quot;0&quot;&gt;&lt;SELECT&gt;/BBOOK/DATAPROVIDER[./META/PROPS/ID='BIP_NAS']/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0:58:04&lt;/DYNAMIZEDON&gt;&lt;LASTUPDATEDBY&gt;Ruberla&lt;/LASTUPDATEDBY&gt;&lt;LASTUPDATEDON&gt;3/30/2021 7:11:38 AM&lt;/LASTUPDATEDON&gt;&lt;UTC&gt;1&lt;/UTC&gt;&lt;/UPDATE&gt;&lt;QUERIES bbk=&quot;19868&quot; bbkdesc=&quot;2020 Annual Accounts/EU Annual Accounts/DC - Currency risk&quot; datapro=&quot;BIP_SDW&quot; tdatapro=&quot;BIP_SDW&quot; author=&quot;&quot; modtime=&quot;3/30/2021 7:08:32 AM&quot; moduser=&quot;Ruberla&quot; rolluptime=&quot;&quot; syuser=&quot;Ruberla&quot; syuzeit=&quot;3/30/2021 7:08:32 AM&quot; root=&quot;/BBOOK/DATAPROVIDER[./META/PROPS/ID='BIP_SDW']/DATA&quot; colcount=&quot;5&quot; rowcount=&quot;5&quot; url=&quot;&quot; dynamizeds=&quot;SAP Disclosure Management - Production&quot; dynamizedstype=&quot;9&quot; refreshds=&quot;&quot; viewtype=&quot;1&quot;&gt;&lt;QUERY reftype=&quot;ABS&quot; elmntsel=&quot;TABLE&quot; bbk=&quot;19868&quot; bbkdesc=&quot;2020 Annual Accounts/EU Annual Accounts/DC - Currency risk&quot; datapro=&quot;BIP_SDW&quot; infos=&quot;&quot; iscomment=&quot;0&quot;&gt;&lt;SELECT&gt;/BBOOK/DATAPROVIDER[./META/PROPS/ID='BIP_SDW']/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25/2020 9:55:40 AM&lt;/DYNAMIZEDON&gt;&lt;LASTUPDATEDBY&gt;Ruberla&lt;/LASTUPDATEDBY&gt;&lt;LASTUPDATEDON&gt;3/30/2021 7:11:38 AM&lt;/LASTUPDATEDON&gt;&lt;UTC&gt;1&lt;/UTC&gt;&lt;/UPDATE&gt;&lt;QUERIES bbk=&quot;19868&quot; bbkdesc=&quot;2020 Annual Accounts/EU Annual Accounts/DC - Currency risk&quot; datapro=&quot;BIP_NAW&quot; tdatapro=&quot;BIP_NAW&quot; author=&quot;&quot; modtime=&quot;3/30/2021 7:08:32 AM&quot; moduser=&quot;Ruberla&quot; rolluptime=&quot;&quot; syuser=&quot;Ruberla&quot; syuzeit=&quot;3/30/2021 7:08:32 AM&quot; root=&quot;/BBOOK/DATAPROVIDER[./META/PROPS/ID='BIP_NAW']/DATA&quot; colcount=&quot;5&quot; rowcount=&quot;5&quot; url=&quot;&quot; dynamizeds=&quot;SAP Disclosure Management - Production&quot; dynamizedstype=&quot;9&quot; refreshds=&quot;&quot; viewtype=&quot;1&quot;&gt;&lt;QUERY reftype=&quot;ABS&quot; elmntsel=&quot;TABLE&quot; bbk=&quot;19868&quot; bbkdesc=&quot;2020 Annual Accounts/EU Annual Accounts/DC - Currency risk&quot; datapro=&quot;BIP_NAW&quot; infos=&quot;&quot; iscomment=&quot;0&quot;&gt;&lt;SELECT&gt;/BBOOK/DATAPROVIDER[./META/PROPS/ID='BIP_NAW']/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05:45&lt;/DYNAMIZEDON&gt;&lt;LASTUPDATEDBY&gt;Ruberla&lt;/LASTUPDATEDBY&gt;&lt;LASTUPDATEDON&gt;3/30/2021 7:11:38 AM&lt;/LASTUPDATEDON&gt;&lt;UTC&gt;1&lt;/UTC&gt;&lt;/UPDATE&gt;&lt;QUERIES bbk=&quot;19869&quot; bbkdesc=&quot;2020 Annual Accounts/EU Annual Accounts/DC - Interest rate risk&quot; datapro=&quot;BIP_IRR&quot; tdatapro=&quot;BIP_IRR&quot; author=&quot;&quot; modtime=&quot;3/30/2021 7:08:46 AM&quot; moduser=&quot;Ruberla&quot; rolluptime=&quot;&quot; syuser=&quot;Ruberla&quot; syuzeit=&quot;3/30/2021 7:08:46 AM&quot; root=&quot;/BBOOK/DATAPROVIDER[./META/PROPS/ID='BIP_IRR']/DATA&quot; colcount=&quot;3&quot; rowcount=&quot;6&quot; url=&quot;&quot; dynamizeds=&quot;SAP Disclosure Management - Production&quot; dynamizedstype=&quot;9&quot; refreshds=&quot;&quot; viewtype=&quot;1&quot;&gt;&lt;QUERY reftype=&quot;ABS&quot; elmntsel=&quot;TABLE&quot; bbk=&quot;19869&quot; bbkdesc=&quot;2020 Annual Accounts/EU Annual Accounts/DC - Interest rate risk&quot; datapro=&quot;BIP_IRR&quot; infos=&quot;&quot; iscomment=&quot;0&quot;&gt;&lt;SELECT&gt;/BBOOK/DATAPROVIDER[./META/PROPS/ID='BIP_IRR']/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15:18&lt;/DYNAMIZEDON&gt;&lt;LASTUPDATEDBY&gt;Ruberla&lt;/LASTUPDATEDBY&gt;&lt;LASTUPDATEDON&gt;3/30/2021 7:11:38 AM&lt;/LASTUPDATEDON&gt;&lt;UTC&gt;1&lt;/UTC&gt;&lt;/UPDATE&gt;&lt;QUERIES bbk=&quot;19870&quot; bbkdesc=&quot;2020 Annual Accounts/EU Annual Accounts/DC - Credit risk&quot; datapro=&quot;BIP_CDTR&quot; tdatapro=&quot;BIP_CDTR&quot; author=&quot;&quot; modtime=&quot;3/30/2021 7:08:31 AM&quot; moduser=&quot;Ruberla&quot; rolluptime=&quot;&quot; syuser=&quot;Ruberla&quot; syuzeit=&quot;3/30/2021 7:08:31 AM&quot; root=&quot;/BBOOK/DATAPROVIDER[./META/PROPS/ID='BIP_CDTR']/DATA&quot; colcount=&quot;6&quot; rowcount=&quot;11&quot; url=&quot;&quot; dynamizeds=&quot;SAP Disclosure Management - Production&quot; dynamizedstype=&quot;9&quot; refreshds=&quot;&quot; viewtype=&quot;1&quot;&gt;&lt;QUERY reftype=&quot;ABS&quot; elmntsel=&quot;TABLE&quot; bbk=&quot;19870&quot; bbkdesc=&quot;2020 Annual Accounts/EU Annual Accounts/DC - Credit risk&quot; datapro=&quot;BIP_CDTR&quot; infos=&quot;&quot; iscomment=&quot;0&quot;&gt;&lt;SELECT&gt;/BBOOK/DATAPROVIDER[./META/PROPS/ID='BIP_CDTR']/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24:32&lt;/DYNAMIZEDON&gt;&lt;LASTUPDATEDBY&gt;Ruberla&lt;/LASTUPDATEDBY&gt;&lt;LASTUPDATEDON&gt;3/30/2021 7:11:38 AM&lt;/LASTUPDATEDON&gt;&lt;UTC&gt;1&lt;/UTC&gt;&lt;/UPDATE&gt;&lt;QUERIES bbk=&quot;19870&quot; bbkdesc=&quot;2020 Annual Accounts/EU Annual Accounts/DC - Credit risk&quot; datapro=&quot;BIP_FARCCY&quot; tdatapro=&quot;BIP_FARCCY&quot; author=&quot;&quot; modtime=&quot;3/30/2021 7:08:31 AM&quot; moduser=&quot;Ruberla&quot; rolluptime=&quot;&quot; syuser=&quot;Ruberla&quot; syuzeit=&quot;3/30/2021 7:08:31 AM&quot; root=&quot;/BBOOK/DATAPROVIDER[./META/PROPS/ID='BIP_FARCCY']/DATA&quot; colcount=&quot;7&quot; rowcount=&quot;14&quot; url=&quot;&quot; dynamizeds=&quot;SAP Disclosure Management - Production&quot; dynamizedstype=&quot;9&quot; refreshds=&quot;&quot; viewtype=&quot;1&quot;&gt;&lt;QUERY reftype=&quot;ABS&quot; elmntsel=&quot;TABLE&quot; bbk=&quot;19870&quot; bbkdesc=&quot;2020 Annual Accounts/EU Annual Accounts/DC - Credit risk&quot; datapro=&quot;BIP_FARCCY&quot; infos=&quot;&quot; iscomment=&quot;0&quot;&gt;&lt;SELECT&gt;/BBOOK/DATAPROVIDER[./META/PROPS/ID='BIP_FARCCY']/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26:49&lt;/DYNAMIZEDON&gt;&lt;LASTUPDATEDBY&gt;Ruberla&lt;/LASTUPDATEDBY&gt;&lt;LASTUPDATEDON&gt;3/30/2021 7:11:38 AM&lt;/LASTUPDATEDON&gt;&lt;UTC&gt;1&lt;/UTC&gt;&lt;/UPDATE&gt;&lt;QUERIES bbk=&quot;19870&quot; bbkdesc=&quot;2020 Annual Accounts/EU Annual Accounts/DC - Credit risk&quot; datapro=&quot;BIP_FARCPY&quot; tdatapro=&quot;BIP_FARCPY&quot; author=&quot;&quot; modtime=&quot;3/30/2021 7:08:31 AM&quot; moduser=&quot;Ruberla&quot; rolluptime=&quot;&quot; syuser=&quot;Ruberla&quot; syuzeit=&quot;3/30/2021 7:08:31 AM&quot; root=&quot;/BBOOK/DATAPROVIDER[./META/PROPS/ID='BIP_FARCPY']/DATA&quot; colcount=&quot;7&quot; rowcount=&quot;14&quot; url=&quot;&quot; dynamizeds=&quot;SAP Disclosure Management - Production&quot; dynamizedstype=&quot;9&quot; refreshds=&quot;&quot; viewtype=&quot;1&quot;&gt;&lt;QUERY reftype=&quot;ABS&quot; elmntsel=&quot;TABLE&quot; bbk=&quot;19870&quot; bbkdesc=&quot;2020 Annual Accounts/EU Annual Accounts/DC - Credit risk&quot; datapro=&quot;BIP_FARCPY&quot; infos=&quot;&quot; iscomment=&quot;0&quot;&gt;&lt;SELECT&gt;/BBOOK/DATAPROVIDER[./META/PROPS/ID='BIP_FARCPY']/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40:18&lt;/DYNAMIZEDON&gt;&lt;LASTUPDATEDBY&gt;Ruberla&lt;/LASTUPDATEDBY&gt;&lt;LASTUPDATEDON&gt;3/30/2021 7:11:38 AM&lt;/LASTUPDATEDON&gt;&lt;UTC&gt;1&lt;/UTC&gt;&lt;/UPDATE&gt;&lt;QUERIES bbk=&quot;19871&quot; bbkdesc=&quot;2020 Annual Accounts/EU Annual Accounts/DC - Liquiduty risk&quot; datapro=&quot;BIP_LR&quot; tdatapro=&quot;BIP_LR&quot; author=&quot;&quot; modtime=&quot;3/30/2021 7:08:48 AM&quot; moduser=&quot;Ruberla&quot; rolluptime=&quot;&quot; syuser=&quot;Ruberla&quot; syuzeit=&quot;3/30/2021 7:08:48 AM&quot; root=&quot;/BBOOK/DATAPROVIDER[./META/PROPS/ID='BIP_LR']/DATA&quot; colcount=&quot;5&quot; rowcount=&quot;12&quot; url=&quot;&quot; dynamizeds=&quot;SAP Disclosure Management - Production&quot; dynamizedstype=&quot;9&quot; refreshds=&quot;&quot; viewtype=&quot;1&quot;&gt;&lt;QUERY reftype=&quot;ABS&quot; elmntsel=&quot;TABLE&quot; bbk=&quot;19871&quot; bbkdesc=&quot;2020 Annual Accounts/EU Annual Accounts/DC - Liquiduty risk&quot; datapro=&quot;BIP_LR&quot; infos=&quot;&quot; iscomment=&quot;0&quot;&gt;&lt;SELECT&gt;/BBOOK/DATAPROVIDER[./META/PROPS/ID='BIP_LR']/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bournai&lt;/DYNAMIZEDBY&gt;&lt;DYNAMIZEDON&gt;25-Mar-21 2:44:33 PM&lt;/DYNAMIZEDON&gt;&lt;LASTUPDATEDBY&gt;Ruberla&lt;/LASTUPDATEDBY&gt;&lt;LASTUPDATEDON&gt;3/30/2021 7:11:38 AM&lt;/LASTUPDATEDON&gt;&lt;UTC&gt;1&lt;/UTC&gt;&lt;/UPDATE&gt;&lt;QUERIES bbk=&quot;19530&quot; bbkdesc=&quot;2020 Annual Accounts/EC Annual Accounts/DC - Liquidity risk&quot; datapro=&quot;BIP_FLA&quot; tdatapro=&quot;BIP_FLA&quot; author=&quot;&quot; modtime=&quot;3/26/2021 7:01:18 PM&quot; moduser=&quot;koehlmn&quot; rolluptime=&quot;&quot; syuser=&quot;koehlmn&quot; syuzeit=&quot;3/26/2021 7:01:18 PM&quot; root=&quot;/BBOOK/DATAPROVIDER[./META/PROPS/ID='BIP_FLA']/DATA&quot; colcount=&quot;5&quot; rowcount=&quot;8&quot; url=&quot;&quot; dynamizeds=&quot;SAP Disclosure Management - Production&quot; dynamizedstype=&quot;9&quot; refreshds=&quot;&quot; viewtype=&quot;1&quot;&gt;&lt;QUERY reftype=&quot;ABS&quot; elmntsel=&quot;TABLE&quot; bbk=&quot;19530&quot; bbkdesc=&quot;2020 Annual Accounts/EC Annual Accounts/DC - Liquidity risk&quot; datapro=&quot;BIP_FLA&quot; infos=&quot;&quot; iscomment=&quot;0&quot;&gt;&lt;SELECT&gt;/BBOOK/DATAPROVIDER[./META/PROPS/ID='BIP_FLA']/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5/08/2019 13:05:55&lt;/DYNAMIZEDON&gt;&lt;LASTUPDATEDBY&gt;Ruberla&lt;/LASTUPDATEDBY&gt;&lt;LASTUPDATEDON&gt;3/30/2021 7:11:56 AM&lt;/LASTUPDATEDON&gt;&lt;UTC&gt;1&lt;/UTC&gt;&lt;/UPDATE&gt;&lt;QUERIES bbk=&quot;19854&quot; bbkdesc=&quot;2020 Annual Accounts/EU Annual Accounts/DC - Related party disclosures&quot; datapro=&quot;BIP_KM&quot; tdatapro=&quot;BIP_KM&quot; author=&quot;&quot; modtime=&quot;3/30/2021 7:09:03 AM&quot; moduser=&quot;Ruberla&quot; rolluptime=&quot;&quot; syuser=&quot;Ruberla&quot; syuzeit=&quot;3/30/2021 7:09:03 AM&quot; root=&quot;/BBOOK/DATAPROVIDER[./META/PROPS/ID='BIP_KM']/DATA&quot; colcount=&quot;6&quot; rowcount=&quot;45&quot; url=&quot;&quot; dynamizeds=&quot;SAP Disclosure Management - Production&quot; dynamizedstype=&quot;9&quot; refreshds=&quot;&quot; viewtype=&quot;1&quot;&gt;&lt;QUERY reftype=&quot;ABS&quot; elmntsel=&quot;TABLE&quot; bbk=&quot;19854&quot; bbkdesc=&quot;2020 Annual Accounts/EU Annual Accounts/DC - Related party disclosures&quot; datapro=&quot;BIP_KM&quot; infos=&quot;&quot; iscomment=&quot;0&quot;&gt;&lt;SELECT&gt;/BBOOK/DATAPROVIDER[./META/PROPS/ID='BIP_KM']/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3:18:40&lt;/DYNAMIZEDON&gt;&lt;LASTUPDATEDBY&gt;Ruberla&lt;/LASTUPDATEDBY&gt;&lt;LASTUPDATEDON&gt;3/30/2021 7:11:58 AM&lt;/LASTUPDATEDON&gt;&lt;UTC&gt;1&lt;/UTC&gt;&lt;/UPDATE&gt;&lt;QUERIES bbk=&quot;19855&quot; bbkdesc=&quot;2020 Annual Accounts/EU Annual Accounts/DC - Scope of consolidation EU&quot; datapro=&quot;BIP_CE&quot; tdatapro=&quot;BIP_CE&quot; author=&quot;&quot; modtime=&quot;3/30/2021 7:09:04 AM&quot; moduser=&quot;Ruberla&quot; rolluptime=&quot;&quot; syuser=&quot;Ruberla&quot; syuzeit=&quot;3/30/2021 7:09:04 AM&quot; root=&quot;/BBOOK/DATAPROVIDER[./META/PROPS/ID='BIP_CE']/DATA&quot; colcount=&quot;2&quot; rowcount=&quot;39&quot; url=&quot;&quot; dynamizeds=&quot;SAP Disclosure Management - Production&quot; dynamizedstype=&quot;9&quot; refreshds=&quot;&quot; viewtype=&quot;1&quot;&gt;&lt;QUERY reftype=&quot;ABS&quot; elmntsel=&quot;TABLE&quot; bbk=&quot;19855&quot; bbkdesc=&quot;2020 Annual Accounts/EU Annual Accounts/DC - Scope of consolidation EU&quot; datapro=&quot;BIP_CE&quot; infos=&quot;&quot; iscomment=&quot;0&quot;&gt;&lt;SELECT&gt;/BBOOK/DATAPROVIDER[./META/PROPS/ID='BIP_CE']/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37:57&lt;/DYNAMIZEDON&gt;&lt;LASTUPDATEDBY&gt;Ruberla&lt;/LASTUPDATEDBY&gt;&lt;LASTUPDATEDON&gt;3/30/2021 7:11:31 AM&lt;/LASTUPDATEDON&gt;&lt;UTC&gt;1&lt;/UTC&gt;&lt;/UPDATE&gt;&lt;QUERIES bbk=&quot;19805&quot; bbkdesc=&quot;2020 Annual Accounts/EU Annual Accounts/DC - Budget result and Statements of Comparison&quot; datapro=&quot;BIP_Budget_result&quot; tdatapro=&quot;BIP_Budget_result&quot; author=&quot;&quot; modtime=&quot;3/30/2021 7:08:29 AM&quot; moduser=&quot;Ruberla&quot; rolluptime=&quot;&quot; syuser=&quot;Ruberla&quot; syuzeit=&quot;3/30/2021 7:08:29 AM&quot; root=&quot;/BBOOK/DATAPROVIDER[./META/PROPS/ID='BIP_Budget_result']/DATA&quot; colcount=&quot;4&quot; rowcount=&quot;11&quot; url=&quot;&quot; dynamizeds=&quot;SAP Disclosure Management - Production&quot; dynamizedstype=&quot;9&quot; refreshds=&quot;&quot; viewtype=&quot;1&quot;&gt;&lt;QUERY reftype=&quot;ABS&quot; elmntsel=&quot;TABLE&quot; bbk=&quot;19805&quot; bbkdesc=&quot;2020 Annual Accounts/EU Annual Accounts/DC - Budget result and Statements of Comparison&quot; datapro=&quot;BIP_Budget_result&quot; infos=&quot;&quot; iscomment=&quot;0&quot;&gt;&lt;SELECT&gt;/BBOOK/DATAPROVIDER[./META/PROPS/ID='BIP_Budget_result']/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38:42&lt;/DYNAMIZEDON&gt;&lt;LASTUPDATEDBY&gt;Ruberla&lt;/LASTUPDATEDBY&gt;&lt;LASTUPDATEDON&gt;3/30/2021 7:11:31 AM&lt;/LASTUPDATEDON&gt;&lt;UTC&gt;1&lt;/UTC&gt;&lt;/UPDATE&gt;&lt;QUERIES bbk=&quot;19805&quot; bbkdesc=&quot;2020 Annual Accounts/EU Annual Accounts/DC - Budget result and Statements of Comparison&quot; datapro=&quot;BIP_Statement_of_comparison_Revenue&quot; tdatapro=&quot;BIP_Statement_of_comparison_Revenue&quot; author=&quot;&quot; modtime=&quot;3/30/2021 7:08:29 AM&quot; moduser=&quot;Ruberla&quot; rolluptime=&quot;&quot; syuser=&quot;Ruberla&quot; syuzeit=&quot;3/30/2021 7:08:29 AM&quot; root=&quot;/BBOOK/DATAPROVIDER[./META/PROPS/ID='BIP_Statement_of_comparison_Revenue']/DATA&quot; colcount=&quot;6&quot; rowcount=&quot;17&quot; url=&quot;&quot; dynamizeds=&quot;SAP Disclosure Management - Production&quot; dynamizedstype=&quot;9&quot; refreshds=&quot;&quot; viewtype=&quot;1&quot;&gt;&lt;QUERY reftype=&quot;ABS&quot; elmntsel=&quot;TABLE&quot; bbk=&quot;19805&quot; bbkdesc=&quot;2020 Annual Accounts/EU Annual Accounts/DC - Budget result and Statements of Comparison&quot; datapro=&quot;BIP_Statement_of_comparison_Revenue&quot; infos=&quot;&quot; iscomment=&quot;0&quot;&gt;&lt;SELECT&gt;/BBOOK/DATAPROVIDER[./META/PROPS/ID='BIP_Statement_of_comparison_Revenue']/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40:04&lt;/DYNAMIZEDON&gt;&lt;LASTUPDATEDBY&gt;Ruberla&lt;/LASTUPDATEDBY&gt;&lt;LASTUPDATEDON&gt;3/30/2021 7:11:31 AM&lt;/LASTUPDATEDON&gt;&lt;UTC&gt;1&lt;/UTC&gt;&lt;/UPDATE&gt;&lt;QUERIES bbk=&quot;19805&quot; bbkdesc=&quot;2020 Annual Accounts/EU Annual Accounts/DC - Budget result and Statements of Comparison&quot; datapro=&quot;BIP_Statement_of_comparison_Commitments&quot; tdatapro=&quot;BIP_Statement_of_comparison_Commitments&quot; author=&quot;&quot; modtime=&quot;3/30/2021 7:08:29 AM&quot; moduser=&quot;Ruberla&quot; rolluptime=&quot;&quot; syuser=&quot;Ruberla&quot; syuzeit=&quot;3/30/2021 7:08:29 AM&quot; root=&quot;/BBOOK/DATAPROVIDER[./META/PROPS/ID='BIP_Statement_of_comparison_Commitments']/DATA&quot; colcount=&quot;6&quot; rowcount=&quot;16&quot; url=&quot;&quot; dynamizeds=&quot;SAP Disclosure Management - Production&quot; dynamizedstype=&quot;9&quot; refreshds=&quot;&quot; viewtype=&quot;1&quot;&gt;&lt;QUERY reftype=&quot;ABS&quot; elmntsel=&quot;TABLE&quot; bbk=&quot;19805&quot; bbkdesc=&quot;2020 Annual Accounts/EU Annual Accounts/DC - Budget result and Statements of Comparison&quot; datapro=&quot;BIP_Statement_of_comparison_Commitments&quot; infos=&quot;&quot; iscomment=&quot;0&quot;&gt;&lt;SELECT&gt;/BBOOK/DATAPROVIDER[./META/PROPS/ID='BIP_Statement_of_comparison_Commitments']/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42:34&lt;/DYNAMIZEDON&gt;&lt;LASTUPDATEDBY&gt;Ruberla&lt;/LASTUPDATEDBY&gt;&lt;LASTUPDATEDON&gt;3/30/2021 7:11:31 AM&lt;/LASTUPDATEDON&gt;&lt;UTC&gt;1&lt;/UTC&gt;&lt;/UPDATE&gt;&lt;QUERIES bbk=&quot;19805&quot; bbkdesc=&quot;2020 Annual Accounts/EU Annual Accounts/DC - Budget result and Statements of Comparison&quot; datapro=&quot;BIP_Statement_of_comparison_Payments&quot; tdatapro=&quot;BIP_Statement_of_comparison_Payments&quot; author=&quot;&quot; modtime=&quot;3/30/2021 7:08:29 AM&quot; moduser=&quot;Ruberla&quot; rolluptime=&quot;&quot; syuser=&quot;Ruberla&quot; syuzeit=&quot;3/30/2021 7:08:29 AM&quot; root=&quot;/BBOOK/DATAPROVIDER[./META/PROPS/ID='BIP_Statement_of_comparison_Payments']/DATA&quot; colcount=&quot;6&quot; rowcount=&quot;16&quot; url=&quot;&quot; dynamizeds=&quot;SAP Disclosure Management - Production&quot; dynamizedstype=&quot;9&quot; refreshds=&quot;&quot; viewtype=&quot;1&quot;&gt;&lt;QUERY reftype=&quot;ABS&quot; elmntsel=&quot;TABLE&quot; bbk=&quot;19805&quot; bbkdesc=&quot;2020 Annual Accounts/EU Annual Accounts/DC - Budget result and Statements of Comparison&quot; datapro=&quot;BIP_Statement_of_comparison_Payments&quot; infos=&quot;&quot; iscomment=&quot;0&quot;&gt;&lt;SELECT&gt;/BBOOK/DATAPROVIDER[./META/PROPS/ID='BIP_Statement_of_comparison_Payments']/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1033&lt;/FLCID&gt;&lt;RELATION&gt;&lt;/RELATION&gt;&lt;LINKED&gt;&lt;/LINKED&gt;&lt;SVALUE&gt;&lt;/SVALUE&gt;&lt;INFO&gt;&lt;/INFO&gt;&lt;/META&gt;&lt;UPDATE&gt;&lt;DATE&gt;10.1.10.2&lt;/DATE&gt;&lt;DYNAMIZEDBY&gt;bedread&lt;/DYNAMIZEDBY&gt;&lt;DYNAMIZEDON&gt;28/03/2018 08:42:45&lt;/DYNAMIZEDON&gt;&lt;LASTUPDATEDBY&gt;Ruberla&lt;/LASTUPDATEDBY&gt;&lt;LASTUPDATEDON&gt;3/30/2021 7:11:51 AM&lt;/LASTUPDATEDON&gt;&lt;UTC&gt;1&lt;/UTC&gt;&lt;/UPDATE&gt;&lt;QUERIES bbk=&quot;19846&quot; bbkdesc=&quot;2020 Annual Accounts/EU Annual Accounts/DC - Financial framework 2014 - 2020&quot; datapro=&quot;BIP_FinancialFWK20142020&quot; tdatapro=&quot;BIP_FinancialFWK20142020&quot; author=&quot;&quot; modtime=&quot;4/26/2017 4:41:07 PM&quot; moduser=&quot;preutan&quot; rolluptime=&quot;&quot; syuser=&quot;preutan&quot; syuzeit=&quot;4/26/2017 4:41:07 PM&quot; root=&quot;/DATA&quot; colcount=&quot;9&quot; rowcount=&quot;17&quot; url=&quot;&quot; dynamizeds=&quot;SAP Disclosure Management - Production&quot; dynamizedstype=&quot;9&quot; refreshds=&quot;&quot; viewtype=&quot;1&quot;&gt;&lt;QUERY reftype=&quot;ABS&quot; elmntsel=&quot;TABLE&quot; bbk=&quot;19846&quot; bbkdesc=&quot;2020 Annual Accounts/EU Annual Accounts/DC - Financial framework 2014 - 2020&quot; datapro=&quot;BIP_FinancialFWK20142020&quot; infos=&quot;&quot; iscomment=&quot;0&quot;&gt;&lt;SELECT&gt;/BBOOK/DATAPROVIDER[./META/PROPS/ID='BIP_FinancialFWK20142020']/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7/10/2019 12:42:07&lt;/DYNAMIZEDON&gt;&lt;LASTUPDATEDBY&gt;Ruberla&lt;/LASTUPDATEDBY&gt;&lt;LASTUPDATEDON&gt;3/30/2021 7:11:51 AM&lt;/LASTUPDATEDON&gt;&lt;UTC&gt;1&lt;/UTC&gt;&lt;/UPDATE&gt;&lt;QUERIES bbk=&quot;19782&quot; bbkdesc=&quot;2020 Annual Accounts/EU Annual Accounts/DC - EU Reconciliation of economic result&quot; datapro=&quot;BIP_Reconciliation&quot; tdatapro=&quot;BIP_Reconciliation&quot; author=&quot;&quot; modtime=&quot;3/26/2021 4:51:02 PM&quot; moduser=&quot;canarpa&quot; rolluptime=&quot;&quot; syuser=&quot;canarpa&quot; syuzeit=&quot;3/26/2021 4:51:02 PM&quot; root=&quot;/BBOOK/DATAPROVIDER[./META/PROPS/ID='BIP_Reconciliation']/DATA&quot; colcount=&quot;3&quot; rowcount=&quot;21&quot; url=&quot;&quot; dynamizeds=&quot;SAP Disclosure Management - Production&quot; dynamizedstype=&quot;9&quot; refreshds=&quot;&quot; viewtype=&quot;1&quot;&gt;&lt;QUERY reftype=&quot;ABS&quot; elmntsel=&quot;TABLE&quot; bbk=&quot;19782&quot; bbkdesc=&quot;2020 Annual Accounts/EU Annual Accounts/DC - EU Reconciliation of economic result&quot; datapro=&quot;BIP_Reconciliation&quot; infos=&quot;&quot; iscomment=&quot;0&quot;&gt;&lt;SELECT&gt;/BBOOK/DATAPROVIDER[./META/PROPS/ID='BIP_Reconciliation']/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3/03/2019 08:15:24&lt;/DYNAMIZEDON&gt;&lt;LASTUPDATEDBY&gt;Ruberla&lt;/LASTUPDATEDBY&gt;&lt;LASTUPDATEDON&gt;3/30/2021 7:11:44 AM&lt;/LASTUPDATEDON&gt;&lt;UTC&gt;1&lt;/UTC&gt;&lt;/UPDATE&gt;&lt;QUERIES bbk=&quot;19856&quot; bbkdesc=&quot;2020 Annual Accounts/EU Annual Accounts/DC - EU revenues&quot; datapro=&quot;BIP_Implementation_budget_revenue&quot; tdatapro=&quot;BIP_Implementation_budget_revenue&quot; author=&quot;&quot; modtime=&quot;3/30/2021 7:08:35 AM&quot; moduser=&quot;Ruberla&quot; rolluptime=&quot;&quot; syuser=&quot;Ruberla&quot; syuzeit=&quot;3/30/2021 7:08:35 AM&quot; root=&quot;/BBOOK/DATAPROVIDER[./META/PROPS/ID='BIP_Implementation_budget_revenue']/DATA&quot; colcount=&quot;12&quot; rowcount=&quot;13&quot; url=&quot;&quot; dynamizeds=&quot;SAP Disclosure Management - Production&quot; dynamizedstype=&quot;9&quot; refreshds=&quot;&quot; viewtype=&quot;1&quot;&gt;&lt;QUERY reftype=&quot;ABS&quot; elmntsel=&quot;TABLE&quot; bbk=&quot;19856&quot; bbkdesc=&quot;2020 Annual Accounts/EU Annual Accounts/DC - EU revenues&quot; datapro=&quot;BIP_Implementation_budget_revenue&quot; infos=&quot;&quot; iscomment=&quot;0&quot;&gt;&lt;SELECT&gt;/BBOOK/DATAPROVIDER[./META/PROPS/ID='BIP_Implementation_budget_revenue']/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1:30 AM&lt;/DYNAMIZEDON&gt;&lt;LASTUPDATEDBY&gt;Ruberla&lt;/LASTUPDATEDBY&gt;&lt;LASTUPDATEDON&gt;3/30/2021 7:11:43 AM&lt;/LASTUPDATEDON&gt;&lt;UTC&gt;1&lt;/UTC&gt;&lt;/UPDATE&gt;&lt;QUERIES bbk=&quot;19857&quot; bbkdesc=&quot;2020 Annual Accounts/EU Annual Accounts/DC - EU expenditures&quot; datapro=&quot;BIP_MFF_1_Breakdown_Comm_Paym&quot; tdatapro=&quot;BIP_MFF_1_Breakdown_Comm_Paym&quot; author=&quot;&quot; modtime=&quot;3/30/2021 7:08:34 AM&quot; moduser=&quot;Ruberla&quot; rolluptime=&quot;&quot; syuser=&quot;Ruberla&quot; syuzeit=&quot;3/30/2021 7:08:34 AM&quot; root=&quot;/BBOOK/DATAPROVIDER[./META/PROPS/ID='BIP_MFF_1_Breakdown_Comm_Paym']/DATA&quot; colcount=&quot;14&quot; rowcount=&quot;19&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MFF_1_Breakdown_Comm_Paym&quot; infos=&quot;&quot; iscomment=&quot;0&quot;&gt;&lt;SELECT&gt;/BBOOK/DATAPROVIDER[./META/PROPS/ID='BIP_MFF_1_Breakdown_Comm_Paym']/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6:07 AM&lt;/DYNAMIZEDON&gt;&lt;LASTUPDATEDBY&gt;Ruberla&lt;/LASTUPDATEDBY&gt;&lt;LASTUPDATEDON&gt;3/30/2021 7:11:41 AM&lt;/LASTUPDATEDON&gt;&lt;UTC&gt;1&lt;/UTC&gt;&lt;/UPDATE&gt;&lt;QUERIES bbk=&quot;19857&quot; bbkdesc=&quot;2020 Annual Accounts/EU Annual Accounts/DC - EU expenditures&quot; datapro=&quot;BIP_MFF_2_Implement_Commitments&quot; tdatapro=&quot;BIP_MFF_2_Implement_Commitments&quot; author=&quot;&quot; modtime=&quot;3/30/2021 7:08:34 AM&quot; moduser=&quot;Ruberla&quot; rolluptime=&quot;&quot; syuser=&quot;Ruberla&quot; syuzeit=&quot;3/30/2021 7:08:34 AM&quot; root=&quot;/BBOOK/DATAPROVIDER[./META/PROPS/ID='BIP_MFF_2_Implement_Commitments']/DATA&quot; colcount=&quot;15&quot; rowcount=&quot;18&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MFF_2_Implement_Commitments&quot; infos=&quot;&quot; iscomment=&quot;0&quot;&gt;&lt;SELECT&gt;/BBOOK/DATAPROVIDER[./META/PROPS/ID='BIP_MFF_2_Implement_Commitments']/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0:23 AM&lt;/DYNAMIZEDON&gt;&lt;LASTUPDATEDBY&gt;Ruberla&lt;/LASTUPDATEDBY&gt;&lt;LASTUPDATEDON&gt;3/30/2021 7:11:42 AM&lt;/LASTUPDATEDON&gt;&lt;UTC&gt;1&lt;/UTC&gt;&lt;/UPDATE&gt;&lt;QUERIES bbk=&quot;19857&quot; bbkdesc=&quot;2020 Annual Accounts/EU Annual Accounts/DC - EU expenditures&quot; datapro=&quot;BIP_MFF_3_Implement_Payments&quot; tdatapro=&quot;BIP_MFF_3_Implement_Payments&quot; author=&quot;&quot; modtime=&quot;3/30/2021 7:08:34 AM&quot; moduser=&quot;Ruberla&quot; rolluptime=&quot;&quot; syuser=&quot;Ruberla&quot; syuzeit=&quot;3/30/2021 7:08:34 AM&quot; root=&quot;/BBOOK/DATAPROVIDER[./META/PROPS/ID='BIP_MFF_3_Implement_Payments']/DATA&quot; colcount=&quot;16&quot; rowcount=&quot;18&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MFF_3_Implement_Payments&quot; infos=&quot;&quot; iscomment=&quot;0&quot;&gt;&lt;SELECT&gt;/BBOOK/DATAPROVIDER[./META/PROPS/ID='BIP_MFF_3_Implement_Payments']/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7:35 AM&lt;/DYNAMIZEDON&gt;&lt;LASTUPDATEDBY&gt;Ruberla&lt;/LASTUPDATEDBY&gt;&lt;LASTUPDATEDON&gt;3/30/2021 7:11:43 AM&lt;/LASTUPDATEDON&gt;&lt;UTC&gt;1&lt;/UTC&gt;&lt;/UPDATE&gt;&lt;QUERIES bbk=&quot;19857&quot; bbkdesc=&quot;2020 Annual Accounts/EU Annual Accounts/DC - EU expenditures&quot; datapro=&quot;BIP_MFF_4_Commitments_oustanding&quot; tdatapro=&quot;BIP_MFF_4_Commitments_oustanding&quot; author=&quot;&quot; modtime=&quot;3/30/2021 7:08:34 AM&quot; moduser=&quot;Ruberla&quot; rolluptime=&quot;&quot; syuser=&quot;Ruberla&quot; syuzeit=&quot;3/30/2021 7:08:34 AM&quot; root=&quot;/BBOOK/DATAPROVIDER[./META/PROPS/ID='BIP_MFF_4_Commitments_oustanding']/DATA&quot; colcount=&quot;11&quot; rowcount=&quot;18&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MFF_4_Commitments_oustanding&quot; infos=&quot;&quot; iscomment=&quot;0&quot;&gt;&lt;SELECT&gt;/BBOOK/DATAPROVIDER[./META/PROPS/ID='BIP_MFF_4_Commitments_oustanding']/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10:52:11 AM&lt;/DYNAMIZEDON&gt;&lt;LASTUPDATEDBY&gt;Ruberla&lt;/LASTUPDATEDBY&gt;&lt;LASTUPDATEDON&gt;3/30/2021 7:11:42 AM&lt;/LASTUPDATEDON&gt;&lt;UTC&gt;1&lt;/UTC&gt;&lt;/UPDATE&gt;&lt;QUERIES bbk=&quot;19857&quot; bbkdesc=&quot;2020 Annual Accounts/EU Annual Accounts/DC - EU expenditures&quot; datapro=&quot;BIP_MFF_5_RAL_YoO&quot; tdatapro=&quot;BIP_MFF_5_RAL_YoO&quot; author=&quot;&quot; modtime=&quot;3/30/2021 7:08:34 AM&quot; moduser=&quot;Ruberla&quot; rolluptime=&quot;&quot; syuser=&quot;Ruberla&quot; syuzeit=&quot;3/30/2021 7:08:34 AM&quot; root=&quot;/BBOOK/DATAPROVIDER[./META/PROPS/ID='BIP_MFF_5_RAL_YoO']/DATA&quot; colcount=&quot;11&quot; rowcount=&quot;14&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MFF_5_RAL_YoO&quot; infos=&quot;&quot; iscomment=&quot;0&quot;&gt;&lt;SELECT&gt;/BBOOK/DATAPROVIDER[./META/PROPS/ID='BIP_MFF_5_RAL_YoO']/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10.2&lt;/DATE&gt;&lt;DYNAMIZEDBY&gt;bedread&lt;/DYNAMIZEDBY&gt;&lt;DYNAMIZEDON&gt;10/03/2021 17:17:19&lt;/DYNAMIZEDON&gt;&lt;LASTUPDATEDBY&gt;Ruberla&lt;/LASTUPDATEDBY&gt;&lt;LASTUPDATEDON&gt;3/30/2021 7:11:41 AM&lt;/LASTUPDATEDON&gt;&lt;UTC&gt;1&lt;/UTC&gt;&lt;/UPDATE&gt;&lt;QUERIES bbk=&quot;19857&quot; bbkdesc=&quot;2020 Annual Accounts/EU Annual Accounts/DC - EU expenditures&quot; datapro=&quot;BIP_RAL_by_Type_by_Heading&quot; tdatapro=&quot;BIP_RAL_by_Type_by_Heading&quot; author=&quot;&quot; modtime=&quot;3/30/2021 7:08:34 AM&quot; moduser=&quot;Ruberla&quot; rolluptime=&quot;&quot; syuser=&quot;Ruberla&quot; syuzeit=&quot;3/30/2021 7:08:34 AM&quot; root=&quot;/BBOOK/DATAPROVIDER[./META/PROPS/ID='BIP_RAL_by_Type_by_Heading']/DATA&quot; colcount=&quot;13&quot; rowcount=&quot;16&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RAL_by_Type_by_Heading&quot; infos=&quot;&quot; iscomment=&quot;0&quot;&gt;&lt;SELECT&gt;/BBOOK/DATAPROVIDER[./META/PROPS/ID='BIP_RAL_by_Type_by_Heading']/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3:14&lt;/DYNAMIZEDON&gt;&lt;LASTUPDATEDBY&gt;Ruberla&lt;/LASTUPDATEDBY&gt;&lt;LASTUPDATEDON&gt;3/30/2021 7:11:41 AM&lt;/LASTUPDATEDON&gt;&lt;UTC&gt;1&lt;/UTC&gt;&lt;/UPDATE&gt;&lt;QUERIES bbk=&quot;19857&quot; bbkdesc=&quot;2020 Annual Accounts/EU Annual Accounts/DC - EU expenditures&quot; datapro=&quot;BIP_DetailedMFF_1_Breakdown&quot; tdatapro=&quot;BIP_DetailedMFF_1_Breakdown&quot; author=&quot;&quot; modtime=&quot;3/30/2021 7:08:34 AM&quot; moduser=&quot;Ruberla&quot; rolluptime=&quot;&quot; syuser=&quot;Ruberla&quot; syuzeit=&quot;3/30/2021 7:08:34 AM&quot; root=&quot;/BBOOK/DATAPROVIDER[./META/PROPS/ID='BIP_DetailedMFF_1_Breakdown']/DATA&quot; colcount=&quot;14&quot; rowcount=&quot;102&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DetailedMFF_1_Breakdown&quot; infos=&quot;&quot; iscomment=&quot;0&quot;&gt;&lt;SELECT&gt;/BBOOK/DATAPROVIDER[./META/PROPS/ID='BIP_DetailedMFF_1_Breakdown']/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08:12&lt;/DYNAMIZEDON&gt;&lt;LASTUPDATEDBY&gt;Ruberla&lt;/LASTUPDATEDBY&gt;&lt;LASTUPDATEDON&gt;3/30/2021 7:11:40 AM&lt;/LASTUPDATEDON&gt;&lt;UTC&gt;1&lt;/UTC&gt;&lt;/UPDATE&gt;&lt;QUERIES bbk=&quot;19857&quot; bbkdesc=&quot;2020 Annual Accounts/EU Annual Accounts/DC - EU expenditures&quot; datapro=&quot;BIP_DetailedMFF_2_Implement_Commitments&quot; tdatapro=&quot;BIP_DetailedMFF_2_Implement_Commitments&quot; author=&quot;&quot; modtime=&quot;3/30/2021 7:08:34 AM&quot; moduser=&quot;Ruberla&quot; rolluptime=&quot;&quot; syuser=&quot;Ruberla&quot; syuzeit=&quot;3/30/2021 7:08:34 AM&quot; root=&quot;/BBOOK/DATAPROVIDER[./META/PROPS/ID='BIP_DetailedMFF_2_Implement_Commitments']/DATA&quot; colcount=&quot;15&quot; rowcount=&quot;101&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DetailedMFF_2_Implement_Commitments&quot; infos=&quot;&quot; iscomment=&quot;0&quot;&gt;&lt;SELECT&gt;/BBOOK/DATAPROVIDER[./META/PROPS/ID='BIP_DetailedMFF_2_Implement_Commitments']/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5:28&lt;/DYNAMIZEDON&gt;&lt;LASTUPDATEDBY&gt;Ruberla&lt;/LASTUPDATEDBY&gt;&lt;LASTUPDATEDON&gt;3/30/2021 7:11:42 AM&lt;/LASTUPDATEDON&gt;&lt;UTC&gt;1&lt;/UTC&gt;&lt;/UPDATE&gt;&lt;QUERIES bbk=&quot;19857&quot; bbkdesc=&quot;2020 Annual Accounts/EU Annual Accounts/DC - EU expenditures&quot; datapro=&quot;BIP_DetailedMFF_3_Implement_Payments&quot; tdatapro=&quot;BIP_DetailedMFF_3_Implement_Payments&quot; author=&quot;&quot; modtime=&quot;3/30/2021 7:08:34 AM&quot; moduser=&quot;Ruberla&quot; rolluptime=&quot;&quot; syuser=&quot;Ruberla&quot; syuzeit=&quot;3/30/2021 7:08:34 AM&quot; root=&quot;/BBOOK/DATAPROVIDER[./META/PROPS/ID='BIP_DetailedMFF_3_Implement_Payments']/DATA&quot; colcount=&quot;16&quot; rowcount=&quot;101&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DetailedMFF_3_Implement_Payments&quot; infos=&quot;&quot; iscomment=&quot;0&quot;&gt;&lt;SELECT&gt;/BBOOK/DATAPROVIDER[./META/PROPS/ID='BIP_DetailedMFF_3_Implement_Payments']/DATA/ROW&lt;/SELECT&gt;&lt;FILTERS&gt;&lt;FILTER&gt;&lt;/FILTER&gt;&lt;/FILTERS&gt;&lt;/QUERY&gt;&lt;/QUERIES&gt;&lt;/OBJECT&gt;"/>
    <w:docVar w:name="BIP_META_DOC_TBL00116" w:val="&lt;OBJECT&gt;&lt;META&gt;&lt;ID&gt;&lt;/ID&gt;&lt;NAME&gt;DOC_TBL001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21:02&lt;/DYNAMIZEDON&gt;&lt;LASTUPDATEDBY&gt;Ruberla&lt;/LASTUPDATEDBY&gt;&lt;LASTUPDATEDON&gt;3/30/2021 7:11:42 AM&lt;/LASTUPDATEDON&gt;&lt;UTC&gt;1&lt;/UTC&gt;&lt;/UPDATE&gt;&lt;QUERIES bbk=&quot;19857&quot; bbkdesc=&quot;2020 Annual Accounts/EU Annual Accounts/DC - EU expenditures&quot; datapro=&quot;BIP_DetailedMFF_4_Commitments_oustanding&quot; tdatapro=&quot;BIP_DetailedMFF_4_Commitments_oustanding&quot; author=&quot;&quot; modtime=&quot;3/30/2021 7:08:34 AM&quot; moduser=&quot;Ruberla&quot; rolluptime=&quot;&quot; syuser=&quot;Ruberla&quot; syuzeit=&quot;3/30/2021 7:08:34 AM&quot; root=&quot;/BBOOK/DATAPROVIDER[./META/PROPS/ID='BIP_DetailedMFF_4_Commitments_oustanding']/DATA&quot; colcount=&quot;11&quot; rowcount=&quot;101&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DetailedMFF_4_Commitments_oustanding&quot; infos=&quot;&quot; iscomment=&quot;0&quot;&gt;&lt;SELECT&gt;/BBOOK/DATAPROVIDER[./META/PROPS/ID='BIP_DetailedMFF_4_Commitments_oustanding']/DATA/ROW&lt;/SELECT&gt;&lt;FILTERS&gt;&lt;FILTER&gt;&lt;/FILTER&gt;&lt;/FILTERS&gt;&lt;/QUERY&gt;&lt;/QUERIES&gt;&lt;/OBJECT&gt;"/>
    <w:docVar w:name="BIP_META_DOC_TBL00117" w:val="&lt;OBJECT&gt;&lt;META&gt;&lt;ID&gt;&lt;/ID&gt;&lt;NAME&gt;DOC_TBL001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34:15&lt;/DYNAMIZEDON&gt;&lt;LASTUPDATEDBY&gt;Ruberla&lt;/LASTUPDATEDBY&gt;&lt;LASTUPDATEDON&gt;3/30/2021 7:11:43 AM&lt;/LASTUPDATEDON&gt;&lt;UTC&gt;1&lt;/UTC&gt;&lt;/UPDATE&gt;&lt;QUERIES bbk=&quot;19857&quot; bbkdesc=&quot;2020 Annual Accounts/EU Annual Accounts/DC - EU expenditures&quot; datapro=&quot;BIP_DetailedMFF_5_RAL_YoO&quot; tdatapro=&quot;BIP_DetailedMFF_5_RAL_YoO&quot; author=&quot;&quot; modtime=&quot;3/30/2021 7:08:34 AM&quot; moduser=&quot;Ruberla&quot; rolluptime=&quot;&quot; syuser=&quot;Ruberla&quot; syuzeit=&quot;3/30/2021 7:08:34 AM&quot; root=&quot;/BBOOK/DATAPROVIDER[./META/PROPS/ID='BIP_DetailedMFF_5_RAL_YoO']/DATA&quot; colcount=&quot;11&quot; rowcount=&quot;99&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DetailedMFF_5_RAL_YoO&quot; infos=&quot;&quot; iscomment=&quot;0&quot;&gt;&lt;SELECT&gt;/BBOOK/DATAPROVIDER[./META/PROPS/ID='BIP_DetailedMFF_5_RAL_YoO']/DATA/ROW&lt;/SELECT&gt;&lt;FILTERS&gt;&lt;FILTER&gt;&lt;/FILTER&gt;&lt;/FILTERS&gt;&lt;/QUERY&gt;&lt;/QUERIES&gt;&lt;/OBJECT&gt;"/>
    <w:docVar w:name="BIP_META_DOC_TBL00118" w:val="&lt;OBJECT&gt;&lt;META&gt;&lt;ID&gt;&lt;/ID&gt;&lt;NAME&gt;DOC_TBL001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6153&lt;/FLCID&gt;&lt;RELATION&gt;&lt;/RELATION&gt;&lt;LINKED&gt;&lt;/LINKED&gt;&lt;SVALUE&gt;&lt;/SVALUE&gt;&lt;INFO&gt;&lt;/INFO&gt;&lt;/META&gt;&lt;UPDATE&gt;&lt;DATE&gt;10.1.10.2&lt;/DATE&gt;&lt;DYNAMIZEDBY&gt;bedread&lt;/DYNAMIZEDBY&gt;&lt;DYNAMIZEDON&gt;10/03/2021 17:24:52&lt;/DYNAMIZEDON&gt;&lt;LASTUPDATEDBY&gt;Ruberla&lt;/LASTUPDATEDBY&gt;&lt;LASTUPDATEDON&gt;3/30/2021 7:11:41 AM&lt;/LASTUPDATEDON&gt;&lt;UTC&gt;1&lt;/UTC&gt;&lt;/UPDATE&gt;&lt;QUERIES bbk=&quot;19857&quot; bbkdesc=&quot;2020 Annual Accounts/EU Annual Accounts/DC - EU expenditures&quot; datapro=&quot;BIP_RAL_by_Type_by_Programme&quot; tdatapro=&quot;BIP_RAL_by_Type_by_Programme&quot; author=&quot;&quot; modtime=&quot;3/30/2021 7:08:34 AM&quot; moduser=&quot;Ruberla&quot; rolluptime=&quot;&quot; syuser=&quot;Ruberla&quot; syuzeit=&quot;3/30/2021 7:08:34 AM&quot; root=&quot;/BBOOK/DATAPROVIDER[./META/PROPS/ID='BIP_RAL_by_Type_by_Programme']/DATA&quot; colcount=&quot;13&quot; rowcount=&quot;92&quot; url=&quot;&quot; dynamizeds=&quot;SAP Disclosure Management - Production&quot; dynamizedstype=&quot;9&quot; refreshds=&quot;&quot; viewtype=&quot;1&quot;&gt;&lt;QUERY reftype=&quot;ABS&quot; elmntsel=&quot;TABLE&quot; bbk=&quot;19857&quot; bbkdesc=&quot;2020 Annual Accounts/EU Annual Accounts/DC - EU expenditures&quot; datapro=&quot;BIP_RAL_by_Type_by_Programme&quot; infos=&quot;&quot; iscomment=&quot;0&quot;&gt;&lt;SELECT&gt;/BBOOK/DATAPROVIDER[./META/PROPS/ID='BIP_RAL_by_Type_by_Programme']/DATA/ROW&lt;/SELECT&gt;&lt;FILTERS&gt;&lt;FILTER&gt;&lt;/FILTER&gt;&lt;/FILTERS&gt;&lt;/QUERY&gt;&lt;/QUERIES&gt;&lt;/OBJECT&gt;"/>
    <w:docVar w:name="BIP_META_DOC_TBL00119" w:val="&lt;OBJECT&gt;&lt;META&gt;&lt;ID&gt;&lt;/ID&gt;&lt;NAME&gt;DOC_TBL001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8:37&lt;/DYNAMIZEDON&gt;&lt;LASTUPDATEDBY&gt;Ruberla&lt;/LASTUPDATEDBY&gt;&lt;LASTUPDATEDON&gt;3/30/2021 7:11:46 AM&lt;/LASTUPDATEDON&gt;&lt;UTC&gt;1&lt;/UTC&gt;&lt;/UPDATE&gt;&lt;QUERIES bbk=&quot;19895&quot; bbkdesc=&quot;2020 Annual Accounts/EU Annual Accounts/DC - Institutions and agencies&quot; datapro=&quot;BIP_Institutions_1_Revenue&quot; tdatapro=&quot;BIP_Institutions_1_Revenue&quot; author=&quot;&quot; modtime=&quot;3/30/2021 7:08:43 AM&quot; moduser=&quot;Ruberla&quot; rolluptime=&quot;&quot; syuser=&quot;Ruberla&quot; syuzeit=&quot;3/30/2021 7:08:43 AM&quot; root=&quot;/BBOOK/DATAPROVIDER[./META/PROPS/ID='BIP_Institutions_1_Revenue']/DATA&quot; colcount=&quot;11&quot; rowcount=&quot;15&quot; url=&quot;&quot; dynamizeds=&quot;SAP Disclosure Management - Production&quot; dynamizedstype=&quot;9&quot; refreshds=&quot;&quot; viewtype=&quot;1&quot;&gt;&lt;QUERY reftype=&quot;ABS&quot; elmntsel=&quot;TABLE&quot; bbk=&quot;19895&quot; bbkdesc=&quot;2020 Annual Accounts/EU Annual Accounts/DC - Institutions and agencies&quot; datapro=&quot;BIP_Institutions_1_Revenue&quot; infos=&quot;&quot; iscomment=&quot;0&quot;&gt;&lt;SELECT&gt;/BBOOK/DATAPROVIDER[./META/PROPS/ID='BIP_Institutions_1_Revenue']/DATA/ROW&lt;/SELECT&gt;&lt;FILTERS&gt;&lt;FILTER&gt;&lt;/FILTER&gt;&lt;/FILTERS&gt;&lt;/QUERY&gt;&lt;/QUERIES&gt;&lt;/OBJECT&gt;"/>
    <w:docVar w:name="BIP_META_DOC_TBL00120" w:val="&lt;OBJECT&gt;&lt;META&gt;&lt;ID&gt;&lt;/ID&gt;&lt;NAME&gt;DOC_TBL001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9:24&lt;/DYNAMIZEDON&gt;&lt;LASTUPDATEDBY&gt;Ruberla&lt;/LASTUPDATEDBY&gt;&lt;LASTUPDATEDON&gt;3/30/2021 7:11:46 AM&lt;/LASTUPDATEDON&gt;&lt;UTC&gt;1&lt;/UTC&gt;&lt;/UPDATE&gt;&lt;QUERIES bbk=&quot;19895&quot; bbkdesc=&quot;2020 Annual Accounts/EU Annual Accounts/DC - Institutions and agencies&quot; datapro=&quot;BIP_Institutions_2_Commitments&quot; tdatapro=&quot;BIP_Institutions_2_Commitments&quot; author=&quot;&quot; modtime=&quot;3/30/2021 7:08:43 AM&quot; moduser=&quot;Ruberla&quot; rolluptime=&quot;&quot; syuser=&quot;Ruberla&quot; syuzeit=&quot;3/30/2021 7:08:43 AM&quot; root=&quot;/BBOOK/DATAPROVIDER[./META/PROPS/ID='BIP_Institutions_2_Commitments']/DATA&quot; colcount=&quot;14&quot; rowcount=&quot;15&quot; url=&quot;&quot; dynamizeds=&quot;SAP Disclosure Management - Production&quot; dynamizedstype=&quot;9&quot; refreshds=&quot;&quot; viewtype=&quot;1&quot;&gt;&lt;QUERY reftype=&quot;ABS&quot; elmntsel=&quot;TABLE&quot; bbk=&quot;19895&quot; bbkdesc=&quot;2020 Annual Accounts/EU Annual Accounts/DC - Institutions and agencies&quot; datapro=&quot;BIP_Institutions_2_Commitments&quot; infos=&quot;&quot; iscomment=&quot;0&quot;&gt;&lt;SELECT&gt;/BBOOK/DATAPROVIDER[./META/PROPS/ID='BIP_Institutions_2_Commitments']/DATA/ROW&lt;/SELECT&gt;&lt;FILTERS&gt;&lt;FILTER&gt;&lt;/FILTER&gt;&lt;/FILTERS&gt;&lt;/QUERY&gt;&lt;/QUERIES&gt;&lt;/OBJECT&gt;"/>
    <w:docVar w:name="BIP_META_DOC_TBL00121" w:val="&lt;OBJECT&gt;&lt;META&gt;&lt;ID&gt;&lt;/ID&gt;&lt;NAME&gt;DOC_TBL001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0:09&lt;/DYNAMIZEDON&gt;&lt;LASTUPDATEDBY&gt;Ruberla&lt;/LASTUPDATEDBY&gt;&lt;LASTUPDATEDON&gt;3/30/2021 7:11:46 AM&lt;/LASTUPDATEDON&gt;&lt;UTC&gt;1&lt;/UTC&gt;&lt;/UPDATE&gt;&lt;QUERIES bbk=&quot;19895&quot; bbkdesc=&quot;2020 Annual Accounts/EU Annual Accounts/DC - Institutions and agencies&quot; datapro=&quot;BIP_Institutions_3_Payments&quot; tdatapro=&quot;BIP_Institutions_3_Payments&quot; author=&quot;&quot; modtime=&quot;3/30/2021 7:08:43 AM&quot; moduser=&quot;Ruberla&quot; rolluptime=&quot;&quot; syuser=&quot;Ruberla&quot; syuzeit=&quot;3/30/2021 7:08:43 AM&quot; root=&quot;/BBOOK/DATAPROVIDER[./META/PROPS/ID='BIP_Institutions_3_Payments']/DATA&quot; colcount=&quot;15&quot; rowcount=&quot;15&quot; url=&quot;&quot; dynamizeds=&quot;SAP Disclosure Management - Production&quot; dynamizedstype=&quot;9&quot; refreshds=&quot;&quot; viewtype=&quot;1&quot;&gt;&lt;QUERY reftype=&quot;ABS&quot; elmntsel=&quot;TABLE&quot; bbk=&quot;19895&quot; bbkdesc=&quot;2020 Annual Accounts/EU Annual Accounts/DC - Institutions and agencies&quot; datapro=&quot;BIP_Institutions_3_Payments&quot; infos=&quot;&quot; iscomment=&quot;0&quot;&gt;&lt;SELECT&gt;/BBOOK/DATAPROVIDER[./META/PROPS/ID='BIP_Institutions_3_Payments']/DATA/ROW&lt;/SELECT&gt;&lt;FILTERS&gt;&lt;FILTER&gt;&lt;/FILTER&gt;&lt;/FILTERS&gt;&lt;/QUERY&gt;&lt;/QUERIES&gt;&lt;/OBJECT&gt;"/>
    <w:docVar w:name="BIP_META_DOC_TBL00122" w:val="&lt;OBJECT&gt;&lt;META&gt;&lt;ID&gt;&lt;/ID&gt;&lt;NAME&gt;DOC_TBL001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6.35&lt;/DATE&gt;&lt;DYNAMIZEDBY&gt;bedread&lt;/DYNAMIZEDBY&gt;&lt;DYNAMIZEDON&gt;14/03/2019 15:05:30&lt;/DYNAMIZEDON&gt;&lt;LASTUPDATEDBY&gt;Ruberla&lt;/LASTUPDATEDBY&gt;&lt;LASTUPDATEDON&gt;3/30/2021 7:11:45 AM&lt;/LASTUPDATEDON&gt;&lt;UTC&gt;1&lt;/UTC&gt;&lt;/UPDATE&gt;&lt;QUERIES bbk=&quot;19895&quot; bbkdesc=&quot;2020 Annual Accounts/EU Annual Accounts/DC - Institutions and agencies&quot; datapro=&quot;BIP_Agencies_2_Type_of_Revenue&quot; tdatapro=&quot;BIP_Agencies_2_Type_of_Revenue&quot; author=&quot;&quot; modtime=&quot;3/30/2021 7:08:43 AM&quot; moduser=&quot;Ruberla&quot; rolluptime=&quot;&quot; syuser=&quot;Ruberla&quot; syuzeit=&quot;3/30/2021 7:08:43 AM&quot; root=&quot;/BBOOK/DATAPROVIDER[./META/PROPS/ID='BIP_Agencies_2_Type_of_Revenue']/DATA&quot; colcount=&quot;3&quot; rowcount=&quot;6&quot; url=&quot;&quot; dynamizeds=&quot;SAP Disclosure Management - Production&quot; dynamizedstype=&quot;9&quot; refreshds=&quot;&quot; viewtype=&quot;1&quot;&gt;&lt;QUERY reftype=&quot;ABS&quot; elmntsel=&quot;TABLE&quot; bbk=&quot;19895&quot; bbkdesc=&quot;2020 Annual Accounts/EU Annual Accounts/DC - Institutions and agencies&quot; datapro=&quot;BIP_Agencies_2_Type_of_Revenue&quot; infos=&quot;&quot; iscomment=&quot;0&quot;&gt;&lt;SELECT&gt;/BBOOK/DATAPROVIDER[./META/PROPS/ID='BIP_Agencies_2_Type_of_Revenue']/DATA/ROW&lt;/SELECT&gt;&lt;FILTERS&gt;&lt;FILTER&gt;&lt;/FILTER&gt;&lt;/FILTERS&gt;&lt;/QUERY&gt;&lt;/QUERIES&gt;&lt;/OBJECT&gt;"/>
    <w:docVar w:name="BIP_META_DOC_TBL00123" w:val="&lt;OBJECT&gt;&lt;META&gt;&lt;ID&gt;&lt;/ID&gt;&lt;NAME&gt;DOC_TBL001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6.35&lt;/DATE&gt;&lt;DYNAMIZEDBY&gt;bedread&lt;/DYNAMIZEDBY&gt;&lt;DYNAMIZEDON&gt;14/03/2019 15:06:11&lt;/DYNAMIZEDON&gt;&lt;LASTUPDATEDBY&gt;Ruberla&lt;/LASTUPDATEDBY&gt;&lt;LASTUPDATEDON&gt;3/30/2021 7:11:45 AM&lt;/LASTUPDATEDON&gt;&lt;UTC&gt;1&lt;/UTC&gt;&lt;/UPDATE&gt;&lt;QUERIES bbk=&quot;19895&quot; bbkdesc=&quot;2020 Annual Accounts/EU Annual Accounts/DC - Institutions and agencies&quot; datapro=&quot;BIP_Agencies_3_Commitments_Payments&quot; tdatapro=&quot;BIP_Agencies_3_Commitments_Payments&quot; author=&quot;&quot; modtime=&quot;3/30/2021 7:08:43 AM&quot; moduser=&quot;Ruberla&quot; rolluptime=&quot;&quot; syuser=&quot;Ruberla&quot; syuzeit=&quot;3/30/2021 7:08:43 AM&quot; root=&quot;/BBOOK/DATAPROVIDER[./META/PROPS/ID='BIP_Agencies_3_Commitments_Payments']/DATA&quot; colcount=&quot;5&quot; rowcount=&quot;44&quot; url=&quot;&quot; dynamizeds=&quot;SAP Disclosure Management - Production&quot; dynamizedstype=&quot;9&quot; refreshds=&quot;&quot; viewtype=&quot;1&quot;&gt;&lt;QUERY reftype=&quot;ABS&quot; elmntsel=&quot;TABLE&quot; bbk=&quot;19895&quot; bbkdesc=&quot;2020 Annual Accounts/EU Annual Accounts/DC - Institutions and agencies&quot; datapro=&quot;BIP_Agencies_3_Commitments_Payments&quot; infos=&quot;&quot; iscomment=&quot;0&quot;&gt;&lt;SELECT&gt;/BBOOK/DATAPROVIDER[./META/PROPS/ID='BIP_Agencies_3_Commitments_Payments']/DATA/ROW&lt;/SELECT&gt;&lt;FILTERS&gt;&lt;FILTER&gt;&lt;/FILTER&gt;&lt;/FILTERS&gt;&lt;/QUERY&gt;&lt;/QUERIES&gt;&lt;/OBJECT&gt;"/>
    <w:docVar w:name="BIP_META_DOC_TBL00124" w:val="&lt;OBJECT&gt;&lt;META&gt;&lt;ID&gt;&lt;/ID&gt;&lt;NAME&gt;DOC_TBL001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6.35&lt;/DATE&gt;&lt;DYNAMIZEDBY&gt;bedread&lt;/DYNAMIZEDBY&gt;&lt;DYNAMIZEDON&gt;14/03/2019 15:07:48&lt;/DYNAMIZEDON&gt;&lt;LASTUPDATEDBY&gt;Ruberla&lt;/LASTUPDATEDBY&gt;&lt;LASTUPDATEDON&gt;3/30/2021 7:11:45 AM&lt;/LASTUPDATEDON&gt;&lt;UTC&gt;1&lt;/UTC&gt;&lt;/UPDATE&gt;&lt;QUERIES bbk=&quot;19895&quot; bbkdesc=&quot;2020 Annual Accounts/EU Annual Accounts/DC - Institutions and agencies&quot; datapro=&quot;BIP_Agencies_4_Type_of_Expenditure&quot; tdatapro=&quot;BIP_Agencies_4_Type_of_Expenditure&quot; author=&quot;&quot; modtime=&quot;3/30/2021 7:08:43 AM&quot; moduser=&quot;Ruberla&quot; rolluptime=&quot;&quot; syuser=&quot;Ruberla&quot; syuzeit=&quot;3/30/2021 7:08:43 AM&quot; root=&quot;/BBOOK/DATAPROVIDER[./META/PROPS/ID='BIP_Agencies_4_Type_of_Expenditure']/DATA&quot; colcount=&quot;5&quot; rowcount=&quot;7&quot; url=&quot;&quot; dynamizeds=&quot;SAP Disclosure Management - Production&quot; dynamizedstype=&quot;9&quot; refreshds=&quot;&quot; viewtype=&quot;1&quot;&gt;&lt;QUERY reftype=&quot;ABS&quot; elmntsel=&quot;TABLE&quot; bbk=&quot;19895&quot; bbkdesc=&quot;2020 Annual Accounts/EU Annual Accounts/DC - Institutions and agencies&quot; datapro=&quot;BIP_Agencies_4_Type_of_Expenditure&quot; infos=&quot;&quot; iscomment=&quot;0&quot;&gt;&lt;SELECT&gt;/BBOOK/DATAPROVIDER[./META/PROPS/ID='BIP_Agencies_4_Type_of_Expenditure']/DATA/ROW&lt;/SELECT&gt;&lt;FILTERS&gt;&lt;FILTER&gt;&lt;/FILTER&gt;&lt;/FILTERS&gt;&lt;/QUERY&gt;&lt;/QUERIES&gt;&lt;/OBJECT&gt;"/>
    <w:docVar w:name="BIP_NAME_DOC_ASH00008" w:val="DOC_ASH00008"/>
    <w:docVar w:name="BIP_NAME_DOC_ASH00009" w:val="DOC_ASH00009"/>
    <w:docVar w:name="BIP_NAME_DOC_ASH00010" w:val="DOC_ASH00010"/>
    <w:docVar w:name="BIP_NAME_DOC_ASH00011" w:val="DOC_ASH00011"/>
    <w:docVar w:name="BIP_NAME_DOC_ASH00012" w:val="DOC_ASH00012"/>
    <w:docVar w:name="BIP_NAME_DOC_ASH00013" w:val="DOC_ASH00013"/>
    <w:docVar w:name="BIP_NAME_DOC_ASH00014" w:val="DOC_ASH00014"/>
    <w:docVar w:name="BIP_NAME_DOC_TBL00032" w:val="DOC_TBL00032"/>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19858&quot; bbdesc=&quot;2020 Annual Accounts/EU Annual Accounts/DC - Balance Sheet&quot; dsname=&quot;SAP Disclosure Management - Production&quot;&gt;&lt;VARIABLES /&gt;&lt;/BBOOK&gt;&lt;BBOOK bbname=&quot;19872&quot; bbdesc=&quot;2020 Annual Accounts/EU Annual Accounts/DC - Statement of Financial Performance&quot; dsname=&quot;SAP Disclosure Management - Production&quot;&gt;&lt;VARIABLES /&gt;&lt;/BBOOK&gt;&lt;BBOOK bbname=&quot;19873&quot; bbdesc=&quot;2020 Annual Accounts/EU Annual Accounts/DC - Cashflow statement&quot; dsname=&quot;SAP Disclosure Management - Production&quot;&gt;&lt;VARIABLES /&gt;&lt;/BBOOK&gt;&lt;BBOOK bbname=&quot;19888&quot; bbdesc=&quot;2020 Annual Accounts/EU Annual Accounts/DC - Accrued charges and Deferred income&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19849&quot; bbdesc=&quot;2020 Annual Accounts/EU Annual Accounts/DC - Statement of changes in net assets EU&quot; dsname=&quot;SAP Disclosure Management - Production&quot;&gt;&lt;VARIABLES /&gt;&lt;/BBOOK&gt;&lt;BBOOK bbname=&quot;15166&quot; bbdesc=&quot;2018 Annual Accounts/MADAD Annual Accounts/DC - Statement of changes in net assets&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17249&quot; bbdesc=&quot;2019 Annual Accounts/EU Annual Accounts/DC - Accrued charges and Deferred income&quot; dsname=&quot;SAP Disclosure Management - Production&quot;&gt;&lt;VARIABLES /&gt;&lt;/BBOOK&gt;&lt;BBOOK bbname=&quot;19837&quot; bbdesc=&quot;2020 Annual Accounts/EU Annual Accounts/DC - Currency table and Deprec. Rates&quot; dsname=&quot;SAP Disclosure Management - Production&quot;&gt;&lt;VARIABLES /&gt;&lt;/BBOOK&gt;&lt;BBOOK bbname=&quot;17678&quot; bbdesc=&quot;2019 Annual Accounts/Master Report/DC - Financial Statements&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17200&quot; bbdesc=&quot;2019 Annual Accounts/EU Annual Accounts/DC - Intangible fixed assets&quot; dsname=&quot;SAP Disclosure Management - Production&quot;&gt;&lt;VARIABLES /&gt;&lt;/BBOOK&gt;&lt;BBOOK bbname=&quot;19850&quot; bbdesc=&quot;2020 Annual Accounts/EU Annual Accounts/DC - Intangible assets and PPE&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11417&quot; bbdesc=&quot;2017 Annual Accounts/EU Annual Accounts/DC - Investments accounted for using the equity method&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19561&quot; bbdesc=&quot;2020 Annual Accounts/EC Annual Accounts/DC - Investments accounted for using the equity method new&quot; dsname=&quot;SAP Disclosure Management - Production&quot;&gt;&lt;VARIABLES /&gt;&lt;/BBOOK&gt;&lt;BBOOK bbname=&quot;11039&quot; bbdesc=&quot;2017 Annual Accounts/EC Annual Accounts/DC - Accrued charges and Deferred income&quot; dsname=&quot;Disclosure Management - Production&quot;&gt;&lt;VARIABLES /&gt;&lt;/BBOOK&gt;&lt;BBOOK bbname=&quot;10954&quot; bbdesc=&quot;2017 Annual Accounts/EC Annual Accounts/DC - Exposure of the EC to currency risk at year end&quot; dsname=&quot;Disclosure Management - Production&quot;&gt;&lt;VARIABLES /&gt;&lt;/BBOOK&gt;&lt;BBOOK bbname=&quot;2678&quot; bbdesc=&quot;2014 Annual Accounts/EU Annual Accounts/DC - Financial assets (xlsx)&quot; dsname=&quot;SAP Disclosure Management - Production&quot;&gt;&lt;VARIABLES /&gt;&lt;/BBOOK&gt;&lt;BBOOK bbname=&quot;19879&quot; bbdesc=&quot;2020 Annual Accounts/EU Annual Accounts/DC - Financial assets&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17215&quot; bbdesc=&quot;2018 Annual Accounts/EU Annual Accounts/DC - Fair value hierarchy of available for sale financial assets&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17153&quot; bbdesc=&quot;2018 Annual Accounts/EU Annual Accounts/DC - Loans granted from borrowed funds LINKED TO EC&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17207&quot; bbdesc=&quot;2018 Annual Accounts/EU Annual Accounts/DC - Financial Support Mechanisms&quot; dsname=&quot;SAP Disclosure Management - Production&quot;&gt;&lt;VARIABLES /&gt;&lt;/BBOOK&gt;&lt;BBOOK bbname=&quot;19538&quot; bbdesc=&quot;2020 Annual Accounts/EC Annual Accounts/DC - Financial assets&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5214&quot; bbdesc=&quot;2015 Annual Accounts/EU Annual Accounts 2015/DC - Financial liabilities (xlsx)&quot; dsname=&quot;SAP Disclosure Management - Production&quot;&gt;&lt;VARIABLES /&gt;&lt;/BBOOK&gt;&lt;BBOOK bbname=&quot;14029&quot; bbdesc=&quot;2018 Annual Accounts/EC Annual Accounts/DC - Accrued charges and Deferred income&quot; dsname=&quot;SAP Disclosure Management - Production&quot;&gt;&lt;VARIABLES /&gt;&lt;/BBOOK&gt;&lt;BBOOK bbname=&quot;14856&quot; bbdesc=&quot;2018 Annual Accounts/EU Annual Accounts/DC - Accrued charges and Deferred income&quot; dsname=&quot;SAP Disclosure Management - Production&quot;&gt;&lt;VARIABLES /&gt;&lt;/BBOOK&gt;&lt;BBOOK bbname=&quot;19880&quot; bbdesc=&quot;2020 Annual Accounts/EU Annual Accounts/DC - Pre-financing&quot; dsname=&quot;SAP Disclosure Management - Production&quot;&gt;&lt;VARIABLES /&gt;&lt;/BBOOK&gt;&lt;BBOOK bbname=&quot;17216&quot; bbdesc=&quot;2019 Annual Accounts/EU Annual Accounts/DC - Pre-financing detailed&quot; dsname=&quot;SAP Disclosure Management - Production&quot;&gt;&lt;VARIABLES /&gt;&lt;/BBOOK&gt;&lt;BBOOK bbname=&quot;2536&quot; bbdesc=&quot;2014 Annual Accounts/EC Annual Accounts/DC - Pre-financing (xlsx)&quot; dsname=&quot;SAP Disclosure Management - Production&quot;&gt;&lt;VARIABLES /&gt;&lt;/BBOOK&gt;&lt;BBOOK bbname=&quot;19540&quot; bbdesc=&quot;2020 Annual Accounts/EC Annual Accounts/DC - Pre-financing&quot; dsname=&quot;SAP Disclosure Management - Production&quot;&gt;&lt;VARIABLES /&gt;&lt;/BBOOK&gt;&lt;BBOOK bbname=&quot;19860&quot; bbdesc=&quot;2020 Annual Accounts/EU Annual Accounts/DC - Exchange receivables and Non-exchange recoverables&quot; dsname=&quot;SAP Disclosure Management - Production&quot;&gt;&lt;VARIABLES /&gt;&lt;/BBOOK&gt;&lt;BBOOK bbname=&quot;19861&quot; bbdesc=&quot;2020 Annual Accounts/EU Annual Accounts/DC - Recoverables from Member States&quot; dsname=&quot;SAP Disclosure Management - Production&quot;&gt;&lt;VARIABLES /&gt;&lt;/BBOOK&gt;&lt;BBOOK bbname=&quot;19862&quot; bbdesc=&quot;2020 Annual Accounts/EU Annual Accounts/DC - Accrued income and Deferred charges&quot; dsname=&quot;SAP Disclosure Management - Production&quot;&gt;&lt;VARIABLES /&gt;&lt;/BBOOK&gt;&lt;BBOOK bbname=&quot;11427&quot; bbdesc=&quot;2017 Annual Accounts/EU Annual Accounts/DC - Accrued charges and Deferred income&quot; dsname=&quot;SAP Disclosure Management - Production&quot;&gt;&lt;VARIABLES /&gt;&lt;/BBOOK&gt;&lt;BBOOK bbname=&quot;19881&quot; bbdesc=&quot;2019 Annual Accounts/EU Annual Accounts/DC - Inventories&quot; dsname=&quot;SAP Disclosure Management - Production&quot;&gt;&lt;VARIABLES /&gt;&lt;/BBOOK&gt;&lt;BBOOK bbname=&quot;19882&quot; bbdesc=&quot;2019 Annual Accounts/EU Annual Accounts/DC - Cash and cash equivalents&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19883&quot; bbdesc=&quot;2020 Annual Accounts/EU Annual Accounts/DC - Pension and other employee benefits&quot; dsname=&quot;SAP Disclosure Management - Production&quot;&gt;&lt;VARIABLES /&gt;&lt;/BBOOK&gt;&lt;BBOOK bbname=&quot;14848&quot; bbdesc=&quot;2018 Annual Accounts/EU Annual Accounts/DC - Pre-financing&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19884&quot; bbdesc=&quot;2020 Annual Accounts/EU Annual Accounts/DC - Provisions&quot; dsname=&quot;SAP Disclosure Management - Production&quot;&gt;&lt;VARIABLES /&gt;&lt;/BBOOK&gt;&lt;BBOOK bbname=&quot;19885&quot; bbdesc=&quot;2020 Annual Accounts/EU Annual Accounts/DC - Financial liabilities&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19886&quot; bbdesc=&quot;2020 Annual Accounts/EU Annual Accounts/DC - Other financial liabilities&quot; dsname=&quot;SAP Disclosure Management - Production&quot;&gt;&lt;VARIABLES /&gt;&lt;/BBOOK&gt;&lt;BBOOK bbname=&quot;19887&quot; bbdesc=&quot;2020 Annual Accounts/EU Annual Accounts/DC - Finance Lease liabilities&quot; dsname=&quot;SAP Disclosure Management - Production&quot;&gt;&lt;VARIABLES /&gt;&lt;/BBOOK&gt;&lt;BBOOK bbname=&quot;17187&quot; bbdesc=&quot;2018 Annual Accounts/EU Annual Accounts/DC - Borrowings by Financial instruments&quot; dsname=&quot;SAP Disclosure Management - Production&quot;&gt;&lt;VARIABLES /&gt;&lt;/BBOOK&gt;&lt;BBOOK bbname=&quot;2542&quot; bbdesc=&quot;2014 Annual Accounts/EC Annual Accounts/DC - Borrowings (xlsx)&quot; dsname=&quot;SAP Disclosure Management - Production&quot;&gt;&lt;VARIABLES /&gt;&lt;/BBOOK&gt;&lt;BBOOK bbname=&quot;19544&quot; bbdesc=&quot;2020 Annual Accounts/EC Annual Accounts/DC - Financial liabilities&quot; dsname=&quot;SAP Disclosure Management - Production&quot;&gt;&lt;VARIABLES /&gt;&lt;/BBOOK&gt;&lt;BBOOK bbname=&quot;14847&quot; bbdesc=&quot;2018 Annual Accounts/EU Annual Accounts/DC - Financial assets&quot; dsname=&quot;SAP Disclosure Management - Production&quot;&gt;&lt;VARIABLES /&gt;&lt;/BBOOK&gt;&lt;BBOOK bbname=&quot;14822&quot; bbdesc=&quot;2018 Annual Accounts/EU Annual Accounts/DC - Fair value hierarchy of available for sale financial assets&quot; dsname=&quot;SAP Disclosure Management - Production&quot;&gt;&lt;VARIABLES /&gt;&lt;/BBOOK&gt;&lt;BBOOK bbname=&quot;14020&quot; bbdesc=&quot;2018 Annual Accounts/EC Annual Accounts/DC - Financial assets&quot; dsname=&quot;SAP Disclosure Management - Production&quot;&gt;&lt;VARIABLES /&gt;&lt;/BBOOK&gt;&lt;BBOOK bbname=&quot;17240&quot; bbdesc=&quot;2019 Annual Accounts/EU Annual Accounts/DC - Financial assets&quot; dsname=&quot;SAP Disclosure Management - Production&quot;&gt;&lt;VARIABLES /&gt;&lt;/BBOOK&gt;&lt;BBOOK bbname=&quot;19863&quot; bbdesc=&quot;2020 Annual Accounts/EU Annual Accounts/DC - Payables&quot; dsname=&quot;SAP Disclosure Management - Production&quot;&gt;&lt;VARIABLES /&gt;&lt;/BBOOK&gt;&lt;BBOOK bbname=&quot;2458&quot; bbdesc=&quot;2014 Annual Accounts/EC Annual Accounts/DC - Payables (xlsx)&quot; dsname=&quot;SAP Disclosure Management - Production&quot;&gt;&lt;VARIABLES /&gt;&lt;/BBOOK&gt;&lt;BBOOK bbname=&quot;19889&quot; bbdesc=&quot;2020 Annual Accounts/EU Annual Accounts/DC - Net assets&quot; dsname=&quot;SAP Disclosure Management - Production&quot;&gt;&lt;VARIABLES /&gt;&lt;/BBOOK&gt;&lt;BBOOK bbname=&quot;17255&quot; bbdesc=&quot;2018 Annual Accounts/EU Annual Accounts/DC - Fair value movements of available for sale financial assets&quot; dsname=&quot;SAP Disclosure Management - Production&quot;&gt;&lt;VARIABLES /&gt;&lt;/BBOOK&gt;&lt;BBOOK bbname=&quot;19553&quot; bbdesc=&quot;2020 Annual Accounts/EC Annual Accounts/DC - Traditional own resources&quot; dsname=&quot;SAP Disclosure Management - Production&quot;&gt;&lt;VARIABLES /&gt;&lt;/BBOOK&gt;&lt;BBOOK bbname=&quot;19891&quot; bbdesc=&quot;2020 Annual Accounts/EU Annual Accounts/DC - Recovery of expenses&quot; dsname=&quot;SAP Disclosure Management - Production&quot;&gt;&lt;VARIABLES /&gt;&lt;/BBOOK&gt;&lt;BBOOK bbname=&quot;19864&quot; bbdesc=&quot;2020 Annual Accounts/EU Annual Accounts/DC - Other non-exchange revenue&quot; dsname=&quot;SAP Disclosure Management - Production&quot;&gt;&lt;VARIABLES /&gt;&lt;/BBOOK&gt;&lt;BBOOK bbname=&quot;19874&quot; bbdesc=&quot;2020 Annual Accounts/EU Annual Accounts/DC - Financial revenue&quot; dsname=&quot;SAP Disclosure Management - Production&quot;&gt;&lt;VARIABLES /&gt;&lt;/BBOOK&gt;&lt;BBOOK bbname=&quot;19892&quot; bbdesc=&quot;2020 Annual Accounts/EU Annual Accounts/DC - Other exchange revenue&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19487&quot; bbdesc=&quot;2019 Annual Accounts/EC Annual Accounts/DC - Shared Direct and Indirect Management&quot; dsname=&quot;SAP Disclosure Management - Production&quot;&gt;&lt;VARIABLES /&gt;&lt;/BBOOK&gt;&lt;BBOOK bbname=&quot;8708&quot; bbdesc=&quot;2016 Annual Accounts/EC Annual Accounts/DC - Accrued charges and Deferred income (xlsx)&quot; dsname=&quot;Disclosure Management - Production&quot;&gt;&lt;VARIABLES /&gt;&lt;/BBOOK&gt;&lt;BBOOK bbname=&quot;19865&quot; bbdesc=&quot;2019 Annual Accounts/EU Annual Accounts/DC - Direct and Indirect Management&quot; dsname=&quot;SAP Disclosure Management - Production&quot;&gt;&lt;VARIABLES /&gt;&lt;/BBOOK&gt;&lt;BBOOK bbname=&quot;19893&quot; bbdesc=&quot;2020 Annual Accounts/EU Annual Accounts/DC - Staff and Pension costs - Changes in employee benefits actuarial assumptions&quot; dsname=&quot;SAP Disclosure Management - Production&quot;&gt;&lt;VARIABLES /&gt;&lt;/BBOOK&gt;&lt;BBOOK bbname=&quot;19875&quot; bbdesc=&quot;2020 Annual Accounts/EU Annual Accounts/DC - Finance costs&quot; dsname=&quot;SAP Disclosure Management - Production&quot;&gt;&lt;VARIABLES /&gt;&lt;/BBOOK&gt;&lt;BBOOK bbname=&quot;19866&quot; bbdesc=&quot;2020 Annual Accounts/EU Annual Accounts/DC - Other expenses and Research and Development costs&quot; dsname=&quot;SAP Disclosure Management - Production&quot;&gt;&lt;VARIABLES /&gt;&lt;/BBOOK&gt;&lt;BBOOK bbname=&quot;9060&quot; bbdesc=&quot;2015 Annual Accounts/EU Annual Accounts 2015/DC - Property plant and equipment related expenses (xlsx)&quot; dsname=&quot;SAP Disclosure Management - Production&quot;&gt;&lt;VARIABLES /&gt;&lt;/BBOOK&gt;&lt;BBOOK bbname=&quot;17234&quot; bbdesc=&quot;2018 Annual Accounts/EU Annual Accounts/DC - Research and Development costs&quot; dsname=&quot;SAP Disclosure Management - Production&quot;&gt;&lt;VARIABLES /&gt;&lt;/BBOOK&gt;&lt;BBOOK bbname=&quot;19867&quot; bbdesc=&quot;2020 Annual Accounts/EU Annual Accounts/DC - Segment report&quot; dsname=&quot;SAP Disclosure Management - Production&quot;&gt;&lt;VARIABLES /&gt;&lt;/BBOOK&gt;&lt;BBOOK bbname=&quot;19550&quot; bbdesc=&quot;2020 Annual Accounts/EC Annual Accounts/DC - Guarantees given&quot; dsname=&quot;SAP Disclosure Management - Production&quot;&gt;&lt;VARIABLES /&gt;&lt;/BBOOK&gt;&lt;BBOOK bbname=&quot;19549&quot; bbdesc=&quot;2020 Annual Accounts/EC Annual Accounts/DC - Contingent liabilities&quot; dsname=&quot;SAP Disclosure Management - Production&quot;&gt;&lt;VARIABLES /&gt;&lt;/BBOOK&gt;&lt;BBOOK bbname=&quot;19877&quot; bbdesc=&quot;2020 Annual Accounts/EU Annual Accounts/DC - Contingent liabilities and assets&quot; dsname=&quot;SAP Disclosure Management - Production&quot;&gt;&lt;VARIABLES /&gt;&lt;/BBOOK&gt;&lt;BBOOK bbname=&quot;19878&quot; bbdesc=&quot;2020 Annual Accounts/EU Annual Accounts/DC - Outstanding commitments not yet expensed - Significant legal commitments&quot; dsname=&quot;SAP Disclosure Management - Production&quot;&gt;&lt;VARIABLES /&gt;&lt;/BBOOK&gt;&lt;BBOOK bbname=&quot;17238&quot; bbdesc=&quot;2018 Annual Accounts/EU Annual Accounts/DC - Significant legal commitments&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19552&quot; bbdesc=&quot;2020 Annual Accounts/EC Annual Accounts/DC - Significant legal commitments&quot; dsname=&quot;SAP Disclosure Management - Production&quot;&gt;&lt;VARIABLES /&gt;&lt;/BBOOK&gt;&lt;BBOOK bbname=&quot;9050&quot; bbdesc=&quot;2016 Annual Accounts/EU Annual Accounts/DC - Other expenses (xlsx)&quot; dsname=&quot;SAP Disclosure Management - Production&quot;&gt;&lt;VARIABLES /&gt;&lt;/BBOOK&gt;&lt;BBOOK bbname=&quot;19876&quot; bbdesc=&quot;2020 Annual Accounts/EU Annual Accounts/DC - Operating lease commitments&quot; dsname=&quot;SAP Disclosure Management - Production&quot;&gt;&lt;VARIABLES /&gt;&lt;/BBOOK&gt;&lt;BBOOK bbname=&quot;19868&quot; bbdesc=&quot;2020 Annual Accounts/EU Annual Accounts/DC - Currency risk&quot; dsname=&quot;SAP Disclosure Management - Production&quot;&gt;&lt;VARIABLES /&gt;&lt;/BBOOK&gt;&lt;BBOOK bbname=&quot;19869&quot; bbdesc=&quot;2020 Annual Accounts/EU Annual Accounts/DC - Interest rate risk&quot; dsname=&quot;SAP Disclosure Management - Production&quot;&gt;&lt;VARIABLES /&gt;&lt;/BBOOK&gt;&lt;BBOOK bbname=&quot;19870&quot; bbdesc=&quot;2020 Annual Accounts/EU Annual Accounts/DC - Credit risk&quot; dsname=&quot;SAP Disclosure Management - Production&quot;&gt;&lt;VARIABLES /&gt;&lt;/BBOOK&gt;&lt;BBOOK bbname=&quot;19871&quot; bbdesc=&quot;2020 Annual Accounts/EU Annual Accounts/DC - Liquiduty risk&quot; dsname=&quot;SAP Disclosure Management - Production&quot;&gt;&lt;VARIABLES /&gt;&lt;/BBOOK&gt;&lt;BBOOK bbname=&quot;19530&quot; bbdesc=&quot;2020 Annual Accounts/EC Annual Accounts/DC - Liquidity risk&quot; dsname=&quot;SAP Disclosure Management - Production&quot;&gt;&lt;VARIABLES /&gt;&lt;/BBOOK&gt;&lt;BBOOK bbname=&quot;19854&quot; bbdesc=&quot;2020 Annual Accounts/EU Annual Accounts/DC - Related party disclosures&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19855&quot; bbdesc=&quot;2020 Annual Accounts/EU Annual Accounts/DC - Scope of consolidation EU&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5169&quot; bbdesc=&quot;2014 Annual Accounts/EU Annual Accounts/DC - Result of implementation of the EU budget (xlsx)&quot; dsname=&quot;SAP Disclosure Management - Production&quot;&gt;&lt;VARIABLES /&gt;&lt;/BBOOK&gt;&lt;BBOOK bbname=&quot;8963&quot; bbdesc=&quot;2015 Annual Accounts/EU Annual Accounts 2015/DC - Budget outturn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4817&quot; bbdesc=&quot;2017 Annual Accounts/EU Annual Accounts/DC - Result of implementation of the EU budget&quot; dsname=&quot;SAP Disclosure Management - Production&quot;&gt;&lt;VARIABLES /&gt;&lt;/BBOOK&gt;&lt;BBOOK bbname=&quot;19805&quot; bbdesc=&quot;2019 Annual Accounts/EU Annual Accounts/DC - Budget result and Statements of Comparison&quot; dsname=&quot;SAP Disclosure Management - Production&quot;&gt;&lt;VARIABLES /&gt;&lt;/BBOOK&gt;&lt;BBOOK bbname=&quot;5174&quot; bbdesc=&quot;2014 Annual Accounts/EU Annual Accounts/DC - Implementation of EU budget expenditure (xlsx)&quot; dsname=&quot;SAP Disclosure Management - Production&quot;&gt;&lt;VARIABLES /&gt;&lt;/BBOOK&gt;&lt;BBOOK bbname=&quot;19846&quot; bbdesc=&quot;2020 Annual Accounts/EU Annual Accounts/DC - Financial framework 2014 - 2020&quot; dsname=&quot;SAP Disclosure Management - Production&quot;&gt;&lt;VARIABLES /&gt;&lt;/BBOOK&gt;&lt;BBOOK bbname=&quot;19782&quot; bbdesc=&quot;2020 Annual Accounts/EU Annual Accounts/DC - EU Reconciliation of economic result&quot; dsname=&quot;SAP Disclosure Management - Production&quot;&gt;&lt;VARIABLES /&gt;&lt;/BBOOK&gt;&lt;BBOOK bbname=&quot;8985&quot; bbdesc=&quot;2016 Annual Accounts/EU Annual Accounts/DC - Financial framework 2014 - 2020 (xlsx)&quot; dsname=&quot;SAP Disclosure Management - Production&quot;&gt;&lt;VARIABLES /&gt;&lt;/BBOOK&gt;&lt;BBOOK bbname=&quot;19856&quot; bbdesc=&quot;2019 Annual Accounts/EU Annual Accounts/DC - EU revenues&quot; dsname=&quot;SAP Disclosure Management - Production&quot;&gt;&lt;VARIABLES /&gt;&lt;/BBOOK&gt;&lt;BBOOK bbname=&quot;9035&quot; bbdesc=&quot;2016 Annual Accounts/EU Annual Accounts/DC - EU revenues (xlsx)&quot; dsname=&quot;SAP Disclosure Management - Production&quot;&gt;&lt;VARIABLES /&gt;&lt;/BBOOK&gt;&lt;BBOOK bbname=&quot;19857&quot; bbdesc=&quot;2020 Annual Accounts/EU Annual Accounts/DC - EU expenditures&quot; dsname=&quot;SAP Disclosure Management - Production&quot;&gt;&lt;VARIABLES /&gt;&lt;/BBOOK&gt;&lt;BBOOK bbname=&quot;11446&quot; bbdesc=&quot;2017 Annual Accounts/EU Annual Accounts/Upload budgetarytables EU&quot; dsname=&quot;SAP Disclosure Management - Production&quot;&gt;&lt;VARIABLES /&gt;&lt;/BBOOK&gt;&lt;BBOOK bbname=&quot;9036&quot; bbdesc=&quot;2016 Annual Accounts/EU Annual Accounts/DC - EU Expenditures (xlsx)&quot; dsname=&quot;SAP Disclosure Management - Production&quot;&gt;&lt;VARIABLES /&gt;&lt;/BBOOK&gt;&lt;BBOOK bbname=&quot;19895&quot; bbdesc=&quot;2019 Annual Accounts/EU Annual Accounts/DC - Institutions and agencies&quot; dsname=&quot;SAP Disclosure Management - Production&quot;&gt;&lt;VARIABLES /&gt;&lt;/BBOOK&gt;&lt;/BBOOKS&gt;"/>
    <w:docVar w:name="DM_WB_C19778_METADATA" w:val="&lt;ChapterMetadata&gt;&lt;ChapterId&gt;19778&lt;/ChapterId&gt;&lt;ChapterName&gt;Liabilities&lt;/ChapterName&gt;&lt;ChapterNoOfPages&gt;-1&lt;/ChapterNoOfPages&gt;&lt;ChapterVersion&gt;1&lt;/ChapterVersion&gt;&lt;/ChapterMetadata&gt;"/>
    <w:docVar w:name="DM_WB_C19780_METADATA" w:val="&lt;ChapterMetadata&gt;&lt;ChapterId&gt;19780&lt;/ChapterId&gt;&lt;ChapterName&gt;Budgetary and legal commitments&lt;/ChapterName&gt;&lt;ChapterNoOfPages&gt;-1&lt;/ChapterNoOfPages&gt;&lt;ChapterVersion&gt;42&lt;/ChapterVersion&gt;&lt;/ChapterMetadata&gt;"/>
    <w:docVar w:name="DM_WB_C19783_METADATA" w:val="&lt;ChapterMetadata&gt;&lt;ChapterId&gt;19783&lt;/ChapterId&gt;&lt;ChapterName&gt;FSDA&lt;/ChapterName&gt;&lt;ChapterNoOfPages&gt;-1&lt;/ChapterNoOfPages&gt;&lt;ChapterVersion&gt;25&lt;/ChapterVersion&gt;&lt;/ChapterMetadata&gt;"/>
    <w:docVar w:name="DM_WB_C19785_METADATA" w:val="&lt;ChapterMetadata&gt;&lt;ChapterId&gt;19785&lt;/ChapterId&gt;&lt;ChapterName&gt;Pre-financing&lt;/ChapterName&gt;&lt;ChapterNoOfPages&gt;-1&lt;/ChapterNoOfPages&gt;&lt;ChapterVersion&gt;47&lt;/ChapterVersion&gt;&lt;/ChapterMetadata&gt;"/>
    <w:docVar w:name="DM_WB_C19787_METADATA" w:val="&lt;ChapterMetadata&gt;&lt;ChapterId&gt;19787&lt;/ChapterId&gt;&lt;ChapterName&gt;Scope of consolidation&lt;/ChapterName&gt;&lt;ChapterNoOfPages&gt;-1&lt;/ChapterNoOfPages&gt;&lt;ChapterVersion&gt;36&lt;/ChapterVersion&gt;&lt;/ChapterMetadata&gt;"/>
    <w:docVar w:name="DM_WB_C19788_METADATA" w:val="&lt;ChapterMetadata&gt;&lt;ChapterId&gt;19788&lt;/ChapterId&gt;&lt;ChapterName&gt;Consolidated financial statements and explanatory notes&lt;/ChapterName&gt;&lt;ChapterNoOfPages&gt;-1&lt;/ChapterNoOfPages&gt;&lt;ChapterVersion&gt;2&lt;/ChapterVersion&gt;&lt;/ChapterMetadata&gt;"/>
    <w:docVar w:name="DM_WB_C19789_METADATA" w:val="&lt;ChapterMetadata&gt;&lt;ChapterId&gt;19789&lt;/ChapterId&gt;&lt;ChapterName&gt;Inventories&lt;/ChapterName&gt;&lt;ChapterNoOfPages&gt;-1&lt;/ChapterNoOfPages&gt;&lt;ChapterVersion&gt;29&lt;/ChapterVersion&gt;&lt;/ChapterMetadata&gt;"/>
    <w:docVar w:name="DM_WB_C19790_METADATA" w:val="&lt;ChapterMetadata&gt;&lt;ChapterId&gt;19790&lt;/ChapterId&gt;&lt;ChapterName&gt;Finance costs&lt;/ChapterName&gt;&lt;ChapterNoOfPages&gt;-1&lt;/ChapterNoOfPages&gt;&lt;ChapterVersion&gt;39&lt;/ChapterVersion&gt;&lt;/ChapterMetadata&gt;"/>
    <w:docVar w:name="DM_WB_C19792_METADATA" w:val="&lt;ChapterMetadata&gt;&lt;ChapterId&gt;19792&lt;/ChapterId&gt;&lt;ChapterName&gt;Expenses - Transfer payments and subsidies by management mode&lt;/ChapterName&gt;&lt;ChapterNoOfPages&gt;-1&lt;/ChapterNoOfPages&gt;&lt;ChapterVersion&gt;1&lt;/ChapterVersion&gt;&lt;/ChapterMetadata&gt;"/>
    <w:docVar w:name="DM_WB_C19794_METADATA" w:val="&lt;ChapterMetadata&gt;&lt;ChapterId&gt;19794&lt;/ChapterId&gt;&lt;ChapterName&gt;Financial liabilities&lt;/ChapterName&gt;&lt;ChapterNoOfPages&gt;-1&lt;/ChapterNoOfPages&gt;&lt;ChapterVersion&gt;40&lt;/ChapterVersion&gt;&lt;/ChapterMetadata&gt;"/>
    <w:docVar w:name="DM_WB_C19795_METADATA" w:val="&lt;ChapterMetadata&gt;&lt;ChapterId&gt;19795&lt;/ChapterId&gt;&lt;ChapterName&gt;Assets&lt;/ChapterName&gt;&lt;ChapterNoOfPages&gt;-1&lt;/ChapterNoOfPages&gt;&lt;ChapterVersion&gt;1&lt;/ChapterVersion&gt;&lt;/ChapterMetadata&gt;"/>
    <w:docVar w:name="DM_WB_C19796_METADATA" w:val="&lt;ChapterMetadata&gt;&lt;ChapterId&gt;19796&lt;/ChapterId&gt;&lt;ChapterName&gt;Investments accounted for using the equity method&lt;/ChapterName&gt;&lt;ChapterNoOfPages&gt;-1&lt;/ChapterNoOfPages&gt;&lt;ChapterVersion&gt;32&lt;/ChapterVersion&gt;&lt;/ChapterMetadata&gt;"/>
    <w:docVar w:name="DM_WB_C19798_METADATA" w:val="&lt;ChapterMetadata&gt;&lt;ChapterId&gt;19798&lt;/ChapterId&gt;&lt;ChapterName&gt;Provisions&lt;/ChapterName&gt;&lt;ChapterNoOfPages&gt;-1&lt;/ChapterNoOfPages&gt;&lt;ChapterVersion&gt;41&lt;/ChapterVersion&gt;&lt;/ChapterMetadata&gt;"/>
    <w:docVar w:name="DM_WB_C19799_METADATA" w:val="&lt;ChapterMetadata&gt;&lt;ChapterId&gt;19799&lt;/ChapterId&gt;&lt;ChapterName&gt;Notes to the financial statements&lt;/ChapterName&gt;&lt;ChapterNoOfPages&gt;-1&lt;/ChapterNoOfPages&gt;&lt;ChapterVersion&gt;2&lt;/ChapterVersion&gt;&lt;/ChapterMetadata&gt;"/>
    <w:docVar w:name="DM_WB_C19801_METADATA" w:val="&lt;ChapterMetadata&gt;&lt;ChapterId&gt;19801&lt;/ChapterId&gt;&lt;ChapterName&gt;Statement of changes in net assets&lt;/ChapterName&gt;&lt;ChapterNoOfPages&gt;-1&lt;/ChapterNoOfPages&gt;&lt;ChapterVersion&gt;31&lt;/ChapterVersion&gt;&lt;/ChapterMetadata&gt;"/>
    <w:docVar w:name="DM_WB_C19803_METADATA" w:val="&lt;ChapterMetadata&gt;&lt;ChapterId&gt;19803&lt;/ChapterId&gt;&lt;ChapterName&gt;Payables&lt;/ChapterName&gt;&lt;ChapterNoOfPages&gt;-1&lt;/ChapterNoOfPages&gt;&lt;ChapterVersion&gt;49&lt;/ChapterVersion&gt;&lt;/ChapterMetadata&gt;"/>
    <w:docVar w:name="DM_WB_C19807_METADATA" w:val="&lt;ChapterMetadata&gt;&lt;ChapterId&gt;19807&lt;/ChapterId&gt;&lt;ChapterName&gt;Cash and cash equivalents&lt;/ChapterName&gt;&lt;ChapterNoOfPages&gt;-1&lt;/ChapterNoOfPages&gt;&lt;ChapterVersion&gt;38&lt;/ChapterVersion&gt;&lt;/ChapterMetadata&gt;"/>
    <w:docVar w:name="DM_WB_C19809_METADATA" w:val="&lt;ChapterMetadata&gt;&lt;ChapterId&gt;19809&lt;/ChapterId&gt;&lt;ChapterName&gt;Statement of financial performance&lt;/ChapterName&gt;&lt;ChapterNoOfPages&gt;-1&lt;/ChapterNoOfPages&gt;&lt;ChapterVersion&gt;34&lt;/ChapterVersion&gt;&lt;/ChapterMetadata&gt;"/>
    <w:docVar w:name="DM_WB_C19810_METADATA" w:val="&lt;ChapterMetadata&gt;&lt;ChapterId&gt;19810&lt;/ChapterId&gt;&lt;ChapterName&gt;Net assets&lt;/ChapterName&gt;&lt;ChapterNoOfPages&gt;-1&lt;/ChapterNoOfPages&gt;&lt;ChapterVersion&gt;37&lt;/ChapterVersion&gt;&lt;/ChapterMetadata&gt;"/>
    <w:docVar w:name="DM_WB_C19812_METADATA" w:val="&lt;ChapterMetadata&gt;&lt;ChapterId&gt;19812&lt;/ChapterId&gt;&lt;ChapterName&gt;Contingent liabilities and assets&lt;/ChapterName&gt;&lt;ChapterNoOfPages&gt;-1&lt;/ChapterNoOfPages&gt;&lt;ChapterVersion&gt;45&lt;/ChapterVersion&gt;&lt;/ChapterMetadata&gt;"/>
    <w:docVar w:name="DM_WB_C19814_METADATA" w:val="&lt;ChapterMetadata&gt;&lt;ChapterId&gt;19814&lt;/ChapterId&gt;&lt;ChapterName&gt;Other expenses and Research and Development costs&lt;/ChapterName&gt;&lt;ChapterNoOfPages&gt;-1&lt;/ChapterNoOfPages&gt;&lt;ChapterVersion&gt;33&lt;/ChapterVersion&gt;&lt;/ChapterMetadata&gt;"/>
    <w:docVar w:name="DM_WB_C19815_METADATA" w:val="&lt;ChapterMetadata&gt;&lt;ChapterId&gt;19815&lt;/ChapterId&gt;&lt;ChapterName&gt;Table of contents (2)&lt;/ChapterName&gt;&lt;ChapterNoOfPages&gt;-1&lt;/ChapterNoOfPages&gt;&lt;ChapterVersion&gt;1&lt;/ChapterVersion&gt;&lt;/ChapterMetadata&gt;"/>
    <w:docVar w:name="DM_WB_C19816_METADATA" w:val="&lt;ChapterMetadata&gt;&lt;ChapterId&gt;19816&lt;/ChapterId&gt;&lt;ChapterName&gt;Financial assets&lt;/ChapterName&gt;&lt;ChapterNoOfPages&gt;-1&lt;/ChapterNoOfPages&gt;&lt;ChapterVersion&gt;63&lt;/ChapterVersion&gt;&lt;/ChapterMetadata&gt;"/>
    <w:docVar w:name="DM_WB_C19817_METADATA" w:val="&lt;ChapterMetadata&gt;&lt;ChapterId&gt;19817&lt;/ChapterId&gt;&lt;ChapterName&gt;Balance sheet&lt;/ChapterName&gt;&lt;ChapterNoOfPages&gt;-1&lt;/ChapterNoOfPages&gt;&lt;ChapterVersion&gt;33&lt;/ChapterVersion&gt;&lt;/ChapterMetadata&gt;"/>
    <w:docVar w:name="DM_WB_C19820_METADATA" w:val="&lt;ChapterMetadata&gt;&lt;ChapterId&gt;19820&lt;/ChapterId&gt;&lt;ChapterName&gt;Staff and pension costs - Changes in employee benefits actuarial assumptions&lt;/ChapterName&gt;&lt;ChapterNoOfPages&gt;-1&lt;/ChapterNoOfPages&gt;&lt;ChapterVersion&gt;33&lt;/ChapterVersion&gt;&lt;/ChapterMetadata&gt;"/>
    <w:docVar w:name="DM_WB_C19821_METADATA" w:val="&lt;ChapterMetadata&gt;&lt;ChapterId&gt;19821&lt;/ChapterId&gt;&lt;ChapterName&gt;Intangible assets and PPE&lt;/ChapterName&gt;&lt;ChapterNoOfPages&gt;-1&lt;/ChapterNoOfPages&gt;&lt;ChapterVersion&gt;43&lt;/ChapterVersion&gt;&lt;/ChapterMetadata&gt;"/>
    <w:docVar w:name="DM_WB_C19822_METADATA" w:val="&lt;ChapterMetadata&gt;&lt;ChapterId&gt;19822&lt;/ChapterId&gt;&lt;ChapterName&gt;Related party disclosures&lt;/ChapterName&gt;&lt;ChapterNoOfPages&gt;-1&lt;/ChapterNoOfPages&gt;&lt;ChapterVersion&gt;34&lt;/ChapterVersion&gt;&lt;/ChapterMetadata&gt;"/>
    <w:docVar w:name="DM_WB_C19825_METADATA" w:val="&lt;ChapterMetadata&gt;&lt;ChapterId&gt;19825&lt;/ChapterId&gt;&lt;ChapterName&gt;Notes to the statement of financial performance&lt;/ChapterName&gt;&lt;ChapterNoOfPages&gt;-1&lt;/ChapterNoOfPages&gt;&lt;ChapterVersion&gt;1&lt;/ChapterVersion&gt;&lt;/ChapterMetadata&gt;"/>
    <w:docVar w:name="DM_WB_C19827_METADATA" w:val="&lt;ChapterMetadata&gt;&lt;ChapterId&gt;19827&lt;/ChapterId&gt;&lt;ChapterName&gt;Cover and first page&lt;/ChapterName&gt;&lt;ChapterNoOfPages&gt;-1&lt;/ChapterNoOfPages&gt;&lt;ChapterVersion&gt;2&lt;/ChapterVersion&gt;&lt;/ChapterMetadata&gt;"/>
    <w:docVar w:name="DM_WB_C19828_METADATA" w:val="&lt;ChapterMetadata&gt;&lt;ChapterId&gt;19828&lt;/ChapterId&gt;&lt;ChapterName&gt;Segment Report&lt;/ChapterName&gt;&lt;ChapterNoOfPages&gt;-1&lt;/ChapterNoOfPages&gt;&lt;ChapterVersion&gt;33&lt;/ChapterVersion&gt;&lt;/ChapterMetadata&gt;"/>
    <w:docVar w:name="DM_WB_C19829_METADATA" w:val="&lt;ChapterMetadata&gt;&lt;ChapterId&gt;19829&lt;/ChapterId&gt;&lt;ChapterName&gt;Financial risk management&lt;/ChapterName&gt;&lt;ChapterNoOfPages&gt;-1&lt;/ChapterNoOfPages&gt;&lt;ChapterVersion&gt;53&lt;/ChapterVersion&gt;&lt;/ChapterMetadata&gt;"/>
    <w:docVar w:name="DM_WB_C19831_METADATA" w:val="&lt;ChapterMetadata&gt;&lt;ChapterId&gt;19831&lt;/ChapterId&gt;&lt;ChapterName&gt;Shared Direct and Indirect management&lt;/ChapterName&gt;&lt;ChapterNoOfPages&gt;-1&lt;/ChapterNoOfPages&gt;&lt;ChapterVersion&gt;42&lt;/ChapterVersion&gt;&lt;/ChapterMetadata&gt;"/>
    <w:docVar w:name="DM_WB_C19832_METADATA" w:val="&lt;ChapterMetadata&gt;&lt;ChapterId&gt;19832&lt;/ChapterId&gt;&lt;ChapterName&gt;Table of contents (1)&lt;/ChapterName&gt;&lt;ChapterNoOfPages&gt;-1&lt;/ChapterNoOfPages&gt;&lt;ChapterVersion&gt;1&lt;/ChapterVersion&gt;&lt;/ChapterMetadata&gt;"/>
    <w:docVar w:name="DM_WB_C19836_METADATA" w:val="&lt;ChapterMetadata&gt;&lt;ChapterId&gt;19836&lt;/ChapterId&gt;&lt;ChapterName&gt;Cashflow statement&lt;/ChapterName&gt;&lt;ChapterNoOfPages&gt;-1&lt;/ChapterNoOfPages&gt;&lt;ChapterVersion&gt;28&lt;/ChapterVersion&gt;&lt;/ChapterMetadata&gt;"/>
    <w:docVar w:name="DM_WB_C19840_METADATA" w:val="&lt;ChapterMetadata&gt;&lt;ChapterId&gt;19840&lt;/ChapterId&gt;&lt;ChapterName&gt;Exchange receivables and non-exchange recoverables&lt;/ChapterName&gt;&lt;ChapterNoOfPages&gt;-1&lt;/ChapterNoOfPages&gt;&lt;ChapterVersion&gt;86&lt;/ChapterVersion&gt;&lt;/ChapterMetadata&gt;"/>
    <w:docVar w:name="DM_WB_C19841_METADATA" w:val="&lt;ChapterMetadata&gt;&lt;ChapterId&gt;19841&lt;/ChapterId&gt;&lt;ChapterName&gt;Pension and other employee benefits&lt;/ChapterName&gt;&lt;ChapterNoOfPages&gt;-1&lt;/ChapterNoOfPages&gt;&lt;ChapterVersion&gt;39&lt;/ChapterVersion&gt;&lt;/ChapterMetadata&gt;"/>
    <w:docVar w:name="DM_WB_C19842_METADATA" w:val="&lt;ChapterMetadata&gt;&lt;ChapterId&gt;19842&lt;/ChapterId&gt;&lt;ChapterName&gt;Revenue - Exchange and Non-exchange&lt;/ChapterName&gt;&lt;ChapterNoOfPages&gt;-1&lt;/ChapterNoOfPages&gt;&lt;ChapterVersion&gt;67&lt;/ChapterVersion&gt;&lt;/ChapterMetadata&gt;"/>
    <w:docVar w:name="DM_WB_C19843_METADATA" w:val="&lt;ChapterMetadata&gt;&lt;ChapterId&gt;19843&lt;/ChapterId&gt;&lt;ChapterName&gt;Accrued charges and deferred income&lt;/ChapterName&gt;&lt;ChapterNoOfPages&gt;-1&lt;/ChapterNoOfPages&gt;&lt;ChapterVersion&gt;40&lt;/ChapterVersion&gt;&lt;/ChapterMetadata&gt;"/>
    <w:docVar w:name="DM_WB_C19844_METADATA" w:val="&lt;ChapterMetadata&gt;&lt;ChapterId&gt;19844&lt;/ChapterId&gt;&lt;ChapterName&gt;Events after balance sheet date&lt;/ChapterName&gt;&lt;ChapterNoOfPages&gt;-1&lt;/ChapterNoOfPages&gt;&lt;ChapterVersion&gt;3&lt;/ChapterVersion&gt;&lt;/ChapterMetadata&gt;"/>
    <w:docVar w:name="DM_WB_C19847_METADATA" w:val="&lt;ChapterMetadata&gt;&lt;ChapterId&gt;19847&lt;/ChapterId&gt;&lt;ChapterName&gt;Notes to the balance sheet&lt;/ChapterName&gt;&lt;ChapterNoOfPages&gt;-1&lt;/ChapterNoOfPages&gt;&lt;ChapterVersion&gt;1&lt;/ChapterVersion&gt;&lt;/ChapterMetadata&gt;"/>
    <w:docVar w:name="DM_WB_C19851_METADATA" w:val="&lt;ChapterMetadata&gt;&lt;ChapterId&gt;19851&lt;/ChapterId&gt;&lt;ChapterName&gt;Table of Content 3&lt;/ChapterName&gt;&lt;ChapterNoOfPages&gt;-1&lt;/ChapterNoOfPages&gt;&lt;ChapterVersion&gt;1&lt;/ChapterVersion&gt;&lt;/ChapterMetadata&gt;"/>
    <w:docVar w:name="DM_WB_C19852_METADATA" w:val="&lt;ChapterMetadata&gt;&lt;ChapterId&gt;19852&lt;/ChapterId&gt;&lt;ChapterName&gt;Notes on the implementation of the budget MFF annual budget policy areas&lt;/ChapterName&gt;&lt;ChapterNoOfPages&gt;-1&lt;/ChapterNoOfPages&gt;&lt;ChapterVersion&gt;40&lt;/ChapterVersion&gt;&lt;/ChapterMetadata&gt;"/>
    <w:docVar w:name="DM_WB_C19859_METADATA" w:val="&lt;ChapterMetadata&gt;&lt;ChapterId&gt;19859&lt;/ChapterId&gt;&lt;ChapterName&gt;Budgetary implementation reports and explanatory notes&lt;/ChapterName&gt;&lt;ChapterNoOfPages&gt;-1&lt;/ChapterNoOfPages&gt;&lt;ChapterVersion&gt;2&lt;/ChapterVersion&gt;&lt;/ChapterMetadata&gt;"/>
    <w:docVar w:name="DM_WB_C19897_METADATA" w:val="&lt;ChapterMetadata&gt;&lt;ChapterId&gt;19897&lt;/ChapterId&gt;&lt;ChapterName&gt;Glossary EU&lt;/ChapterName&gt;&lt;ChapterNoOfPages&gt;-1&lt;/ChapterNoOfPages&gt;&lt;ChapterVersion&gt;1&lt;/ChapterVersion&gt;&lt;/ChapterMetadata&gt;"/>
    <w:docVar w:name="DM_WB_C19899_METADATA" w:val="&lt;ChapterMetadata&gt;&lt;ChapterId&gt;19899&lt;/ChapterId&gt;&lt;ChapterName&gt;Significant accounting policies&lt;/ChapterName&gt;&lt;ChapterNoOfPages&gt;-1&lt;/ChapterNoOfPages&gt;&lt;ChapterVersion&gt;44&lt;/ChapterVersion&gt;&lt;/ChapterMetadata&gt;"/>
    <w:docVar w:name="DM_WB_C19900_METADATA" w:val="&lt;ChapterMetadata&gt;&lt;ChapterId&gt;19900&lt;/ChapterId&gt;&lt;ChapterName&gt;Notes EU bugdet Revenue Expenditure of year&lt;/ChapterName&gt;&lt;ChapterNoOfPages&gt;-1&lt;/ChapterNoOfPages&gt;&lt;ChapterVersion&gt;6&lt;/ChapterVersion&gt;&lt;/ChapterMetadata&gt;"/>
    <w:docVar w:name="DM_WB_C19902_METADATA" w:val="&lt;ChapterMetadata&gt;&lt;ChapterId&gt;19902&lt;/ChapterId&gt;&lt;ChapterName&gt;EU Budget Result and Statements of Comparison&lt;/ChapterName&gt;&lt;ChapterNoOfPages&gt;-1&lt;/ChapterNoOfPages&gt;&lt;ChapterVersion&gt;40&lt;/ChapterVersion&gt;&lt;/ChapterMetadata&gt;"/>
    <w:docVar w:name="DM_WB_C19904_METADATA" w:val="&lt;ChapterMetadata&gt;&lt;ChapterId&gt;19904&lt;/ChapterId&gt;&lt;ChapterName&gt;List of abbreviations EU&lt;/ChapterName&gt;&lt;ChapterNoOfPages&gt;-1&lt;/ChapterNoOfPages&gt;&lt;ChapterVersion&gt;2&lt;/ChapterVersion&gt;&lt;/ChapterMetadata&gt;"/>
    <w:docVar w:name="DM_WB_C19905_METADATA" w:val="&lt;ChapterMetadata&gt;&lt;ChapterId&gt;19905&lt;/ChapterId&gt;&lt;ChapterName&gt;Notes to the reconciliation of economic result with budget result&lt;/ChapterName&gt;&lt;ChapterNoOfPages&gt;-1&lt;/ChapterNoOfPages&gt;&lt;ChapterVersion&gt;34&lt;/ChapterVersion&gt;&lt;/ChapterMetadata&gt;"/>
    <w:docVar w:name="DM_WB_C19906_METADATA" w:val="&lt;ChapterMetadata&gt;&lt;ChapterId&gt;19906&lt;/ChapterId&gt;&lt;ChapterName&gt;Implementation of EU budget expenditure&lt;/ChapterName&gt;&lt;ChapterNoOfPages&gt;-1&lt;/ChapterNoOfPages&gt;&lt;ChapterVersion&gt;50&lt;/ChapterVersion&gt;&lt;/ChapterMetadata&gt;"/>
    <w:docVar w:name="DM_WB_C19907_METADATA" w:val="&lt;ChapterMetadata&gt;&lt;ChapterId&gt;19907&lt;/ChapterId&gt;&lt;ChapterName&gt;Implementation of the agencies budget&lt;/ChapterName&gt;&lt;ChapterNoOfPages&gt;-1&lt;/ChapterNoOfPages&gt;&lt;ChapterVersion&gt;36&lt;/ChapterVersion&gt;&lt;/ChapterMetadata&gt;"/>
    <w:docVar w:name="DM_WB_C19908_METADATA" w:val="&lt;ChapterMetadata&gt;&lt;ChapterId&gt;19908&lt;/ChapterId&gt;&lt;ChapterName&gt;Implementation of EU budget revenue&lt;/ChapterName&gt;&lt;ChapterNoOfPages&gt;-1&lt;/ChapterNoOfPages&gt;&lt;ChapterVersion&gt;33&lt;/ChapterVersion&gt;&lt;/ChapterMetadata&gt;"/>
    <w:docVar w:name="DM_WB_C19909_METADATA" w:val="&lt;ChapterMetadata&gt;&lt;ChapterId&gt;19909&lt;/ChapterId&gt;&lt;ChapterName&gt;Implementation of the budget by institution&lt;/ChapterName&gt;&lt;ChapterNoOfPages&gt;-1&lt;/ChapterNoOfPages&gt;&lt;ChapterVersion&gt;38&lt;/ChapterVersion&gt;&lt;/ChapterMetadata&gt;"/>
    <w:docVar w:name="DM_WB_C19910_METADATA" w:val="&lt;ChapterMetadata&gt;&lt;ChapterId&gt;19910&lt;/ChapterId&gt;&lt;ChapterName&gt;Notes revenue general and calculation budget result&lt;/ChapterName&gt;&lt;ChapterNoOfPages&gt;-1&lt;/ChapterNoOfPages&gt;&lt;ChapterVersion&gt;7&lt;/ChapterVersion&gt;&lt;/ChapterMetadata&gt;"/>
    <w:docVar w:name="doc_tbl00002_1_1" w:val="|@|1|2057"/>
    <w:docVar w:name="doc_tbl00015_1_1" w:val="|@|1|2057"/>
    <w:docVar w:name="doc_tbl00037_1_1" w:val="|@|1|2057"/>
    <w:docVar w:name="doc_tbl00041_1_1" w:val="|@|1|2057"/>
    <w:docVar w:name="doc_tbl00075_1_1" w:val="|@|1|2057"/>
    <w:docVar w:name="doc_tbl00087_1_1" w:val="|@|1|2057"/>
    <w:docVar w:name="doc_tbl00097_1_1" w:val="|@|1|2057"/>
    <w:docVar w:name="doc_tbl00112_1_1" w:val="|@|1|2057"/>
    <w:docVar w:name="DocStatus" w:val="Green"/>
    <w:docVar w:name="LW_COVERPAGE_EXISTS" w:val="True"/>
    <w:docVar w:name="LW_COVERPAGE_GUID" w:val="2EA1F348-351B-433E-A5DE-8E8FAA39FCE4"/>
    <w:docVar w:name="LW_COVERPAGE_TYPE" w:val="1"/>
    <w:docVar w:name="LW_CROSSREFERENCE" w:val="&lt;UNUSED&gt;"/>
    <w:docVar w:name="LW_DocType" w:val="TEMPLATE_BEKOU_2014"/>
    <w:docVar w:name="LW_EMISSION" w:val="30.6.2021"/>
    <w:docVar w:name="LW_EMISSION_ISODATE" w:val="2021-06-30"/>
    <w:docVar w:name="LW_EMISSION_LOCATION" w:val="BRX"/>
    <w:docVar w:name="LW_EMISSION_PREFIX" w:val="Брюксел, "/>
    <w:docVar w:name="LW_EMISSION_SUFFIX" w:val=" \u1075?."/>
    <w:docVar w:name="LW_ID_DOCTYPE_NONLW" w:val="CP-040"/>
    <w:docVar w:name="LW_INTERETEEE.CP" w:val="&lt;UNUSED&gt;"/>
    <w:docVar w:name="LW_LANGUE" w:val="BG"/>
    <w:docVar w:name="LW_LANGUESFAISANTFOI.CP" w:val="&lt;UNUSED&gt;"/>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1) 381"/>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lt;FMT:Font=Calibri Cyr&gt;\u1057?\u1098?\u1086?\u1073?\u1097?\u1077?\u1085?\u1080?\u1077? \u1085?\u1072? \u1050?\u1086?\u1084?\u1080?\u1089?\u1080?\u1103?\u1090?\u1072? \u1076?\u1086? \u1045?\u1074?\u1088?\u1086?\u1087?\u1077?\u1081?\u1089?\u1082?\u1080?\u1103? \u1087?\u1072?\u1088?\u1083?\u1072?\u1084?\u1077?\u1085?\u1090?, \u1057?\u1098?\u1074?\u1077?\u1090?\u1072? \u1080? \u1057?\u1084?\u1077?\u1090?\u1085?\u1072?\u1090?\u1072? \u1087?\u1072?\u1083?\u1072?\u1090?\u1072? \u8212? \u1043?\u1086?\u1076?\u1080?\u1096?\u1085?\u1080? \u1086?\u1090?\u1095?\u1077?\u1090?\u1080? \u1085?\u1072? \u1045?\u1074?\u1088?\u1086?\u1087?\u1077?\u1081?\u1089?\u1082?\u1080?\u1103? \u1089?\u1098?\u1102?\u1079? \u1079?\u1072? 2020 \u1075?.&lt;/FMT&gt;_x000b_"/>
    <w:docVar w:name="LW_TYPE.DOC.CP" w:val="_x000b_"/>
    <w:docVar w:name="LwApiVersions" w:val="LW4CoDe 1.23.0.0; LW 8.0, Build 20210114"/>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55"/>
    <o:shapelayout v:ext="edit">
      <o:idmap v:ext="edit" data="1"/>
      <o:rules v:ext="edit">
        <o:r id="V:Rule7" type="connector" idref="#Elbow Connector 55"/>
        <o:r id="V:Rule8" type="connector" idref="#Elbow Connector 53"/>
        <o:r id="V:Rule9" type="connector" idref="#Elbow Connector 49"/>
        <o:r id="V:Rule10" type="connector" idref="#Elbow Connector 47"/>
        <o:r id="V:Rule11" type="connector" idref="#Elbow Connector 58"/>
        <o:r id="V:Rule12" type="connector" idref="#Elbow Connector 51"/>
      </o:rules>
      <o:regrouptable v:ext="edit">
        <o:entry new="1" old="0"/>
        <o:entry new="2" old="1"/>
      </o:regrouptable>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g-BG"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ind w:left="357" w:hanging="357"/>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lang w:eastAsia="ja-JP"/>
    </w:rPr>
  </w:style>
  <w:style w:type="paragraph" w:styleId="TOC1">
    <w:name w:val="toc 1"/>
    <w:basedOn w:val="Normal"/>
    <w:next w:val="Normal"/>
    <w:autoRedefine/>
    <w:uiPriority w:val="39"/>
    <w:unhideWhenUsed/>
    <w:qFormat/>
    <w:pPr>
      <w:tabs>
        <w:tab w:val="right" w:leader="dot" w:pos="9356"/>
      </w:tabs>
      <w:spacing w:after="100"/>
    </w:pPr>
    <w:rPr>
      <w:rFonts w:ascii="Verdana" w:hAnsi="Verdana"/>
      <w:color w:val="365F91"/>
      <w:sz w:val="22"/>
    </w:rPr>
  </w:style>
  <w:style w:type="paragraph" w:styleId="TOC2">
    <w:name w:val="toc 2"/>
    <w:basedOn w:val="Normal"/>
    <w:next w:val="Normal"/>
    <w:autoRedefine/>
    <w:uiPriority w:val="39"/>
    <w:unhideWhenUsed/>
    <w:qFormat/>
    <w:pPr>
      <w:tabs>
        <w:tab w:val="left" w:pos="1100"/>
        <w:tab w:val="right" w:leader="dot" w:pos="9356"/>
      </w:tabs>
      <w:spacing w:after="100"/>
      <w:ind w:left="240"/>
    </w:pPr>
    <w:rPr>
      <w:rFonts w:ascii="Verdana" w:hAnsi="Verdana"/>
      <w:color w:val="808080"/>
      <w:spacing w:val="-16"/>
      <w:sz w:val="22"/>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pPr>
  </w:style>
  <w:style w:type="paragraph" w:customStyle="1" w:styleId="HEADER1PartBUDG">
    <w:name w:val="HEADER 1_Part BUDG"/>
    <w:basedOn w:val="Normal"/>
    <w:qFormat/>
    <w:pPr>
      <w:numPr>
        <w:numId w:val="17"/>
      </w:numPr>
      <w:tabs>
        <w:tab w:val="left" w:pos="907"/>
      </w:tabs>
      <w:spacing w:after="240"/>
      <w:jc w:val="both"/>
    </w:pPr>
    <w:rPr>
      <w:rFonts w:ascii="Verdana" w:hAnsi="Verdana"/>
      <w:b/>
      <w:color w:val="016794"/>
      <w:sz w:val="32"/>
      <w:szCs w:val="32"/>
    </w:rPr>
  </w:style>
  <w:style w:type="paragraph" w:customStyle="1" w:styleId="HEADER2PartBUDG">
    <w:name w:val="HEADER 2_Part BUDG"/>
    <w:basedOn w:val="Normal"/>
    <w:qFormat/>
    <w:pPr>
      <w:numPr>
        <w:ilvl w:val="1"/>
        <w:numId w:val="17"/>
      </w:numPr>
      <w:tabs>
        <w:tab w:val="left" w:pos="709"/>
      </w:tabs>
      <w:spacing w:before="360" w:after="360"/>
    </w:pPr>
    <w:rPr>
      <w:rFonts w:ascii="Verdana" w:eastAsia="Calibri" w:hAnsi="Verdana"/>
      <w:b/>
      <w:color w:val="016794"/>
      <w:sz w:val="28"/>
    </w:rPr>
  </w:style>
  <w:style w:type="paragraph" w:customStyle="1" w:styleId="HEADER3PartBUGD">
    <w:name w:val="HEADER 3_Part BUGD"/>
    <w:basedOn w:val="Normal"/>
    <w:qFormat/>
    <w:pPr>
      <w:numPr>
        <w:ilvl w:val="2"/>
        <w:numId w:val="17"/>
      </w:numPr>
      <w:tabs>
        <w:tab w:val="left" w:pos="0"/>
      </w:tabs>
      <w:spacing w:before="360" w:after="360"/>
      <w:ind w:firstLine="387"/>
    </w:pPr>
    <w:rPr>
      <w:rFonts w:ascii="Verdana" w:hAnsi="Verdana"/>
      <w:color w:val="016794"/>
      <w:sz w:val="20"/>
      <w:szCs w:val="20"/>
    </w:rPr>
  </w:style>
  <w:style w:type="paragraph" w:customStyle="1" w:styleId="HEADER4PartBUDG">
    <w:name w:val="HEADER 4_Part BUDG"/>
    <w:basedOn w:val="Normal"/>
    <w:qFormat/>
    <w:pPr>
      <w:numPr>
        <w:ilvl w:val="3"/>
        <w:numId w:val="17"/>
      </w:numPr>
      <w:tabs>
        <w:tab w:val="left" w:pos="907"/>
      </w:tabs>
      <w:spacing w:before="360" w:after="360"/>
      <w:ind w:left="567" w:hanging="567"/>
    </w:pPr>
    <w:rPr>
      <w:rFonts w:ascii="Verdana" w:hAnsi="Verdana"/>
      <w:color w:val="016794"/>
      <w:sz w:val="18"/>
      <w:szCs w:val="18"/>
    </w:rPr>
  </w:style>
  <w:style w:type="paragraph" w:customStyle="1" w:styleId="HEADER1NOTES">
    <w:name w:val="HEADER 1_NOTES"/>
    <w:basedOn w:val="HEADER1Part2"/>
    <w:qFormat/>
    <w:pPr>
      <w:numPr>
        <w:numId w:val="16"/>
      </w:numPr>
    </w:pPr>
  </w:style>
  <w:style w:type="paragraph" w:customStyle="1" w:styleId="HEADER2NOTES">
    <w:name w:val="HEADER 2_NOTES"/>
    <w:basedOn w:val="HEADER2Part2"/>
    <w:qFormat/>
    <w:pPr>
      <w:numPr>
        <w:numId w:val="16"/>
      </w:numPr>
    </w:pPr>
  </w:style>
  <w:style w:type="paragraph" w:customStyle="1" w:styleId="HEADER3NOTES">
    <w:name w:val="HEADER 3_NOTES"/>
    <w:basedOn w:val="HEADER3Part2"/>
    <w:qFormat/>
    <w:pPr>
      <w:numPr>
        <w:numId w:val="16"/>
      </w:numPr>
    </w:pPr>
  </w:style>
  <w:style w:type="paragraph" w:customStyle="1" w:styleId="HEADER4NOTES">
    <w:name w:val="HEADER 4_NOTES"/>
    <w:basedOn w:val="HEADER4Part2"/>
    <w:qFormat/>
    <w:pPr>
      <w:numPr>
        <w:numId w:val="16"/>
      </w:numPr>
    </w:pPr>
  </w:style>
  <w:style w:type="paragraph" w:customStyle="1" w:styleId="DGTextstand-alone">
    <w:name w:val="DG_Text_stand-alone"/>
    <w:link w:val="DGTextstand-aloneChar"/>
    <w:pPr>
      <w:spacing w:before="240" w:after="240"/>
      <w:jc w:val="both"/>
    </w:pPr>
    <w:rPr>
      <w:rFonts w:ascii="Verdana" w:hAnsi="Verdana"/>
      <w:noProof/>
      <w:sz w:val="18"/>
      <w:szCs w:val="18"/>
      <w:lang w:eastAsia="en-US"/>
    </w:rPr>
  </w:style>
  <w:style w:type="character" w:customStyle="1" w:styleId="DGTextstand-aloneChar">
    <w:name w:val="DG_Text_stand-alone Char"/>
    <w:link w:val="DGTextstand-alone"/>
    <w:rPr>
      <w:rFonts w:ascii="Verdana" w:hAnsi="Verdana"/>
      <w:noProof/>
      <w:sz w:val="18"/>
      <w:szCs w:val="18"/>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link w:val="FootnotesymbolCharChar"/>
    <w:uiPriority w:val="99"/>
    <w:unhideWhenUsed/>
    <w:qFormat/>
    <w:rPr>
      <w:rFonts w:ascii="Verdana" w:eastAsia="Calibri" w:hAnsi="Verdana"/>
      <w:sz w:val="16"/>
      <w:vertAlign w:val="superscript"/>
    </w:rPr>
  </w:style>
  <w:style w:type="paragraph" w:customStyle="1" w:styleId="FootnotesymbolCharChar">
    <w:name w:val="Footnote symbol Char Char"/>
    <w:basedOn w:val="Normal"/>
    <w:link w:val="FootnoteReference"/>
    <w:uiPriority w:val="99"/>
    <w:pPr>
      <w:spacing w:before="120" w:after="160" w:line="240" w:lineRule="exact"/>
    </w:pPr>
    <w:rPr>
      <w:rFonts w:ascii="Verdana" w:eastAsia="Calibri" w:hAnsi="Verdana"/>
      <w:sz w:val="16"/>
      <w:szCs w:val="20"/>
      <w:vertAlign w:val="superscript"/>
    </w:rPr>
  </w:style>
  <w:style w:type="paragraph" w:styleId="FootnoteText">
    <w:name w:val="footnote text"/>
    <w:basedOn w:val="Normal"/>
    <w:link w:val="FootnoteTextChar"/>
    <w:uiPriority w:val="99"/>
    <w:unhideWhenUsed/>
    <w:qFormat/>
    <w:pPr>
      <w:tabs>
        <w:tab w:val="left" w:pos="170"/>
        <w:tab w:val="left" w:pos="198"/>
      </w:tabs>
      <w:ind w:left="170" w:hanging="170"/>
    </w:pPr>
    <w:rPr>
      <w:rFonts w:ascii="Verdana" w:hAnsi="Verdana"/>
      <w:sz w:val="16"/>
      <w:szCs w:val="20"/>
    </w:rPr>
  </w:style>
  <w:style w:type="character" w:customStyle="1" w:styleId="FootnoteTextChar">
    <w:name w:val="Footnote Text Char"/>
    <w:link w:val="FootnoteText"/>
    <w:uiPriority w:val="99"/>
    <w:rPr>
      <w:rFonts w:ascii="Verdana" w:hAnsi="Verdana"/>
      <w:sz w:val="16"/>
    </w:rPr>
  </w:style>
  <w:style w:type="table" w:customStyle="1" w:styleId="TableGrid2">
    <w:name w:val="Table Grid2"/>
    <w:basedOn w:val="TableNormal"/>
    <w:next w:val="TableGrid"/>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pPr>
      <w:ind w:left="720"/>
      <w:contextualSpacing/>
    </w:pPr>
  </w:style>
  <w:style w:type="paragraph" w:customStyle="1" w:styleId="DMETW17240BIPFAFVTSD">
    <w:name w:val="DM_ETW_17240_BIP_FAFVTSD"/>
    <w:rPr>
      <w:rFonts w:eastAsia="Calibri"/>
    </w:rPr>
  </w:style>
  <w:style w:type="paragraph" w:customStyle="1" w:styleId="Footnote">
    <w:name w:val="Footnote"/>
    <w:basedOn w:val="Normal"/>
    <w:qFormat/>
    <w:pPr>
      <w:tabs>
        <w:tab w:val="left" w:pos="284"/>
      </w:tabs>
      <w:ind w:left="284" w:hanging="284"/>
      <w:jc w:val="both"/>
    </w:pPr>
    <w:rPr>
      <w:rFonts w:ascii="Verdana" w:hAnsi="Verdana"/>
      <w:sz w:val="16"/>
      <w:szCs w:val="20"/>
    </w:rPr>
  </w:style>
  <w:style w:type="paragraph" w:customStyle="1" w:styleId="DMETW19858BIPBS">
    <w:name w:val="DM_ETW_19858_BIP_BS"/>
    <w:rPr>
      <w:rFonts w:eastAsia="Calibri"/>
    </w:rPr>
  </w:style>
  <w:style w:type="paragraph" w:customStyle="1" w:styleId="DMETW19872BIPSOFP">
    <w:name w:val="DM_ETW_19872_BIP_SOFP"/>
    <w:rPr>
      <w:rFonts w:eastAsia="Calibri"/>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Left3p">
    <w:name w:val="Text_9p_Italic_Left_3p"/>
    <w:basedOn w:val="Text9pItalicLeft"/>
    <w:qFormat/>
    <w:pPr>
      <w:spacing w:after="60"/>
    </w:pPr>
  </w:style>
  <w:style w:type="paragraph" w:customStyle="1" w:styleId="DMETW19873BIPCF">
    <w:name w:val="DM_ETW_19873_BIP_CF"/>
    <w:rPr>
      <w:rFonts w:eastAsia="Calibri"/>
    </w:rPr>
  </w:style>
  <w:style w:type="paragraph" w:customStyle="1" w:styleId="DMETW19849BIPSCNA">
    <w:name w:val="DM_ETW_19849_BIP_SCNA"/>
    <w:rPr>
      <w:rFonts w:eastAsia="Calibri"/>
    </w:rPr>
  </w:style>
  <w:style w:type="paragraph" w:customStyle="1" w:styleId="DMETW19837BIPCURR">
    <w:name w:val="DM_ETW_19837_BIP_CURR"/>
    <w:rPr>
      <w:rFonts w:eastAsia="Calibri"/>
    </w:rPr>
  </w:style>
  <w:style w:type="paragraph" w:customStyle="1" w:styleId="DMETW19837BIPDR">
    <w:name w:val="DM_ETW_19837_BIP_DR"/>
    <w:rPr>
      <w:rFonts w:eastAsia="Calibri"/>
    </w:rPr>
  </w:style>
  <w:style w:type="paragraph" w:customStyle="1" w:styleId="Text6pNormalLeft">
    <w:name w:val="Text_6p_Normal_Left"/>
    <w:qFormat/>
    <w:pPr>
      <w:pBdr>
        <w:top w:val="nil"/>
        <w:left w:val="nil"/>
        <w:bottom w:val="nil"/>
        <w:right w:val="nil"/>
        <w:between w:val="nil"/>
        <w:bar w:val="nil"/>
      </w:pBdr>
    </w:pPr>
    <w:rPr>
      <w:rFonts w:ascii="Verdana" w:eastAsia="Calibri" w:hAnsi="Verdana"/>
      <w:bCs/>
      <w:noProof/>
      <w:sz w:val="12"/>
      <w:bdr w:val="nil"/>
      <w:lang w:eastAsia="en-US"/>
    </w:rPr>
  </w:style>
  <w:style w:type="paragraph" w:customStyle="1" w:styleId="DMETW19850BIPINFA">
    <w:name w:val="DM_ETW_19850_BIP_INFA"/>
    <w:rPr>
      <w:rFonts w:eastAsia="Calibri"/>
    </w:rPr>
  </w:style>
  <w:style w:type="paragraph" w:customStyle="1" w:styleId="DMETW19850BIPEUPPE">
    <w:name w:val="DM_ETW_19850_BIP_EUPPE"/>
    <w:rPr>
      <w:rFonts w:eastAsia="Calibri"/>
    </w:rPr>
  </w:style>
  <w:style w:type="paragraph" w:customStyle="1" w:styleId="DMETW19561BIPPARTASS1">
    <w:name w:val="DM_ETW_19561_BIP_PARTASS1"/>
    <w:rPr>
      <w:rFonts w:eastAsia="Calibri"/>
    </w:rPr>
  </w:style>
  <w:style w:type="paragraph" w:customStyle="1" w:styleId="DMETW19561BIPPARTASS2">
    <w:name w:val="DM_ETW_19561_BIP_PARTASS2"/>
    <w:rPr>
      <w:rFonts w:eastAsia="Calibri"/>
    </w:rPr>
  </w:style>
  <w:style w:type="paragraph" w:customStyle="1" w:styleId="DMETW19561BIPEIF2">
    <w:name w:val="DM_ETW_19561_BIP_EIF2"/>
    <w:rPr>
      <w:rFonts w:eastAsia="Calibri"/>
    </w:rPr>
  </w:style>
  <w:style w:type="paragraph" w:customStyle="1" w:styleId="DMETW19561BIPEIF1">
    <w:name w:val="DM_ETW_19561_BIP_EIF1"/>
    <w:rPr>
      <w:rFonts w:eastAsia="Calibri"/>
    </w:rPr>
  </w:style>
  <w:style w:type="paragraph" w:customStyle="1" w:styleId="DMETW19879BIPFINA">
    <w:name w:val="DM_ETW_19879_BIP_FINA"/>
    <w:rPr>
      <w:rFonts w:eastAsia="Calibri"/>
    </w:rPr>
  </w:style>
  <w:style w:type="paragraph" w:customStyle="1" w:styleId="DMETW19879BIPAFS">
    <w:name w:val="DM_ETW_19879_BIP_AFS"/>
    <w:rPr>
      <w:rFonts w:eastAsia="Calibri"/>
    </w:rPr>
  </w:style>
  <w:style w:type="paragraph" w:customStyle="1" w:styleId="DMETW19879BIPFAFVTSD">
    <w:name w:val="DM_ETW_19879_BIP_FAFVTSD"/>
    <w:rPr>
      <w:rFonts w:eastAsia="Calibri"/>
    </w:rPr>
  </w:style>
  <w:style w:type="paragraph" w:customStyle="1" w:styleId="DMETW19879BIPFVH">
    <w:name w:val="DM_ETW_19879_BIP_FVH"/>
    <w:rPr>
      <w:rFonts w:eastAsia="Calibri"/>
    </w:rPr>
  </w:style>
  <w:style w:type="paragraph" w:customStyle="1" w:styleId="DMETW19538BIPRECOFINA">
    <w:name w:val="DM_ETW_19538_BIP_RECOFINA"/>
    <w:rPr>
      <w:rFonts w:eastAsia="Calibri"/>
    </w:rPr>
  </w:style>
  <w:style w:type="paragraph" w:customStyle="1" w:styleId="DMETW19879BIPLO">
    <w:name w:val="DM_ETW_19879_BIP_LO"/>
    <w:rPr>
      <w:rFonts w:eastAsia="Calibri"/>
    </w:rPr>
  </w:style>
  <w:style w:type="paragraph" w:customStyle="1" w:styleId="DMETW19879BIPLGFBF">
    <w:name w:val="DM_ETW_19879_BIP_LGFBF"/>
    <w:rPr>
      <w:rFonts w:eastAsia="Calibri"/>
    </w:rPr>
  </w:style>
  <w:style w:type="paragraph" w:customStyle="1" w:styleId="DMETW19879BIPBORR2">
    <w:name w:val="DM_ETW_19879_BIP_BORR2"/>
    <w:rPr>
      <w:rFonts w:eastAsia="Calibri"/>
    </w:rPr>
  </w:style>
  <w:style w:type="paragraph" w:customStyle="1" w:styleId="DMETW19879BIPIMP">
    <w:name w:val="DM_ETW_19879_BIP_IMP"/>
    <w:rPr>
      <w:rFonts w:eastAsia="Calibri"/>
    </w:rPr>
  </w:style>
  <w:style w:type="paragraph" w:customStyle="1" w:styleId="DMETW19880BIPPF">
    <w:name w:val="DM_ETW_19880_BIP_PF"/>
    <w:rPr>
      <w:rFonts w:eastAsia="Calibri"/>
    </w:rPr>
  </w:style>
  <w:style w:type="paragraph" w:customStyle="1" w:styleId="DMETW19880BIPPFD">
    <w:name w:val="DM_ETW_19880_BIP_PFD"/>
    <w:rPr>
      <w:rFonts w:eastAsia="Calibri"/>
    </w:rPr>
  </w:style>
  <w:style w:type="paragraph" w:customStyle="1" w:styleId="DMETW19540BIPFEIAS">
    <w:name w:val="DM_ETW_19540_BIP_FEIAS"/>
    <w:rPr>
      <w:rFonts w:eastAsia="Calibri"/>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DMETW19860BIPERNER">
    <w:name w:val="DM_ETW_19860_BIP_ERNER"/>
    <w:rPr>
      <w:rFonts w:eastAsia="Calibri"/>
    </w:rPr>
  </w:style>
  <w:style w:type="paragraph" w:customStyle="1" w:styleId="DMETW19860BIPRNET">
    <w:name w:val="DM_ETW_19860_BIP_RNET"/>
    <w:rPr>
      <w:rFonts w:eastAsia="Calibri"/>
    </w:rPr>
  </w:style>
  <w:style w:type="paragraph" w:customStyle="1" w:styleId="DMETW19861BIPRMS">
    <w:name w:val="DM_ETW_19861_BIP_RMS"/>
    <w:rPr>
      <w:rFonts w:eastAsia="Calibri"/>
    </w:rPr>
  </w:style>
  <w:style w:type="paragraph" w:customStyle="1" w:styleId="DMETW19860BIPUKWA">
    <w:name w:val="DM_ETW_19860_BIP_UKWA"/>
    <w:rPr>
      <w:rFonts w:eastAsia="Calibri"/>
    </w:rPr>
  </w:style>
  <w:style w:type="paragraph" w:customStyle="1" w:styleId="DMETW19860BIPOComm">
    <w:name w:val="DM_ETW_19860_BIP_OComm"/>
    <w:rPr>
      <w:rFonts w:eastAsia="Calibri"/>
    </w:rPr>
  </w:style>
  <w:style w:type="paragraph" w:customStyle="1" w:styleId="DMETW19860BIPUliab">
    <w:name w:val="DM_ETW_19860_BIP_Uliab"/>
    <w:rPr>
      <w:rFonts w:eastAsia="Calibri"/>
    </w:rPr>
  </w:style>
  <w:style w:type="paragraph" w:customStyle="1" w:styleId="DMETW19860BIPOthAm">
    <w:name w:val="DM_ETW_19860_BIP_OthAm"/>
    <w:rPr>
      <w:rFonts w:eastAsia="Calibri"/>
    </w:rPr>
  </w:style>
  <w:style w:type="paragraph" w:customStyle="1" w:styleId="DMETW19860BIPArt136">
    <w:name w:val="DM_ETW_19860_BIP_Art136"/>
    <w:rPr>
      <w:rFonts w:eastAsia="Calibri"/>
    </w:rPr>
  </w:style>
  <w:style w:type="paragraph" w:customStyle="1" w:styleId="DMETW19860BIPFINES">
    <w:name w:val="DM_ETW_19860_BIP_FINES"/>
    <w:rPr>
      <w:rFonts w:eastAsia="Calibri"/>
    </w:rPr>
  </w:style>
  <w:style w:type="paragraph" w:customStyle="1" w:styleId="DMETW19862BIPAIDC">
    <w:name w:val="DM_ETW_19862_BIP_AIDC"/>
    <w:rPr>
      <w:rFonts w:eastAsia="Calibri"/>
    </w:rPr>
  </w:style>
  <w:style w:type="paragraph" w:customStyle="1" w:styleId="DMETW19860BIPRET">
    <w:name w:val="DM_ETW_19860_BIP_RET"/>
    <w:rPr>
      <w:rFonts w:eastAsia="Calibri"/>
    </w:rPr>
  </w:style>
  <w:style w:type="paragraph" w:customStyle="1" w:styleId="DMETW19881BIPINV">
    <w:name w:val="DM_ETW_19881_BIP_INV"/>
    <w:rPr>
      <w:rFonts w:eastAsia="Calibri"/>
    </w:rPr>
  </w:style>
  <w:style w:type="paragraph" w:customStyle="1" w:styleId="DMETW19882BIPCCE">
    <w:name w:val="DM_ETW_19882_BIP_CCE"/>
    <w:rPr>
      <w:rFonts w:eastAsia="Calibri"/>
    </w:rPr>
  </w:style>
  <w:style w:type="paragraph" w:customStyle="1" w:styleId="DMETW19883BIPPENS1">
    <w:name w:val="DM_ETW_19883_BIP_PENS1"/>
    <w:rPr>
      <w:rFonts w:eastAsia="Calibri"/>
    </w:rPr>
  </w:style>
  <w:style w:type="paragraph" w:customStyle="1" w:styleId="DMETW19883BIPPENS2">
    <w:name w:val="DM_ETW_19883_BIP_PENS2"/>
    <w:rPr>
      <w:rFonts w:eastAsia="Calibri"/>
    </w:rPr>
  </w:style>
  <w:style w:type="paragraph" w:customStyle="1" w:styleId="DMETW19883BIPPENS3">
    <w:name w:val="DM_ETW_19883_BIP_PENS3"/>
    <w:rPr>
      <w:rFonts w:eastAsia="Calibri"/>
    </w:rPr>
  </w:style>
  <w:style w:type="paragraph" w:customStyle="1" w:styleId="DMETW19883BIPSPL">
    <w:name w:val="DM_ETW_19883_BIP_SPL"/>
    <w:rPr>
      <w:rFonts w:eastAsia="Calibri"/>
    </w:rPr>
  </w:style>
  <w:style w:type="paragraph" w:customStyle="1" w:styleId="DMETW19883BIPPENS10">
    <w:name w:val="DM_ETW_19883_BIP_PENS10"/>
    <w:rPr>
      <w:rFonts w:eastAsia="Calibri"/>
    </w:rPr>
  </w:style>
  <w:style w:type="paragraph" w:customStyle="1" w:styleId="DMETW19883BIPPENS11">
    <w:name w:val="DM_ETW_19883_BIP_PENS11"/>
    <w:rPr>
      <w:rFonts w:eastAsia="Calibri"/>
    </w:rPr>
  </w:style>
  <w:style w:type="paragraph" w:customStyle="1" w:styleId="DMETW19883BIPPENS12">
    <w:name w:val="DM_ETW_19883_BIP_PENS12"/>
    <w:rPr>
      <w:rFonts w:eastAsia="Calibri"/>
    </w:rPr>
  </w:style>
  <w:style w:type="paragraph" w:customStyle="1" w:styleId="DMETW19883BIPPENS6">
    <w:name w:val="DM_ETW_19883_BIP_PENS6"/>
    <w:rPr>
      <w:rFonts w:eastAsia="Calibri"/>
    </w:rPr>
  </w:style>
  <w:style w:type="paragraph" w:customStyle="1" w:styleId="DMETW19883BIPPENS7">
    <w:name w:val="DM_ETW_19883_BIP_PENS7"/>
    <w:rPr>
      <w:rFonts w:eastAsia="Calibri"/>
    </w:rPr>
  </w:style>
  <w:style w:type="paragraph" w:customStyle="1" w:styleId="DMETW19883BIPPENS8">
    <w:name w:val="DM_ETW_19883_BIP_PENS8"/>
    <w:rPr>
      <w:rFonts w:eastAsia="Calibri"/>
    </w:rPr>
  </w:style>
  <w:style w:type="paragraph" w:customStyle="1" w:styleId="DMETW19883BIPPENS9">
    <w:name w:val="DM_ETW_19883_BIP_PENS9"/>
    <w:rPr>
      <w:rFonts w:eastAsia="Calibri"/>
    </w:rPr>
  </w:style>
  <w:style w:type="paragraph" w:customStyle="1" w:styleId="DMETW19884BIPPROV">
    <w:name w:val="DM_ETW_19884_BIP_PROV"/>
    <w:rPr>
      <w:rFonts w:eastAsia="Calibri"/>
    </w:rPr>
  </w:style>
  <w:style w:type="paragraph" w:customStyle="1" w:styleId="DMETW19885BIPFINL">
    <w:name w:val="DM_ETW_19885_BIP_FINL"/>
    <w:rPr>
      <w:rFonts w:eastAsia="Calibri"/>
    </w:rPr>
  </w:style>
  <w:style w:type="paragraph" w:customStyle="1" w:styleId="DMETW19885BIPFLB">
    <w:name w:val="DM_ETW_19885_BIP_FLB"/>
    <w:rPr>
      <w:rFonts w:eastAsia="Calibri"/>
    </w:rPr>
  </w:style>
  <w:style w:type="paragraph" w:customStyle="1" w:styleId="DMETW19885BIPLGFBF">
    <w:name w:val="DM_ETW_19885_BIP_LGFBF"/>
    <w:rPr>
      <w:rFonts w:eastAsia="Calibri"/>
    </w:rPr>
  </w:style>
  <w:style w:type="paragraph" w:customStyle="1" w:styleId="DMETW19885BIPBORR3">
    <w:name w:val="DM_ETW_19885_BIP_BORR3"/>
    <w:rPr>
      <w:rFonts w:eastAsia="Calibri"/>
    </w:rPr>
  </w:style>
  <w:style w:type="paragraph" w:customStyle="1" w:styleId="DMETW19886BIPOFL">
    <w:name w:val="DM_ETW_19886_BIP_OFL"/>
    <w:rPr>
      <w:rFonts w:eastAsia="Calibri"/>
    </w:r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9pNormalRight025">
    <w:name w:val="Heading_9p_Normal_Right_0.25"/>
    <w:basedOn w:val="Heading9pNormalCentered"/>
    <w:qFormat/>
    <w:pPr>
      <w:ind w:right="142"/>
      <w:jc w:val="right"/>
    </w:pPr>
  </w:style>
  <w:style w:type="paragraph" w:customStyle="1" w:styleId="DMETW19887BIPFL">
    <w:name w:val="DM_ETW_19887_BIP_FL"/>
    <w:rPr>
      <w:rFonts w:eastAsia="Calibri"/>
    </w:rPr>
  </w:style>
  <w:style w:type="paragraph" w:customStyle="1" w:styleId="DMETW19544BIPNOTIONALFL">
    <w:name w:val="DM_ETW_19544_BIP_NOTIONALFL"/>
    <w:rPr>
      <w:rFonts w:eastAsia="Calibri"/>
    </w:rPr>
  </w:style>
  <w:style w:type="paragraph" w:customStyle="1" w:styleId="DMETW19544BIPFVH">
    <w:name w:val="DM_ETW_19544_BIP_FVH"/>
    <w:rPr>
      <w:rFonts w:eastAsia="Calibri"/>
    </w:rPr>
  </w:style>
  <w:style w:type="paragraph" w:customStyle="1" w:styleId="DMETW19863BIPPAYAB">
    <w:name w:val="DM_ETW_19863_BIP_PAYAB"/>
    <w:rPr>
      <w:rFonts w:eastAsia="Calibri"/>
    </w:rPr>
  </w:style>
  <w:style w:type="paragraph" w:customStyle="1" w:styleId="DMETW19888BIPACCDEF">
    <w:name w:val="DM_ETW_19888_BIP_ACCDEF"/>
    <w:rPr>
      <w:rFonts w:eastAsia="Calibri"/>
    </w:rPr>
  </w:style>
  <w:style w:type="paragraph" w:customStyle="1" w:styleId="DMETW19888BIPACDISPLIT">
    <w:name w:val="DM_ETW_19888_BIP_ACDISPLIT"/>
    <w:rPr>
      <w:rFonts w:eastAsia="Calibri"/>
    </w:rPr>
  </w:style>
  <w:style w:type="paragraph" w:customStyle="1" w:styleId="DMETW19889BIPRES">
    <w:name w:val="DM_ETW_19889_BIP_RES"/>
    <w:rPr>
      <w:rFonts w:eastAsia="Calibri"/>
    </w:rPr>
  </w:style>
  <w:style w:type="paragraph" w:customStyle="1" w:styleId="DMETW19889BIPFVMAFS">
    <w:name w:val="DM_ETW_19889_BIP_FVMAFS"/>
    <w:rPr>
      <w:rFonts w:eastAsia="Calibri"/>
    </w:rPr>
  </w:style>
  <w:style w:type="paragraph" w:customStyle="1" w:styleId="DMETW19889BIPMEMST1">
    <w:name w:val="DM_ETW_19889_BIP_MEMST1"/>
    <w:rPr>
      <w:rFonts w:eastAsia="Calibri"/>
    </w:rPr>
  </w:style>
  <w:style w:type="paragraph" w:customStyle="1" w:styleId="DMETW19891BIPRECOVEXP">
    <w:name w:val="DM_ETW_19891_BIP_RECOVEXP"/>
    <w:rPr>
      <w:rFonts w:eastAsia="Calibri"/>
    </w:rPr>
  </w:style>
  <w:style w:type="paragraph" w:customStyle="1" w:styleId="DMETW19864BIPONER">
    <w:name w:val="DM_ETW_19864_BIP_ONER"/>
    <w:rPr>
      <w:rFonts w:eastAsia="Calibri"/>
    </w:rPr>
  </w:style>
  <w:style w:type="paragraph" w:customStyle="1" w:styleId="DMETW19874BIPFINREV">
    <w:name w:val="DM_ETW_19874_BIP_FINREV"/>
    <w:rPr>
      <w:rFonts w:eastAsia="Calibri"/>
    </w:rPr>
  </w:style>
  <w:style w:type="paragraph" w:customStyle="1" w:styleId="DMETW19892BIPOER">
    <w:name w:val="DM_ETW_19892_BIP_OER"/>
    <w:rPr>
      <w:rFonts w:eastAsia="Calibri"/>
    </w:rPr>
  </w:style>
  <w:style w:type="paragraph" w:customStyle="1" w:styleId="DMETW19487BIPSM">
    <w:name w:val="DM_ETW_19487_BIP_SM"/>
    <w:rPr>
      <w:rFonts w:eastAsia="Calibri"/>
    </w:rPr>
  </w:style>
  <w:style w:type="paragraph" w:customStyle="1" w:styleId="DMETW19865BIPDM">
    <w:name w:val="DM_ETW_19865_BIP_DM"/>
    <w:rPr>
      <w:rFonts w:eastAsia="Calibri"/>
    </w:rPr>
  </w:style>
  <w:style w:type="paragraph" w:customStyle="1" w:styleId="DMETW19865BIPIM">
    <w:name w:val="DM_ETW_19865_BIP_IM"/>
    <w:rPr>
      <w:rFonts w:eastAsia="Calibri"/>
    </w:rPr>
  </w:style>
  <w:style w:type="paragraph" w:customStyle="1" w:styleId="DMETW19893BIPSPC">
    <w:name w:val="DM_ETW_19893_BIP_SPC"/>
    <w:rPr>
      <w:rFonts w:eastAsia="Calibri"/>
    </w:rPr>
  </w:style>
  <w:style w:type="paragraph" w:customStyle="1" w:styleId="DMETW19875BIPFINEXP">
    <w:name w:val="DM_ETW_19875_BIP_FINEXP"/>
    <w:rPr>
      <w:rFonts w:eastAsia="Calibri"/>
    </w:rPr>
  </w:style>
  <w:style w:type="paragraph" w:customStyle="1" w:styleId="DMETW19866BIPOE">
    <w:name w:val="DM_ETW_19866_BIP_OE"/>
    <w:rPr>
      <w:rFonts w:eastAsia="Calibri"/>
    </w:rPr>
  </w:style>
  <w:style w:type="paragraph" w:customStyle="1" w:styleId="DMETW19866BIPRD">
    <w:name w:val="DM_ETW_19866_BIP_RD"/>
    <w:rPr>
      <w:rFonts w:eastAsia="Calibri"/>
    </w:rPr>
  </w:style>
  <w:style w:type="paragraph" w:customStyle="1" w:styleId="DMETW19867BIPSEGREP">
    <w:name w:val="DM_ETW_19867_BIP_SEGREP"/>
    <w:rPr>
      <w:rFonts w:eastAsia="Calibri"/>
    </w:rPr>
  </w:style>
  <w:style w:type="paragraph" w:customStyle="1" w:styleId="DMETW19550BIPGUAR">
    <w:name w:val="DM_ETW_19550_BIP_GUAR"/>
    <w:rPr>
      <w:rFonts w:eastAsia="Calibri"/>
    </w:rPr>
  </w:style>
  <w:style w:type="paragraph" w:customStyle="1" w:styleId="DMETW19549BIPGUARFA">
    <w:name w:val="DM_ETW_19549_BIP_GUARFA"/>
    <w:rPr>
      <w:rFonts w:eastAsia="Calibri"/>
    </w:rPr>
  </w:style>
  <w:style w:type="paragraph" w:customStyle="1" w:styleId="DMETW19549BIPINSGUA">
    <w:name w:val="DM_ETW_19549_BIP_INSGUA"/>
    <w:rPr>
      <w:rFonts w:eastAsia="Calibri"/>
    </w:rPr>
  </w:style>
  <w:style w:type="paragraph" w:customStyle="1" w:styleId="DMETW19877BIPCL">
    <w:name w:val="DM_ETW_19877_BIP_CL"/>
    <w:rPr>
      <w:rFonts w:eastAsia="Calibri"/>
    </w:rPr>
  </w:style>
  <w:style w:type="paragraph" w:customStyle="1" w:styleId="Heading9pNormalLeft">
    <w:name w:val="Heading_9p_Normal_Left"/>
    <w:basedOn w:val="Heading9pNormalCentered"/>
    <w:qFormat/>
    <w:pPr>
      <w:jc w:val="left"/>
    </w:pPr>
  </w:style>
  <w:style w:type="paragraph" w:customStyle="1" w:styleId="DMETW19877BIPCA">
    <w:name w:val="DM_ETW_19877_BIP_CA"/>
    <w:rPr>
      <w:rFonts w:eastAsia="Calibri"/>
    </w:rPr>
  </w:style>
  <w:style w:type="paragraph" w:customStyle="1" w:styleId="DMETW19878BIPOBULEG">
    <w:name w:val="DM_ETW_19878_BIP_OBULEG"/>
    <w:rPr>
      <w:rFonts w:eastAsia="Calibri"/>
    </w:rPr>
  </w:style>
  <w:style w:type="paragraph" w:customStyle="1" w:styleId="DMETW19878BIPOCNYE">
    <w:name w:val="DM_ETW_19878_BIP_OCNYE"/>
    <w:rPr>
      <w:rFonts w:eastAsia="Calibri"/>
    </w:rPr>
  </w:style>
  <w:style w:type="paragraph" w:customStyle="1" w:styleId="DMETW19552BIPSTRUCAC">
    <w:name w:val="DM_ETW_19552_BIP_STRUCAC"/>
    <w:rPr>
      <w:rFonts w:eastAsia="Calibri"/>
    </w:rPr>
  </w:style>
  <w:style w:type="paragraph" w:customStyle="1" w:styleId="DMETW19878BIPLEGCOM">
    <w:name w:val="DM_ETW_19878_BIP_LEGCOM"/>
    <w:rPr>
      <w:rFonts w:eastAsia="Calibri"/>
    </w:rPr>
  </w:style>
  <w:style w:type="paragraph" w:customStyle="1" w:styleId="DMETW19876BIPPPERE">
    <w:name w:val="DM_ETW_19876_BIP_PPERE"/>
    <w:rPr>
      <w:rFonts w:eastAsia="Calibri"/>
    </w:rPr>
  </w:style>
  <w:style w:type="paragraph" w:customStyle="1" w:styleId="Heading7pNormalCentered">
    <w:name w:val="Heading_7p_Normal_Centered"/>
    <w:basedOn w:val="Heading8pNormalCentered"/>
    <w:qFormat/>
    <w:rPr>
      <w:sz w:val="14"/>
    </w:rPr>
  </w:style>
  <w:style w:type="paragraph" w:customStyle="1" w:styleId="DMETW19868BIPCRCY">
    <w:name w:val="DM_ETW_19868_BIP_CRCY"/>
    <w:rPr>
      <w:rFonts w:eastAsia="Calibri"/>
    </w:rPr>
  </w:style>
  <w:style w:type="paragraph" w:customStyle="1" w:styleId="DMETW19868BIPCRPY">
    <w:name w:val="DM_ETW_19868_BIP_CRPY"/>
    <w:rPr>
      <w:rFonts w:eastAsia="Calibri"/>
    </w:rPr>
  </w:style>
  <w:style w:type="paragraph" w:customStyle="1" w:styleId="DMETW19868BIPSDS">
    <w:name w:val="DM_ETW_19868_BIP_SDS"/>
    <w:rPr>
      <w:rFonts w:eastAsia="Calibri"/>
    </w:rPr>
  </w:style>
  <w:style w:type="paragraph" w:customStyle="1" w:styleId="DMETW19868BIPNAS">
    <w:name w:val="DM_ETW_19868_BIP_NAS"/>
    <w:rPr>
      <w:rFonts w:eastAsia="Calibri"/>
    </w:rPr>
  </w:style>
  <w:style w:type="paragraph" w:customStyle="1" w:styleId="DMETW19868BIPSDW">
    <w:name w:val="DM_ETW_19868_BIP_SDW"/>
    <w:rPr>
      <w:rFonts w:eastAsia="Calibri"/>
    </w:rPr>
  </w:style>
  <w:style w:type="paragraph" w:customStyle="1" w:styleId="DMETW19868BIPNAW">
    <w:name w:val="DM_ETW_19868_BIP_NAW"/>
    <w:rPr>
      <w:rFonts w:eastAsia="Calibri"/>
    </w:rPr>
  </w:style>
  <w:style w:type="paragraph" w:customStyle="1" w:styleId="DMETW19869BIPIRR">
    <w:name w:val="DM_ETW_19869_BIP_IRR"/>
    <w:rPr>
      <w:rFonts w:eastAsia="Calibri"/>
    </w:rPr>
  </w:style>
  <w:style w:type="paragraph" w:customStyle="1" w:styleId="DMETW19870BIPCDTR">
    <w:name w:val="DM_ETW_19870_BIP_CDTR"/>
    <w:rPr>
      <w:rFonts w:eastAsia="Calibri"/>
    </w:rPr>
  </w:style>
  <w:style w:type="paragraph" w:customStyle="1" w:styleId="DMETW19870BIPFARCCY">
    <w:name w:val="DM_ETW_19870_BIP_FARCCY"/>
    <w:rPr>
      <w:rFonts w:eastAsia="Calibri"/>
    </w:rPr>
  </w:style>
  <w:style w:type="paragraph" w:customStyle="1" w:styleId="DMETW19870BIPFARCPY">
    <w:name w:val="DM_ETW_19870_BIP_FARCPY"/>
    <w:rPr>
      <w:rFonts w:eastAsia="Calibri"/>
    </w:rPr>
  </w:style>
  <w:style w:type="paragraph" w:customStyle="1" w:styleId="DMETW19871BIPLR">
    <w:name w:val="DM_ETW_19871_BIP_LR"/>
    <w:rPr>
      <w:rFonts w:eastAsia="Calibri"/>
    </w:rPr>
  </w:style>
  <w:style w:type="paragraph" w:customStyle="1" w:styleId="DMETW19530BIPFLA">
    <w:name w:val="DM_ETW_19530_BIP_FLA"/>
    <w:rPr>
      <w:rFonts w:eastAsia="Calibri"/>
    </w:rPr>
  </w:style>
  <w:style w:type="paragraph" w:customStyle="1" w:styleId="DMETW19854BIPKM">
    <w:name w:val="DM_ETW_19854_BIP_KM"/>
    <w:rPr>
      <w:rFonts w:eastAsia="Calibri"/>
    </w:rPr>
  </w:style>
  <w:style w:type="paragraph" w:customStyle="1" w:styleId="DMETW19855BIPCE">
    <w:name w:val="DM_ETW_19855_BIP_CE"/>
    <w:rPr>
      <w:rFonts w:eastAsia="Calibri"/>
    </w:rPr>
  </w:style>
  <w:style w:type="paragraph" w:customStyle="1" w:styleId="DMETW19805BIPBudgetresult">
    <w:name w:val="DM_ETW_19805_BIP_Budget_result"/>
    <w:rPr>
      <w:rFonts w:eastAsia="Calibri"/>
    </w:rPr>
  </w:style>
  <w:style w:type="paragraph" w:customStyle="1" w:styleId="DMETW19805BIPStatementofcomparisonRevenue">
    <w:name w:val="DM_ETW_19805_BIP_Statement_of_comparison_Revenue"/>
    <w:rPr>
      <w:rFonts w:eastAsia="Calibri"/>
    </w:rPr>
  </w:style>
  <w:style w:type="paragraph" w:customStyle="1" w:styleId="DMETW19805BIPStatementofcomparisonCommitments">
    <w:name w:val="DM_ETW_19805_BIP_Statement_of_comparison_Commitments"/>
    <w:rPr>
      <w:rFonts w:eastAsia="Calibri"/>
    </w:rPr>
  </w:style>
  <w:style w:type="paragraph" w:customStyle="1" w:styleId="DMETW19805BIPStatementofcomparisonPayments">
    <w:name w:val="DM_ETW_19805_BIP_Statement_of_comparison_Payments"/>
    <w:rPr>
      <w:rFonts w:eastAsia="Calibri"/>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ItalicRight025">
    <w:name w:val="Text_7p_Italic_Right_0.25"/>
    <w:basedOn w:val="Text8pItalicRight025EUR"/>
    <w:qFormat/>
    <w:rPr>
      <w:sz w:val="14"/>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pBdr>
        <w:top w:val="nil"/>
        <w:left w:val="nil"/>
        <w:bottom w:val="nil"/>
        <w:right w:val="nil"/>
        <w:between w:val="nil"/>
        <w:bar w:val="nil"/>
      </w:pBdr>
      <w:ind w:right="57"/>
      <w:jc w:val="right"/>
    </w:pPr>
    <w:rPr>
      <w:rFonts w:ascii="Verdana" w:eastAsia="Calibri" w:hAnsi="Verdana"/>
      <w:noProof/>
      <w:sz w:val="12"/>
      <w:szCs w:val="18"/>
      <w:bdr w:val="nil"/>
      <w:lang w:eastAsia="en-US"/>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Figures7pItalicRight025">
    <w:name w:val="Figures_7p_Italic_Right_0.25"/>
    <w:basedOn w:val="Figures8pItalicRight025"/>
    <w:qFormat/>
    <w:rPr>
      <w:sz w:val="14"/>
    </w:rPr>
  </w:style>
  <w:style w:type="paragraph" w:customStyle="1" w:styleId="Figures6pItalicRight01">
    <w:name w:val="Figures_6p_Italic_Right_0.1"/>
    <w:basedOn w:val="Figures7pItalicRight025"/>
    <w:qFormat/>
    <w:pPr>
      <w:ind w:right="57"/>
    </w:pPr>
    <w:rPr>
      <w:sz w:val="12"/>
      <w:szCs w:val="12"/>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Figures6pBoldRight01">
    <w:name w:val="Figures_6p_Bold_Right_0.1"/>
    <w:basedOn w:val="Figures7pBoldRight025"/>
    <w:qFormat/>
    <w:pPr>
      <w:ind w:right="57"/>
    </w:pPr>
    <w:rPr>
      <w:sz w:val="12"/>
      <w:szCs w:val="12"/>
    </w:rPr>
  </w:style>
  <w:style w:type="paragraph" w:customStyle="1" w:styleId="DMETW19782BIPReconciliation">
    <w:name w:val="DM_ETW_19782_BIP_Reconciliation"/>
    <w:rPr>
      <w:rFonts w:eastAsia="Calibri"/>
    </w:rPr>
  </w:style>
  <w:style w:type="paragraph" w:customStyle="1" w:styleId="DMETW19856BIPImplementationbudgetrevenue">
    <w:name w:val="DM_ETW_19856_BIP_Implementation_budget_revenue"/>
    <w:rPr>
      <w:rFonts w:eastAsia="Calibri"/>
    </w:rPr>
  </w:style>
  <w:style w:type="paragraph" w:customStyle="1" w:styleId="DMETW19857BIPMFF1BreakdownCommPaym">
    <w:name w:val="DM_ETW_19857_BIP_MFF_1_Breakdown_Comm_Paym"/>
    <w:rPr>
      <w:rFonts w:eastAsia="Calibri"/>
    </w:rPr>
  </w:style>
  <w:style w:type="paragraph" w:customStyle="1" w:styleId="DMETW19857BIPMFF2ImplementCommitments">
    <w:name w:val="DM_ETW_19857_BIP_MFF_2_Implement_Commitments"/>
    <w:rPr>
      <w:rFonts w:eastAsia="Calibri"/>
    </w:rPr>
  </w:style>
  <w:style w:type="paragraph" w:customStyle="1" w:styleId="DMETW19857BIPMFF3ImplementPayments">
    <w:name w:val="DM_ETW_19857_BIP_MFF_3_Implement_Payments"/>
    <w:rPr>
      <w:rFonts w:eastAsia="Calibri"/>
    </w:rPr>
  </w:style>
  <w:style w:type="paragraph" w:customStyle="1" w:styleId="DMETW19857BIPMFF4Commitmentsoustanding">
    <w:name w:val="DM_ETW_19857_BIP_MFF_4_Commitments_oustanding"/>
    <w:rPr>
      <w:rFonts w:eastAsia="Calibri"/>
    </w:rPr>
  </w:style>
  <w:style w:type="paragraph" w:customStyle="1" w:styleId="DMETW19857BIPMFF5RALYoO">
    <w:name w:val="DM_ETW_19857_BIP_MFF_5_RAL_YoO"/>
    <w:rPr>
      <w:rFonts w:eastAsia="Calibri"/>
    </w:rPr>
  </w:style>
  <w:style w:type="paragraph" w:customStyle="1" w:styleId="DMETW19857BIPRALbyTypebyHeading">
    <w:name w:val="DM_ETW_19857_BIP_RAL_by_Type_by_Heading"/>
    <w:rPr>
      <w:rFonts w:eastAsia="Calibri"/>
    </w:rPr>
  </w:style>
  <w:style w:type="paragraph" w:customStyle="1" w:styleId="DMETW19857BIPDetailedMFF1Breakdown">
    <w:name w:val="DM_ETW_19857_BIP_DetailedMFF_1_Breakdown"/>
    <w:rPr>
      <w:rFonts w:eastAsia="Calibri"/>
    </w:rPr>
  </w:style>
  <w:style w:type="paragraph" w:customStyle="1" w:styleId="DMETW19857BIPDetailedMFF2ImplementCommitments">
    <w:name w:val="DM_ETW_19857_BIP_DetailedMFF_2_Implement_Commitments"/>
    <w:rPr>
      <w:rFonts w:eastAsia="Calibri"/>
    </w:rPr>
  </w:style>
  <w:style w:type="paragraph" w:customStyle="1" w:styleId="DMETW19857BIPDetailedMFF3ImplementPayments">
    <w:name w:val="DM_ETW_19857_BIP_DetailedMFF_3_Implement_Payments"/>
    <w:rPr>
      <w:rFonts w:eastAsia="Calibri"/>
    </w:rPr>
  </w:style>
  <w:style w:type="paragraph" w:customStyle="1" w:styleId="DMETW19857BIPDetailedMFF4Commitmentsoustanding">
    <w:name w:val="DM_ETW_19857_BIP_DetailedMFF_4_Commitments_oustanding"/>
    <w:rPr>
      <w:rFonts w:eastAsia="Calibri"/>
    </w:rPr>
  </w:style>
  <w:style w:type="paragraph" w:customStyle="1" w:styleId="DMETW19857BIPDetailedMFF5RALYoO">
    <w:name w:val="DM_ETW_19857_BIP_DetailedMFF_5_RAL_YoO"/>
    <w:rPr>
      <w:rFonts w:eastAsia="Calibri"/>
    </w:rPr>
  </w:style>
  <w:style w:type="paragraph" w:customStyle="1" w:styleId="DMETW19857BIPRALbyTypebyProgramme">
    <w:name w:val="DM_ETW_19857_BIP_RAL_by_Type_by_Programme"/>
    <w:rPr>
      <w:rFonts w:eastAsia="Calibri"/>
    </w:rPr>
  </w:style>
  <w:style w:type="paragraph" w:customStyle="1" w:styleId="DMETW19895BIPInstitutions1Revenue">
    <w:name w:val="DM_ETW_19895_BIP_Institutions_1_Revenue"/>
    <w:rPr>
      <w:rFonts w:eastAsia="Calibri"/>
    </w:rPr>
  </w:style>
  <w:style w:type="paragraph" w:customStyle="1" w:styleId="DMETW19895BIPInstitutions2Commitments">
    <w:name w:val="DM_ETW_19895_BIP_Institutions_2_Commitments"/>
    <w:rPr>
      <w:rFonts w:eastAsia="Calibri"/>
    </w:rPr>
  </w:style>
  <w:style w:type="paragraph" w:customStyle="1" w:styleId="DMETW19895BIPInstitutions3Payments">
    <w:name w:val="DM_ETW_19895_BIP_Institutions_3_Payments"/>
    <w:rPr>
      <w:rFonts w:eastAsia="Calibri"/>
    </w:rPr>
  </w:style>
  <w:style w:type="paragraph" w:customStyle="1" w:styleId="DMETW19895BIPAgencies2TypeofRevenue">
    <w:name w:val="DM_ETW_19895_BIP_Agencies_2_Type_of_Revenue"/>
    <w:rPr>
      <w:rFonts w:eastAsia="Calibri"/>
    </w:rPr>
  </w:style>
  <w:style w:type="paragraph" w:customStyle="1" w:styleId="DMETW19895BIPAgencies3CommitmentsPayments">
    <w:name w:val="DM_ETW_19895_BIP_Agencies_3_Commitments_Payments"/>
    <w:rPr>
      <w:rFonts w:eastAsia="Calibri"/>
    </w:rPr>
  </w:style>
  <w:style w:type="paragraph" w:customStyle="1" w:styleId="DMETW19895BIPAgencies4TypeofExpenditure">
    <w:name w:val="DM_ETW_19895_BIP_Agencies_4_Type_of_Expenditure"/>
    <w:rPr>
      <w:rFonts w:eastAsia="Calibri"/>
    </w:rPr>
  </w:style>
  <w:style w:type="character" w:customStyle="1" w:styleId="st1">
    <w:name w:val="st1"/>
    <w:basedOn w:val="DefaultParagraphFont"/>
  </w:style>
  <w:style w:type="paragraph" w:customStyle="1" w:styleId="Pagedecouverture">
    <w:name w:val="Page de couverture"/>
    <w:basedOn w:val="Normal"/>
    <w:next w:val="Normal"/>
    <w:pPr>
      <w:jc w:val="both"/>
    </w:pPr>
    <w:rPr>
      <w:rFonts w:eastAsia="Calibr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link w:val="CoverPage"/>
    <w:rPr>
      <w:rFonts w:ascii="Verdana" w:hAnsi="Verdana"/>
      <w:color w:val="016794"/>
      <w:sz w:val="52"/>
      <w:szCs w:val="52"/>
    </w:rPr>
  </w:style>
  <w:style w:type="character" w:customStyle="1" w:styleId="FooterCoverPageChar">
    <w:name w:val="Footer Cover Page Char"/>
    <w:link w:val="FooterCoverPage"/>
    <w:rPr>
      <w:rFonts w:ascii="Times New Roman" w:hAnsi="Times New Roman"/>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link w:val="FooterSensitivity"/>
    <w:rPr>
      <w:rFonts w:ascii="Times New Roman" w:hAnsi="Times New Roman"/>
      <w:b/>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link w:val="HeaderCoverPage"/>
    <w:rPr>
      <w:rFonts w:ascii="Times New Roman" w:hAnsi="Times New Roman"/>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link w:val="HeaderSensitivity"/>
    <w:rPr>
      <w:rFonts w:ascii="Times New Roman" w:hAnsi="Times New Roman"/>
      <w:b/>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link w:val="HeaderSensitivityRight"/>
    <w:rPr>
      <w:rFonts w:ascii="Times New Roman" w:hAnsi="Times New Roman"/>
      <w:sz w:val="28"/>
      <w:szCs w:val="24"/>
    </w:rPr>
  </w:style>
  <w:style w:type="paragraph" w:customStyle="1" w:styleId="DMETW19895BIPAgencies1Revenue">
    <w:name w:val="DM_ETW_19895_BIP_Agencies_1_Revenue"/>
    <w:rPr>
      <w:rFonts w:eastAsia="Calibri"/>
    </w:rPr>
  </w:style>
  <w:style w:type="paragraph" w:customStyle="1" w:styleId="HEADER3Part4">
    <w:name w:val="HEADER 3_Part 4"/>
    <w:basedOn w:val="HEADER3Part3"/>
    <w:qFormat/>
    <w:pPr>
      <w:numPr>
        <w:ilvl w:val="0"/>
        <w:numId w:val="0"/>
      </w:numPr>
      <w:ind w:left="907" w:hanging="907"/>
    </w:pPr>
  </w:style>
  <w:style w:type="paragraph" w:styleId="NormalWeb">
    <w:name w:val="Normal (Web)"/>
    <w:basedOn w:val="Normal"/>
    <w:uiPriority w:val="99"/>
    <w:semiHidden/>
    <w:unhideWhenUsed/>
    <w:pPr>
      <w:spacing w:before="100" w:beforeAutospacing="1" w:after="100" w:afterAutospacing="1"/>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header" Target="header44.xml"/><Relationship Id="rId299" Type="http://schemas.openxmlformats.org/officeDocument/2006/relationships/footer" Target="footer134.xml"/><Relationship Id="rId21" Type="http://schemas.openxmlformats.org/officeDocument/2006/relationships/header" Target="header6.xml"/><Relationship Id="rId63" Type="http://schemas.openxmlformats.org/officeDocument/2006/relationships/header" Target="header17.xml"/><Relationship Id="rId159" Type="http://schemas.openxmlformats.org/officeDocument/2006/relationships/header" Target="header65.xml"/><Relationship Id="rId324" Type="http://schemas.openxmlformats.org/officeDocument/2006/relationships/header" Target="header147.xml"/><Relationship Id="rId366" Type="http://schemas.openxmlformats.org/officeDocument/2006/relationships/header" Target="header168.xml"/><Relationship Id="rId170" Type="http://schemas.openxmlformats.org/officeDocument/2006/relationships/header" Target="header70.xml"/><Relationship Id="rId226" Type="http://schemas.openxmlformats.org/officeDocument/2006/relationships/footer" Target="footer97.xml"/><Relationship Id="rId268" Type="http://schemas.openxmlformats.org/officeDocument/2006/relationships/footer" Target="footer118.xml"/><Relationship Id="rId32" Type="http://schemas.openxmlformats.org/officeDocument/2006/relationships/image" Target="media/image5.png"/><Relationship Id="rId74" Type="http://schemas.openxmlformats.org/officeDocument/2006/relationships/header" Target="header22.xml"/><Relationship Id="rId128" Type="http://schemas.openxmlformats.org/officeDocument/2006/relationships/header" Target="header49.xml"/><Relationship Id="rId335" Type="http://schemas.openxmlformats.org/officeDocument/2006/relationships/footer" Target="footer152.xml"/><Relationship Id="rId377" Type="http://schemas.openxmlformats.org/officeDocument/2006/relationships/footer" Target="footer173.xml"/><Relationship Id="rId5" Type="http://schemas.microsoft.com/office/2007/relationships/stylesWithEffects" Target="stylesWithEffects.xml"/><Relationship Id="rId181" Type="http://schemas.openxmlformats.org/officeDocument/2006/relationships/footer" Target="footer75.xml"/><Relationship Id="rId237" Type="http://schemas.openxmlformats.org/officeDocument/2006/relationships/header" Target="header104.xml"/><Relationship Id="rId402" Type="http://schemas.openxmlformats.org/officeDocument/2006/relationships/header" Target="header186.xml"/><Relationship Id="rId279" Type="http://schemas.openxmlformats.org/officeDocument/2006/relationships/header" Target="header125.xml"/><Relationship Id="rId22" Type="http://schemas.openxmlformats.org/officeDocument/2006/relationships/footer" Target="footer6.xml"/><Relationship Id="rId43" Type="http://schemas.openxmlformats.org/officeDocument/2006/relationships/image" Target="media/image16.png"/><Relationship Id="rId64" Type="http://schemas.openxmlformats.org/officeDocument/2006/relationships/footer" Target="footer16.xml"/><Relationship Id="rId118" Type="http://schemas.openxmlformats.org/officeDocument/2006/relationships/footer" Target="footer43.xml"/><Relationship Id="rId139" Type="http://schemas.openxmlformats.org/officeDocument/2006/relationships/footer" Target="footer54.xml"/><Relationship Id="rId290" Type="http://schemas.openxmlformats.org/officeDocument/2006/relationships/header" Target="header130.xml"/><Relationship Id="rId304" Type="http://schemas.openxmlformats.org/officeDocument/2006/relationships/footer" Target="footer136.xml"/><Relationship Id="rId325" Type="http://schemas.openxmlformats.org/officeDocument/2006/relationships/footer" Target="footer147.xml"/><Relationship Id="rId346" Type="http://schemas.openxmlformats.org/officeDocument/2006/relationships/footer" Target="footer157.xml"/><Relationship Id="rId367" Type="http://schemas.openxmlformats.org/officeDocument/2006/relationships/footer" Target="footer168.xml"/><Relationship Id="rId388" Type="http://schemas.openxmlformats.org/officeDocument/2006/relationships/footer" Target="footer178.xml"/><Relationship Id="rId85" Type="http://schemas.openxmlformats.org/officeDocument/2006/relationships/footer" Target="footer27.xml"/><Relationship Id="rId150" Type="http://schemas.openxmlformats.org/officeDocument/2006/relationships/header" Target="header60.xml"/><Relationship Id="rId171" Type="http://schemas.openxmlformats.org/officeDocument/2006/relationships/header" Target="header71.xml"/><Relationship Id="rId192" Type="http://schemas.openxmlformats.org/officeDocument/2006/relationships/header" Target="header81.xml"/><Relationship Id="rId206" Type="http://schemas.openxmlformats.org/officeDocument/2006/relationships/header" Target="header88.xml"/><Relationship Id="rId227" Type="http://schemas.openxmlformats.org/officeDocument/2006/relationships/footer" Target="footer98.xml"/><Relationship Id="rId413" Type="http://schemas.openxmlformats.org/officeDocument/2006/relationships/footer" Target="footer191.xml"/><Relationship Id="rId248" Type="http://schemas.openxmlformats.org/officeDocument/2006/relationships/header" Target="header109.xml"/><Relationship Id="rId269" Type="http://schemas.openxmlformats.org/officeDocument/2006/relationships/footer" Target="footer119.xml"/><Relationship Id="rId12" Type="http://schemas.openxmlformats.org/officeDocument/2006/relationships/header" Target="header2.xml"/><Relationship Id="rId33" Type="http://schemas.openxmlformats.org/officeDocument/2006/relationships/image" Target="media/image6.png"/><Relationship Id="rId108" Type="http://schemas.openxmlformats.org/officeDocument/2006/relationships/header" Target="header39.xml"/><Relationship Id="rId129" Type="http://schemas.openxmlformats.org/officeDocument/2006/relationships/header" Target="header50.xml"/><Relationship Id="rId280" Type="http://schemas.openxmlformats.org/officeDocument/2006/relationships/footer" Target="footer124.xml"/><Relationship Id="rId315" Type="http://schemas.openxmlformats.org/officeDocument/2006/relationships/header" Target="header143.xml"/><Relationship Id="rId336" Type="http://schemas.openxmlformats.org/officeDocument/2006/relationships/header" Target="header153.xml"/><Relationship Id="rId357" Type="http://schemas.openxmlformats.org/officeDocument/2006/relationships/header" Target="header164.xml"/><Relationship Id="rId54" Type="http://schemas.openxmlformats.org/officeDocument/2006/relationships/header" Target="header12.xml"/><Relationship Id="rId75" Type="http://schemas.openxmlformats.org/officeDocument/2006/relationships/header" Target="header23.xml"/><Relationship Id="rId96" Type="http://schemas.openxmlformats.org/officeDocument/2006/relationships/header" Target="header33.xml"/><Relationship Id="rId140" Type="http://schemas.openxmlformats.org/officeDocument/2006/relationships/header" Target="header55.xml"/><Relationship Id="rId161" Type="http://schemas.openxmlformats.org/officeDocument/2006/relationships/footer" Target="footer65.xml"/><Relationship Id="rId182" Type="http://schemas.openxmlformats.org/officeDocument/2006/relationships/header" Target="header76.xml"/><Relationship Id="rId217" Type="http://schemas.openxmlformats.org/officeDocument/2006/relationships/footer" Target="footer93.xml"/><Relationship Id="rId378" Type="http://schemas.openxmlformats.org/officeDocument/2006/relationships/header" Target="header174.xml"/><Relationship Id="rId399" Type="http://schemas.openxmlformats.org/officeDocument/2006/relationships/header" Target="header185.xml"/><Relationship Id="rId403" Type="http://schemas.openxmlformats.org/officeDocument/2006/relationships/footer" Target="footer186.xml"/><Relationship Id="rId6" Type="http://schemas.openxmlformats.org/officeDocument/2006/relationships/settings" Target="settings.xml"/><Relationship Id="rId238" Type="http://schemas.openxmlformats.org/officeDocument/2006/relationships/footer" Target="footer103.xml"/><Relationship Id="rId259" Type="http://schemas.openxmlformats.org/officeDocument/2006/relationships/footer" Target="footer114.xml"/><Relationship Id="rId23" Type="http://schemas.openxmlformats.org/officeDocument/2006/relationships/image" Target="media/image2.png"/><Relationship Id="rId119" Type="http://schemas.openxmlformats.org/officeDocument/2006/relationships/footer" Target="footer44.xml"/><Relationship Id="rId270" Type="http://schemas.openxmlformats.org/officeDocument/2006/relationships/header" Target="header120.xml"/><Relationship Id="rId291" Type="http://schemas.openxmlformats.org/officeDocument/2006/relationships/header" Target="header131.xml"/><Relationship Id="rId305" Type="http://schemas.openxmlformats.org/officeDocument/2006/relationships/footer" Target="footer137.xml"/><Relationship Id="rId326" Type="http://schemas.openxmlformats.org/officeDocument/2006/relationships/header" Target="header148.xml"/><Relationship Id="rId347" Type="http://schemas.openxmlformats.org/officeDocument/2006/relationships/footer" Target="footer158.xml"/><Relationship Id="rId44" Type="http://schemas.openxmlformats.org/officeDocument/2006/relationships/image" Target="media/image17.png"/><Relationship Id="rId65" Type="http://schemas.openxmlformats.org/officeDocument/2006/relationships/footer" Target="footer17.xml"/><Relationship Id="rId86" Type="http://schemas.openxmlformats.org/officeDocument/2006/relationships/header" Target="header28.xml"/><Relationship Id="rId130" Type="http://schemas.openxmlformats.org/officeDocument/2006/relationships/footer" Target="footer49.xml"/><Relationship Id="rId151" Type="http://schemas.openxmlformats.org/officeDocument/2006/relationships/footer" Target="footer60.xml"/><Relationship Id="rId368" Type="http://schemas.openxmlformats.org/officeDocument/2006/relationships/header" Target="header169.xml"/><Relationship Id="rId389" Type="http://schemas.openxmlformats.org/officeDocument/2006/relationships/footer" Target="footer179.xml"/><Relationship Id="rId172" Type="http://schemas.openxmlformats.org/officeDocument/2006/relationships/footer" Target="footer70.xml"/><Relationship Id="rId193" Type="http://schemas.openxmlformats.org/officeDocument/2006/relationships/footer" Target="footer81.xml"/><Relationship Id="rId207" Type="http://schemas.openxmlformats.org/officeDocument/2006/relationships/header" Target="header89.xml"/><Relationship Id="rId228" Type="http://schemas.openxmlformats.org/officeDocument/2006/relationships/header" Target="header99.xml"/><Relationship Id="rId249" Type="http://schemas.openxmlformats.org/officeDocument/2006/relationships/header" Target="header110.xml"/><Relationship Id="rId414" Type="http://schemas.openxmlformats.org/officeDocument/2006/relationships/header" Target="header192.xml"/><Relationship Id="rId13" Type="http://schemas.openxmlformats.org/officeDocument/2006/relationships/footer" Target="footer1.xml"/><Relationship Id="rId109" Type="http://schemas.openxmlformats.org/officeDocument/2006/relationships/footer" Target="footer39.xml"/><Relationship Id="rId260" Type="http://schemas.openxmlformats.org/officeDocument/2006/relationships/header" Target="header115.xml"/><Relationship Id="rId281" Type="http://schemas.openxmlformats.org/officeDocument/2006/relationships/footer" Target="footer125.xml"/><Relationship Id="rId316" Type="http://schemas.openxmlformats.org/officeDocument/2006/relationships/footer" Target="footer142.xml"/><Relationship Id="rId337" Type="http://schemas.openxmlformats.org/officeDocument/2006/relationships/footer" Target="footer153.xml"/><Relationship Id="rId34" Type="http://schemas.openxmlformats.org/officeDocument/2006/relationships/image" Target="media/image7.png"/><Relationship Id="rId55" Type="http://schemas.openxmlformats.org/officeDocument/2006/relationships/footer" Target="footer12.xml"/><Relationship Id="rId76" Type="http://schemas.openxmlformats.org/officeDocument/2006/relationships/footer" Target="footer22.xml"/><Relationship Id="rId97" Type="http://schemas.openxmlformats.org/officeDocument/2006/relationships/footer" Target="footer33.xml"/><Relationship Id="rId120" Type="http://schemas.openxmlformats.org/officeDocument/2006/relationships/header" Target="header45.xml"/><Relationship Id="rId141" Type="http://schemas.openxmlformats.org/officeDocument/2006/relationships/header" Target="header56.xml"/><Relationship Id="rId358" Type="http://schemas.openxmlformats.org/officeDocument/2006/relationships/footer" Target="footer163.xml"/><Relationship Id="rId379" Type="http://schemas.openxmlformats.org/officeDocument/2006/relationships/footer" Target="footer174.xml"/><Relationship Id="rId7" Type="http://schemas.openxmlformats.org/officeDocument/2006/relationships/webSettings" Target="webSettings.xml"/><Relationship Id="rId162" Type="http://schemas.openxmlformats.org/officeDocument/2006/relationships/header" Target="header66.xml"/><Relationship Id="rId183" Type="http://schemas.openxmlformats.org/officeDocument/2006/relationships/header" Target="header77.xml"/><Relationship Id="rId218" Type="http://schemas.openxmlformats.org/officeDocument/2006/relationships/header" Target="header94.xml"/><Relationship Id="rId239" Type="http://schemas.openxmlformats.org/officeDocument/2006/relationships/footer" Target="footer104.xml"/><Relationship Id="rId390" Type="http://schemas.openxmlformats.org/officeDocument/2006/relationships/header" Target="header180.xml"/><Relationship Id="rId404" Type="http://schemas.openxmlformats.org/officeDocument/2006/relationships/header" Target="header187.xml"/><Relationship Id="rId250" Type="http://schemas.openxmlformats.org/officeDocument/2006/relationships/footer" Target="footer109.xml"/><Relationship Id="rId271" Type="http://schemas.openxmlformats.org/officeDocument/2006/relationships/footer" Target="footer120.xml"/><Relationship Id="rId292" Type="http://schemas.openxmlformats.org/officeDocument/2006/relationships/footer" Target="footer130.xml"/><Relationship Id="rId306" Type="http://schemas.openxmlformats.org/officeDocument/2006/relationships/header" Target="header138.xml"/><Relationship Id="rId24" Type="http://schemas.openxmlformats.org/officeDocument/2006/relationships/header" Target="header7.xml"/><Relationship Id="rId45" Type="http://schemas.openxmlformats.org/officeDocument/2006/relationships/image" Target="media/image18.jpeg"/><Relationship Id="rId66" Type="http://schemas.openxmlformats.org/officeDocument/2006/relationships/header" Target="header18.xml"/><Relationship Id="rId87" Type="http://schemas.openxmlformats.org/officeDocument/2006/relationships/header" Target="header29.xml"/><Relationship Id="rId110" Type="http://schemas.openxmlformats.org/officeDocument/2006/relationships/header" Target="header40.xml"/><Relationship Id="rId131" Type="http://schemas.openxmlformats.org/officeDocument/2006/relationships/footer" Target="footer50.xml"/><Relationship Id="rId327" Type="http://schemas.openxmlformats.org/officeDocument/2006/relationships/header" Target="header149.xml"/><Relationship Id="rId348" Type="http://schemas.openxmlformats.org/officeDocument/2006/relationships/header" Target="header159.xml"/><Relationship Id="rId369" Type="http://schemas.openxmlformats.org/officeDocument/2006/relationships/header" Target="header170.xml"/><Relationship Id="rId152" Type="http://schemas.openxmlformats.org/officeDocument/2006/relationships/header" Target="header61.xml"/><Relationship Id="rId173" Type="http://schemas.openxmlformats.org/officeDocument/2006/relationships/footer" Target="footer71.xml"/><Relationship Id="rId194" Type="http://schemas.openxmlformats.org/officeDocument/2006/relationships/header" Target="header82.xml"/><Relationship Id="rId208" Type="http://schemas.openxmlformats.org/officeDocument/2006/relationships/footer" Target="footer88.xml"/><Relationship Id="rId229" Type="http://schemas.openxmlformats.org/officeDocument/2006/relationships/footer" Target="footer99.xml"/><Relationship Id="rId380" Type="http://schemas.openxmlformats.org/officeDocument/2006/relationships/header" Target="header175.xml"/><Relationship Id="rId415" Type="http://schemas.openxmlformats.org/officeDocument/2006/relationships/footer" Target="footer192.xml"/><Relationship Id="rId240" Type="http://schemas.openxmlformats.org/officeDocument/2006/relationships/header" Target="header105.xml"/><Relationship Id="rId261" Type="http://schemas.openxmlformats.org/officeDocument/2006/relationships/header" Target="header116.xml"/><Relationship Id="rId14" Type="http://schemas.openxmlformats.org/officeDocument/2006/relationships/footer" Target="footer2.xml"/><Relationship Id="rId35" Type="http://schemas.openxmlformats.org/officeDocument/2006/relationships/image" Target="media/image8.png"/><Relationship Id="rId56" Type="http://schemas.openxmlformats.org/officeDocument/2006/relationships/header" Target="header13.xml"/><Relationship Id="rId77" Type="http://schemas.openxmlformats.org/officeDocument/2006/relationships/footer" Target="footer23.xml"/><Relationship Id="rId100" Type="http://schemas.openxmlformats.org/officeDocument/2006/relationships/footer" Target="footer34.xml"/><Relationship Id="rId282" Type="http://schemas.openxmlformats.org/officeDocument/2006/relationships/header" Target="header126.xml"/><Relationship Id="rId317" Type="http://schemas.openxmlformats.org/officeDocument/2006/relationships/footer" Target="footer143.xml"/><Relationship Id="rId338" Type="http://schemas.openxmlformats.org/officeDocument/2006/relationships/header" Target="header154.xml"/><Relationship Id="rId359" Type="http://schemas.openxmlformats.org/officeDocument/2006/relationships/footer" Target="footer164.xml"/><Relationship Id="rId8" Type="http://schemas.openxmlformats.org/officeDocument/2006/relationships/footnotes" Target="footnotes.xml"/><Relationship Id="rId98" Type="http://schemas.openxmlformats.org/officeDocument/2006/relationships/header" Target="header34.xml"/><Relationship Id="rId121" Type="http://schemas.openxmlformats.org/officeDocument/2006/relationships/footer" Target="footer45.xml"/><Relationship Id="rId142" Type="http://schemas.openxmlformats.org/officeDocument/2006/relationships/footer" Target="footer55.xml"/><Relationship Id="rId163" Type="http://schemas.openxmlformats.org/officeDocument/2006/relationships/footer" Target="footer66.xml"/><Relationship Id="rId184" Type="http://schemas.openxmlformats.org/officeDocument/2006/relationships/footer" Target="footer76.xml"/><Relationship Id="rId219" Type="http://schemas.openxmlformats.org/officeDocument/2006/relationships/header" Target="header95.xml"/><Relationship Id="rId370" Type="http://schemas.openxmlformats.org/officeDocument/2006/relationships/footer" Target="footer169.xml"/><Relationship Id="rId391" Type="http://schemas.openxmlformats.org/officeDocument/2006/relationships/footer" Target="footer180.xml"/><Relationship Id="rId405" Type="http://schemas.openxmlformats.org/officeDocument/2006/relationships/header" Target="header188.xml"/><Relationship Id="rId230" Type="http://schemas.openxmlformats.org/officeDocument/2006/relationships/header" Target="header100.xml"/><Relationship Id="rId251" Type="http://schemas.openxmlformats.org/officeDocument/2006/relationships/footer" Target="footer110.xml"/><Relationship Id="rId25" Type="http://schemas.openxmlformats.org/officeDocument/2006/relationships/header" Target="header8.xml"/><Relationship Id="rId46" Type="http://schemas.openxmlformats.org/officeDocument/2006/relationships/image" Target="media/image19.jpeg"/><Relationship Id="rId67" Type="http://schemas.openxmlformats.org/officeDocument/2006/relationships/footer" Target="footer18.xml"/><Relationship Id="rId272" Type="http://schemas.openxmlformats.org/officeDocument/2006/relationships/header" Target="header121.xml"/><Relationship Id="rId293" Type="http://schemas.openxmlformats.org/officeDocument/2006/relationships/footer" Target="footer131.xml"/><Relationship Id="rId307" Type="http://schemas.openxmlformats.org/officeDocument/2006/relationships/footer" Target="footer138.xml"/><Relationship Id="rId328" Type="http://schemas.openxmlformats.org/officeDocument/2006/relationships/footer" Target="footer148.xml"/><Relationship Id="rId349" Type="http://schemas.openxmlformats.org/officeDocument/2006/relationships/footer" Target="footer159.xml"/><Relationship Id="rId88" Type="http://schemas.openxmlformats.org/officeDocument/2006/relationships/footer" Target="footer28.xml"/><Relationship Id="rId111" Type="http://schemas.openxmlformats.org/officeDocument/2006/relationships/header" Target="header41.xml"/><Relationship Id="rId132" Type="http://schemas.openxmlformats.org/officeDocument/2006/relationships/header" Target="header51.xml"/><Relationship Id="rId153" Type="http://schemas.openxmlformats.org/officeDocument/2006/relationships/header" Target="header62.xml"/><Relationship Id="rId174" Type="http://schemas.openxmlformats.org/officeDocument/2006/relationships/header" Target="header72.xml"/><Relationship Id="rId195" Type="http://schemas.openxmlformats.org/officeDocument/2006/relationships/header" Target="header83.xml"/><Relationship Id="rId209" Type="http://schemas.openxmlformats.org/officeDocument/2006/relationships/footer" Target="footer89.xml"/><Relationship Id="rId360" Type="http://schemas.openxmlformats.org/officeDocument/2006/relationships/header" Target="header165.xml"/><Relationship Id="rId381" Type="http://schemas.openxmlformats.org/officeDocument/2006/relationships/header" Target="header176.xml"/><Relationship Id="rId416" Type="http://schemas.openxmlformats.org/officeDocument/2006/relationships/header" Target="header193.xml"/><Relationship Id="rId220" Type="http://schemas.openxmlformats.org/officeDocument/2006/relationships/footer" Target="footer94.xml"/><Relationship Id="rId241" Type="http://schemas.openxmlformats.org/officeDocument/2006/relationships/footer" Target="footer105.xml"/><Relationship Id="rId15" Type="http://schemas.openxmlformats.org/officeDocument/2006/relationships/header" Target="header3.xml"/><Relationship Id="rId36" Type="http://schemas.openxmlformats.org/officeDocument/2006/relationships/image" Target="media/image9.png"/><Relationship Id="rId57" Type="http://schemas.openxmlformats.org/officeDocument/2006/relationships/header" Target="header14.xml"/><Relationship Id="rId262" Type="http://schemas.openxmlformats.org/officeDocument/2006/relationships/footer" Target="footer115.xml"/><Relationship Id="rId283" Type="http://schemas.openxmlformats.org/officeDocument/2006/relationships/footer" Target="footer126.xml"/><Relationship Id="rId318" Type="http://schemas.openxmlformats.org/officeDocument/2006/relationships/header" Target="header144.xml"/><Relationship Id="rId339" Type="http://schemas.openxmlformats.org/officeDocument/2006/relationships/header" Target="header155.xml"/><Relationship Id="rId78" Type="http://schemas.openxmlformats.org/officeDocument/2006/relationships/header" Target="header24.xml"/><Relationship Id="rId99" Type="http://schemas.openxmlformats.org/officeDocument/2006/relationships/header" Target="header35.xml"/><Relationship Id="rId101" Type="http://schemas.openxmlformats.org/officeDocument/2006/relationships/footer" Target="footer35.xml"/><Relationship Id="rId122" Type="http://schemas.openxmlformats.org/officeDocument/2006/relationships/header" Target="header46.xml"/><Relationship Id="rId143" Type="http://schemas.openxmlformats.org/officeDocument/2006/relationships/footer" Target="footer56.xml"/><Relationship Id="rId164" Type="http://schemas.openxmlformats.org/officeDocument/2006/relationships/header" Target="header67.xml"/><Relationship Id="rId185" Type="http://schemas.openxmlformats.org/officeDocument/2006/relationships/footer" Target="footer77.xml"/><Relationship Id="rId350" Type="http://schemas.openxmlformats.org/officeDocument/2006/relationships/header" Target="header160.xml"/><Relationship Id="rId371" Type="http://schemas.openxmlformats.org/officeDocument/2006/relationships/footer" Target="footer170.xml"/><Relationship Id="rId406" Type="http://schemas.openxmlformats.org/officeDocument/2006/relationships/footer" Target="footer187.xml"/><Relationship Id="rId9" Type="http://schemas.openxmlformats.org/officeDocument/2006/relationships/endnotes" Target="endnotes.xml"/><Relationship Id="rId210" Type="http://schemas.openxmlformats.org/officeDocument/2006/relationships/header" Target="header90.xml"/><Relationship Id="rId392" Type="http://schemas.openxmlformats.org/officeDocument/2006/relationships/header" Target="header181.xml"/><Relationship Id="rId26" Type="http://schemas.openxmlformats.org/officeDocument/2006/relationships/footer" Target="footer7.xml"/><Relationship Id="rId231" Type="http://schemas.openxmlformats.org/officeDocument/2006/relationships/header" Target="header101.xml"/><Relationship Id="rId252" Type="http://schemas.openxmlformats.org/officeDocument/2006/relationships/header" Target="header111.xml"/><Relationship Id="rId273" Type="http://schemas.openxmlformats.org/officeDocument/2006/relationships/header" Target="header122.xml"/><Relationship Id="rId294" Type="http://schemas.openxmlformats.org/officeDocument/2006/relationships/header" Target="header132.xml"/><Relationship Id="rId308" Type="http://schemas.openxmlformats.org/officeDocument/2006/relationships/header" Target="header139.xml"/><Relationship Id="rId329" Type="http://schemas.openxmlformats.org/officeDocument/2006/relationships/footer" Target="footer149.xml"/><Relationship Id="rId47" Type="http://schemas.openxmlformats.org/officeDocument/2006/relationships/image" Target="media/image20.jpeg"/><Relationship Id="rId68" Type="http://schemas.openxmlformats.org/officeDocument/2006/relationships/header" Target="header19.xml"/><Relationship Id="rId89" Type="http://schemas.openxmlformats.org/officeDocument/2006/relationships/footer" Target="footer29.xml"/><Relationship Id="rId112" Type="http://schemas.openxmlformats.org/officeDocument/2006/relationships/footer" Target="footer40.xml"/><Relationship Id="rId133" Type="http://schemas.openxmlformats.org/officeDocument/2006/relationships/footer" Target="footer51.xml"/><Relationship Id="rId154" Type="http://schemas.openxmlformats.org/officeDocument/2006/relationships/footer" Target="footer61.xml"/><Relationship Id="rId175" Type="http://schemas.openxmlformats.org/officeDocument/2006/relationships/footer" Target="footer72.xml"/><Relationship Id="rId340" Type="http://schemas.openxmlformats.org/officeDocument/2006/relationships/footer" Target="footer154.xml"/><Relationship Id="rId361" Type="http://schemas.openxmlformats.org/officeDocument/2006/relationships/footer" Target="footer165.xml"/><Relationship Id="rId196" Type="http://schemas.openxmlformats.org/officeDocument/2006/relationships/footer" Target="footer82.xml"/><Relationship Id="rId200" Type="http://schemas.openxmlformats.org/officeDocument/2006/relationships/header" Target="header85.xml"/><Relationship Id="rId382" Type="http://schemas.openxmlformats.org/officeDocument/2006/relationships/footer" Target="footer175.xml"/><Relationship Id="rId417" Type="http://schemas.openxmlformats.org/officeDocument/2006/relationships/header" Target="header194.xml"/><Relationship Id="rId16" Type="http://schemas.openxmlformats.org/officeDocument/2006/relationships/footer" Target="footer3.xml"/><Relationship Id="rId221" Type="http://schemas.openxmlformats.org/officeDocument/2006/relationships/footer" Target="footer95.xml"/><Relationship Id="rId242" Type="http://schemas.openxmlformats.org/officeDocument/2006/relationships/header" Target="header106.xml"/><Relationship Id="rId263" Type="http://schemas.openxmlformats.org/officeDocument/2006/relationships/footer" Target="footer116.xml"/><Relationship Id="rId284" Type="http://schemas.openxmlformats.org/officeDocument/2006/relationships/header" Target="header127.xml"/><Relationship Id="rId319" Type="http://schemas.openxmlformats.org/officeDocument/2006/relationships/footer" Target="footer144.xml"/><Relationship Id="rId37" Type="http://schemas.openxmlformats.org/officeDocument/2006/relationships/image" Target="media/image10.png"/><Relationship Id="rId58" Type="http://schemas.openxmlformats.org/officeDocument/2006/relationships/footer" Target="footer13.xml"/><Relationship Id="rId79" Type="http://schemas.openxmlformats.org/officeDocument/2006/relationships/footer" Target="footer24.xml"/><Relationship Id="rId102" Type="http://schemas.openxmlformats.org/officeDocument/2006/relationships/header" Target="header36.xml"/><Relationship Id="rId123" Type="http://schemas.openxmlformats.org/officeDocument/2006/relationships/header" Target="header47.xml"/><Relationship Id="rId144" Type="http://schemas.openxmlformats.org/officeDocument/2006/relationships/header" Target="header57.xml"/><Relationship Id="rId330" Type="http://schemas.openxmlformats.org/officeDocument/2006/relationships/header" Target="header150.xml"/><Relationship Id="rId90" Type="http://schemas.openxmlformats.org/officeDocument/2006/relationships/header" Target="header30.xml"/><Relationship Id="rId165" Type="http://schemas.openxmlformats.org/officeDocument/2006/relationships/header" Target="header68.xml"/><Relationship Id="rId186" Type="http://schemas.openxmlformats.org/officeDocument/2006/relationships/header" Target="header78.xml"/><Relationship Id="rId351" Type="http://schemas.openxmlformats.org/officeDocument/2006/relationships/header" Target="header161.xml"/><Relationship Id="rId372" Type="http://schemas.openxmlformats.org/officeDocument/2006/relationships/header" Target="header171.xml"/><Relationship Id="rId393" Type="http://schemas.openxmlformats.org/officeDocument/2006/relationships/header" Target="header182.xml"/><Relationship Id="rId407" Type="http://schemas.openxmlformats.org/officeDocument/2006/relationships/footer" Target="footer188.xml"/><Relationship Id="rId211" Type="http://schemas.openxmlformats.org/officeDocument/2006/relationships/footer" Target="footer90.xml"/><Relationship Id="rId232" Type="http://schemas.openxmlformats.org/officeDocument/2006/relationships/footer" Target="footer100.xml"/><Relationship Id="rId253" Type="http://schemas.openxmlformats.org/officeDocument/2006/relationships/footer" Target="footer111.xml"/><Relationship Id="rId274" Type="http://schemas.openxmlformats.org/officeDocument/2006/relationships/footer" Target="footer121.xml"/><Relationship Id="rId295" Type="http://schemas.openxmlformats.org/officeDocument/2006/relationships/footer" Target="footer132.xml"/><Relationship Id="rId309" Type="http://schemas.openxmlformats.org/officeDocument/2006/relationships/header" Target="header140.xml"/><Relationship Id="rId27" Type="http://schemas.openxmlformats.org/officeDocument/2006/relationships/footer" Target="footer8.xml"/><Relationship Id="rId48" Type="http://schemas.openxmlformats.org/officeDocument/2006/relationships/image" Target="media/image21.jpeg"/><Relationship Id="rId69" Type="http://schemas.openxmlformats.org/officeDocument/2006/relationships/header" Target="header20.xml"/><Relationship Id="rId113" Type="http://schemas.openxmlformats.org/officeDocument/2006/relationships/footer" Target="footer41.xml"/><Relationship Id="rId134" Type="http://schemas.openxmlformats.org/officeDocument/2006/relationships/header" Target="header52.xml"/><Relationship Id="rId320" Type="http://schemas.openxmlformats.org/officeDocument/2006/relationships/header" Target="header145.xml"/><Relationship Id="rId80" Type="http://schemas.openxmlformats.org/officeDocument/2006/relationships/header" Target="header25.xml"/><Relationship Id="rId155" Type="http://schemas.openxmlformats.org/officeDocument/2006/relationships/footer" Target="footer62.xml"/><Relationship Id="rId176" Type="http://schemas.openxmlformats.org/officeDocument/2006/relationships/header" Target="header73.xml"/><Relationship Id="rId197" Type="http://schemas.openxmlformats.org/officeDocument/2006/relationships/footer" Target="footer83.xml"/><Relationship Id="rId341" Type="http://schemas.openxmlformats.org/officeDocument/2006/relationships/footer" Target="footer155.xml"/><Relationship Id="rId362" Type="http://schemas.openxmlformats.org/officeDocument/2006/relationships/header" Target="header166.xml"/><Relationship Id="rId383" Type="http://schemas.openxmlformats.org/officeDocument/2006/relationships/footer" Target="footer176.xml"/><Relationship Id="rId418" Type="http://schemas.openxmlformats.org/officeDocument/2006/relationships/footer" Target="footer193.xml"/><Relationship Id="rId201" Type="http://schemas.openxmlformats.org/officeDocument/2006/relationships/header" Target="header86.xml"/><Relationship Id="rId222" Type="http://schemas.openxmlformats.org/officeDocument/2006/relationships/header" Target="header96.xml"/><Relationship Id="rId243" Type="http://schemas.openxmlformats.org/officeDocument/2006/relationships/header" Target="header107.xml"/><Relationship Id="rId264" Type="http://schemas.openxmlformats.org/officeDocument/2006/relationships/header" Target="header117.xml"/><Relationship Id="rId285" Type="http://schemas.openxmlformats.org/officeDocument/2006/relationships/header" Target="header128.xml"/><Relationship Id="rId17" Type="http://schemas.openxmlformats.org/officeDocument/2006/relationships/header" Target="header4.xml"/><Relationship Id="rId38" Type="http://schemas.openxmlformats.org/officeDocument/2006/relationships/image" Target="media/image11.png"/><Relationship Id="rId59" Type="http://schemas.openxmlformats.org/officeDocument/2006/relationships/footer" Target="footer14.xml"/><Relationship Id="rId103" Type="http://schemas.openxmlformats.org/officeDocument/2006/relationships/footer" Target="footer36.xml"/><Relationship Id="rId124" Type="http://schemas.openxmlformats.org/officeDocument/2006/relationships/footer" Target="footer46.xml"/><Relationship Id="rId310" Type="http://schemas.openxmlformats.org/officeDocument/2006/relationships/footer" Target="footer139.xml"/><Relationship Id="rId70" Type="http://schemas.openxmlformats.org/officeDocument/2006/relationships/footer" Target="footer19.xml"/><Relationship Id="rId91" Type="http://schemas.openxmlformats.org/officeDocument/2006/relationships/footer" Target="footer30.xml"/><Relationship Id="rId145" Type="http://schemas.openxmlformats.org/officeDocument/2006/relationships/footer" Target="footer57.xml"/><Relationship Id="rId166" Type="http://schemas.openxmlformats.org/officeDocument/2006/relationships/footer" Target="footer67.xml"/><Relationship Id="rId187" Type="http://schemas.openxmlformats.org/officeDocument/2006/relationships/footer" Target="footer78.xml"/><Relationship Id="rId331" Type="http://schemas.openxmlformats.org/officeDocument/2006/relationships/footer" Target="footer150.xml"/><Relationship Id="rId352" Type="http://schemas.openxmlformats.org/officeDocument/2006/relationships/footer" Target="footer160.xml"/><Relationship Id="rId373" Type="http://schemas.openxmlformats.org/officeDocument/2006/relationships/footer" Target="footer171.xml"/><Relationship Id="rId394" Type="http://schemas.openxmlformats.org/officeDocument/2006/relationships/footer" Target="footer181.xml"/><Relationship Id="rId408" Type="http://schemas.openxmlformats.org/officeDocument/2006/relationships/header" Target="header189.xml"/><Relationship Id="rId1" Type="http://schemas.microsoft.com/office/2006/relationships/keyMapCustomizations" Target="customizations.xml"/><Relationship Id="rId212" Type="http://schemas.openxmlformats.org/officeDocument/2006/relationships/header" Target="header91.xml"/><Relationship Id="rId233" Type="http://schemas.openxmlformats.org/officeDocument/2006/relationships/footer" Target="footer101.xml"/><Relationship Id="rId254" Type="http://schemas.openxmlformats.org/officeDocument/2006/relationships/header" Target="header112.xml"/><Relationship Id="rId28" Type="http://schemas.openxmlformats.org/officeDocument/2006/relationships/header" Target="header9.xml"/><Relationship Id="rId49" Type="http://schemas.openxmlformats.org/officeDocument/2006/relationships/image" Target="media/image22.jpeg"/><Relationship Id="rId114" Type="http://schemas.openxmlformats.org/officeDocument/2006/relationships/header" Target="header42.xml"/><Relationship Id="rId275" Type="http://schemas.openxmlformats.org/officeDocument/2006/relationships/footer" Target="footer122.xml"/><Relationship Id="rId296" Type="http://schemas.openxmlformats.org/officeDocument/2006/relationships/header" Target="header133.xml"/><Relationship Id="rId300" Type="http://schemas.openxmlformats.org/officeDocument/2006/relationships/header" Target="header135.xml"/><Relationship Id="rId60" Type="http://schemas.openxmlformats.org/officeDocument/2006/relationships/header" Target="header15.xml"/><Relationship Id="rId81" Type="http://schemas.openxmlformats.org/officeDocument/2006/relationships/header" Target="header26.xml"/><Relationship Id="rId135" Type="http://schemas.openxmlformats.org/officeDocument/2006/relationships/header" Target="header53.xml"/><Relationship Id="rId156" Type="http://schemas.openxmlformats.org/officeDocument/2006/relationships/header" Target="header63.xml"/><Relationship Id="rId177" Type="http://schemas.openxmlformats.org/officeDocument/2006/relationships/header" Target="header74.xml"/><Relationship Id="rId198" Type="http://schemas.openxmlformats.org/officeDocument/2006/relationships/header" Target="header84.xml"/><Relationship Id="rId321" Type="http://schemas.openxmlformats.org/officeDocument/2006/relationships/header" Target="header146.xml"/><Relationship Id="rId342" Type="http://schemas.openxmlformats.org/officeDocument/2006/relationships/header" Target="header156.xml"/><Relationship Id="rId363" Type="http://schemas.openxmlformats.org/officeDocument/2006/relationships/header" Target="header167.xml"/><Relationship Id="rId384" Type="http://schemas.openxmlformats.org/officeDocument/2006/relationships/header" Target="header177.xml"/><Relationship Id="rId419" Type="http://schemas.openxmlformats.org/officeDocument/2006/relationships/footer" Target="footer194.xml"/><Relationship Id="rId202" Type="http://schemas.openxmlformats.org/officeDocument/2006/relationships/footer" Target="footer85.xml"/><Relationship Id="rId223" Type="http://schemas.openxmlformats.org/officeDocument/2006/relationships/footer" Target="footer96.xml"/><Relationship Id="rId244" Type="http://schemas.openxmlformats.org/officeDocument/2006/relationships/footer" Target="footer106.xml"/><Relationship Id="rId18" Type="http://schemas.openxmlformats.org/officeDocument/2006/relationships/header" Target="header5.xml"/><Relationship Id="rId39" Type="http://schemas.openxmlformats.org/officeDocument/2006/relationships/image" Target="media/image12.png"/><Relationship Id="rId265" Type="http://schemas.openxmlformats.org/officeDocument/2006/relationships/footer" Target="footer117.xml"/><Relationship Id="rId286" Type="http://schemas.openxmlformats.org/officeDocument/2006/relationships/footer" Target="footer127.xml"/><Relationship Id="rId50" Type="http://schemas.openxmlformats.org/officeDocument/2006/relationships/header" Target="header10.xml"/><Relationship Id="rId104" Type="http://schemas.openxmlformats.org/officeDocument/2006/relationships/header" Target="header37.xml"/><Relationship Id="rId125" Type="http://schemas.openxmlformats.org/officeDocument/2006/relationships/footer" Target="footer47.xml"/><Relationship Id="rId146" Type="http://schemas.openxmlformats.org/officeDocument/2006/relationships/header" Target="header58.xml"/><Relationship Id="rId167" Type="http://schemas.openxmlformats.org/officeDocument/2006/relationships/footer" Target="footer68.xml"/><Relationship Id="rId188" Type="http://schemas.openxmlformats.org/officeDocument/2006/relationships/header" Target="header79.xml"/><Relationship Id="rId311" Type="http://schemas.openxmlformats.org/officeDocument/2006/relationships/footer" Target="footer140.xml"/><Relationship Id="rId332" Type="http://schemas.openxmlformats.org/officeDocument/2006/relationships/header" Target="header151.xml"/><Relationship Id="rId353" Type="http://schemas.openxmlformats.org/officeDocument/2006/relationships/footer" Target="footer161.xml"/><Relationship Id="rId374" Type="http://schemas.openxmlformats.org/officeDocument/2006/relationships/header" Target="header172.xml"/><Relationship Id="rId395" Type="http://schemas.openxmlformats.org/officeDocument/2006/relationships/footer" Target="footer182.xml"/><Relationship Id="rId409" Type="http://schemas.openxmlformats.org/officeDocument/2006/relationships/footer" Target="footer189.xml"/><Relationship Id="rId71" Type="http://schemas.openxmlformats.org/officeDocument/2006/relationships/footer" Target="footer20.xml"/><Relationship Id="rId92" Type="http://schemas.openxmlformats.org/officeDocument/2006/relationships/header" Target="header31.xml"/><Relationship Id="rId213" Type="http://schemas.openxmlformats.org/officeDocument/2006/relationships/header" Target="header92.xml"/><Relationship Id="rId234" Type="http://schemas.openxmlformats.org/officeDocument/2006/relationships/header" Target="header102.xml"/><Relationship Id="rId420" Type="http://schemas.openxmlformats.org/officeDocument/2006/relationships/header" Target="header195.xml"/><Relationship Id="rId2" Type="http://schemas.openxmlformats.org/officeDocument/2006/relationships/customXml" Target="../customXml/item1.xml"/><Relationship Id="rId29" Type="http://schemas.openxmlformats.org/officeDocument/2006/relationships/footer" Target="footer9.xml"/><Relationship Id="rId255" Type="http://schemas.openxmlformats.org/officeDocument/2006/relationships/header" Target="header113.xml"/><Relationship Id="rId276" Type="http://schemas.openxmlformats.org/officeDocument/2006/relationships/header" Target="header123.xml"/><Relationship Id="rId297" Type="http://schemas.openxmlformats.org/officeDocument/2006/relationships/header" Target="header134.xml"/><Relationship Id="rId40" Type="http://schemas.openxmlformats.org/officeDocument/2006/relationships/image" Target="media/image13.png"/><Relationship Id="rId115" Type="http://schemas.openxmlformats.org/officeDocument/2006/relationships/footer" Target="footer42.xml"/><Relationship Id="rId136" Type="http://schemas.openxmlformats.org/officeDocument/2006/relationships/footer" Target="footer52.xml"/><Relationship Id="rId157" Type="http://schemas.openxmlformats.org/officeDocument/2006/relationships/footer" Target="footer63.xml"/><Relationship Id="rId178" Type="http://schemas.openxmlformats.org/officeDocument/2006/relationships/footer" Target="footer73.xml"/><Relationship Id="rId301" Type="http://schemas.openxmlformats.org/officeDocument/2006/relationships/footer" Target="footer135.xml"/><Relationship Id="rId322" Type="http://schemas.openxmlformats.org/officeDocument/2006/relationships/footer" Target="footer145.xml"/><Relationship Id="rId343" Type="http://schemas.openxmlformats.org/officeDocument/2006/relationships/footer" Target="footer156.xml"/><Relationship Id="rId364" Type="http://schemas.openxmlformats.org/officeDocument/2006/relationships/footer" Target="footer166.xml"/><Relationship Id="rId61" Type="http://schemas.openxmlformats.org/officeDocument/2006/relationships/footer" Target="footer15.xml"/><Relationship Id="rId82" Type="http://schemas.openxmlformats.org/officeDocument/2006/relationships/footer" Target="footer25.xml"/><Relationship Id="rId199" Type="http://schemas.openxmlformats.org/officeDocument/2006/relationships/footer" Target="footer84.xml"/><Relationship Id="rId203" Type="http://schemas.openxmlformats.org/officeDocument/2006/relationships/footer" Target="footer86.xml"/><Relationship Id="rId385" Type="http://schemas.openxmlformats.org/officeDocument/2006/relationships/footer" Target="footer177.xml"/><Relationship Id="rId19" Type="http://schemas.openxmlformats.org/officeDocument/2006/relationships/footer" Target="footer4.xml"/><Relationship Id="rId224" Type="http://schemas.openxmlformats.org/officeDocument/2006/relationships/header" Target="header97.xml"/><Relationship Id="rId245" Type="http://schemas.openxmlformats.org/officeDocument/2006/relationships/footer" Target="footer107.xml"/><Relationship Id="rId266" Type="http://schemas.openxmlformats.org/officeDocument/2006/relationships/header" Target="header118.xml"/><Relationship Id="rId287" Type="http://schemas.openxmlformats.org/officeDocument/2006/relationships/footer" Target="footer128.xml"/><Relationship Id="rId410" Type="http://schemas.openxmlformats.org/officeDocument/2006/relationships/header" Target="header190.xml"/><Relationship Id="rId30" Type="http://schemas.openxmlformats.org/officeDocument/2006/relationships/image" Target="media/image3.png"/><Relationship Id="rId105" Type="http://schemas.openxmlformats.org/officeDocument/2006/relationships/header" Target="header38.xml"/><Relationship Id="rId126" Type="http://schemas.openxmlformats.org/officeDocument/2006/relationships/header" Target="header48.xml"/><Relationship Id="rId147" Type="http://schemas.openxmlformats.org/officeDocument/2006/relationships/header" Target="header59.xml"/><Relationship Id="rId168" Type="http://schemas.openxmlformats.org/officeDocument/2006/relationships/header" Target="header69.xml"/><Relationship Id="rId312" Type="http://schemas.openxmlformats.org/officeDocument/2006/relationships/header" Target="header141.xml"/><Relationship Id="rId333" Type="http://schemas.openxmlformats.org/officeDocument/2006/relationships/header" Target="header152.xml"/><Relationship Id="rId354" Type="http://schemas.openxmlformats.org/officeDocument/2006/relationships/header" Target="header162.xml"/><Relationship Id="rId51" Type="http://schemas.openxmlformats.org/officeDocument/2006/relationships/header" Target="header11.xml"/><Relationship Id="rId72" Type="http://schemas.openxmlformats.org/officeDocument/2006/relationships/header" Target="header21.xml"/><Relationship Id="rId93" Type="http://schemas.openxmlformats.org/officeDocument/2006/relationships/header" Target="header32.xml"/><Relationship Id="rId189" Type="http://schemas.openxmlformats.org/officeDocument/2006/relationships/header" Target="header80.xml"/><Relationship Id="rId375" Type="http://schemas.openxmlformats.org/officeDocument/2006/relationships/header" Target="header173.xml"/><Relationship Id="rId396" Type="http://schemas.openxmlformats.org/officeDocument/2006/relationships/header" Target="header183.xml"/><Relationship Id="rId3" Type="http://schemas.openxmlformats.org/officeDocument/2006/relationships/numbering" Target="numbering.xml"/><Relationship Id="rId214" Type="http://schemas.openxmlformats.org/officeDocument/2006/relationships/footer" Target="footer91.xml"/><Relationship Id="rId235" Type="http://schemas.openxmlformats.org/officeDocument/2006/relationships/footer" Target="footer102.xml"/><Relationship Id="rId256" Type="http://schemas.openxmlformats.org/officeDocument/2006/relationships/footer" Target="footer112.xml"/><Relationship Id="rId277" Type="http://schemas.openxmlformats.org/officeDocument/2006/relationships/footer" Target="footer123.xml"/><Relationship Id="rId298" Type="http://schemas.openxmlformats.org/officeDocument/2006/relationships/footer" Target="footer133.xml"/><Relationship Id="rId400" Type="http://schemas.openxmlformats.org/officeDocument/2006/relationships/footer" Target="footer184.xml"/><Relationship Id="rId421" Type="http://schemas.openxmlformats.org/officeDocument/2006/relationships/footer" Target="footer195.xml"/><Relationship Id="rId116" Type="http://schemas.openxmlformats.org/officeDocument/2006/relationships/header" Target="header43.xml"/><Relationship Id="rId137" Type="http://schemas.openxmlformats.org/officeDocument/2006/relationships/footer" Target="footer53.xml"/><Relationship Id="rId158" Type="http://schemas.openxmlformats.org/officeDocument/2006/relationships/header" Target="header64.xml"/><Relationship Id="rId302" Type="http://schemas.openxmlformats.org/officeDocument/2006/relationships/header" Target="header136.xml"/><Relationship Id="rId323" Type="http://schemas.openxmlformats.org/officeDocument/2006/relationships/footer" Target="footer146.xml"/><Relationship Id="rId344" Type="http://schemas.openxmlformats.org/officeDocument/2006/relationships/header" Target="header157.xml"/><Relationship Id="rId20" Type="http://schemas.openxmlformats.org/officeDocument/2006/relationships/footer" Target="footer5.xml"/><Relationship Id="rId41" Type="http://schemas.openxmlformats.org/officeDocument/2006/relationships/image" Target="media/image14.png"/><Relationship Id="rId62" Type="http://schemas.openxmlformats.org/officeDocument/2006/relationships/header" Target="header16.xml"/><Relationship Id="rId83" Type="http://schemas.openxmlformats.org/officeDocument/2006/relationships/footer" Target="footer26.xml"/><Relationship Id="rId179" Type="http://schemas.openxmlformats.org/officeDocument/2006/relationships/footer" Target="footer74.xml"/><Relationship Id="rId365" Type="http://schemas.openxmlformats.org/officeDocument/2006/relationships/footer" Target="footer167.xml"/><Relationship Id="rId386" Type="http://schemas.openxmlformats.org/officeDocument/2006/relationships/header" Target="header178.xml"/><Relationship Id="rId190" Type="http://schemas.openxmlformats.org/officeDocument/2006/relationships/footer" Target="footer79.xml"/><Relationship Id="rId204" Type="http://schemas.openxmlformats.org/officeDocument/2006/relationships/header" Target="header87.xml"/><Relationship Id="rId225" Type="http://schemas.openxmlformats.org/officeDocument/2006/relationships/header" Target="header98.xml"/><Relationship Id="rId246" Type="http://schemas.openxmlformats.org/officeDocument/2006/relationships/header" Target="header108.xml"/><Relationship Id="rId267" Type="http://schemas.openxmlformats.org/officeDocument/2006/relationships/header" Target="header119.xml"/><Relationship Id="rId288" Type="http://schemas.openxmlformats.org/officeDocument/2006/relationships/header" Target="header129.xml"/><Relationship Id="rId411" Type="http://schemas.openxmlformats.org/officeDocument/2006/relationships/header" Target="header191.xml"/><Relationship Id="rId106" Type="http://schemas.openxmlformats.org/officeDocument/2006/relationships/footer" Target="footer37.xml"/><Relationship Id="rId127" Type="http://schemas.openxmlformats.org/officeDocument/2006/relationships/footer" Target="footer48.xml"/><Relationship Id="rId313" Type="http://schemas.openxmlformats.org/officeDocument/2006/relationships/footer" Target="footer141.xml"/><Relationship Id="rId10" Type="http://schemas.openxmlformats.org/officeDocument/2006/relationships/image" Target="media/image1.emf"/><Relationship Id="rId31" Type="http://schemas.openxmlformats.org/officeDocument/2006/relationships/image" Target="media/image4.png"/><Relationship Id="rId52" Type="http://schemas.openxmlformats.org/officeDocument/2006/relationships/footer" Target="footer10.xml"/><Relationship Id="rId73" Type="http://schemas.openxmlformats.org/officeDocument/2006/relationships/footer" Target="footer21.xml"/><Relationship Id="rId94" Type="http://schemas.openxmlformats.org/officeDocument/2006/relationships/footer" Target="footer31.xml"/><Relationship Id="rId148" Type="http://schemas.openxmlformats.org/officeDocument/2006/relationships/footer" Target="footer58.xml"/><Relationship Id="rId169" Type="http://schemas.openxmlformats.org/officeDocument/2006/relationships/footer" Target="footer69.xml"/><Relationship Id="rId334" Type="http://schemas.openxmlformats.org/officeDocument/2006/relationships/footer" Target="footer151.xml"/><Relationship Id="rId355" Type="http://schemas.openxmlformats.org/officeDocument/2006/relationships/footer" Target="footer162.xml"/><Relationship Id="rId376" Type="http://schemas.openxmlformats.org/officeDocument/2006/relationships/footer" Target="footer172.xml"/><Relationship Id="rId397" Type="http://schemas.openxmlformats.org/officeDocument/2006/relationships/footer" Target="footer183.xml"/><Relationship Id="rId4" Type="http://schemas.openxmlformats.org/officeDocument/2006/relationships/styles" Target="styles.xml"/><Relationship Id="rId180" Type="http://schemas.openxmlformats.org/officeDocument/2006/relationships/header" Target="header75.xml"/><Relationship Id="rId215" Type="http://schemas.openxmlformats.org/officeDocument/2006/relationships/footer" Target="footer92.xml"/><Relationship Id="rId236" Type="http://schemas.openxmlformats.org/officeDocument/2006/relationships/header" Target="header103.xml"/><Relationship Id="rId257" Type="http://schemas.openxmlformats.org/officeDocument/2006/relationships/footer" Target="footer113.xml"/><Relationship Id="rId278" Type="http://schemas.openxmlformats.org/officeDocument/2006/relationships/header" Target="header124.xml"/><Relationship Id="rId401" Type="http://schemas.openxmlformats.org/officeDocument/2006/relationships/footer" Target="footer185.xml"/><Relationship Id="rId422" Type="http://schemas.openxmlformats.org/officeDocument/2006/relationships/fontTable" Target="fontTable.xml"/><Relationship Id="rId303" Type="http://schemas.openxmlformats.org/officeDocument/2006/relationships/header" Target="header137.xml"/><Relationship Id="rId42" Type="http://schemas.openxmlformats.org/officeDocument/2006/relationships/image" Target="media/image15.png"/><Relationship Id="rId84" Type="http://schemas.openxmlformats.org/officeDocument/2006/relationships/header" Target="header27.xml"/><Relationship Id="rId138" Type="http://schemas.openxmlformats.org/officeDocument/2006/relationships/header" Target="header54.xml"/><Relationship Id="rId345" Type="http://schemas.openxmlformats.org/officeDocument/2006/relationships/header" Target="header158.xml"/><Relationship Id="rId387" Type="http://schemas.openxmlformats.org/officeDocument/2006/relationships/header" Target="header179.xml"/><Relationship Id="rId191" Type="http://schemas.openxmlformats.org/officeDocument/2006/relationships/footer" Target="footer80.xml"/><Relationship Id="rId205" Type="http://schemas.openxmlformats.org/officeDocument/2006/relationships/footer" Target="footer87.xml"/><Relationship Id="rId247" Type="http://schemas.openxmlformats.org/officeDocument/2006/relationships/footer" Target="footer108.xml"/><Relationship Id="rId412" Type="http://schemas.openxmlformats.org/officeDocument/2006/relationships/footer" Target="footer190.xml"/><Relationship Id="rId107" Type="http://schemas.openxmlformats.org/officeDocument/2006/relationships/footer" Target="footer38.xml"/><Relationship Id="rId289" Type="http://schemas.openxmlformats.org/officeDocument/2006/relationships/footer" Target="footer129.xml"/><Relationship Id="rId11" Type="http://schemas.openxmlformats.org/officeDocument/2006/relationships/header" Target="header1.xml"/><Relationship Id="rId53" Type="http://schemas.openxmlformats.org/officeDocument/2006/relationships/footer" Target="footer11.xml"/><Relationship Id="rId149" Type="http://schemas.openxmlformats.org/officeDocument/2006/relationships/footer" Target="footer59.xml"/><Relationship Id="rId314" Type="http://schemas.openxmlformats.org/officeDocument/2006/relationships/header" Target="header142.xml"/><Relationship Id="rId356" Type="http://schemas.openxmlformats.org/officeDocument/2006/relationships/header" Target="header163.xml"/><Relationship Id="rId398" Type="http://schemas.openxmlformats.org/officeDocument/2006/relationships/header" Target="header184.xml"/><Relationship Id="rId95" Type="http://schemas.openxmlformats.org/officeDocument/2006/relationships/footer" Target="footer32.xml"/><Relationship Id="rId160" Type="http://schemas.openxmlformats.org/officeDocument/2006/relationships/footer" Target="footer64.xml"/><Relationship Id="rId216" Type="http://schemas.openxmlformats.org/officeDocument/2006/relationships/header" Target="header93.xml"/><Relationship Id="rId423" Type="http://schemas.openxmlformats.org/officeDocument/2006/relationships/theme" Target="theme/theme1.xml"/><Relationship Id="rId258" Type="http://schemas.openxmlformats.org/officeDocument/2006/relationships/header" Target="header114.xml"/></Relationships>
</file>

<file path=word/_rels/footnotes.xml.rels><?xml version="1.0" encoding="UTF-8" standalone="yes"?>
<Relationships xmlns="http://schemas.openxmlformats.org/package/2006/relationships"><Relationship Id="rId2" Type="http://schemas.openxmlformats.org/officeDocument/2006/relationships/hyperlink" Target="https://ec.europa.eu/info/research-and-innovation/research-area/health-research-and-innovation/coronavirus-research-and-innovation/financing-innovation_en" TargetMode="External"/><Relationship Id="rId1" Type="http://schemas.openxmlformats.org/officeDocument/2006/relationships/hyperlink" Target="https://ec.europa.eu/info/live-work-travel-eu/coronavirus-response/timeline-eu-action_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EC940C-DCB6-4130-9BA8-4CED528BC4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285</TotalTime>
  <Pages>11</Pages>
  <Words>80349</Words>
  <Characters>421838</Characters>
  <Application>Microsoft Office Word</Application>
  <DocSecurity>0</DocSecurity>
  <Lines>24814</Lines>
  <Paragraphs>16739</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485448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103</cp:revision>
  <dcterms:created xsi:type="dcterms:W3CDTF">2021-06-25T07:35:00Z</dcterms:created>
  <dcterms:modified xsi:type="dcterms:W3CDTF">2021-08-30T07:40:00Z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VAoAAB+LCAAAAAAABAA1ltsVwzAMQley5Pc83n+HclH6kdM08QMBwone34l3+4vRX8Z5u71sL/Q8Tnt368V+M1+09WJNXUePrsd23daT7OMdpvBivauxRy9T1+qvaxWGpneJFrrui60rxxsM1ojUY0be82ZomfnG8WpdeLK/JZxaPl9qkT1falRo4GxvTuOJ0Opz1N5Lv0PoNIH7uQ0ljoaqoqRI3cdZAq+FJnWnSzzagvqjAGUuMObQiJF+1AW</vt:lpwstr>
  </property>
  <property fmtid="{D5CDD505-2E9C-101B-9397-08002B2CF9AE}" pid="10" name="frecMETA01">
    <vt:lpwstr>KIqBN6zQRlW/CR8+3t1fQYrD3NphU4re+XgUchwfNt/gvTIK5Vg1p+tuGocWIgqjqJAdohAzAwg6X8dY1eE0OEbKMwvvrv+52wZzM4nm08xYsI7LwohXyb5QDb4Yma+EhTBP0KkmSrPZgU+wmF7huWPAznogVZrES0moxsxSSTxDZct7iCrW5Z88+7R9tE9qkPy0qruVH6Y5J9vTcsCHRyisyFXeoGLgw54wQpUKKH5fpxFuxB+CRThxRIwpiI5</vt:lpwstr>
  </property>
  <property fmtid="{D5CDD505-2E9C-101B-9397-08002B2CF9AE}" pid="11" name="frecMETA02">
    <vt:lpwstr>Ey9L5XGemqKNpMjdqcQdn2k/733WFQFMgIOUp7SmtsODGROLLzvHc7tZXeaKNdYKR15imi9MwwNual8EBgyLc0kEi/CL8B6vmlfQ7e08vrfrMUnaYA+ASHLEIn03liR+PxwQUscForZsNOwxye4W6Hx1GuQjBqH8UizZJwA4F+eou9/Y2Br092BJpugqBFXJMauhxGOTJftulscGteU06bsmXsqLbFqjQgY9wIcur3F97YYtJUQfn/5iWCZLBrY</vt:lpwstr>
  </property>
  <property fmtid="{D5CDD505-2E9C-101B-9397-08002B2CF9AE}" pid="12" name="frecMETA03">
    <vt:lpwstr>fFI6leKeYZHa/kVdmLm9q+VxTwj/QwhN+wtuxL2WUUb4gDBsO7HxRNJx/yWPSEfI6fiTZXjGnrXU4ZFSEs9EMZJ5YuWkB0qdfKyJop+cTyPGYEoNIAUNhwFeHmzqNBhHB3AFLJaxG7niauZxGlldHOGpb1+36DtCHMCoN3SGraa9XaPhnGiHG9RhBQbbq9qeus9KrklBOGH3RBT63yRLuJEicJklRnSeb+T96GaOjenODL9UREJv1DSq/eyt8oC</vt:lpwstr>
  </property>
  <property fmtid="{D5CDD505-2E9C-101B-9397-08002B2CF9AE}" pid="13" name="frecMETA04">
    <vt:lpwstr>GpjzQXtzMPXS8GAqddZw1seudUjwOmtII4CpWzkX5GYoH7UN1sk6DOnUPqorpwlXYRqDSWdJdStfe2mQVJyV0CElhIWz8jBD9yZBe0o+A/QJRBrnsqhfsBLRaTxRx6VahyNttxIhDb4idZbryZ3x8c9EndaSWygE222+He+YCFixqsP6LEdyuPusTzLEXQvDPjlqJ6IGtAh43EPOkS97+ImvB6OSiy0kotNpYTDyiBOl2YL85HTrku971dHMgeZ</vt:lpwstr>
  </property>
  <property fmtid="{D5CDD505-2E9C-101B-9397-08002B2CF9AE}" pid="14" name="frecMETA05">
    <vt:lpwstr>mc1dcd1svo3HCeVi3qkCXLpzpQr0cm3Oa1vtJJtvBk8yOV+rIL1R4Ju2pxpGZPt/r28VS9uFDNcjcTjdepw/U4T5SyF80yxT2+k75s+FE/kcnzfAlCX16q3vBosWG23BWFmB52x4g00kKQVz0JSnFhepZXwW30gozuCdGfWOZcveZ9WUCzXzq/CfL59cQxISPpe2TEE2uM1YNSmK0U4ew3EOQ8RfSWnoJkrG7YRHethfs/gNqDeh6VAoAAA==</vt:lpwstr>
  </property>
  <property fmtid="{D5CDD505-2E9C-101B-9397-08002B2CF9AE}" pid="15" name="PeriodId">
    <vt:i4>11</vt:i4>
  </property>
  <property fmtid="{D5CDD505-2E9C-101B-9397-08002B2CF9AE}" pid="16" name="PeriodName">
    <vt:lpwstr>2020 Annual Accounts</vt:lpwstr>
  </property>
  <property fmtid="{D5CDD505-2E9C-101B-9397-08002B2CF9AE}" pid="17" name="ReportId">
    <vt:i4>230</vt:i4>
  </property>
  <property fmtid="{D5CDD505-2E9C-101B-9397-08002B2CF9AE}" pid="18" name="ReportName">
    <vt:lpwstr>EU Annual Accounts</vt:lpwstr>
  </property>
  <property fmtid="{D5CDD505-2E9C-101B-9397-08002B2CF9AE}" pid="19" name="TemplateId">
    <vt:i4>649</vt:i4>
  </property>
  <property fmtid="{D5CDD505-2E9C-101B-9397-08002B2CF9AE}" pid="20" name="UseLegacyExcelTemplate">
    <vt:bool>true</vt:bool>
  </property>
  <property fmtid="{D5CDD505-2E9C-101B-9397-08002B2CF9AE}" pid="21" name="Level of sensitivity">
    <vt:lpwstr>Standard treatment</vt:lpwstr>
  </property>
  <property fmtid="{D5CDD505-2E9C-101B-9397-08002B2CF9AE}" pid="22" name="Part">
    <vt:lpwstr>1</vt:lpwstr>
  </property>
  <property fmtid="{D5CDD505-2E9C-101B-9397-08002B2CF9AE}" pid="23" name="Total parts">
    <vt:lpwstr>1</vt:lpwstr>
  </property>
  <property fmtid="{D5CDD505-2E9C-101B-9397-08002B2CF9AE}" pid="24" name="DocStatus">
    <vt:lpwstr>Green</vt:lpwstr>
  </property>
  <property fmtid="{D5CDD505-2E9C-101B-9397-08002B2CF9AE}" pid="25" name="CPTemplateID">
    <vt:lpwstr>CP-040</vt:lpwstr>
  </property>
  <property fmtid="{D5CDD505-2E9C-101B-9397-08002B2CF9AE}" pid="26" name="Last edited using">
    <vt:lpwstr>LW 7.0.1, Build 20200226</vt:lpwstr>
  </property>
  <property fmtid="{D5CDD505-2E9C-101B-9397-08002B2CF9AE}" pid="27" name="Created using">
    <vt:lpwstr>LW 7.0.1, Build 20190916</vt:lpwstr>
  </property>
  <property fmtid="{D5CDD505-2E9C-101B-9397-08002B2CF9AE}" pid="28" name="synchronize">
    <vt:lpwstr>on</vt:lpwstr>
  </property>
</Properties>
</file>