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8F3D465-2752-4AE8-BFAB-8DFF2A46ECED" style="width:455.25pt;height:399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rPr>
          <w:noProof/>
        </w:rPr>
      </w:pPr>
      <w:r>
        <w:rPr>
          <w:noProof/>
        </w:rPr>
        <w:t>Regulation (EU) 2018/1091</w:t>
      </w:r>
      <w:r>
        <w:rPr>
          <w:rStyle w:val="FootnoteReference"/>
          <w:noProof/>
          <w:szCs w:val="24"/>
        </w:rPr>
        <w:footnoteReference w:id="1"/>
      </w:r>
      <w:r>
        <w:rPr>
          <w:noProof/>
          <w:szCs w:val="24"/>
        </w:rPr>
        <w:t xml:space="preserve"> on integrated farm statistics requires</w:t>
      </w:r>
      <w:r>
        <w:rPr>
          <w:noProof/>
        </w:rPr>
        <w:t xml:space="preserve"> that Member States carry out integrated farm surveys in 2020, 2023 and 2026.</w:t>
      </w:r>
    </w:p>
    <w:p>
      <w:pPr>
        <w:spacing w:after="0"/>
        <w:rPr>
          <w:noProof/>
        </w:rPr>
      </w:pPr>
      <w:r>
        <w:rPr>
          <w:noProof/>
        </w:rPr>
        <w:t xml:space="preserve">Regulation (EU) 2018/1091 establishes the financial envelope (i.e. the budget allocation) for the entire duration of the relevant </w:t>
      </w:r>
      <w:r>
        <w:rPr>
          <w:noProof/>
          <w:szCs w:val="24"/>
        </w:rPr>
        <w:t>multiannual financial framework (</w:t>
      </w:r>
      <w:r>
        <w:rPr>
          <w:noProof/>
        </w:rPr>
        <w:t>MFF). It includes a provision for establishing the data collection budget for the surveys to be conducted in 2023 and 2026. Its Article 14 states that following the date of entry into force of the 2021-2027 MFF, the amount for the post-2020 period should be fixed by the European Parliament and the Council based on a proposal by the Commission.</w:t>
      </w:r>
    </w:p>
    <w:p>
      <w:pPr>
        <w:pBdr>
          <w:top w:val="nil"/>
          <w:left w:val="nil"/>
          <w:bottom w:val="nil"/>
          <w:right w:val="nil"/>
          <w:between w:val="nil"/>
          <w:bar w:val="nil"/>
        </w:pBdr>
        <w:rPr>
          <w:noProof/>
        </w:rPr>
      </w:pPr>
      <w:r>
        <w:rPr>
          <w:noProof/>
        </w:rPr>
        <w:t>The financial reference of this proposal is Council Regulation (EU, Euratom) 2020/2093</w:t>
      </w:r>
      <w:r>
        <w:rPr>
          <w:rStyle w:val="FootnoteReference"/>
          <w:noProof/>
        </w:rPr>
        <w:footnoteReference w:id="2"/>
      </w:r>
      <w:r>
        <w:rPr>
          <w:noProof/>
        </w:rPr>
        <w:t xml:space="preserve"> which lays down the MFF for 2021-2027.</w:t>
      </w:r>
    </w:p>
    <w:p>
      <w:pPr>
        <w:pBdr>
          <w:top w:val="nil"/>
          <w:left w:val="nil"/>
          <w:bottom w:val="nil"/>
          <w:right w:val="nil"/>
          <w:between w:val="nil"/>
          <w:bar w:val="nil"/>
        </w:pBdr>
        <w:rPr>
          <w:noProof/>
        </w:rPr>
      </w:pPr>
      <w:r>
        <w:rPr>
          <w:noProof/>
        </w:rPr>
        <w:t>Member States are to receive a maximum financial contribution of 75% of the eligible costs from the EU (subject to defined maximum amounts indicated in Article 13 (4) and (5) of Regulation (EU) 2018/1091) towards the cost of carrying out the surveys. The amount for the post-2020 period should be fixed under the provisions of the MFF.</w:t>
      </w:r>
    </w:p>
    <w:p>
      <w:pPr>
        <w:pBdr>
          <w:top w:val="nil"/>
          <w:left w:val="nil"/>
          <w:bottom w:val="nil"/>
          <w:right w:val="nil"/>
          <w:between w:val="nil"/>
          <w:bar w:val="nil"/>
        </w:pBdr>
        <w:rPr>
          <w:rFonts w:eastAsia="Arial Unicode MS"/>
          <w:noProof/>
        </w:rPr>
      </w:pPr>
      <w:r>
        <w:rPr>
          <w:rFonts w:eastAsia="Arial Unicode MS"/>
          <w:noProof/>
        </w:rPr>
        <w:t>This legislative proposal establishes a budget of EUR 40 000 000.00 for 2021-2027 (of which EUR 36 400 000.00 is for grants for national statistical institutes and other national authorities).</w:t>
      </w:r>
    </w:p>
    <w:p>
      <w:pPr>
        <w:pBdr>
          <w:top w:val="nil"/>
          <w:left w:val="nil"/>
          <w:bottom w:val="nil"/>
          <w:right w:val="nil"/>
          <w:between w:val="nil"/>
          <w:bar w:val="nil"/>
        </w:pBdr>
        <w:rPr>
          <w:rFonts w:eastAsia="Arial Unicode MS"/>
          <w:noProof/>
        </w:rPr>
      </w:pPr>
      <w:r>
        <w:rPr>
          <w:rFonts w:eastAsia="Arial Unicode MS"/>
          <w:noProof/>
        </w:rPr>
        <w:t xml:space="preserve">According to Article 13(7) of Regulation </w:t>
      </w:r>
      <w:r>
        <w:rPr>
          <w:noProof/>
        </w:rPr>
        <w:t>(EU) 2018/1091</w:t>
      </w:r>
      <w:r>
        <w:rPr>
          <w:rFonts w:eastAsia="Arial Unicode MS"/>
          <w:noProof/>
        </w:rPr>
        <w:t xml:space="preserve">, the EU financial contribution for the grants referred to in paragraph 2 of Article 13 should be provided by the European Agricultural Guarantee Fund under point (d) of Article 4(2) of Regulation (EU) No 1306/2013 or the </w:t>
      </w:r>
      <w:r>
        <w:rPr>
          <w:iCs/>
          <w:noProof/>
          <w:u w:val="single"/>
          <w:lang w:val="en-US"/>
        </w:rPr>
        <w:t>Regulation on the financing, management and monitoring of the common agricultural policy and repealing Regulation (EU) No 1306/2013</w:t>
      </w:r>
      <w:r>
        <w:rPr>
          <w:rFonts w:eastAsia="Arial Unicode MS"/>
          <w:noProof/>
        </w:rPr>
        <w:t>.</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rFonts w:eastAsia="Arial Unicode MS"/>
          <w:noProof/>
        </w:rPr>
      </w:pPr>
      <w:r>
        <w:rPr>
          <w:rFonts w:eastAsia="Arial Unicode MS"/>
          <w:noProof/>
        </w:rPr>
        <w:t>Statistics must be reliable and of high quality to enable policymakers, businesses and the general public to take appropriate evidence-based decisions.</w:t>
      </w:r>
    </w:p>
    <w:p>
      <w:pPr>
        <w:rPr>
          <w:rFonts w:eastAsia="Arial Unicode MS"/>
          <w:noProof/>
        </w:rPr>
      </w:pPr>
      <w:r>
        <w:rPr>
          <w:rFonts w:eastAsia="Arial Unicode MS"/>
          <w:noProof/>
        </w:rPr>
        <w:t>The 2020 agricultural statistics strategy includes the following key objectives:</w:t>
      </w:r>
    </w:p>
    <w:p>
      <w:pPr>
        <w:pStyle w:val="Bullet0"/>
        <w:numPr>
          <w:ilvl w:val="0"/>
          <w:numId w:val="17"/>
        </w:numPr>
        <w:rPr>
          <w:noProof/>
        </w:rPr>
      </w:pPr>
      <w:r>
        <w:rPr>
          <w:noProof/>
        </w:rPr>
        <w:t>produce high-quality statistics that meet users’ needs efficiently and effectively;</w:t>
      </w:r>
    </w:p>
    <w:p>
      <w:pPr>
        <w:pStyle w:val="Bullet0"/>
        <w:rPr>
          <w:noProof/>
        </w:rPr>
      </w:pPr>
      <w:r>
        <w:rPr>
          <w:noProof/>
        </w:rPr>
        <w:t>improve the harmonisation and coherence of European agricultural statistics.</w:t>
      </w:r>
    </w:p>
    <w:p>
      <w:pPr>
        <w:pBdr>
          <w:top w:val="nil"/>
          <w:left w:val="nil"/>
          <w:bottom w:val="nil"/>
          <w:right w:val="nil"/>
          <w:between w:val="nil"/>
          <w:bar w:val="nil"/>
        </w:pBdr>
        <w:rPr>
          <w:rFonts w:eastAsia="Arial Unicode MS"/>
          <w:noProof/>
        </w:rPr>
      </w:pPr>
      <w:r>
        <w:rPr>
          <w:rFonts w:eastAsia="Arial Unicode MS"/>
          <w:noProof/>
        </w:rPr>
        <w:t>This proposal directly addresses these objectives.</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sz w:val="20"/>
        </w:rPr>
      </w:pPr>
      <w:r>
        <w:rPr>
          <w:rFonts w:eastAsia="Arial Unicode MS"/>
          <w:noProof/>
        </w:rPr>
        <w:t xml:space="preserve">Providing quality statistics to support European policies is a main objective for </w:t>
      </w:r>
      <w:r>
        <w:rPr>
          <w:noProof/>
        </w:rPr>
        <w:t>European statistics under the single market programme</w:t>
      </w:r>
      <w:r>
        <w:rPr>
          <w:rStyle w:val="FootnoteReference"/>
          <w:rFonts w:eastAsia="Arial Unicode MS"/>
          <w:noProof/>
        </w:rPr>
        <w:footnoteReference w:id="3"/>
      </w:r>
      <w:r>
        <w:rPr>
          <w:rFonts w:eastAsia="Arial Unicode MS"/>
          <w:noProof/>
        </w:rPr>
        <w:t xml:space="preserve">. Environmental and agricultural statistics are one of three statistics-gathering areas under the programme. There is also a need for </w:t>
      </w:r>
      <w:r>
        <w:rPr>
          <w:noProof/>
        </w:rPr>
        <w:t>timely and relevant data for the common agricultural policy (CAP).</w:t>
      </w:r>
    </w:p>
    <w:p>
      <w:pPr>
        <w:rPr>
          <w:rFonts w:eastAsia="Arial Unicode MS"/>
          <w:noProof/>
        </w:rPr>
      </w:pPr>
      <w:r>
        <w:rPr>
          <w:rFonts w:eastAsia="Arial Unicode MS"/>
          <w:noProof/>
        </w:rPr>
        <w:t xml:space="preserve">This initiative implements that objective </w:t>
      </w:r>
      <w:r>
        <w:rPr>
          <w:noProof/>
        </w:rPr>
        <w:t>for the period 2021-2026</w:t>
      </w:r>
      <w:r>
        <w:rPr>
          <w:rFonts w:eastAsia="Arial Unicode MS"/>
          <w:noProof/>
        </w:rPr>
        <w:t>.</w:t>
      </w:r>
    </w:p>
    <w:p>
      <w:pPr>
        <w:rPr>
          <w:rFonts w:eastAsia="Arial Unicode MS"/>
          <w:noProof/>
        </w:rPr>
      </w:pPr>
      <w:r>
        <w:rPr>
          <w:rFonts w:eastAsia="Arial Unicode MS"/>
          <w:noProof/>
        </w:rPr>
        <w:t xml:space="preserve">The European Agricultural Statistics System will also contribute to at least two of the six priorities of the von der Leyen Commission, namely </w:t>
      </w:r>
    </w:p>
    <w:p>
      <w:pPr>
        <w:pStyle w:val="Bullet0"/>
        <w:rPr>
          <w:noProof/>
        </w:rPr>
      </w:pPr>
      <w:r>
        <w:rPr>
          <w:noProof/>
        </w:rPr>
        <w:t>a European Green Deal with the underlying farm to fork and biodiversity strategies, and</w:t>
      </w:r>
    </w:p>
    <w:p>
      <w:pPr>
        <w:pStyle w:val="Bullet0"/>
        <w:rPr>
          <w:noProof/>
        </w:rPr>
      </w:pPr>
      <w:r>
        <w:rPr>
          <w:noProof/>
        </w:rPr>
        <w:t>an economy that works for people</w:t>
      </w:r>
    </w:p>
    <w:p>
      <w:pPr>
        <w:rPr>
          <w:rFonts w:eastAsia="Arial Unicode MS"/>
          <w:noProof/>
        </w:rPr>
      </w:pPr>
      <w:r>
        <w:rPr>
          <w:rFonts w:eastAsia="Arial Unicode MS"/>
          <w:noProof/>
        </w:rPr>
        <w:t>by providing better data for assessing the sustainability of the sector covering the environment, people, regions and the economy. Agricultural statistics are also useful for other EU or Member State priorities affecting or affected by agriculture and rural development.</w:t>
      </w:r>
    </w:p>
    <w:p>
      <w:pPr>
        <w:rPr>
          <w:rFonts w:eastAsia="Arial Unicode MS"/>
          <w:noProof/>
          <w:szCs w:val="24"/>
        </w:rPr>
      </w:pPr>
      <w:r>
        <w:rPr>
          <w:rFonts w:eastAsia="Arial Unicode MS"/>
          <w:noProof/>
        </w:rPr>
        <w:t xml:space="preserve">EU policies need to be backed by high-quality, comparable and reliable statistical information on the economic, social, territorial and environmental situation across the EU. European statistics can also help the broader public understand and participate in the democratic process and debate the current state and the future of the EU. For agricultural statistics, the focus is on </w:t>
      </w:r>
      <w:r>
        <w:rPr>
          <w:rFonts w:eastAsia="Arial Unicode MS"/>
          <w:noProof/>
          <w:szCs w:val="24"/>
        </w:rPr>
        <w:t>providing timely and relevant data for the needs of the CAP, the common fisheries policy and other environmental, food security and animal welfare policies.</w:t>
      </w:r>
    </w:p>
    <w:p>
      <w:pPr>
        <w:rPr>
          <w:rFonts w:eastAsia="Arial Unicode MS"/>
          <w:noProof/>
        </w:rPr>
      </w:pPr>
      <w:r>
        <w:rPr>
          <w:rFonts w:eastAsia="Arial Unicode MS"/>
          <w:noProof/>
        </w:rPr>
        <w:t>Agricultural statistics provide the high-quality evidence needed to implement and monitor the CAP. The CAP is an important driver for jobs and smart, sustainable and inclusive growth in the EU. The rural development policy - an integral part of the CAP - aims to improve the competitiveness and sustainability of agricultural production in addition to its social objectives. The CAP accounted for over 37% of the total EU budget under the 2014-2020 MFF.</w:t>
      </w:r>
    </w:p>
    <w:p>
      <w:pPr>
        <w:pBdr>
          <w:top w:val="nil"/>
          <w:left w:val="nil"/>
          <w:bottom w:val="nil"/>
          <w:right w:val="nil"/>
          <w:between w:val="nil"/>
          <w:bar w:val="nil"/>
        </w:pBdr>
        <w:spacing w:before="0" w:after="240"/>
        <w:rPr>
          <w:rFonts w:eastAsia="Arial Unicode MS"/>
          <w:noProof/>
        </w:rPr>
      </w:pPr>
      <w:r>
        <w:rPr>
          <w:rFonts w:eastAsia="Arial Unicode MS"/>
          <w:noProof/>
        </w:rPr>
        <w:t>Agricultural statistics are also increasingly needed for other key EU policies such as the European Green Deal, environmental and climate change policies, and trade, social and regional policies.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Style w:val="doc-ti"/>
        <w:jc w:val="both"/>
        <w:rPr>
          <w:rFonts w:eastAsia="Arial Unicode MS"/>
          <w:noProof/>
          <w:lang w:val="en-GB"/>
        </w:rPr>
      </w:pPr>
      <w:r>
        <w:rPr>
          <w:noProof/>
          <w:lang w:val="en-GB"/>
        </w:rPr>
        <w:t>Article 338 of the Treaty on the Functioning of the European Union (TFEU) provides the legal basis for European statistics. Acting in accordance with the ordinary legislative procedure, the European Parliament and the Council adopt measures on the production of statistics where they are necessary for the EU to carry out its role. Article 338 sets out the requirements for European statistics, stating that they must conform to standards of impartiality, reliability, objectivity, scientific independence, cost-effectiveness and statistical confidentiality. Regulation (EC) No 223/2009 of the European Parliament and of the Council</w:t>
      </w:r>
      <w:r>
        <w:rPr>
          <w:rStyle w:val="FootnoteReference"/>
          <w:noProof/>
        </w:rPr>
        <w:footnoteReference w:id="4"/>
      </w:r>
      <w:r>
        <w:rPr>
          <w:noProof/>
          <w:lang w:val="en-GB"/>
        </w:rPr>
        <w:t xml:space="preserve"> establishes a legal framework for the development, production and dissemination of European statistics.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rFonts w:eastAsia="Arial Unicode MS"/>
          <w:noProof/>
        </w:rPr>
      </w:pPr>
      <w:r>
        <w:rPr>
          <w:rFonts w:eastAsia="Arial Unicode MS"/>
          <w:noProof/>
        </w:rPr>
        <w:t>The subsidiarity principle applies as the proposal does not fall within the exclusive competence of the EU. The European Statistical System (ESS) provides an infrastructure for statistical information. The system is designed to meet the needs of multiple users and support the decision-making process in democratic societies. The proposal for this Regulation has been drafted to protect core activities of ESS partners while better ensuring and assuring the quality and comparability of agricultural statistics.</w:t>
      </w:r>
    </w:p>
    <w:p>
      <w:pPr>
        <w:rPr>
          <w:rFonts w:eastAsia="Arial Unicode MS"/>
          <w:noProof/>
        </w:rPr>
      </w:pPr>
      <w:r>
        <w:rPr>
          <w:rFonts w:eastAsia="Arial Unicode MS"/>
          <w:noProof/>
        </w:rPr>
        <w:t>Key criteria for the statistical data include consistency and comparability. Member States cannot achieve the necessary consistency and comparability without a clear European framework, i.e. EU legislation laying down the common statistical concepts, reporting formats and quality requirements. The comparability requirement is particularly important for agricultural statistics because of the CAP.</w:t>
      </w:r>
    </w:p>
    <w:p>
      <w:pPr>
        <w:pBdr>
          <w:top w:val="nil"/>
          <w:left w:val="nil"/>
          <w:bottom w:val="nil"/>
          <w:right w:val="nil"/>
          <w:between w:val="nil"/>
          <w:bar w:val="nil"/>
        </w:pBdr>
        <w:spacing w:before="0" w:after="240"/>
        <w:rPr>
          <w:rFonts w:eastAsia="Arial Unicode MS"/>
          <w:noProof/>
        </w:rPr>
      </w:pPr>
      <w:r>
        <w:rPr>
          <w:rFonts w:eastAsia="Arial Unicode MS"/>
          <w:noProof/>
        </w:rPr>
        <w:t>The objectives cannot be fully achieved by Member States acting alone. Action would be more effective if taken at EU level, based on an EU legal act ensuring the comparability of statistical information in the statistical areas covered by the proposed act. The data collection itself, meanwhile, is best carried out by the Member States.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szCs w:val="24"/>
        </w:rPr>
      </w:pPr>
      <w:r>
        <w:rPr>
          <w:noProof/>
          <w:szCs w:val="24"/>
        </w:rPr>
        <w:t>The proposal complies with the proportionality principle, in view of the following:</w:t>
      </w:r>
    </w:p>
    <w:p>
      <w:pPr>
        <w:rPr>
          <w:rFonts w:eastAsia="Arial Unicode MS"/>
          <w:noProof/>
        </w:rPr>
      </w:pPr>
      <w:r>
        <w:rPr>
          <w:noProof/>
          <w:szCs w:val="24"/>
        </w:rPr>
        <w:t xml:space="preserve">It will ensure the quality and comparability of European agricultural statistics </w:t>
      </w:r>
      <w:r>
        <w:rPr>
          <w:rFonts w:eastAsia="Arial Unicode MS"/>
          <w:noProof/>
        </w:rPr>
        <w:t xml:space="preserve">collected and compiled </w:t>
      </w:r>
      <w:r>
        <w:rPr>
          <w:noProof/>
          <w:szCs w:val="24"/>
        </w:rPr>
        <w:t>by applying the same principles across Member States. Similarly, it will ensure that European agricultural statistics remain relevant and are adapted to respond to user needs. The Regulation will make the production of statistics more cost-effective while respecting the specific characteristics of Member States’ systems.</w:t>
      </w:r>
    </w:p>
    <w:p>
      <w:pPr>
        <w:pBdr>
          <w:top w:val="nil"/>
          <w:left w:val="nil"/>
          <w:bottom w:val="nil"/>
          <w:right w:val="nil"/>
          <w:between w:val="nil"/>
          <w:bar w:val="nil"/>
        </w:pBdr>
        <w:spacing w:before="0" w:after="240"/>
        <w:rPr>
          <w:rFonts w:eastAsia="Arial Unicode MS"/>
          <w:noProof/>
        </w:rPr>
      </w:pPr>
      <w:r>
        <w:rPr>
          <w:noProof/>
          <w:szCs w:val="24"/>
        </w:rPr>
        <w:t>I</w:t>
      </w:r>
      <w:r>
        <w:rPr>
          <w:noProof/>
        </w:rPr>
        <w:t>n line with the proportionality principle, the proposed Regulation confines itself to the minimum required to achieve its objective and does not go beyond what is necessary for that purpose.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rFonts w:eastAsia="Arial Unicode MS"/>
          <w:noProof/>
        </w:rPr>
      </w:pPr>
      <w:r>
        <w:rPr>
          <w:rFonts w:eastAsia="Arial Unicode MS"/>
          <w:noProof/>
        </w:rPr>
        <w:t>Proposed instrument: Regulation.</w:t>
      </w:r>
    </w:p>
    <w:p>
      <w:pPr>
        <w:pBdr>
          <w:top w:val="nil"/>
          <w:left w:val="nil"/>
          <w:bottom w:val="nil"/>
          <w:right w:val="nil"/>
          <w:between w:val="nil"/>
          <w:bar w:val="nil"/>
        </w:pBdr>
        <w:rPr>
          <w:noProof/>
          <w:szCs w:val="24"/>
        </w:rPr>
      </w:pPr>
      <w:r>
        <w:rPr>
          <w:noProof/>
          <w:szCs w:val="24"/>
        </w:rPr>
        <w:t xml:space="preserve">Given the objectives and content of the proposal, an amendment to the existing Regulation is the most appropriate instrument. </w:t>
      </w:r>
    </w:p>
    <w:p>
      <w:pPr>
        <w:pBdr>
          <w:top w:val="nil"/>
          <w:left w:val="nil"/>
          <w:bottom w:val="nil"/>
          <w:right w:val="nil"/>
          <w:between w:val="nil"/>
          <w:bar w:val="nil"/>
        </w:pBdr>
        <w:spacing w:before="0" w:after="240"/>
        <w:rPr>
          <w:rFonts w:eastAsia="Arial Unicode MS"/>
          <w:noProof/>
        </w:rPr>
      </w:pPr>
      <w:r>
        <w:rPr>
          <w:noProof/>
        </w:rPr>
        <w:t>Key EU policies such as the CAP depend on comparable, harmonised and high-quality agricultural statistics at European level. These can best be ensured by regulations, which are directly applicable in Member States and do not need to be turned into national law first. Article 14 of Regulation (EU) 2018/1091 already provides for an amendment.</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 / fitness checks of existing legislation</w:t>
      </w:r>
    </w:p>
    <w:p>
      <w:pPr>
        <w:pBdr>
          <w:top w:val="nil"/>
          <w:left w:val="nil"/>
          <w:bottom w:val="nil"/>
          <w:right w:val="nil"/>
          <w:between w:val="nil"/>
          <w:bar w:val="nil"/>
        </w:pBdr>
        <w:rPr>
          <w:rFonts w:eastAsia="Arial Unicode MS"/>
          <w:noProof/>
        </w:rPr>
      </w:pPr>
      <w:r>
        <w:rPr>
          <w:rFonts w:eastAsia="Arial Unicode MS"/>
          <w:noProof/>
        </w:rPr>
        <w:t>The evaluation of the European Agricultural Statistics System for the strategy for agricultural statistics for 2020 and beyond (SWD (2017) 96 final) indicated the need of a more systematic approach in this area.</w:t>
      </w:r>
    </w:p>
    <w:p>
      <w:pPr>
        <w:pBdr>
          <w:top w:val="nil"/>
          <w:left w:val="nil"/>
          <w:bottom w:val="nil"/>
          <w:right w:val="nil"/>
          <w:between w:val="nil"/>
          <w:bar w:val="nil"/>
        </w:pBdr>
        <w:rPr>
          <w:rFonts w:eastAsia="Arial Unicode MS"/>
          <w:noProof/>
        </w:rPr>
      </w:pPr>
      <w:r>
        <w:rPr>
          <w:rFonts w:eastAsia="Arial Unicode MS"/>
          <w:noProof/>
        </w:rPr>
        <w:t>The evaluation of the agricultural statistics system showed that:</w:t>
      </w:r>
    </w:p>
    <w:p>
      <w:pPr>
        <w:pStyle w:val="Bullet0"/>
        <w:rPr>
          <w:noProof/>
        </w:rPr>
      </w:pPr>
      <w:r>
        <w:rPr>
          <w:noProof/>
        </w:rPr>
        <w:t>Current legislation on agricultural statistics does not adequately meet new and emerging data needs because such statistics are not included as a requirement in the legal acts. The acts are also not flexible and integrated enough to respond promptly to emerging needs.</w:t>
      </w:r>
    </w:p>
    <w:p>
      <w:pPr>
        <w:pStyle w:val="Bullet0"/>
        <w:rPr>
          <w:noProof/>
        </w:rPr>
      </w:pPr>
      <w:r>
        <w:rPr>
          <w:noProof/>
        </w:rPr>
        <w:t xml:space="preserve">The </w:t>
      </w:r>
      <w:r>
        <w:rPr>
          <w:noProof/>
          <w:szCs w:val="24"/>
        </w:rPr>
        <w:t>European Agricultural Statistics System</w:t>
      </w:r>
      <w:r>
        <w:rPr>
          <w:noProof/>
        </w:rPr>
        <w:t xml:space="preserve"> is not sufficiently flexible and does not react quickly enough to emerging needs. This is partly due to the nature of statistics-gathering, but also to the way the regulations have been set up, and the lack of budgetary and human resources.</w:t>
      </w:r>
    </w:p>
    <w:p>
      <w:pPr>
        <w:pStyle w:val="Bullet0"/>
        <w:rPr>
          <w:noProof/>
        </w:rPr>
      </w:pPr>
      <w:r>
        <w:rPr>
          <w:noProof/>
        </w:rPr>
        <w:t>The data collection is not harmonised or coherent enough. This is because new data needs are emerging, legislation has been developed separately over many years, and definitions and concepts differ somewhat between agricultural areas.</w:t>
      </w:r>
    </w:p>
    <w:p>
      <w:pPr>
        <w:pStyle w:val="Bullet0"/>
        <w:rPr>
          <w:noProof/>
        </w:rPr>
      </w:pPr>
      <w:r>
        <w:rPr>
          <w:noProof/>
        </w:rPr>
        <w:t>The statistics could be produced more efficiently if the legislation is adapted to encompass various sources of information and if Member States adapt to modern technology.</w:t>
      </w:r>
    </w:p>
    <w:p>
      <w:pPr>
        <w:rPr>
          <w:noProof/>
        </w:rPr>
      </w:pPr>
      <w:r>
        <w:rPr>
          <w:noProof/>
        </w:rPr>
        <w:t xml:space="preserve">A public consultation was conducted as part of the </w:t>
      </w:r>
      <w:r>
        <w:rPr>
          <w:noProof/>
          <w:szCs w:val="24"/>
        </w:rPr>
        <w:t>preparation of Regulation (EU) 2018/1091</w:t>
      </w:r>
      <w:r>
        <w:rPr>
          <w:noProof/>
        </w:rPr>
        <w:t>, and the results are detailed in a specific report</w:t>
      </w:r>
      <w:r>
        <w:rPr>
          <w:rStyle w:val="FootnoteReference"/>
          <w:noProof/>
        </w:rPr>
        <w:footnoteReference w:id="5"/>
      </w:r>
      <w:r>
        <w:rPr>
          <w:noProof/>
        </w:rPr>
        <w:t>.</w:t>
      </w:r>
    </w:p>
    <w:p>
      <w:pPr>
        <w:pBdr>
          <w:top w:val="nil"/>
          <w:left w:val="nil"/>
          <w:bottom w:val="nil"/>
          <w:right w:val="nil"/>
          <w:between w:val="nil"/>
          <w:bar w:val="nil"/>
        </w:pBdr>
        <w:spacing w:before="0" w:after="240"/>
        <w:rPr>
          <w:rFonts w:eastAsia="Arial Unicode MS"/>
          <w:noProof/>
        </w:rPr>
      </w:pPr>
      <w:r>
        <w:rPr>
          <w:rFonts w:eastAsia="Arial Unicode MS"/>
          <w:noProof/>
        </w:rPr>
        <w:t>The related strategy on agricultural statistics concluded that agricultural statistics need to be designed and function as a system, where the parts fit together and make the output more significant than their sum. Agricultural statistics also need to fit seamlessly into the entire ESS, and data sources need to be diversified with other data sources being used where possible. I</w:t>
      </w:r>
      <w:r>
        <w:rPr>
          <w:rStyle w:val="acopre"/>
          <w:noProof/>
        </w:rPr>
        <w:t xml:space="preserve">nformation and communications technology </w:t>
      </w:r>
      <w:r>
        <w:rPr>
          <w:rFonts w:eastAsia="Arial Unicode MS"/>
          <w:noProof/>
        </w:rPr>
        <w:t>and other new technologies (e.g. big data and researched-based innovations) have to be integrated into data collection, and the effectiveness and efficiency of data collection methods must be assessed against the data needs and the quality criteria, and the existing silos should be broken.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rPr>
          <w:rFonts w:eastAsia="Arial Unicode MS"/>
          <w:noProof/>
        </w:rPr>
      </w:pPr>
      <w:r>
        <w:rPr>
          <w:rFonts w:eastAsia="Arial Unicode MS"/>
          <w:noProof/>
        </w:rPr>
        <w:t>Eurostat develops, produces and disseminates European agricultural statistics thanks to close, coordinated and regular cooperation within the European Statistical System and its long partnership with the national statistical institutes (NSIs) and all other relevant authorities.</w:t>
      </w:r>
    </w:p>
    <w:p>
      <w:pPr>
        <w:pBdr>
          <w:top w:val="nil"/>
          <w:left w:val="nil"/>
          <w:bottom w:val="nil"/>
          <w:right w:val="nil"/>
          <w:between w:val="nil"/>
          <w:bar w:val="nil"/>
        </w:pBdr>
        <w:rPr>
          <w:rFonts w:eastAsia="Arial Unicode MS"/>
          <w:noProof/>
        </w:rPr>
      </w:pPr>
      <w:r>
        <w:rPr>
          <w:rFonts w:eastAsia="Arial Unicode MS"/>
          <w:noProof/>
        </w:rPr>
        <w:t>Overall, and in line with the strategy for agricultural statistics for 2020 and beyond, the main groups and individuals concerned by or involved in European agricultural statistics are: data producers (NSIs, other national authorities and Eurostat); respondents (farmers, farmers’ organisations and businesses); and users (public and private decision makers, in particular other Commission departments, researchers and journalists). These stakeholders have been consulted extensively about the problems they face, the changes they would like to see, their data needs and priorities, possible policy solutions, impacts of suggested actions, and on the strategy itself.</w:t>
      </w:r>
    </w:p>
    <w:p>
      <w:pPr>
        <w:pBdr>
          <w:top w:val="nil"/>
          <w:left w:val="nil"/>
          <w:bottom w:val="nil"/>
          <w:right w:val="nil"/>
          <w:between w:val="nil"/>
          <w:bar w:val="nil"/>
        </w:pBdr>
        <w:rPr>
          <w:rFonts w:eastAsia="Arial Unicode MS"/>
          <w:noProof/>
        </w:rPr>
      </w:pPr>
      <w:r>
        <w:rPr>
          <w:rFonts w:eastAsia="Arial Unicode MS"/>
          <w:noProof/>
        </w:rPr>
        <w:t>Stakeholders' views have been gathered at meetings and seminars of the Standing Committee for Agricultural Statistics (CPSA) and its successor, the Directors’ Group for Agricultural Statistics (DGAS) (for directors of agricultural statistics) where Commission departments, international organisations and farmers’ organisations are often heard, European Statistical System Committee meetings (for NSI directors-general), and regularly scheduled consultations and hearings (for Commission departments).</w:t>
      </w:r>
    </w:p>
    <w:p>
      <w:pPr>
        <w:pBdr>
          <w:top w:val="nil"/>
          <w:left w:val="nil"/>
          <w:bottom w:val="nil"/>
          <w:right w:val="nil"/>
          <w:between w:val="nil"/>
          <w:bar w:val="nil"/>
        </w:pBdr>
        <w:rPr>
          <w:rFonts w:eastAsia="Arial Unicode MS"/>
          <w:noProof/>
        </w:rPr>
      </w:pPr>
      <w:r>
        <w:rPr>
          <w:rFonts w:eastAsia="Arial Unicode MS"/>
          <w:noProof/>
        </w:rPr>
        <w:t>The results of these consultations were taken into account in the evaluation mentioned above.</w:t>
      </w:r>
    </w:p>
    <w:p>
      <w:pPr>
        <w:pBdr>
          <w:top w:val="nil"/>
          <w:left w:val="nil"/>
          <w:bottom w:val="nil"/>
          <w:right w:val="nil"/>
          <w:between w:val="nil"/>
          <w:bar w:val="nil"/>
        </w:pBdr>
        <w:rPr>
          <w:rFonts w:eastAsia="Arial Unicode MS"/>
          <w:noProof/>
        </w:rPr>
      </w:pPr>
      <w:r>
        <w:rPr>
          <w:rFonts w:eastAsia="Arial Unicode MS"/>
          <w:noProof/>
        </w:rPr>
        <w:t>In addition, a consultation on the roadmap for the proposal ran for 4 weeks on the European Commission’s ‘Have your say’ webpage.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rFonts w:eastAsia="Arial Unicode MS"/>
          <w:noProof/>
        </w:rPr>
        <w:t>To prepare Regulation (EU) 2018/1091, Eurostat held extensive discussions on the content of the proposal with NSIs within the relevant expert groups, including at directors’ level.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rPr>
          <w:noProof/>
        </w:rPr>
      </w:pPr>
      <w:r>
        <w:rPr>
          <w:noProof/>
          <w:szCs w:val="24"/>
        </w:rPr>
        <w:t>An impact assessment of the strategy for agricultural statistics for 2020 and beyond (</w:t>
      </w:r>
      <w:hyperlink r:id="rId11" w:history="1">
        <w:r>
          <w:rPr>
            <w:rStyle w:val="Hyperlink"/>
            <w:noProof/>
          </w:rPr>
          <w:t>SWD (2016)430</w:t>
        </w:r>
      </w:hyperlink>
      <w:r>
        <w:rPr>
          <w:noProof/>
          <w:szCs w:val="24"/>
        </w:rPr>
        <w:t>) of which integrated farm statistics are an integral part, received a positive opinion from the</w:t>
      </w:r>
      <w:r>
        <w:rPr>
          <w:noProof/>
        </w:rPr>
        <w:t xml:space="preserve"> Regulatory Scrutiny Board</w:t>
      </w:r>
      <w:r>
        <w:rPr>
          <w:rStyle w:val="FootnoteReference"/>
          <w:noProof/>
        </w:rPr>
        <w:footnoteReference w:id="6"/>
      </w:r>
      <w:r>
        <w:rPr>
          <w:noProof/>
        </w:rPr>
        <w:t>.</w:t>
      </w:r>
    </w:p>
    <w:p>
      <w:pPr>
        <w:pBdr>
          <w:top w:val="nil"/>
          <w:left w:val="nil"/>
          <w:bottom w:val="nil"/>
          <w:right w:val="nil"/>
          <w:between w:val="nil"/>
          <w:bar w:val="nil"/>
        </w:pBdr>
        <w:spacing w:before="0" w:after="240"/>
        <w:rPr>
          <w:rFonts w:eastAsia="Arial Unicode MS"/>
          <w:noProof/>
        </w:rPr>
      </w:pPr>
      <w:r>
        <w:rPr>
          <w:noProof/>
          <w:szCs w:val="24"/>
        </w:rPr>
        <w:t>Statistical legislation primarily concerns administrative-level data users (e.g. the Commission's policy departments), data producers (NSIs), and data respondents (farmers), so its direct economic, social and environmental effects are limited. The main direct costs for stakeholders relate to adapting to new statistical and technical systems. In the mid- to long</w:t>
      </w:r>
      <w:r>
        <w:rPr>
          <w:noProof/>
          <w:szCs w:val="24"/>
        </w:rPr>
        <w:noBreakHyphen/>
        <w:t xml:space="preserve"> term, the modernisation measures were expected to slightly reduce the administrative burden as well as costs. Most of the cost savings would be due to the lowered coverage requirements of </w:t>
      </w:r>
      <w:r>
        <w:rPr>
          <w:rFonts w:eastAsia="Arial Unicode MS"/>
          <w:noProof/>
        </w:rPr>
        <w:t>Regulation (EU) 2018/1091</w:t>
      </w:r>
      <w:r>
        <w:rPr>
          <w:noProof/>
          <w:szCs w:val="24"/>
        </w:rPr>
        <w:t>. The cost of gathering statistics must be weighed against their societal benefits but also against the cost of having low-quality statistics or none at all.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rPr>
          <w:rFonts w:eastAsia="Arial Unicode MS"/>
          <w:noProof/>
        </w:rPr>
      </w:pPr>
      <w:r>
        <w:rPr>
          <w:rFonts w:eastAsia="Arial Unicode MS"/>
          <w:noProof/>
        </w:rPr>
        <w:t>The proposal is part of the strategy for agricultural statistics for 2020 and beyond, a major programme to modernise EU agricultural statistics produced by the European Commission in close cooperation with Member States. The strategy is supported by the European Statistical System Committee and is part of the REFIT programme, aiming to streamline and improve the European Agricultural Statistics System (EASS).</w:t>
      </w:r>
    </w:p>
    <w:p>
      <w:pPr>
        <w:pBdr>
          <w:top w:val="nil"/>
          <w:left w:val="nil"/>
          <w:bottom w:val="nil"/>
          <w:right w:val="nil"/>
          <w:between w:val="nil"/>
          <w:bar w:val="nil"/>
        </w:pBdr>
        <w:spacing w:before="0" w:after="240"/>
        <w:rPr>
          <w:rFonts w:eastAsia="Arial Unicode MS"/>
          <w:noProof/>
        </w:rPr>
      </w:pPr>
      <w:r>
        <w:rPr>
          <w:rFonts w:eastAsia="Arial Unicode MS"/>
          <w:noProof/>
        </w:rPr>
        <w:t>This proposal covers the funding of integrated farm statistics for 2021-2027, in line with Regulation (EU) 2018/1091.</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rFonts w:eastAsia="Arial Unicode MS"/>
          <w:noProof/>
        </w:rPr>
        <w:t>The proposal has no consequences for the protection of fundamental rights.</w:t>
      </w:r>
    </w:p>
    <w:p>
      <w:pPr>
        <w:pStyle w:val="ManualHeading1"/>
        <w:rPr>
          <w:noProof/>
        </w:rPr>
      </w:pPr>
      <w:r>
        <w:rPr>
          <w:noProof/>
        </w:rPr>
        <w:t>4.</w:t>
      </w:r>
      <w:r>
        <w:rPr>
          <w:noProof/>
        </w:rPr>
        <w:tab/>
        <w:t>BUDGETARY IMPLICATIONS</w:t>
      </w:r>
    </w:p>
    <w:p>
      <w:pPr>
        <w:pBdr>
          <w:top w:val="nil"/>
          <w:left w:val="nil"/>
          <w:bottom w:val="nil"/>
          <w:right w:val="nil"/>
          <w:between w:val="nil"/>
          <w:bar w:val="nil"/>
        </w:pBdr>
        <w:rPr>
          <w:noProof/>
        </w:rPr>
      </w:pPr>
      <w:r>
        <w:rPr>
          <w:noProof/>
        </w:rPr>
        <w:t>The financial impact of the proposal is of limited duration, and refers to the co-funding of data collection on integrated farm statistics for the period 2021-2027 (the 2023 and 2026 data collection exercises).</w:t>
      </w:r>
    </w:p>
    <w:p>
      <w:pPr>
        <w:pStyle w:val="ti-art"/>
        <w:rPr>
          <w:noProof/>
          <w:lang w:val="en-GB"/>
        </w:rPr>
      </w:pPr>
      <w:r>
        <w:rPr>
          <w:noProof/>
          <w:lang w:val="en-GB"/>
        </w:rPr>
        <w:t>Article 13 of Regulation (EU) 2018/1091 establishes the EU financial contribution for the implementation of that Regulation. This proposal establishes a budget of EUR 40 000 000.00 for 2021-2027 (of which 36 400 000.00 is for NSI grants).</w:t>
      </w:r>
    </w:p>
    <w:p>
      <w:pPr>
        <w:pBdr>
          <w:top w:val="nil"/>
          <w:left w:val="nil"/>
          <w:bottom w:val="nil"/>
          <w:right w:val="nil"/>
          <w:between w:val="nil"/>
          <w:bar w:val="nil"/>
        </w:pBdr>
        <w:spacing w:before="0" w:after="240"/>
        <w:rPr>
          <w:rFonts w:eastAsia="Arial Unicode MS"/>
          <w:noProof/>
        </w:rPr>
      </w:pPr>
      <w:r>
        <w:rPr>
          <w:noProof/>
        </w:rPr>
        <w:t>The EU financial contribution for the grants referred to in Article 13 (2) of Regulation (EU) 2018/1091 will be provided by the European Agricultural Guarantee Fund under point (d) of Article 4(2) of Regulation (EU) No 1306/2013 or Regulation on the financing, management and monitoring of the common agricultural policy and repealing Regulation (EU) No 1306/2013.</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rPr>
          <w:rFonts w:eastAsia="Arial Unicode MS"/>
          <w:noProof/>
        </w:rPr>
      </w:pPr>
      <w:r>
        <w:rPr>
          <w:rFonts w:eastAsia="Arial Unicode MS"/>
          <w:noProof/>
        </w:rPr>
        <w:t>The proposed Regulation is expected to be adopted by the European Parliament and the Council as soon as possible, and the Commission is expected to adopt the implementing measures shortly afterwards.</w:t>
      </w:r>
      <w:r>
        <w:rPr>
          <w:noProof/>
        </w:rPr>
        <w:t xml:space="preserve"> </w:t>
      </w:r>
      <w:r>
        <w:rPr>
          <w:rFonts w:eastAsia="Arial Unicode MS"/>
          <w:noProof/>
        </w:rPr>
        <w:t>The Regulation will be directly applicable in all Member States without the need for an implementation plan.</w:t>
      </w:r>
    </w:p>
    <w:p>
      <w:pPr>
        <w:pBdr>
          <w:top w:val="nil"/>
          <w:left w:val="nil"/>
          <w:bottom w:val="nil"/>
          <w:right w:val="nil"/>
          <w:between w:val="nil"/>
          <w:bar w:val="nil"/>
        </w:pBdr>
        <w:rPr>
          <w:rFonts w:eastAsia="Arial Unicode MS"/>
          <w:noProof/>
        </w:rPr>
      </w:pPr>
      <w:r>
        <w:rPr>
          <w:rFonts w:eastAsia="Arial Unicode MS"/>
          <w:noProof/>
        </w:rPr>
        <w:t xml:space="preserve">Member States will need to provide data to the Commission in 2024 and 2027. </w:t>
      </w:r>
    </w:p>
    <w:p>
      <w:pPr>
        <w:pBdr>
          <w:top w:val="nil"/>
          <w:left w:val="nil"/>
          <w:bottom w:val="nil"/>
          <w:right w:val="nil"/>
          <w:between w:val="nil"/>
          <w:bar w:val="nil"/>
        </w:pBdr>
        <w:spacing w:before="0" w:after="240"/>
        <w:rPr>
          <w:rFonts w:eastAsia="Arial Unicode MS"/>
          <w:noProof/>
        </w:rPr>
      </w:pPr>
      <w:r>
        <w:rPr>
          <w:rFonts w:eastAsia="Arial Unicode MS"/>
          <w:noProof/>
        </w:rPr>
        <w:t>In accordance with Regulation (EU) 2018/1091, the Commission should, after consulting the ESSC, submit a report on the implementation and achievement of its objectives to the European Parliament and to the Council by 31 December 2024.</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rPr>
      </w:pPr>
      <w:r>
        <w:rPr>
          <w:noProof/>
        </w:rPr>
        <w:t>The proposed amendment applies to Articles 13(4) (5) and (7) and 14(1) of Regulation (EU) 2018/1091, establishing the maximum amounts to be assigned to each Member State and the amount and source of the financial envelope for 2021-2027.</w:t>
      </w:r>
    </w:p>
    <w:p>
      <w:pPr>
        <w:rPr>
          <w:noProof/>
        </w:rPr>
        <w:sectPr>
          <w:footerReference w:type="default" r:id="rId12"/>
          <w:footerReference w:type="first" r:id="rId13"/>
          <w:pgSz w:w="11907" w:h="16839"/>
          <w:pgMar w:top="1134" w:right="1417" w:bottom="1134" w:left="1417" w:header="709" w:footer="709" w:gutter="0"/>
          <w:cols w:space="708"/>
          <w:docGrid w:linePitch="360"/>
        </w:sectPr>
      </w:pPr>
    </w:p>
    <w:p>
      <w:pPr>
        <w:pStyle w:val="Rfrenceinterinstitutionnelle"/>
        <w:rPr>
          <w:noProof/>
        </w:rPr>
      </w:pPr>
      <w:r>
        <w:rPr>
          <w:noProof/>
        </w:rPr>
        <w:t>2021/0270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2018/1091 as regards the Union contribution for the integrated farm statistics under the 2021-2027 financial framework</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338(1)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Acting in accordance with the ordinary legislative procedure,</w:t>
      </w:r>
    </w:p>
    <w:p>
      <w:pPr>
        <w:rPr>
          <w:noProof/>
        </w:rPr>
      </w:pPr>
      <w:r>
        <w:rPr>
          <w:noProof/>
        </w:rPr>
        <w:t>Whereas:</w:t>
      </w:r>
    </w:p>
    <w:p>
      <w:pPr>
        <w:pStyle w:val="ListNumber"/>
        <w:rPr>
          <w:noProof/>
        </w:rPr>
      </w:pPr>
      <w:r>
        <w:rPr>
          <w:noProof/>
        </w:rPr>
        <w:t>Regulation (EU) 2018/1091 of the European Parliament and of the Council</w:t>
      </w:r>
      <w:r>
        <w:rPr>
          <w:rStyle w:val="FootnoteReference"/>
          <w:noProof/>
        </w:rPr>
        <w:footnoteReference w:id="7"/>
      </w:r>
      <w:r>
        <w:rPr>
          <w:noProof/>
        </w:rPr>
        <w:t xml:space="preserve"> provides that Member States are to collect and provide core structural data (‘core data’) and module data related to agricultural holdings in 2023 and 2026.</w:t>
      </w:r>
    </w:p>
    <w:p>
      <w:pPr>
        <w:pStyle w:val="ListNumber"/>
        <w:rPr>
          <w:noProof/>
        </w:rPr>
      </w:pPr>
      <w:r>
        <w:rPr>
          <w:noProof/>
        </w:rPr>
        <w:t>To carry out the farm structure surveys and to satisfy the information requirements of the Union, a considerable amount of funding is required from Member States and from the Union.</w:t>
      </w:r>
    </w:p>
    <w:p>
      <w:pPr>
        <w:pStyle w:val="ListNumber"/>
        <w:rPr>
          <w:noProof/>
        </w:rPr>
      </w:pPr>
      <w:r>
        <w:rPr>
          <w:noProof/>
        </w:rPr>
        <w:t>Member States are to receive a maximum financial contribution of 75% from the Union towards the costs of the 2023 and 2026 core data and module data collections, subject to the maximum amounts specified in Regulation (EU) 2018/1091.</w:t>
      </w:r>
    </w:p>
    <w:p>
      <w:pPr>
        <w:pStyle w:val="ListNumber"/>
        <w:rPr>
          <w:noProof/>
        </w:rPr>
      </w:pPr>
      <w:r>
        <w:rPr>
          <w:noProof/>
        </w:rPr>
        <w:t>Regulation (EU) 2018/1091 lays down the financial envelope for the entire duration of the relevant multiannual financial framework (MFF) and includes a provision for establishing the amount to be granted for further data collections under the subsequent MFF covering the surveys in 2023 and 2026.</w:t>
      </w:r>
    </w:p>
    <w:p>
      <w:pPr>
        <w:pStyle w:val="ListNumber"/>
        <w:rPr>
          <w:noProof/>
        </w:rPr>
      </w:pPr>
      <w:r>
        <w:rPr>
          <w:noProof/>
        </w:rPr>
        <w:t>That subsequent MFF for the years 2021-2027 has been laid down by Council Regulation (EU, Euratom) 2020/2093</w:t>
      </w:r>
      <w:r>
        <w:rPr>
          <w:rStyle w:val="FootnoteReference"/>
          <w:noProof/>
        </w:rPr>
        <w:footnoteReference w:id="8"/>
      </w:r>
      <w:r>
        <w:rPr>
          <w:noProof/>
        </w:rPr>
        <w:t>.</w:t>
      </w:r>
    </w:p>
    <w:p>
      <w:pPr>
        <w:pStyle w:val="ListNumber"/>
        <w:rPr>
          <w:noProof/>
        </w:rPr>
      </w:pPr>
      <w:r>
        <w:rPr>
          <w:noProof/>
        </w:rPr>
        <w:t>In accordance with Regulation (EU) 2018/1091, the amount of the Union contribution for the integrated farm statistics under the MFF for 2021-2027 should be fixed by the European Parliament and the Council, based on a proposal from the Commission following the date of entry into force of Regulation (EU, Euratom) 2020/2093.</w:t>
      </w:r>
    </w:p>
    <w:p>
      <w:pPr>
        <w:pStyle w:val="ListNumber"/>
        <w:rPr>
          <w:noProof/>
        </w:rPr>
      </w:pPr>
      <w:r>
        <w:rPr>
          <w:noProof/>
        </w:rPr>
        <w:t>The amount proposed for 2021-2027 should finance the farm structure surveys conducted in 2023 and 2026 only, including the costs related to the management, maintenance and development of the databases used by the Commission to process the data supplied by Member States.</w:t>
      </w:r>
    </w:p>
    <w:p>
      <w:pPr>
        <w:pStyle w:val="ListNumber"/>
        <w:rPr>
          <w:noProof/>
        </w:rPr>
      </w:pPr>
      <w:r>
        <w:rPr>
          <w:noProof/>
        </w:rPr>
        <w:t>In addition, following the withdrawal of the United Kingdom from the Union, it is appropriate to delete the reference to that former Member State.</w:t>
      </w:r>
    </w:p>
    <w:p>
      <w:pPr>
        <w:pStyle w:val="ListNumber"/>
        <w:rPr>
          <w:noProof/>
        </w:rPr>
      </w:pPr>
      <w:r>
        <w:rPr>
          <w:noProof/>
        </w:rPr>
        <w:t>The European Statistical System Committee established by Article 7 of Regulation (EC) No 223/2009 of the European Parliament and of the Council</w:t>
      </w:r>
      <w:r>
        <w:rPr>
          <w:rStyle w:val="FootnoteReference"/>
          <w:noProof/>
        </w:rPr>
        <w:footnoteReference w:id="9"/>
      </w:r>
      <w:r>
        <w:rPr>
          <w:noProof/>
        </w:rPr>
        <w:t xml:space="preserve"> has been consulted.</w:t>
      </w:r>
    </w:p>
    <w:p>
      <w:pPr>
        <w:pStyle w:val="ListNumber"/>
        <w:rPr>
          <w:noProof/>
        </w:rPr>
      </w:pPr>
      <w:r>
        <w:rPr>
          <w:noProof/>
        </w:rPr>
        <w:t>Regulation (EU) 2018/1091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(EU) 2018/1091 is amended as follows:</w:t>
      </w:r>
    </w:p>
    <w:p>
      <w:pPr>
        <w:pStyle w:val="Point0"/>
        <w:rPr>
          <w:noProof/>
        </w:rPr>
      </w:pPr>
      <w:r>
        <w:t>(1)</w:t>
      </w:r>
      <w:r>
        <w:tab/>
      </w:r>
      <w:r>
        <w:rPr>
          <w:noProof/>
        </w:rPr>
        <w:t>Article 13 is amended as follows:</w:t>
      </w:r>
    </w:p>
    <w:p>
      <w:pPr>
        <w:pStyle w:val="Point1"/>
        <w:rPr>
          <w:noProof/>
        </w:rPr>
      </w:pPr>
      <w:r>
        <w:t>(a)</w:t>
      </w:r>
      <w:r>
        <w:tab/>
      </w:r>
      <w:r>
        <w:rPr>
          <w:noProof/>
        </w:rPr>
        <w:t>paragraph 4 is amended as follows:</w:t>
      </w:r>
    </w:p>
    <w:p>
      <w:pPr>
        <w:pStyle w:val="Point2"/>
        <w:rPr>
          <w:noProof/>
        </w:rPr>
      </w:pPr>
      <w:r>
        <w:rPr>
          <w:noProof/>
        </w:rPr>
        <w:t>(i)</w:t>
      </w:r>
      <w:r>
        <w:rPr>
          <w:noProof/>
        </w:rPr>
        <w:tab/>
        <w:t>the introductory phrase is replaced by the following:</w:t>
      </w:r>
    </w:p>
    <w:p>
      <w:pPr>
        <w:pStyle w:val="Text3"/>
        <w:rPr>
          <w:noProof/>
        </w:rPr>
      </w:pPr>
      <w:r>
        <w:rPr>
          <w:noProof/>
        </w:rPr>
        <w:t>‘For the combined costs of the 2023 and 2026 core data and module data collections, the Union financial contribution shall be limited to the maximum amounts specified below:’;</w:t>
      </w:r>
    </w:p>
    <w:p>
      <w:pPr>
        <w:pStyle w:val="Point2"/>
        <w:rPr>
          <w:noProof/>
        </w:rPr>
      </w:pPr>
      <w:r>
        <w:rPr>
          <w:noProof/>
        </w:rPr>
        <w:t>(ii)</w:t>
      </w:r>
      <w:r>
        <w:rPr>
          <w:noProof/>
        </w:rPr>
        <w:tab/>
        <w:t>point (c) is replaced by the following:</w:t>
      </w:r>
    </w:p>
    <w:p>
      <w:pPr>
        <w:pStyle w:val="Text3"/>
        <w:rPr>
          <w:noProof/>
        </w:rPr>
      </w:pPr>
      <w:r>
        <w:rPr>
          <w:noProof/>
        </w:rPr>
        <w:t>‘(c) EUR 2 000 000 each for Bulgaria, Germany, Hungary and Portugal;’;</w:t>
      </w:r>
    </w:p>
    <w:p>
      <w:pPr>
        <w:pStyle w:val="Point1"/>
        <w:rPr>
          <w:noProof/>
        </w:rPr>
      </w:pPr>
      <w:r>
        <w:t>(b)</w:t>
      </w:r>
      <w:r>
        <w:tab/>
      </w:r>
      <w:r>
        <w:rPr>
          <w:noProof/>
        </w:rPr>
        <w:t>paragraph 5 is deleted;</w:t>
      </w:r>
    </w:p>
    <w:p>
      <w:pPr>
        <w:pStyle w:val="Point1"/>
        <w:rPr>
          <w:noProof/>
        </w:rPr>
      </w:pPr>
      <w:r>
        <w:t>(c)</w:t>
      </w:r>
      <w:r>
        <w:tab/>
      </w:r>
      <w:r>
        <w:rPr>
          <w:noProof/>
        </w:rPr>
        <w:t>paragraph 7 is replaced by the following:</w:t>
      </w:r>
    </w:p>
    <w:p>
      <w:pPr>
        <w:pStyle w:val="Text2"/>
        <w:rPr>
          <w:noProof/>
        </w:rPr>
      </w:pPr>
      <w:r>
        <w:rPr>
          <w:noProof/>
        </w:rPr>
        <w:t>‘7. The Union financial contribution for the grants referred to in paragraph 2 of this Article shall be provided by the European Agricultural Guarantee Fund under point (d) of Article 4(2) of Regulation (EU) No 1306/2013 or a subsequent Regulation on the financing, management and monitoring of the common agricultural policy and repealing Regulation (EU) No 1306/2013.’;</w:t>
      </w:r>
    </w:p>
    <w:p>
      <w:pPr>
        <w:pStyle w:val="Point0"/>
        <w:rPr>
          <w:noProof/>
        </w:rPr>
      </w:pPr>
      <w:r>
        <w:t>(2)</w:t>
      </w:r>
      <w:r>
        <w:tab/>
      </w:r>
      <w:r>
        <w:rPr>
          <w:noProof/>
        </w:rPr>
        <w:t>in Article 14, paragraph 1 is replaced by the following:</w:t>
      </w:r>
    </w:p>
    <w:p>
      <w:pPr>
        <w:pStyle w:val="Text1"/>
        <w:rPr>
          <w:noProof/>
        </w:rPr>
      </w:pPr>
      <w:r>
        <w:rPr>
          <w:noProof/>
        </w:rPr>
        <w:t>‘1. The Union financial envelope for the implementation of the programme of data collections for the reference years 2023 and 2026, including the appropriations necessary for the management, maintenance and development of the database systems used within the Commission to process the data supplied by the Member States under this Regulation, shall be EUR 40 000 000 for the period 2021-2027, covered by the MFF for 2021-2027.’.</w:t>
      </w:r>
    </w:p>
    <w:p>
      <w:pPr>
        <w:pStyle w:val="Titrearticle"/>
        <w:rPr>
          <w:noProof/>
        </w:rPr>
      </w:pPr>
      <w:r>
        <w:rPr>
          <w:noProof/>
        </w:rPr>
        <w:t>Article 2</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footnotePr>
            <w:numRestart w:val="eachSect"/>
          </w:footnote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p>
      <w:pPr>
        <w:pStyle w:val="TOCHeading"/>
        <w:rPr>
          <w:noProof/>
        </w:rPr>
      </w:pPr>
      <w:r>
        <w:rPr>
          <w:noProof/>
        </w:rPr>
        <w:t>Contents</w:t>
      </w:r>
    </w:p>
    <w:p>
      <w:pPr>
        <w:pStyle w:val="TOC1"/>
        <w:rPr>
          <w:rFonts w:ascii="Calibri" w:eastAsia="Times New Roman" w:hAnsi="Calibri"/>
          <w:noProof/>
          <w:sz w:val="22"/>
        </w:rPr>
      </w:pPr>
      <w:r>
        <w:rPr>
          <w:b/>
          <w:bCs/>
          <w:noProof/>
        </w:rPr>
        <w:fldChar w:fldCharType="begin"/>
      </w:r>
      <w:r>
        <w:rPr>
          <w:b/>
          <w:bCs/>
          <w:noProof/>
        </w:rPr>
        <w:instrText xml:space="preserve"> TOC \o "1-3" \h \z \u </w:instrText>
      </w:r>
      <w:r>
        <w:rPr>
          <w:b/>
          <w:bCs/>
          <w:noProof/>
        </w:rPr>
        <w:fldChar w:fldCharType="separate"/>
      </w:r>
      <w:hyperlink w:anchor="_Toc520485025" w:history="1">
        <w:r>
          <w:rPr>
            <w:rStyle w:val="Hyperlink"/>
            <w:noProof/>
          </w:rPr>
          <w:t>1.</w:t>
        </w:r>
        <w:r>
          <w:rPr>
            <w:rFonts w:ascii="Calibri" w:eastAsia="Times New Roman" w:hAnsi="Calibri"/>
            <w:noProof/>
            <w:sz w:val="22"/>
          </w:rPr>
          <w:tab/>
        </w:r>
        <w:r>
          <w:rPr>
            <w:rStyle w:val="Hyperlink"/>
            <w:noProof/>
          </w:rPr>
          <w:t>FRAMEWORK OF THE PROPOSAL/INITIATIVE</w:t>
        </w:r>
        <w:r>
          <w:rPr>
            <w:noProof/>
            <w:webHidden/>
          </w:rPr>
          <w:tab/>
          <w:t>12</w:t>
        </w:r>
      </w:hyperlink>
    </w:p>
    <w:p>
      <w:pPr>
        <w:pStyle w:val="TOC2"/>
        <w:rPr>
          <w:rFonts w:ascii="Calibri" w:eastAsia="Times New Roman" w:hAnsi="Calibri"/>
          <w:noProof/>
          <w:sz w:val="22"/>
        </w:rPr>
      </w:pPr>
      <w:hyperlink w:anchor="_Toc520485026" w:history="1">
        <w:r>
          <w:rPr>
            <w:rStyle w:val="Hyperlink"/>
            <w:noProof/>
          </w:rPr>
          <w:t>1.1.</w:t>
        </w:r>
        <w:r>
          <w:rPr>
            <w:rFonts w:ascii="Calibri" w:eastAsia="Times New Roman" w:hAnsi="Calibri"/>
            <w:noProof/>
            <w:sz w:val="22"/>
          </w:rPr>
          <w:tab/>
        </w:r>
        <w:r>
          <w:rPr>
            <w:rStyle w:val="Hyperlink"/>
            <w:noProof/>
          </w:rPr>
          <w:t>Title of the proposal/initiative</w:t>
        </w:r>
        <w:r>
          <w:rPr>
            <w:noProof/>
            <w:webHidden/>
          </w:rPr>
          <w:tab/>
          <w:t>12</w:t>
        </w:r>
      </w:hyperlink>
    </w:p>
    <w:p>
      <w:pPr>
        <w:pStyle w:val="TOC2"/>
        <w:rPr>
          <w:rFonts w:ascii="Calibri" w:eastAsia="Times New Roman" w:hAnsi="Calibri"/>
          <w:noProof/>
          <w:sz w:val="22"/>
        </w:rPr>
      </w:pPr>
      <w:hyperlink w:anchor="_Toc520485027" w:history="1">
        <w:r>
          <w:rPr>
            <w:rStyle w:val="Hyperlink"/>
            <w:i/>
            <w:noProof/>
          </w:rPr>
          <w:t>1.2.</w:t>
        </w:r>
        <w:r>
          <w:rPr>
            <w:rFonts w:ascii="Calibri" w:eastAsia="Times New Roman" w:hAnsi="Calibri"/>
            <w:noProof/>
            <w:sz w:val="22"/>
          </w:rPr>
          <w:tab/>
        </w:r>
        <w:r>
          <w:rPr>
            <w:rStyle w:val="Hyperlink"/>
            <w:noProof/>
          </w:rPr>
          <w:t>Policy area(s) concerned</w:t>
        </w:r>
        <w:r>
          <w:rPr>
            <w:noProof/>
            <w:webHidden/>
          </w:rPr>
          <w:tab/>
          <w:t>12</w:t>
        </w:r>
      </w:hyperlink>
    </w:p>
    <w:p>
      <w:pPr>
        <w:pStyle w:val="TOC2"/>
        <w:rPr>
          <w:rFonts w:ascii="Calibri" w:eastAsia="Times New Roman" w:hAnsi="Calibri"/>
          <w:noProof/>
          <w:sz w:val="22"/>
        </w:rPr>
      </w:pPr>
      <w:hyperlink w:anchor="_Toc520485028" w:history="1">
        <w:r>
          <w:rPr>
            <w:rStyle w:val="Hyperlink"/>
            <w:noProof/>
          </w:rPr>
          <w:t>1.3.</w:t>
        </w:r>
        <w:r>
          <w:rPr>
            <w:rFonts w:ascii="Calibri" w:eastAsia="Times New Roman" w:hAnsi="Calibri"/>
            <w:noProof/>
            <w:sz w:val="22"/>
          </w:rPr>
          <w:tab/>
        </w:r>
        <w:r>
          <w:rPr>
            <w:rStyle w:val="Hyperlink"/>
            <w:noProof/>
          </w:rPr>
          <w:t>The proposal/initiative relates to:</w:t>
        </w:r>
        <w:r>
          <w:rPr>
            <w:noProof/>
            <w:webHidden/>
          </w:rPr>
          <w:tab/>
          <w:t>12</w:t>
        </w:r>
      </w:hyperlink>
    </w:p>
    <w:p>
      <w:pPr>
        <w:pStyle w:val="TOC2"/>
        <w:rPr>
          <w:rFonts w:ascii="Calibri" w:eastAsia="Times New Roman" w:hAnsi="Calibri"/>
          <w:noProof/>
          <w:sz w:val="22"/>
        </w:rPr>
      </w:pPr>
      <w:hyperlink w:anchor="_Toc520485029" w:history="1">
        <w:r>
          <w:rPr>
            <w:rStyle w:val="Hyperlink"/>
            <w:noProof/>
          </w:rPr>
          <w:t>1.4.</w:t>
        </w:r>
        <w:r>
          <w:rPr>
            <w:rFonts w:ascii="Calibri" w:eastAsia="Times New Roman" w:hAnsi="Calibri"/>
            <w:noProof/>
            <w:sz w:val="22"/>
          </w:rPr>
          <w:tab/>
        </w:r>
        <w:r>
          <w:rPr>
            <w:rStyle w:val="Hyperlink"/>
            <w:noProof/>
          </w:rPr>
          <w:t>Objective(s)</w:t>
        </w:r>
        <w:r>
          <w:rPr>
            <w:noProof/>
            <w:webHidden/>
          </w:rPr>
          <w:tab/>
          <w:t>12</w:t>
        </w:r>
      </w:hyperlink>
    </w:p>
    <w:p>
      <w:pPr>
        <w:pStyle w:val="TOC3"/>
        <w:rPr>
          <w:rFonts w:ascii="Calibri" w:eastAsia="Times New Roman" w:hAnsi="Calibri"/>
          <w:noProof/>
          <w:sz w:val="22"/>
        </w:rPr>
      </w:pPr>
      <w:hyperlink w:anchor="_Toc520485030" w:history="1">
        <w:r>
          <w:rPr>
            <w:rStyle w:val="Hyperlink"/>
            <w:noProof/>
          </w:rPr>
          <w:t>1.4.1.</w:t>
        </w:r>
        <w:r>
          <w:rPr>
            <w:rFonts w:ascii="Calibri" w:eastAsia="Times New Roman" w:hAnsi="Calibri"/>
            <w:noProof/>
            <w:sz w:val="22"/>
          </w:rPr>
          <w:tab/>
        </w:r>
        <w:r>
          <w:rPr>
            <w:rStyle w:val="Hyperlink"/>
            <w:noProof/>
          </w:rPr>
          <w:t>General objective(s)</w:t>
        </w:r>
        <w:r>
          <w:rPr>
            <w:noProof/>
            <w:webHidden/>
          </w:rPr>
          <w:tab/>
          <w:t>12</w:t>
        </w:r>
      </w:hyperlink>
    </w:p>
    <w:p>
      <w:pPr>
        <w:pStyle w:val="TOC3"/>
        <w:rPr>
          <w:rFonts w:ascii="Calibri" w:eastAsia="Times New Roman" w:hAnsi="Calibri"/>
          <w:noProof/>
          <w:sz w:val="22"/>
        </w:rPr>
      </w:pPr>
      <w:hyperlink w:anchor="_Toc520485031" w:history="1">
        <w:r>
          <w:rPr>
            <w:rStyle w:val="Hyperlink"/>
            <w:noProof/>
          </w:rPr>
          <w:t>1.4.2.</w:t>
        </w:r>
        <w:r>
          <w:rPr>
            <w:rFonts w:ascii="Calibri" w:eastAsia="Times New Roman" w:hAnsi="Calibri"/>
            <w:noProof/>
            <w:sz w:val="22"/>
          </w:rPr>
          <w:tab/>
        </w:r>
        <w:r>
          <w:rPr>
            <w:rStyle w:val="Hyperlink"/>
            <w:noProof/>
          </w:rPr>
          <w:t>Specific objective(s)</w:t>
        </w:r>
        <w:r>
          <w:rPr>
            <w:noProof/>
            <w:webHidden/>
          </w:rPr>
          <w:tab/>
          <w:t>12</w:t>
        </w:r>
      </w:hyperlink>
    </w:p>
    <w:p>
      <w:pPr>
        <w:pStyle w:val="TOC3"/>
        <w:rPr>
          <w:rFonts w:ascii="Calibri" w:eastAsia="Times New Roman" w:hAnsi="Calibri"/>
          <w:noProof/>
          <w:sz w:val="22"/>
        </w:rPr>
      </w:pPr>
      <w:hyperlink w:anchor="_Toc520485032" w:history="1">
        <w:r>
          <w:rPr>
            <w:rStyle w:val="Hyperlink"/>
            <w:noProof/>
          </w:rPr>
          <w:t>1.4.3.</w:t>
        </w:r>
        <w:r>
          <w:rPr>
            <w:rFonts w:ascii="Calibri" w:eastAsia="Times New Roman" w:hAnsi="Calibri"/>
            <w:noProof/>
            <w:sz w:val="22"/>
          </w:rPr>
          <w:tab/>
        </w:r>
        <w:r>
          <w:rPr>
            <w:rStyle w:val="Hyperlink"/>
            <w:noProof/>
          </w:rPr>
          <w:t>Expected result(s) and impact</w:t>
        </w:r>
        <w:r>
          <w:rPr>
            <w:noProof/>
            <w:webHidden/>
          </w:rPr>
          <w:tab/>
          <w:t>13</w:t>
        </w:r>
      </w:hyperlink>
    </w:p>
    <w:p>
      <w:pPr>
        <w:pStyle w:val="TOC3"/>
        <w:rPr>
          <w:rFonts w:ascii="Calibri" w:eastAsia="Times New Roman" w:hAnsi="Calibri"/>
          <w:noProof/>
          <w:sz w:val="22"/>
        </w:rPr>
      </w:pPr>
      <w:hyperlink w:anchor="_Toc520485033" w:history="1">
        <w:r>
          <w:rPr>
            <w:rStyle w:val="Hyperlink"/>
            <w:noProof/>
          </w:rPr>
          <w:t>1.4.4.</w:t>
        </w:r>
        <w:r>
          <w:rPr>
            <w:rFonts w:ascii="Calibri" w:eastAsia="Times New Roman" w:hAnsi="Calibri"/>
            <w:noProof/>
            <w:sz w:val="22"/>
          </w:rPr>
          <w:tab/>
        </w:r>
        <w:r>
          <w:rPr>
            <w:rStyle w:val="Hyperlink"/>
            <w:noProof/>
          </w:rPr>
          <w:t>Indicators of performance</w:t>
        </w:r>
        <w:r>
          <w:rPr>
            <w:noProof/>
            <w:webHidden/>
          </w:rPr>
          <w:tab/>
          <w:t>13</w:t>
        </w:r>
      </w:hyperlink>
    </w:p>
    <w:p>
      <w:pPr>
        <w:pStyle w:val="TOC2"/>
        <w:rPr>
          <w:rFonts w:ascii="Calibri" w:eastAsia="Times New Roman" w:hAnsi="Calibri"/>
          <w:noProof/>
          <w:sz w:val="22"/>
        </w:rPr>
      </w:pPr>
      <w:hyperlink w:anchor="_Toc520485034" w:history="1">
        <w:r>
          <w:rPr>
            <w:rStyle w:val="Hyperlink"/>
            <w:noProof/>
          </w:rPr>
          <w:t>1.5.</w:t>
        </w:r>
        <w:r>
          <w:rPr>
            <w:rFonts w:ascii="Calibri" w:eastAsia="Times New Roman" w:hAnsi="Calibri"/>
            <w:noProof/>
            <w:sz w:val="22"/>
          </w:rPr>
          <w:tab/>
        </w:r>
        <w:r>
          <w:rPr>
            <w:rStyle w:val="Hyperlink"/>
            <w:noProof/>
          </w:rPr>
          <w:t>Grounds for the proposal/initiative</w:t>
        </w:r>
        <w:r>
          <w:rPr>
            <w:noProof/>
            <w:webHidden/>
          </w:rPr>
          <w:tab/>
          <w:t>13</w:t>
        </w:r>
      </w:hyperlink>
    </w:p>
    <w:p>
      <w:pPr>
        <w:pStyle w:val="TOC3"/>
        <w:rPr>
          <w:rFonts w:ascii="Calibri" w:eastAsia="Times New Roman" w:hAnsi="Calibri"/>
          <w:noProof/>
          <w:sz w:val="22"/>
        </w:rPr>
      </w:pPr>
      <w:hyperlink w:anchor="_Toc520485035" w:history="1">
        <w:r>
          <w:rPr>
            <w:rStyle w:val="Hyperlink"/>
            <w:noProof/>
          </w:rPr>
          <w:t>1.5.1.</w:t>
        </w:r>
        <w:r>
          <w:rPr>
            <w:rFonts w:ascii="Calibri" w:eastAsia="Times New Roman" w:hAnsi="Calibri"/>
            <w:noProof/>
            <w:sz w:val="22"/>
          </w:rPr>
          <w:tab/>
        </w:r>
        <w:r>
          <w:rPr>
            <w:rStyle w:val="Hyperlink"/>
            <w:noProof/>
          </w:rPr>
          <w:t>Requirement(s) to be met in the short or long term including a detailed timeline for roll-out of the implementation of the initiative</w:t>
        </w:r>
        <w:r>
          <w:rPr>
            <w:noProof/>
            <w:webHidden/>
          </w:rPr>
          <w:tab/>
          <w:t>13</w:t>
        </w:r>
      </w:hyperlink>
    </w:p>
    <w:p>
      <w:pPr>
        <w:pStyle w:val="TOC3"/>
        <w:rPr>
          <w:rFonts w:ascii="Calibri" w:eastAsia="Times New Roman" w:hAnsi="Calibri"/>
          <w:noProof/>
          <w:sz w:val="22"/>
        </w:rPr>
      </w:pPr>
      <w:hyperlink w:anchor="_Toc520485036" w:history="1">
        <w:r>
          <w:rPr>
            <w:rStyle w:val="Hyperlink"/>
            <w:noProof/>
          </w:rPr>
          <w:t>1.5.2.</w:t>
        </w:r>
        <w:r>
          <w:rPr>
            <w:rFonts w:ascii="Calibri" w:eastAsia="Times New Roman" w:hAnsi="Calibri"/>
            <w:noProof/>
            <w:sz w:val="22"/>
          </w:rPr>
          <w:tab/>
        </w:r>
        <w:r>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Pr>
            <w:noProof/>
            <w:webHidden/>
          </w:rPr>
          <w:tab/>
          <w:t>14</w:t>
        </w:r>
      </w:hyperlink>
    </w:p>
    <w:p>
      <w:pPr>
        <w:pStyle w:val="TOC3"/>
        <w:rPr>
          <w:rFonts w:ascii="Calibri" w:eastAsia="Times New Roman" w:hAnsi="Calibri"/>
          <w:noProof/>
          <w:sz w:val="22"/>
        </w:rPr>
      </w:pPr>
      <w:hyperlink w:anchor="_Toc520485037" w:history="1">
        <w:r>
          <w:rPr>
            <w:rStyle w:val="Hyperlink"/>
            <w:noProof/>
          </w:rPr>
          <w:t>1.5.3.</w:t>
        </w:r>
        <w:r>
          <w:rPr>
            <w:rFonts w:ascii="Calibri" w:eastAsia="Times New Roman" w:hAnsi="Calibri"/>
            <w:noProof/>
            <w:sz w:val="22"/>
          </w:rPr>
          <w:tab/>
        </w:r>
        <w:r>
          <w:rPr>
            <w:rStyle w:val="Hyperlink"/>
            <w:noProof/>
          </w:rPr>
          <w:t>Lessons learned from similar experiences in the past</w:t>
        </w:r>
        <w:r>
          <w:rPr>
            <w:noProof/>
            <w:webHidden/>
          </w:rPr>
          <w:tab/>
          <w:t>14</w:t>
        </w:r>
      </w:hyperlink>
    </w:p>
    <w:p>
      <w:pPr>
        <w:pStyle w:val="TOC3"/>
        <w:rPr>
          <w:rFonts w:ascii="Calibri" w:eastAsia="Times New Roman" w:hAnsi="Calibri"/>
          <w:noProof/>
          <w:sz w:val="22"/>
        </w:rPr>
      </w:pPr>
      <w:hyperlink w:anchor="_Toc520485038" w:history="1">
        <w:r>
          <w:rPr>
            <w:rStyle w:val="Hyperlink"/>
            <w:noProof/>
          </w:rPr>
          <w:t>1.5.4.</w:t>
        </w:r>
        <w:r>
          <w:rPr>
            <w:rFonts w:ascii="Calibri" w:eastAsia="Times New Roman" w:hAnsi="Calibri"/>
            <w:noProof/>
            <w:sz w:val="22"/>
          </w:rPr>
          <w:tab/>
        </w:r>
        <w:r>
          <w:rPr>
            <w:rStyle w:val="Hyperlink"/>
            <w:noProof/>
          </w:rPr>
          <w:t>Compatibility with the Multiannual Financial Framework and possible synergies with other appropriate instruments</w:t>
        </w:r>
        <w:r>
          <w:rPr>
            <w:noProof/>
            <w:webHidden/>
          </w:rPr>
          <w:tab/>
          <w:t>14</w:t>
        </w:r>
      </w:hyperlink>
    </w:p>
    <w:p>
      <w:pPr>
        <w:pStyle w:val="TOC3"/>
        <w:rPr>
          <w:rFonts w:ascii="Calibri" w:eastAsia="Times New Roman" w:hAnsi="Calibri"/>
          <w:noProof/>
          <w:sz w:val="22"/>
        </w:rPr>
      </w:pPr>
      <w:hyperlink w:anchor="_Toc520485039" w:history="1">
        <w:r>
          <w:rPr>
            <w:rStyle w:val="Hyperlink"/>
            <w:noProof/>
          </w:rPr>
          <w:t>1.5.5.</w:t>
        </w:r>
        <w:r>
          <w:rPr>
            <w:rFonts w:ascii="Calibri" w:eastAsia="Times New Roman" w:hAnsi="Calibri"/>
            <w:noProof/>
            <w:sz w:val="22"/>
          </w:rPr>
          <w:tab/>
        </w:r>
        <w:r>
          <w:rPr>
            <w:rStyle w:val="Hyperlink"/>
            <w:noProof/>
          </w:rPr>
          <w:t>Assessment of the different available financing options, including scope for redeployment</w:t>
        </w:r>
        <w:r>
          <w:rPr>
            <w:noProof/>
            <w:webHidden/>
          </w:rPr>
          <w:tab/>
          <w:t>15</w:t>
        </w:r>
      </w:hyperlink>
    </w:p>
    <w:p>
      <w:pPr>
        <w:pStyle w:val="TOC2"/>
        <w:rPr>
          <w:rFonts w:ascii="Calibri" w:eastAsia="Times New Roman" w:hAnsi="Calibri"/>
          <w:noProof/>
          <w:sz w:val="22"/>
        </w:rPr>
      </w:pPr>
      <w:hyperlink w:anchor="_Toc520485040" w:history="1">
        <w:r>
          <w:rPr>
            <w:rStyle w:val="Hyperlink"/>
            <w:noProof/>
          </w:rPr>
          <w:t>1.6.</w:t>
        </w:r>
        <w:r>
          <w:rPr>
            <w:rFonts w:ascii="Calibri" w:eastAsia="Times New Roman" w:hAnsi="Calibri"/>
            <w:noProof/>
            <w:sz w:val="22"/>
          </w:rPr>
          <w:tab/>
        </w:r>
        <w:r>
          <w:rPr>
            <w:rStyle w:val="Hyperlink"/>
            <w:noProof/>
          </w:rPr>
          <w:t>Duration and financial impact of the proposal/initiative</w:t>
        </w:r>
        <w:r>
          <w:rPr>
            <w:noProof/>
            <w:webHidden/>
          </w:rPr>
          <w:tab/>
          <w:t>16</w:t>
        </w:r>
      </w:hyperlink>
    </w:p>
    <w:p>
      <w:pPr>
        <w:pStyle w:val="TOC2"/>
        <w:rPr>
          <w:rFonts w:ascii="Calibri" w:eastAsia="Times New Roman" w:hAnsi="Calibri"/>
          <w:noProof/>
          <w:sz w:val="22"/>
        </w:rPr>
      </w:pPr>
      <w:hyperlink w:anchor="_Toc520485041" w:history="1">
        <w:r>
          <w:rPr>
            <w:rStyle w:val="Hyperlink"/>
            <w:noProof/>
          </w:rPr>
          <w:t>1.7.</w:t>
        </w:r>
        <w:r>
          <w:rPr>
            <w:rFonts w:ascii="Calibri" w:eastAsia="Times New Roman" w:hAnsi="Calibri"/>
            <w:noProof/>
            <w:sz w:val="22"/>
          </w:rPr>
          <w:tab/>
        </w:r>
        <w:r>
          <w:rPr>
            <w:rStyle w:val="Hyperlink"/>
            <w:noProof/>
          </w:rPr>
          <w:t>Management mode(s) planned</w:t>
        </w:r>
        <w:r>
          <w:rPr>
            <w:noProof/>
            <w:webHidden/>
          </w:rPr>
          <w:tab/>
          <w:t>16</w:t>
        </w:r>
      </w:hyperlink>
    </w:p>
    <w:p>
      <w:pPr>
        <w:pStyle w:val="TOC1"/>
        <w:rPr>
          <w:rFonts w:ascii="Calibri" w:eastAsia="Times New Roman" w:hAnsi="Calibri"/>
          <w:noProof/>
          <w:sz w:val="22"/>
        </w:rPr>
      </w:pPr>
      <w:hyperlink w:anchor="_Toc520485042" w:history="1">
        <w:r>
          <w:rPr>
            <w:rStyle w:val="Hyperlink"/>
            <w:noProof/>
          </w:rPr>
          <w:t>2.</w:t>
        </w:r>
        <w:r>
          <w:rPr>
            <w:rFonts w:ascii="Calibri" w:eastAsia="Times New Roman" w:hAnsi="Calibri"/>
            <w:noProof/>
            <w:sz w:val="22"/>
          </w:rPr>
          <w:tab/>
        </w:r>
        <w:r>
          <w:rPr>
            <w:rStyle w:val="Hyperlink"/>
            <w:noProof/>
          </w:rPr>
          <w:t>MANAGEMENT MEASURES</w:t>
        </w:r>
        <w:r>
          <w:rPr>
            <w:noProof/>
            <w:webHidden/>
          </w:rPr>
          <w:tab/>
          <w:t>17</w:t>
        </w:r>
      </w:hyperlink>
    </w:p>
    <w:p>
      <w:pPr>
        <w:pStyle w:val="TOC2"/>
        <w:rPr>
          <w:rFonts w:ascii="Calibri" w:eastAsia="Times New Roman" w:hAnsi="Calibri"/>
          <w:noProof/>
          <w:sz w:val="22"/>
        </w:rPr>
      </w:pPr>
      <w:hyperlink w:anchor="_Toc520485043" w:history="1">
        <w:r>
          <w:rPr>
            <w:rStyle w:val="Hyperlink"/>
            <w:noProof/>
          </w:rPr>
          <w:t>2.1.</w:t>
        </w:r>
        <w:r>
          <w:rPr>
            <w:rFonts w:ascii="Calibri" w:eastAsia="Times New Roman" w:hAnsi="Calibri"/>
            <w:noProof/>
            <w:sz w:val="22"/>
          </w:rPr>
          <w:tab/>
        </w:r>
        <w:r>
          <w:rPr>
            <w:rStyle w:val="Hyperlink"/>
            <w:noProof/>
          </w:rPr>
          <w:t>Monitoring and reporting rules</w:t>
        </w:r>
        <w:r>
          <w:rPr>
            <w:noProof/>
            <w:webHidden/>
          </w:rPr>
          <w:tab/>
          <w:t>17</w:t>
        </w:r>
      </w:hyperlink>
    </w:p>
    <w:p>
      <w:pPr>
        <w:pStyle w:val="TOC2"/>
        <w:rPr>
          <w:rFonts w:ascii="Calibri" w:eastAsia="Times New Roman" w:hAnsi="Calibri"/>
          <w:noProof/>
          <w:sz w:val="22"/>
        </w:rPr>
      </w:pPr>
      <w:hyperlink w:anchor="_Toc520485044" w:history="1">
        <w:r>
          <w:rPr>
            <w:rStyle w:val="Hyperlink"/>
            <w:noProof/>
          </w:rPr>
          <w:t>2.2.</w:t>
        </w:r>
        <w:r>
          <w:rPr>
            <w:rFonts w:ascii="Calibri" w:eastAsia="Times New Roman" w:hAnsi="Calibri"/>
            <w:noProof/>
            <w:sz w:val="22"/>
          </w:rPr>
          <w:tab/>
        </w:r>
        <w:r>
          <w:rPr>
            <w:rStyle w:val="Hyperlink"/>
            <w:noProof/>
          </w:rPr>
          <w:t>Management and control system(s)</w:t>
        </w:r>
        <w:r>
          <w:rPr>
            <w:noProof/>
            <w:webHidden/>
          </w:rPr>
          <w:tab/>
          <w:t>17</w:t>
        </w:r>
      </w:hyperlink>
    </w:p>
    <w:p>
      <w:pPr>
        <w:pStyle w:val="TOC3"/>
        <w:rPr>
          <w:rFonts w:ascii="Calibri" w:eastAsia="Times New Roman" w:hAnsi="Calibri"/>
          <w:noProof/>
          <w:sz w:val="22"/>
        </w:rPr>
      </w:pPr>
      <w:hyperlink w:anchor="_Toc520485045" w:history="1">
        <w:r>
          <w:rPr>
            <w:rStyle w:val="Hyperlink"/>
            <w:noProof/>
          </w:rPr>
          <w:t>2.2.1.</w:t>
        </w:r>
        <w:r>
          <w:rPr>
            <w:rFonts w:ascii="Calibri" w:eastAsia="Times New Roman" w:hAnsi="Calibri"/>
            <w:noProof/>
            <w:sz w:val="22"/>
          </w:rPr>
          <w:tab/>
        </w:r>
        <w:r>
          <w:rPr>
            <w:rStyle w:val="Hyperlink"/>
            <w:noProof/>
          </w:rPr>
          <w:t>Justification of the management mode(s), the funding implementation mechanism(s), the payment modalities and the control strategy proposed</w:t>
        </w:r>
        <w:r>
          <w:rPr>
            <w:noProof/>
            <w:webHidden/>
          </w:rPr>
          <w:tab/>
          <w:t>17</w:t>
        </w:r>
      </w:hyperlink>
    </w:p>
    <w:p>
      <w:pPr>
        <w:pStyle w:val="TOC3"/>
        <w:rPr>
          <w:rFonts w:ascii="Calibri" w:eastAsia="Times New Roman" w:hAnsi="Calibri"/>
          <w:noProof/>
          <w:sz w:val="22"/>
        </w:rPr>
      </w:pPr>
      <w:hyperlink w:anchor="_Toc520485046" w:history="1">
        <w:r>
          <w:rPr>
            <w:rStyle w:val="Hyperlink"/>
            <w:noProof/>
          </w:rPr>
          <w:t>2.2.2.</w:t>
        </w:r>
        <w:r>
          <w:rPr>
            <w:rFonts w:ascii="Calibri" w:eastAsia="Times New Roman" w:hAnsi="Calibri"/>
            <w:noProof/>
            <w:sz w:val="22"/>
          </w:rPr>
          <w:tab/>
        </w:r>
        <w:r>
          <w:rPr>
            <w:rStyle w:val="Hyperlink"/>
            <w:noProof/>
          </w:rPr>
          <w:t>Information concerning the risks identified and the internal control system(s) set up to mitigate them</w:t>
        </w:r>
        <w:r>
          <w:rPr>
            <w:noProof/>
            <w:webHidden/>
          </w:rPr>
          <w:tab/>
          <w:t>17</w:t>
        </w:r>
      </w:hyperlink>
    </w:p>
    <w:p>
      <w:pPr>
        <w:pStyle w:val="TOC3"/>
        <w:rPr>
          <w:rFonts w:ascii="Calibri" w:eastAsia="Times New Roman" w:hAnsi="Calibri"/>
          <w:noProof/>
          <w:sz w:val="22"/>
        </w:rPr>
      </w:pPr>
      <w:hyperlink w:anchor="_Toc520485047" w:history="1">
        <w:r>
          <w:rPr>
            <w:rStyle w:val="Hyperlink"/>
            <w:noProof/>
          </w:rPr>
          <w:t>2.2.3.</w:t>
        </w:r>
        <w:r>
          <w:rPr>
            <w:rFonts w:ascii="Calibri" w:eastAsia="Times New Roman" w:hAnsi="Calibri"/>
            <w:noProof/>
            <w:sz w:val="22"/>
          </w:rPr>
          <w:tab/>
        </w:r>
        <w:r>
          <w:rPr>
            <w:rStyle w:val="Hyperlink"/>
            <w:noProof/>
          </w:rPr>
          <w:t>Estimation and justification of the cost-effectiveness of the controls (ratio of "control costs ÷ value of the related funds managed"), and assessment of the expected levels of risk of error (at payment &amp; at closure)</w:t>
        </w:r>
        <w:r>
          <w:rPr>
            <w:noProof/>
            <w:webHidden/>
          </w:rPr>
          <w:tab/>
          <w:t>17</w:t>
        </w:r>
      </w:hyperlink>
    </w:p>
    <w:p>
      <w:pPr>
        <w:pStyle w:val="TOC2"/>
        <w:rPr>
          <w:rFonts w:ascii="Calibri" w:eastAsia="Times New Roman" w:hAnsi="Calibri"/>
          <w:noProof/>
          <w:sz w:val="22"/>
        </w:rPr>
      </w:pPr>
      <w:hyperlink w:anchor="_Toc520485048" w:history="1">
        <w:r>
          <w:rPr>
            <w:rStyle w:val="Hyperlink"/>
            <w:noProof/>
          </w:rPr>
          <w:t>2.3.</w:t>
        </w:r>
        <w:r>
          <w:rPr>
            <w:rFonts w:ascii="Calibri" w:eastAsia="Times New Roman" w:hAnsi="Calibri"/>
            <w:noProof/>
            <w:sz w:val="22"/>
          </w:rPr>
          <w:tab/>
        </w:r>
        <w:r>
          <w:rPr>
            <w:rStyle w:val="Hyperlink"/>
            <w:noProof/>
          </w:rPr>
          <w:t>Measures to prevent fraud and irregularities</w:t>
        </w:r>
        <w:r>
          <w:rPr>
            <w:noProof/>
            <w:webHidden/>
          </w:rPr>
          <w:tab/>
          <w:t>18</w:t>
        </w:r>
      </w:hyperlink>
    </w:p>
    <w:p>
      <w:pPr>
        <w:pStyle w:val="TOC1"/>
        <w:rPr>
          <w:rFonts w:ascii="Calibri" w:eastAsia="Times New Roman" w:hAnsi="Calibri"/>
          <w:noProof/>
          <w:sz w:val="22"/>
        </w:rPr>
      </w:pPr>
      <w:hyperlink w:anchor="_Toc520485049" w:history="1">
        <w:r>
          <w:rPr>
            <w:rStyle w:val="Hyperlink"/>
            <w:noProof/>
          </w:rPr>
          <w:t>3.</w:t>
        </w:r>
        <w:r>
          <w:rPr>
            <w:rFonts w:ascii="Calibri" w:eastAsia="Times New Roman" w:hAnsi="Calibri"/>
            <w:noProof/>
            <w:sz w:val="22"/>
          </w:rPr>
          <w:tab/>
        </w:r>
        <w:r>
          <w:rPr>
            <w:rStyle w:val="Hyperlink"/>
            <w:noProof/>
          </w:rPr>
          <w:t>ESTIMATED FINANCIAL IMPACT OF THE PROPOSAL/INITIATIVE</w:t>
        </w:r>
        <w:r>
          <w:rPr>
            <w:noProof/>
            <w:webHidden/>
          </w:rPr>
          <w:tab/>
          <w:t>19</w:t>
        </w:r>
      </w:hyperlink>
    </w:p>
    <w:p>
      <w:pPr>
        <w:pStyle w:val="TOC2"/>
        <w:rPr>
          <w:rFonts w:ascii="Calibri" w:eastAsia="Times New Roman" w:hAnsi="Calibri"/>
          <w:noProof/>
          <w:sz w:val="22"/>
        </w:rPr>
      </w:pPr>
      <w:hyperlink w:anchor="_Toc520485050" w:history="1">
        <w:r>
          <w:rPr>
            <w:rStyle w:val="Hyperlink"/>
            <w:noProof/>
          </w:rPr>
          <w:t>3.1.</w:t>
        </w:r>
        <w:r>
          <w:rPr>
            <w:rFonts w:ascii="Calibri" w:eastAsia="Times New Roman" w:hAnsi="Calibri"/>
            <w:noProof/>
            <w:sz w:val="22"/>
          </w:rPr>
          <w:tab/>
        </w:r>
        <w:r>
          <w:rPr>
            <w:rStyle w:val="Hyperlink"/>
            <w:noProof/>
          </w:rPr>
          <w:t>Heading(s) of the multiannual financial framework and expenditure budget line(s) affected</w:t>
        </w:r>
        <w:r>
          <w:rPr>
            <w:noProof/>
            <w:webHidden/>
          </w:rPr>
          <w:tab/>
          <w:t>19</w:t>
        </w:r>
      </w:hyperlink>
    </w:p>
    <w:p>
      <w:pPr>
        <w:pStyle w:val="TOC2"/>
        <w:rPr>
          <w:rFonts w:ascii="Calibri" w:eastAsia="Times New Roman" w:hAnsi="Calibri"/>
          <w:noProof/>
          <w:sz w:val="22"/>
        </w:rPr>
      </w:pPr>
      <w:hyperlink w:anchor="_Toc520485051" w:history="1">
        <w:r>
          <w:rPr>
            <w:rStyle w:val="Hyperlink"/>
            <w:noProof/>
          </w:rPr>
          <w:t>3.2.</w:t>
        </w:r>
        <w:r>
          <w:rPr>
            <w:rFonts w:ascii="Calibri" w:eastAsia="Times New Roman" w:hAnsi="Calibri"/>
            <w:noProof/>
            <w:sz w:val="22"/>
          </w:rPr>
          <w:tab/>
        </w:r>
        <w:r>
          <w:rPr>
            <w:rStyle w:val="Hyperlink"/>
            <w:noProof/>
          </w:rPr>
          <w:t>Estimated financial impact of the proposal on appropriations</w:t>
        </w:r>
        <w:r>
          <w:rPr>
            <w:noProof/>
            <w:webHidden/>
          </w:rPr>
          <w:tab/>
          <w:t>20</w:t>
        </w:r>
      </w:hyperlink>
    </w:p>
    <w:p>
      <w:pPr>
        <w:pStyle w:val="TOC3"/>
        <w:rPr>
          <w:rFonts w:ascii="Calibri" w:eastAsia="Times New Roman" w:hAnsi="Calibri"/>
          <w:noProof/>
          <w:sz w:val="22"/>
        </w:rPr>
      </w:pPr>
      <w:hyperlink w:anchor="_Toc520485052" w:history="1">
        <w:r>
          <w:rPr>
            <w:rStyle w:val="Hyperlink"/>
            <w:noProof/>
          </w:rPr>
          <w:t>3.2.1.</w:t>
        </w:r>
        <w:r>
          <w:rPr>
            <w:rFonts w:ascii="Calibri" w:eastAsia="Times New Roman" w:hAnsi="Calibri"/>
            <w:noProof/>
            <w:sz w:val="22"/>
          </w:rPr>
          <w:tab/>
        </w:r>
        <w:r>
          <w:rPr>
            <w:rStyle w:val="Hyperlink"/>
            <w:noProof/>
          </w:rPr>
          <w:t>Summary of estimated impact on operational appropriations</w:t>
        </w:r>
        <w:r>
          <w:rPr>
            <w:noProof/>
            <w:webHidden/>
          </w:rPr>
          <w:tab/>
          <w:t>20</w:t>
        </w:r>
      </w:hyperlink>
    </w:p>
    <w:p>
      <w:pPr>
        <w:pStyle w:val="TOC3"/>
        <w:rPr>
          <w:rFonts w:ascii="Calibri" w:eastAsia="Times New Roman" w:hAnsi="Calibri"/>
          <w:noProof/>
          <w:sz w:val="22"/>
        </w:rPr>
      </w:pPr>
      <w:hyperlink w:anchor="_Toc520485053" w:history="1">
        <w:r>
          <w:rPr>
            <w:rStyle w:val="Hyperlink"/>
            <w:noProof/>
          </w:rPr>
          <w:t>3.2.2.</w:t>
        </w:r>
        <w:r>
          <w:rPr>
            <w:rFonts w:ascii="Calibri" w:eastAsia="Times New Roman" w:hAnsi="Calibri"/>
            <w:noProof/>
            <w:sz w:val="22"/>
          </w:rPr>
          <w:tab/>
        </w:r>
        <w:r>
          <w:rPr>
            <w:rStyle w:val="Hyperlink"/>
            <w:noProof/>
          </w:rPr>
          <w:t>Estimated output funded with operational appropriations</w:t>
        </w:r>
        <w:r>
          <w:rPr>
            <w:noProof/>
            <w:webHidden/>
          </w:rPr>
          <w:tab/>
          <w:t>23</w:t>
        </w:r>
      </w:hyperlink>
    </w:p>
    <w:p>
      <w:pPr>
        <w:pStyle w:val="TOC3"/>
        <w:rPr>
          <w:rFonts w:ascii="Calibri" w:eastAsia="Times New Roman" w:hAnsi="Calibri"/>
          <w:noProof/>
          <w:sz w:val="22"/>
        </w:rPr>
      </w:pPr>
      <w:hyperlink w:anchor="_Toc520485054" w:history="1">
        <w:r>
          <w:rPr>
            <w:rStyle w:val="Hyperlink"/>
            <w:noProof/>
          </w:rPr>
          <w:t>3.2.3.</w:t>
        </w:r>
        <w:r>
          <w:rPr>
            <w:rFonts w:ascii="Calibri" w:eastAsia="Times New Roman" w:hAnsi="Calibri"/>
            <w:noProof/>
            <w:sz w:val="22"/>
          </w:rPr>
          <w:tab/>
        </w:r>
        <w:r>
          <w:rPr>
            <w:rStyle w:val="Hyperlink"/>
            <w:noProof/>
          </w:rPr>
          <w:t>Summary of estimated impact on administrative appropriations</w:t>
        </w:r>
        <w:r>
          <w:rPr>
            <w:noProof/>
            <w:webHidden/>
          </w:rPr>
          <w:tab/>
          <w:t>24</w:t>
        </w:r>
      </w:hyperlink>
    </w:p>
    <w:p>
      <w:pPr>
        <w:pStyle w:val="TOC3"/>
        <w:rPr>
          <w:rFonts w:ascii="Calibri" w:eastAsia="Times New Roman" w:hAnsi="Calibri"/>
          <w:noProof/>
          <w:sz w:val="22"/>
        </w:rPr>
      </w:pPr>
      <w:hyperlink w:anchor="_Toc520485055" w:history="1">
        <w:r>
          <w:rPr>
            <w:rStyle w:val="Hyperlink"/>
            <w:noProof/>
          </w:rPr>
          <w:t>3.2.4.</w:t>
        </w:r>
        <w:r>
          <w:rPr>
            <w:rFonts w:ascii="Calibri" w:eastAsia="Times New Roman" w:hAnsi="Calibri"/>
            <w:noProof/>
            <w:sz w:val="22"/>
          </w:rPr>
          <w:tab/>
        </w:r>
        <w:r>
          <w:rPr>
            <w:rStyle w:val="Hyperlink"/>
            <w:noProof/>
          </w:rPr>
          <w:t>Compatibility with the current multiannual financial framework</w:t>
        </w:r>
        <w:r>
          <w:rPr>
            <w:noProof/>
            <w:webHidden/>
          </w:rPr>
          <w:tab/>
          <w:t>27</w:t>
        </w:r>
      </w:hyperlink>
    </w:p>
    <w:p>
      <w:pPr>
        <w:pStyle w:val="TOC3"/>
        <w:rPr>
          <w:rFonts w:ascii="Calibri" w:eastAsia="Times New Roman" w:hAnsi="Calibri"/>
          <w:noProof/>
          <w:sz w:val="22"/>
        </w:rPr>
      </w:pPr>
      <w:hyperlink w:anchor="_Toc520485056" w:history="1">
        <w:r>
          <w:rPr>
            <w:rStyle w:val="Hyperlink"/>
            <w:noProof/>
          </w:rPr>
          <w:t>3.2.5.</w:t>
        </w:r>
        <w:r>
          <w:rPr>
            <w:rFonts w:ascii="Calibri" w:eastAsia="Times New Roman" w:hAnsi="Calibri"/>
            <w:noProof/>
            <w:sz w:val="22"/>
          </w:rPr>
          <w:tab/>
        </w:r>
        <w:r>
          <w:rPr>
            <w:rStyle w:val="Hyperlink"/>
            <w:noProof/>
          </w:rPr>
          <w:t>Third-party contributions</w:t>
        </w:r>
        <w:r>
          <w:rPr>
            <w:noProof/>
            <w:webHidden/>
          </w:rPr>
          <w:tab/>
          <w:t>27</w:t>
        </w:r>
      </w:hyperlink>
    </w:p>
    <w:p>
      <w:pPr>
        <w:pStyle w:val="TOC2"/>
        <w:rPr>
          <w:rFonts w:ascii="Calibri" w:eastAsia="Times New Roman" w:hAnsi="Calibri"/>
          <w:noProof/>
          <w:sz w:val="22"/>
        </w:rPr>
      </w:pPr>
      <w:hyperlink w:anchor="_Toc520485057" w:history="1">
        <w:r>
          <w:rPr>
            <w:rStyle w:val="Hyperlink"/>
            <w:noProof/>
          </w:rPr>
          <w:t>3.3.</w:t>
        </w:r>
        <w:r>
          <w:rPr>
            <w:rFonts w:ascii="Calibri" w:eastAsia="Times New Roman" w:hAnsi="Calibri"/>
            <w:noProof/>
            <w:sz w:val="22"/>
          </w:rPr>
          <w:tab/>
        </w:r>
        <w:r>
          <w:rPr>
            <w:rStyle w:val="Hyperlink"/>
            <w:noProof/>
          </w:rPr>
          <w:t>Estimated impact on revenue</w:t>
        </w:r>
        <w:r>
          <w:rPr>
            <w:noProof/>
            <w:webHidden/>
          </w:rPr>
          <w:tab/>
          <w:t>28</w:t>
        </w:r>
      </w:hyperlink>
    </w:p>
    <w:p>
      <w:pPr>
        <w:rPr>
          <w:noProof/>
        </w:rPr>
      </w:pPr>
      <w:r>
        <w:rPr>
          <w:b/>
          <w:bCs/>
          <w:noProof/>
        </w:rPr>
        <w:fldChar w:fldCharType="end"/>
      </w:r>
    </w:p>
    <w:p>
      <w:pPr>
        <w:rPr>
          <w:noProof/>
        </w:rPr>
        <w:sectPr>
          <w:pgSz w:w="11907" w:h="16840" w:code="9"/>
          <w:pgMar w:top="1134" w:right="1418" w:bottom="1134" w:left="1418" w:header="709" w:footer="709" w:gutter="0"/>
          <w:cols w:space="720"/>
          <w:docGrid w:linePitch="360"/>
        </w:sectPr>
      </w:pPr>
    </w:p>
    <w:p>
      <w:pPr>
        <w:pStyle w:val="ManualHeading1"/>
        <w:rPr>
          <w:noProof/>
        </w:rPr>
      </w:pPr>
      <w:bookmarkStart w:id="1" w:name="_Toc514938007"/>
      <w:bookmarkStart w:id="2" w:name="_Toc520485025"/>
      <w:r>
        <w:t>1.</w:t>
      </w:r>
      <w:r>
        <w:tab/>
      </w:r>
      <w:r>
        <w:rPr>
          <w:noProof/>
        </w:rPr>
        <w:t>FRAMEWORK OF THE PROPOSAL/INITIATIVE</w:t>
      </w:r>
      <w:bookmarkEnd w:id="1"/>
      <w:bookmarkEnd w:id="2"/>
      <w:r>
        <w:rPr>
          <w:noProof/>
        </w:rPr>
        <w:t xml:space="preserve"> </w:t>
      </w:r>
    </w:p>
    <w:p>
      <w:pPr>
        <w:pStyle w:val="ManualHeading2"/>
        <w:rPr>
          <w:noProof/>
        </w:rPr>
      </w:pPr>
      <w:bookmarkStart w:id="3" w:name="_Toc514938008"/>
      <w:bookmarkStart w:id="4" w:name="_Toc520485026"/>
      <w:r>
        <w:t>1.1.</w:t>
      </w:r>
      <w:r>
        <w:tab/>
      </w:r>
      <w:r>
        <w:rPr>
          <w:noProof/>
        </w:rPr>
        <w:t>Title of the proposal/initiative</w:t>
      </w:r>
      <w:bookmarkEnd w:id="3"/>
      <w:bookmarkEnd w:id="4"/>
    </w:p>
    <w:p>
      <w:pPr>
        <w:pStyle w:val="Text1"/>
        <w:pBdr>
          <w:top w:val="single" w:sz="4" w:space="1" w:color="auto"/>
          <w:left w:val="single" w:sz="4" w:space="4" w:color="auto"/>
          <w:bottom w:val="single" w:sz="4" w:space="1" w:color="auto"/>
          <w:right w:val="single" w:sz="4" w:space="4" w:color="auto"/>
        </w:pBdr>
        <w:rPr>
          <w:noProof/>
        </w:rPr>
      </w:pPr>
      <w:r>
        <w:rPr>
          <w:noProof/>
        </w:rPr>
        <w:t>REGULATION OF THE EUROPEAN PARLIAMENT AND OF THE COUNCIL</w:t>
      </w:r>
    </w:p>
    <w:p>
      <w:pPr>
        <w:pStyle w:val="Text1"/>
        <w:pBdr>
          <w:top w:val="single" w:sz="4" w:space="1" w:color="auto"/>
          <w:left w:val="single" w:sz="4" w:space="4" w:color="auto"/>
          <w:bottom w:val="single" w:sz="4" w:space="1" w:color="auto"/>
          <w:right w:val="single" w:sz="4" w:space="4" w:color="auto"/>
        </w:pBdr>
        <w:rPr>
          <w:noProof/>
        </w:rPr>
      </w:pPr>
      <w:r>
        <w:rPr>
          <w:noProof/>
        </w:rPr>
        <w:t>amending Regulation (EU) 2018/1091 as regards the Union contribution for the integrated farm statistics under the 2021-2027 financial framework</w:t>
      </w:r>
    </w:p>
    <w:p>
      <w:pPr>
        <w:pStyle w:val="ManualHeading2"/>
        <w:rPr>
          <w:i/>
          <w:noProof/>
        </w:rPr>
      </w:pPr>
      <w:bookmarkStart w:id="5" w:name="_Toc514938011"/>
      <w:bookmarkStart w:id="6" w:name="_Toc520485027"/>
      <w:r>
        <w:t>1.2.</w:t>
      </w:r>
      <w:r>
        <w:tab/>
      </w:r>
      <w:r>
        <w:rPr>
          <w:noProof/>
        </w:rPr>
        <w:t>Policy area(s) concerned</w:t>
      </w:r>
      <w:bookmarkEnd w:id="5"/>
      <w:bookmarkEnd w:id="6"/>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Production of European statistics.</w:t>
      </w:r>
    </w:p>
    <w:p>
      <w:pPr>
        <w:pStyle w:val="Text1"/>
        <w:pBdr>
          <w:top w:val="single" w:sz="4" w:space="1" w:color="auto"/>
          <w:left w:val="single" w:sz="4" w:space="4" w:color="auto"/>
          <w:bottom w:val="single" w:sz="4" w:space="1" w:color="auto"/>
          <w:right w:val="single" w:sz="4" w:space="4" w:color="auto"/>
        </w:pBdr>
        <w:rPr>
          <w:noProof/>
        </w:rPr>
      </w:pPr>
      <w:r>
        <w:rPr>
          <w:noProof/>
        </w:rPr>
        <w:t>Agriculture and rural development.</w:t>
      </w:r>
    </w:p>
    <w:p>
      <w:pPr>
        <w:pStyle w:val="ManualHeading2"/>
        <w:rPr>
          <w:bCs/>
          <w:noProof/>
          <w:szCs w:val="24"/>
        </w:rPr>
      </w:pPr>
      <w:bookmarkStart w:id="7" w:name="_Toc514938014"/>
      <w:bookmarkStart w:id="8" w:name="_Toc520485028"/>
      <w:r>
        <w:t>1.3.</w:t>
      </w:r>
      <w:r>
        <w:tab/>
      </w:r>
      <w:r>
        <w:rPr>
          <w:noProof/>
        </w:rPr>
        <w:t>The proposal/initiative relates to:</w:t>
      </w:r>
      <w:bookmarkEnd w:id="7"/>
      <w:bookmarkEnd w:id="8"/>
      <w:r>
        <w:rPr>
          <w:noProof/>
        </w:rPr>
        <w:t xml:space="preserve"> </w:t>
      </w:r>
    </w:p>
    <w:p>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10"/>
      </w:r>
      <w:r>
        <w:rPr>
          <w:noProof/>
          <w:sz w:val="22"/>
        </w:rPr>
        <w:t xml:space="preserve"> </w:t>
      </w:r>
    </w:p>
    <w:p>
      <w:pPr>
        <w:pStyle w:val="Text1"/>
        <w:rPr>
          <w:noProof/>
          <w:sz w:val="22"/>
        </w:rPr>
      </w:pPr>
      <w:r>
        <w:rPr>
          <w:noProof/>
        </w:rPr>
        <w:sym w:font="Wingdings" w:char="F078"/>
      </w:r>
      <w:r>
        <w:rPr>
          <w:i/>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9" w:name="_Toc514938015"/>
      <w:bookmarkStart w:id="10" w:name="_Toc520485029"/>
      <w:r>
        <w:t>1.4.</w:t>
      </w:r>
      <w:r>
        <w:tab/>
      </w:r>
      <w:r>
        <w:rPr>
          <w:noProof/>
        </w:rPr>
        <w:t>Objective(s)</w:t>
      </w:r>
      <w:bookmarkEnd w:id="9"/>
      <w:bookmarkEnd w:id="10"/>
    </w:p>
    <w:p>
      <w:pPr>
        <w:pStyle w:val="ManualHeading3"/>
        <w:rPr>
          <w:noProof/>
        </w:rPr>
      </w:pPr>
      <w:bookmarkStart w:id="11" w:name="_Toc514938016"/>
      <w:bookmarkStart w:id="12" w:name="_Toc520485030"/>
      <w:r>
        <w:t>1.4.1.</w:t>
      </w:r>
      <w:r>
        <w:tab/>
      </w:r>
      <w:r>
        <w:rPr>
          <w:noProof/>
        </w:rPr>
        <w:t>General objective(s)</w:t>
      </w:r>
      <w:bookmarkEnd w:id="11"/>
      <w:bookmarkEnd w:id="12"/>
    </w:p>
    <w:p>
      <w:pPr>
        <w:pStyle w:val="Text1"/>
        <w:pBdr>
          <w:top w:val="single" w:sz="4" w:space="1" w:color="auto"/>
          <w:left w:val="single" w:sz="4" w:space="4" w:color="auto"/>
          <w:bottom w:val="single" w:sz="4" w:space="1" w:color="auto"/>
          <w:right w:val="single" w:sz="4" w:space="4" w:color="auto"/>
        </w:pBdr>
        <w:rPr>
          <w:noProof/>
        </w:rPr>
      </w:pPr>
      <w:r>
        <w:rPr>
          <w:noProof/>
        </w:rPr>
        <w:t>This legislative proposal establishes a budget of EUR 40 000 000.00 for 2021-2027 (of which EUR 36 400 000.00 is for grants for national statistical institutes and other national authorities).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Statistics must be reliable and of high quality to enable policymakers, businesses and the general public to take appropriate evidence-based decisions. The current proposal addresses two objectives of the 2020 agricultural statistics strategy: </w:t>
      </w:r>
    </w:p>
    <w:p>
      <w:pPr>
        <w:pStyle w:val="Text1"/>
        <w:pBdr>
          <w:top w:val="single" w:sz="4" w:space="1" w:color="auto"/>
          <w:left w:val="single" w:sz="4" w:space="4" w:color="auto"/>
          <w:bottom w:val="single" w:sz="4" w:space="1" w:color="auto"/>
          <w:right w:val="single" w:sz="4" w:space="4" w:color="auto"/>
        </w:pBdr>
        <w:rPr>
          <w:noProof/>
        </w:rPr>
      </w:pPr>
      <w:r>
        <w:rPr>
          <w:noProof/>
        </w:rPr>
        <w:t>produce high-quality statistics that meet users’ needs efficiently and effectively</w:t>
      </w:r>
    </w:p>
    <w:p>
      <w:pPr>
        <w:pStyle w:val="Text1"/>
        <w:pBdr>
          <w:top w:val="single" w:sz="4" w:space="1" w:color="auto"/>
          <w:left w:val="single" w:sz="4" w:space="4" w:color="auto"/>
          <w:bottom w:val="single" w:sz="4" w:space="1" w:color="auto"/>
          <w:right w:val="single" w:sz="4" w:space="4" w:color="auto"/>
        </w:pBdr>
        <w:rPr>
          <w:noProof/>
        </w:rPr>
      </w:pPr>
      <w:r>
        <w:rPr>
          <w:noProof/>
        </w:rPr>
        <w:t>improve the harmonisation and coherence of European agricultural statistics</w:t>
      </w:r>
    </w:p>
    <w:p>
      <w:pPr>
        <w:pStyle w:val="ManualHeading3"/>
        <w:rPr>
          <w:bCs/>
          <w:noProof/>
          <w:szCs w:val="24"/>
        </w:rPr>
      </w:pPr>
      <w:bookmarkStart w:id="13" w:name="_Toc514938018"/>
      <w:bookmarkStart w:id="14" w:name="_Toc520485031"/>
      <w:r>
        <w:t>1.4.2.</w:t>
      </w:r>
      <w:r>
        <w:tab/>
      </w:r>
      <w:r>
        <w:rPr>
          <w:noProof/>
        </w:rPr>
        <w:t>Specific objective(s)</w:t>
      </w:r>
      <w:bookmarkEnd w:id="13"/>
      <w:bookmarkEnd w:id="14"/>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1</w:t>
      </w:r>
    </w:p>
    <w:p>
      <w:pPr>
        <w:pStyle w:val="Text1"/>
        <w:pBdr>
          <w:top w:val="single" w:sz="4" w:space="1" w:color="auto"/>
          <w:left w:val="single" w:sz="4" w:space="4" w:color="auto"/>
          <w:bottom w:val="single" w:sz="4" w:space="1" w:color="auto"/>
          <w:right w:val="single" w:sz="4" w:space="4" w:color="auto"/>
        </w:pBdr>
        <w:rPr>
          <w:noProof/>
        </w:rPr>
      </w:pPr>
      <w:r>
        <w:rPr>
          <w:noProof/>
        </w:rPr>
        <w:t>finance the farm structure surveys conducted in 2023, including the costs related to the management, maintenance and development of the databases used by the Commission to process the data supplied by Member States for the reference period 2023 and improve the interoperability between IFS and FADN/FSDN</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2</w:t>
      </w:r>
    </w:p>
    <w:p>
      <w:pPr>
        <w:pStyle w:val="Text1"/>
        <w:pBdr>
          <w:top w:val="single" w:sz="4" w:space="1" w:color="auto"/>
          <w:left w:val="single" w:sz="4" w:space="4" w:color="auto"/>
          <w:bottom w:val="single" w:sz="4" w:space="1" w:color="auto"/>
          <w:right w:val="single" w:sz="4" w:space="4" w:color="auto"/>
        </w:pBdr>
        <w:rPr>
          <w:noProof/>
        </w:rPr>
      </w:pPr>
      <w:r>
        <w:rPr>
          <w:noProof/>
        </w:rPr>
        <w:t>finance the farm structure surveys conducted in 2026, including the costs related to the management, maintenance and development of the databases used by the Commission to process the data supplied by Member States for the reference period 2026 and improve the interoperability between IFS and FADN/FSDN</w:t>
      </w:r>
    </w:p>
    <w:p>
      <w:pPr>
        <w:pStyle w:val="ManualHeading3"/>
        <w:rPr>
          <w:noProof/>
        </w:rPr>
      </w:pPr>
      <w:bookmarkStart w:id="15" w:name="_Toc514938019"/>
      <w:bookmarkStart w:id="16" w:name="_Toc520485032"/>
      <w:r>
        <w:t>1.4.3.</w:t>
      </w:r>
      <w:r>
        <w:tab/>
      </w:r>
      <w:r>
        <w:rPr>
          <w:noProof/>
        </w:rPr>
        <w:t>Expected result(s) and impact</w:t>
      </w:r>
      <w:bookmarkEnd w:id="15"/>
      <w:bookmarkEnd w:id="16"/>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Impact on national statistical institutes and other: Statistical legislation primarily concerns administrative-level data users (e.g. the Commission's policy departments), data producers (NSIs), and data respondents (farmers), so its direct economic, social and environmental effects are limited. The main direct costs for stakeholders relate to adapting to new statistical and technical systems. In the mid- to long term, the modernisation measures are expected to reduce the administrative burden and costs.</w:t>
      </w:r>
    </w:p>
    <w:p>
      <w:pPr>
        <w:pStyle w:val="ManualHeading3"/>
        <w:rPr>
          <w:noProof/>
          <w:szCs w:val="24"/>
        </w:rPr>
      </w:pPr>
      <w:bookmarkStart w:id="17" w:name="_Toc514938023"/>
      <w:bookmarkStart w:id="18" w:name="_Toc520485033"/>
      <w:r>
        <w:t>1.4.4.</w:t>
      </w:r>
      <w:r>
        <w:tab/>
      </w:r>
      <w:r>
        <w:rPr>
          <w:noProof/>
        </w:rPr>
        <w:t>Indicators of performance</w:t>
      </w:r>
      <w:bookmarkEnd w:id="17"/>
      <w:bookmarkEnd w:id="18"/>
    </w:p>
    <w:p>
      <w:pPr>
        <w:pStyle w:val="Text1"/>
        <w:rPr>
          <w:i/>
          <w:noProof/>
          <w:sz w:val="20"/>
        </w:rPr>
      </w:pPr>
      <w:r>
        <w:rPr>
          <w:i/>
          <w:noProof/>
          <w:sz w:val="20"/>
        </w:rPr>
        <w:t>Specify the indicators for monitoring progress and achievements.</w:t>
      </w:r>
    </w:p>
    <w:p>
      <w:pPr>
        <w:pStyle w:val="Text1"/>
        <w:pBdr>
          <w:top w:val="single" w:sz="4" w:space="1" w:color="auto"/>
          <w:left w:val="single" w:sz="4" w:space="4" w:color="auto"/>
          <w:bottom w:val="single" w:sz="4" w:space="1" w:color="auto"/>
          <w:right w:val="single" w:sz="4" w:space="4" w:color="auto"/>
        </w:pBdr>
        <w:rPr>
          <w:noProof/>
        </w:rPr>
      </w:pPr>
      <w:r>
        <w:rPr>
          <w:noProof/>
        </w:rPr>
        <w:t>Regulation (EU) 2018/1091 foresees that for the reference years 2023 and 2026, Member States shall transmit validated core and module data and a quality report to the Commission (Eurostat) within 12 months after the end of the reference year.</w:t>
      </w:r>
    </w:p>
    <w:p>
      <w:pPr>
        <w:pStyle w:val="Text1"/>
        <w:pBdr>
          <w:top w:val="single" w:sz="4" w:space="1" w:color="auto"/>
          <w:left w:val="single" w:sz="4" w:space="4" w:color="auto"/>
          <w:bottom w:val="single" w:sz="4" w:space="1" w:color="auto"/>
          <w:right w:val="single" w:sz="4" w:space="4" w:color="auto"/>
        </w:pBdr>
        <w:rPr>
          <w:noProof/>
        </w:rPr>
      </w:pPr>
      <w:r>
        <w:rPr>
          <w:noProof/>
        </w:rPr>
        <w:t>Moreover by 31 December 2024, the Commission shall, after consulting the ESSC, submit a report on the implementation and achievement of the objectives of this Regulation to the European Parliament and to the Council (Art. 18).</w:t>
      </w:r>
    </w:p>
    <w:p>
      <w:pPr>
        <w:pStyle w:val="ManualHeading2"/>
        <w:rPr>
          <w:bCs/>
          <w:noProof/>
          <w:szCs w:val="24"/>
        </w:rPr>
      </w:pPr>
      <w:bookmarkStart w:id="19" w:name="_Toc514938025"/>
      <w:bookmarkStart w:id="20" w:name="_Toc520485034"/>
      <w:r>
        <w:t>1.5.</w:t>
      </w:r>
      <w:r>
        <w:tab/>
      </w:r>
      <w:r>
        <w:rPr>
          <w:noProof/>
        </w:rPr>
        <w:t>Grounds for the proposal/initiative</w:t>
      </w:r>
      <w:bookmarkEnd w:id="19"/>
      <w:bookmarkEnd w:id="20"/>
      <w:r>
        <w:rPr>
          <w:noProof/>
        </w:rPr>
        <w:t xml:space="preserve"> </w:t>
      </w:r>
    </w:p>
    <w:p>
      <w:pPr>
        <w:pStyle w:val="ManualHeading3"/>
        <w:rPr>
          <w:noProof/>
        </w:rPr>
      </w:pPr>
      <w:bookmarkStart w:id="21" w:name="_Toc514938026"/>
      <w:bookmarkStart w:id="22" w:name="_Toc520485035"/>
      <w:r>
        <w:t>1.5.1.</w:t>
      </w:r>
      <w:r>
        <w:tab/>
      </w:r>
      <w:r>
        <w:rPr>
          <w:noProof/>
        </w:rPr>
        <w:t>Requirement(s) to be met in the short or long term including a detailed timeline for roll-out of the implementation of the initiative</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The proposal aims to ensure that further financial support is provided to Member States to collect data on the structure of agricultural holdings, by fixing the financial envelope for the period 2021-2027.</w:t>
      </w:r>
    </w:p>
    <w:p>
      <w:pPr>
        <w:pStyle w:val="Text1"/>
        <w:pBdr>
          <w:top w:val="single" w:sz="4" w:space="1" w:color="auto"/>
          <w:left w:val="single" w:sz="4" w:space="4" w:color="auto"/>
          <w:bottom w:val="single" w:sz="4" w:space="1" w:color="auto"/>
          <w:right w:val="single" w:sz="4" w:space="4" w:color="auto"/>
        </w:pBdr>
        <w:rPr>
          <w:noProof/>
        </w:rPr>
      </w:pPr>
      <w:r>
        <w:rPr>
          <w:noProof/>
        </w:rPr>
        <w:t>An EU financial contribution to support national agricultural statistics data collection is expected to continue at a level and proportion comparable to the status quo in the new system, and national expenditure should also be at a similar level as today. When fully implemented, burden and cost reduction actions as well as the expected decline in the number of agricultural holdings (based on observed trends) can lead to a reduced need for data collection and therefore a reduced budget.</w:t>
      </w:r>
    </w:p>
    <w:p>
      <w:pPr>
        <w:pStyle w:val="Text1"/>
        <w:pBdr>
          <w:top w:val="single" w:sz="4" w:space="1" w:color="auto"/>
          <w:left w:val="single" w:sz="4" w:space="4" w:color="auto"/>
          <w:bottom w:val="single" w:sz="4" w:space="1" w:color="auto"/>
          <w:right w:val="single" w:sz="4" w:space="4" w:color="auto"/>
        </w:pBdr>
        <w:rPr>
          <w:noProof/>
        </w:rPr>
      </w:pPr>
      <w:r>
        <w:rPr>
          <w:noProof/>
        </w:rPr>
        <w:t>Regulation (EU) 2018/1091 aims to improve the quality, comparability and coherence of European agricultural statistics so that policymakers, businesses and the general public can take appropriate evidence-based decisions.</w:t>
      </w:r>
    </w:p>
    <w:p>
      <w:pPr>
        <w:pStyle w:val="Text1"/>
        <w:pBdr>
          <w:top w:val="single" w:sz="4" w:space="1" w:color="auto"/>
          <w:left w:val="single" w:sz="4" w:space="4" w:color="auto"/>
          <w:bottom w:val="single" w:sz="4" w:space="1" w:color="auto"/>
          <w:right w:val="single" w:sz="4" w:space="4" w:color="auto"/>
        </w:pBdr>
        <w:rPr>
          <w:noProof/>
        </w:rPr>
      </w:pPr>
      <w:r>
        <w:rPr>
          <w:noProof/>
        </w:rPr>
        <w:t>It covers agricultural structural statistics and takes the form of a main framework regulation and implementing acts. As a regulation, it is directly applicable in EU Member States, whereas the implementing acts specify variable lists and descriptions and methodological requirements. Each Member State will integrate the variables and other requirements into its national databases, questionnaires, etc. as soon as the acts are adopted.</w:t>
      </w:r>
    </w:p>
    <w:p>
      <w:pPr>
        <w:pStyle w:val="Text1"/>
        <w:pBdr>
          <w:top w:val="single" w:sz="4" w:space="1" w:color="auto"/>
          <w:left w:val="single" w:sz="4" w:space="4" w:color="auto"/>
          <w:bottom w:val="single" w:sz="4" w:space="1" w:color="auto"/>
          <w:right w:val="single" w:sz="4" w:space="4" w:color="auto"/>
        </w:pBdr>
        <w:rPr>
          <w:noProof/>
        </w:rPr>
      </w:pPr>
      <w:r>
        <w:rPr>
          <w:noProof/>
        </w:rPr>
        <w:t>The agricultural census 2020 is already under way. The data collection for 2023 is under preparation and will be followed by the 2026 data collection.</w:t>
      </w:r>
    </w:p>
    <w:p>
      <w:pPr>
        <w:pStyle w:val="ManualHeading3"/>
        <w:rPr>
          <w:bCs/>
          <w:noProof/>
          <w:szCs w:val="24"/>
        </w:rPr>
      </w:pPr>
      <w:bookmarkStart w:id="23" w:name="_Toc514938029"/>
      <w:bookmarkStart w:id="24" w:name="_Toc520485036"/>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3"/>
      <w:bookmarkEnd w:id="24"/>
    </w:p>
    <w:p>
      <w:pPr>
        <w:pStyle w:val="Text1"/>
        <w:pBdr>
          <w:top w:val="single" w:sz="4" w:space="1" w:color="auto"/>
          <w:left w:val="single" w:sz="4" w:space="4" w:color="auto"/>
          <w:bottom w:val="single" w:sz="4" w:space="1" w:color="auto"/>
          <w:right w:val="single" w:sz="4" w:space="4" w:color="auto"/>
        </w:pBdr>
        <w:rPr>
          <w:noProof/>
        </w:rPr>
      </w:pPr>
      <w:r>
        <w:rPr>
          <w:noProof/>
        </w:rPr>
        <w:t>With integrated farm statistics (IFS), the EU and its Member States will have high-quality, comparable and coherent European structural agricultural statistics which impose an acceptable burden on data respondents and data producers as compared to their benefits. Evidence-based policymaking is crucial to the success of policies such as the CAP, and is an important driver for jobs and smart, sustainable and inclusive growth in the EU.</w:t>
      </w:r>
    </w:p>
    <w:p>
      <w:pPr>
        <w:pStyle w:val="Text1"/>
        <w:pBdr>
          <w:top w:val="single" w:sz="4" w:space="1" w:color="auto"/>
          <w:left w:val="single" w:sz="4" w:space="4" w:color="auto"/>
          <w:bottom w:val="single" w:sz="4" w:space="1" w:color="auto"/>
          <w:right w:val="single" w:sz="4" w:space="4" w:color="auto"/>
        </w:pBdr>
        <w:rPr>
          <w:noProof/>
        </w:rPr>
      </w:pPr>
      <w:r>
        <w:rPr>
          <w:noProof/>
        </w:rPr>
        <w:t>Statistical legislation primarily concerns administrative-level data users (e.g. the Commission's policy departments), data producers (national statistical institutes), and data respondents (farmers), so its direct economic, social and environmental effects are limited. The main direct costs for stakeholders relate to adapting to new statistical, organisational and technical systems, but those costs and burdens are expected to pay for themselves in the mid to long term by lowering the burden of data collection and achieving several efficiencies and savings.</w:t>
      </w:r>
    </w:p>
    <w:p>
      <w:pPr>
        <w:pStyle w:val="ManualHeading3"/>
        <w:rPr>
          <w:noProof/>
        </w:rPr>
      </w:pPr>
      <w:bookmarkStart w:id="25" w:name="_Toc514938030"/>
      <w:bookmarkStart w:id="26" w:name="_Toc520485037"/>
      <w:r>
        <w:t>1.5.3.</w:t>
      </w:r>
      <w:r>
        <w:tab/>
      </w:r>
      <w:r>
        <w:rPr>
          <w:noProof/>
        </w:rPr>
        <w:t>Lessons learned from similar experiences in the past</w:t>
      </w:r>
      <w:bookmarkEnd w:id="25"/>
      <w:bookmarkEnd w:id="26"/>
    </w:p>
    <w:p>
      <w:pPr>
        <w:pStyle w:val="Text1"/>
        <w:pBdr>
          <w:top w:val="single" w:sz="4" w:space="1" w:color="auto"/>
          <w:left w:val="single" w:sz="4" w:space="4" w:color="auto"/>
          <w:bottom w:val="single" w:sz="4" w:space="1" w:color="auto"/>
          <w:right w:val="single" w:sz="4" w:space="4" w:color="auto"/>
        </w:pBdr>
        <w:rPr>
          <w:noProof/>
        </w:rPr>
      </w:pPr>
      <w:r>
        <w:rPr>
          <w:noProof/>
        </w:rPr>
        <w:t>European agricultural statistics have been a cornerstone of the CAP and many other key EU policies for many decades. Regulation (EU) 2018/1091 was designed to respond to changes in agriculture and to remedy the main issues identified in the evaluation of the European Agricultural Statistics System (EASS). The identified issues were that:</w:t>
      </w:r>
    </w:p>
    <w:p>
      <w:pPr>
        <w:pStyle w:val="Text1"/>
        <w:pBdr>
          <w:top w:val="single" w:sz="4" w:space="1" w:color="auto"/>
          <w:left w:val="single" w:sz="4" w:space="4" w:color="auto"/>
          <w:bottom w:val="single" w:sz="4" w:space="1" w:color="auto"/>
          <w:right w:val="single" w:sz="4" w:space="4" w:color="auto"/>
        </w:pBdr>
        <w:rPr>
          <w:noProof/>
        </w:rPr>
      </w:pPr>
      <w:r>
        <w:rPr>
          <w:noProof/>
        </w:rPr>
        <w:t>1. the previous agricultural statistics legislation did not adequately serve new and emerging data needs;</w:t>
      </w:r>
    </w:p>
    <w:p>
      <w:pPr>
        <w:pStyle w:val="Text1"/>
        <w:pBdr>
          <w:top w:val="single" w:sz="4" w:space="1" w:color="auto"/>
          <w:left w:val="single" w:sz="4" w:space="4" w:color="auto"/>
          <w:bottom w:val="single" w:sz="4" w:space="1" w:color="auto"/>
          <w:right w:val="single" w:sz="4" w:space="4" w:color="auto"/>
        </w:pBdr>
        <w:rPr>
          <w:noProof/>
        </w:rPr>
      </w:pPr>
      <w:r>
        <w:rPr>
          <w:noProof/>
        </w:rPr>
        <w:t>2. the EASS was not sufficiently flexible and did not react quickly enough to emerging needs;</w:t>
      </w:r>
    </w:p>
    <w:p>
      <w:pPr>
        <w:pStyle w:val="Text1"/>
        <w:pBdr>
          <w:top w:val="single" w:sz="4" w:space="1" w:color="auto"/>
          <w:left w:val="single" w:sz="4" w:space="4" w:color="auto"/>
          <w:bottom w:val="single" w:sz="4" w:space="1" w:color="auto"/>
          <w:right w:val="single" w:sz="4" w:space="4" w:color="auto"/>
        </w:pBdr>
        <w:rPr>
          <w:noProof/>
        </w:rPr>
      </w:pPr>
      <w:r>
        <w:rPr>
          <w:noProof/>
        </w:rPr>
        <w:t>3. data collection exercises were not harmonised or coherent enough;</w:t>
      </w:r>
    </w:p>
    <w:p>
      <w:pPr>
        <w:pStyle w:val="Text1"/>
        <w:pBdr>
          <w:top w:val="single" w:sz="4" w:space="1" w:color="auto"/>
          <w:left w:val="single" w:sz="4" w:space="4" w:color="auto"/>
          <w:bottom w:val="single" w:sz="4" w:space="1" w:color="auto"/>
          <w:right w:val="single" w:sz="4" w:space="4" w:color="auto"/>
        </w:pBdr>
        <w:rPr>
          <w:noProof/>
        </w:rPr>
      </w:pPr>
      <w:r>
        <w:rPr>
          <w:noProof/>
        </w:rPr>
        <w:t>4. statistics production was lacking in efficiency;</w:t>
      </w:r>
    </w:p>
    <w:p>
      <w:pPr>
        <w:pStyle w:val="Text1"/>
        <w:pBdr>
          <w:top w:val="single" w:sz="4" w:space="1" w:color="auto"/>
          <w:left w:val="single" w:sz="4" w:space="4" w:color="auto"/>
          <w:bottom w:val="single" w:sz="4" w:space="1" w:color="auto"/>
          <w:right w:val="single" w:sz="4" w:space="4" w:color="auto"/>
        </w:pBdr>
        <w:rPr>
          <w:noProof/>
        </w:rPr>
      </w:pPr>
      <w:r>
        <w:rPr>
          <w:noProof/>
        </w:rPr>
        <w:t>5. the burden of providing data was perceived as high.</w:t>
      </w:r>
    </w:p>
    <w:p>
      <w:pPr>
        <w:pStyle w:val="ManualHeading3"/>
        <w:rPr>
          <w:noProof/>
        </w:rPr>
      </w:pPr>
      <w:bookmarkStart w:id="27" w:name="_Toc514938033"/>
      <w:bookmarkStart w:id="28" w:name="_Toc520485038"/>
      <w:r>
        <w:t>1.5.4.</w:t>
      </w:r>
      <w:r>
        <w:tab/>
      </w:r>
      <w:r>
        <w:rPr>
          <w:noProof/>
        </w:rPr>
        <w:t>Compatibility with the Multiannual Financial Framework and possible synergies with other appropriate instruments</w:t>
      </w:r>
      <w:bookmarkEnd w:id="27"/>
      <w:bookmarkEnd w:id="28"/>
    </w:p>
    <w:p>
      <w:pPr>
        <w:pStyle w:val="Text1"/>
        <w:pBdr>
          <w:top w:val="single" w:sz="4" w:space="1" w:color="auto"/>
          <w:left w:val="single" w:sz="4" w:space="4" w:color="auto"/>
          <w:bottom w:val="single" w:sz="4" w:space="1" w:color="auto"/>
          <w:right w:val="single" w:sz="4" w:space="4" w:color="auto"/>
        </w:pBdr>
        <w:rPr>
          <w:noProof/>
        </w:rPr>
      </w:pPr>
      <w:r>
        <w:rPr>
          <w:noProof/>
        </w:rPr>
        <w:t>Regulation (EU) 2018/1091 is part of Eurostat’s strategy for agricultural statistics for 2020 and beyond, to be complemented by statistics on agricultural input and output (SAIO) and an updated Economic Accounts for Agriculture (EAA) Regulation. All three regulations will have a common scope and share technical and methodological documentation. Taken together, they will cover all aspects of agricultural statistics.</w:t>
      </w:r>
    </w:p>
    <w:p>
      <w:pPr>
        <w:pStyle w:val="Text1"/>
        <w:pBdr>
          <w:top w:val="single" w:sz="4" w:space="1" w:color="auto"/>
          <w:left w:val="single" w:sz="4" w:space="4" w:color="auto"/>
          <w:bottom w:val="single" w:sz="4" w:space="1" w:color="auto"/>
          <w:right w:val="single" w:sz="4" w:space="4" w:color="auto"/>
        </w:pBdr>
        <w:rPr>
          <w:noProof/>
        </w:rPr>
      </w:pPr>
      <w:r>
        <w:rPr>
          <w:noProof/>
        </w:rPr>
        <w:t>Important common EU policies such as the CAP, the European Green Deal and the farm to fork and biodiversity strategies depend on comparable, harmonised and high-quality agricultural statistics at European level and their compatibility/complementarity with various related data sources such as the Farm Accountancy Data Network. These can best be ensured by regulations, which are directly applicable in Member States and do not need to first be turned into national law.</w:t>
      </w:r>
    </w:p>
    <w:p>
      <w:pPr>
        <w:pStyle w:val="Text1"/>
        <w:pBdr>
          <w:top w:val="single" w:sz="4" w:space="1" w:color="auto"/>
          <w:left w:val="single" w:sz="4" w:space="4" w:color="auto"/>
          <w:bottom w:val="single" w:sz="4" w:space="1" w:color="auto"/>
          <w:right w:val="single" w:sz="4" w:space="4" w:color="auto"/>
        </w:pBdr>
        <w:rPr>
          <w:noProof/>
        </w:rPr>
      </w:pPr>
      <w:r>
        <w:rPr>
          <w:noProof/>
        </w:rPr>
        <w:t>The current amendment is provided for in Regulation (EU) 2018/1091 and only concerns the financing of the data collection for 2023 and 2026.</w:t>
      </w:r>
    </w:p>
    <w:p>
      <w:pPr>
        <w:pStyle w:val="ManualHeading3"/>
        <w:rPr>
          <w:noProof/>
        </w:rPr>
      </w:pPr>
      <w:bookmarkStart w:id="29" w:name="_Toc514938036"/>
      <w:bookmarkStart w:id="30" w:name="_Toc520485039"/>
      <w:r>
        <w:t>1.5.5.</w:t>
      </w:r>
      <w:r>
        <w:tab/>
      </w:r>
      <w:r>
        <w:rPr>
          <w:noProof/>
        </w:rPr>
        <w:t>Assessment of the different available financing options, including scope for redeployment</w:t>
      </w:r>
      <w:bookmarkEnd w:id="29"/>
      <w:bookmarkEnd w:id="30"/>
    </w:p>
    <w:p>
      <w:pPr>
        <w:pStyle w:val="Text1"/>
        <w:pBdr>
          <w:top w:val="single" w:sz="4" w:space="1" w:color="auto"/>
          <w:left w:val="single" w:sz="4" w:space="4" w:color="auto"/>
          <w:bottom w:val="single" w:sz="4" w:space="1" w:color="auto"/>
          <w:right w:val="single" w:sz="4" w:space="4" w:color="auto"/>
        </w:pBdr>
        <w:rPr>
          <w:noProof/>
        </w:rPr>
      </w:pPr>
      <w:r>
        <w:rPr>
          <w:noProof/>
        </w:rPr>
        <w:t>Not applicable</w:t>
      </w:r>
    </w:p>
    <w:p>
      <w:pPr>
        <w:pStyle w:val="Text1"/>
        <w:rPr>
          <w:noProof/>
        </w:rPr>
      </w:pPr>
    </w:p>
    <w:p>
      <w:pPr>
        <w:pStyle w:val="ManualHeading2"/>
        <w:rPr>
          <w:bCs/>
          <w:noProof/>
          <w:szCs w:val="24"/>
        </w:rPr>
      </w:pPr>
      <w:r>
        <w:rPr>
          <w:noProof/>
        </w:rPr>
        <w:br w:type="page"/>
      </w:r>
      <w:bookmarkStart w:id="31" w:name="_Toc514938039"/>
      <w:bookmarkStart w:id="32" w:name="_Toc520485040"/>
      <w:r>
        <w:t>1.6.</w:t>
      </w:r>
      <w:r>
        <w:tab/>
      </w:r>
      <w:r>
        <w:rPr>
          <w:noProof/>
        </w:rPr>
        <w:t>Duration and financial impact of the proposal/initiative</w:t>
      </w:r>
      <w:bookmarkEnd w:id="31"/>
      <w:bookmarkEnd w:id="32"/>
    </w:p>
    <w:p>
      <w:pPr>
        <w:pStyle w:val="Text1"/>
        <w:rPr>
          <w:noProof/>
        </w:rPr>
      </w:pPr>
      <w:r>
        <w:rPr>
          <w:noProof/>
        </w:rPr>
        <w:sym w:font="Wingdings" w:char="F078"/>
      </w:r>
      <w:r>
        <w:rPr>
          <w:b/>
          <w:i/>
          <w:noProof/>
        </w:rPr>
        <w:t xml:space="preserve"> </w:t>
      </w:r>
      <w:r>
        <w:rPr>
          <w:b/>
          <w:noProof/>
        </w:rPr>
        <w:t xml:space="preserve">limited duration </w:t>
      </w:r>
    </w:p>
    <w:p>
      <w:pPr>
        <w:pStyle w:val="ListDash2"/>
        <w:rPr>
          <w:noProof/>
        </w:rPr>
      </w:pPr>
      <w:r>
        <w:rPr>
          <w:noProof/>
        </w:rPr>
        <w:sym w:font="Wingdings" w:char="F078"/>
      </w:r>
      <w:r>
        <w:rPr>
          <w:noProof/>
        </w:rPr>
        <w:tab/>
        <w:t xml:space="preserve">in effect from 01/01/2022 (tentative) to 31/12/2027 </w:t>
      </w:r>
    </w:p>
    <w:p>
      <w:pPr>
        <w:pStyle w:val="ListDash2"/>
        <w:rPr>
          <w:noProof/>
        </w:rPr>
      </w:pPr>
      <w:r>
        <w:rPr>
          <w:noProof/>
        </w:rPr>
        <w:sym w:font="Wingdings" w:char="F078"/>
      </w:r>
      <w:r>
        <w:rPr>
          <w:noProof/>
        </w:rPr>
        <w:tab/>
        <w:t xml:space="preserve">Financial impact from 2022 to 2025 for commitment appropriations and from 2024 to 2028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33" w:name="_Toc514938040"/>
      <w:bookmarkStart w:id="34" w:name="_Toc520485041"/>
      <w:r>
        <w:t>1.7.</w:t>
      </w:r>
      <w:r>
        <w:tab/>
      </w:r>
      <w:r>
        <w:rPr>
          <w:noProof/>
        </w:rPr>
        <w:t>Management mode(s) planned</w:t>
      </w:r>
      <w:r>
        <w:rPr>
          <w:rStyle w:val="FootnoteReference"/>
          <w:noProof/>
        </w:rPr>
        <w:footnoteReference w:id="11"/>
      </w:r>
      <w:bookmarkEnd w:id="33"/>
      <w:bookmarkEnd w:id="34"/>
      <w:r>
        <w:rPr>
          <w:rStyle w:val="FootnoteReference"/>
          <w:noProof/>
        </w:rPr>
        <w:t xml:space="preserve"> </w:t>
      </w:r>
    </w:p>
    <w:p>
      <w:pPr>
        <w:pStyle w:val="Text1"/>
        <w:rPr>
          <w:noProof/>
        </w:rPr>
      </w:pPr>
      <w:r>
        <w:rPr>
          <w:noProof/>
        </w:rPr>
        <w:sym w:font="Wingdings" w:char="F07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7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 xml:space="preserve"> the EIB and the European Investment Fund;</w:t>
      </w:r>
    </w:p>
    <w:p>
      <w:pPr>
        <w:pStyle w:val="ListDash2"/>
        <w:rPr>
          <w:noProof/>
        </w:rPr>
      </w:pPr>
      <w:r>
        <w:rPr>
          <w:noProof/>
        </w:rPr>
        <w:sym w:font="Wingdings" w:char="F0A8"/>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rPr>
          <w:noProof/>
        </w:rPr>
      </w:pPr>
      <w:r>
        <w:rPr>
          <w:noProof/>
        </w:rPr>
        <w:t>Not applicable</w:t>
      </w:r>
    </w:p>
    <w:p>
      <w:pPr>
        <w:rPr>
          <w:noProof/>
        </w:rPr>
      </w:pP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35" w:name="_Toc514938041"/>
      <w:bookmarkStart w:id="36" w:name="_Toc520485042"/>
      <w:r>
        <w:t>2.</w:t>
      </w:r>
      <w:r>
        <w:tab/>
      </w:r>
      <w:r>
        <w:rPr>
          <w:noProof/>
        </w:rPr>
        <w:t>MANAGEMENT MEASURES</w:t>
      </w:r>
      <w:bookmarkEnd w:id="35"/>
      <w:bookmarkEnd w:id="36"/>
      <w:r>
        <w:rPr>
          <w:noProof/>
        </w:rPr>
        <w:t xml:space="preserve"> </w:t>
      </w:r>
    </w:p>
    <w:p>
      <w:pPr>
        <w:pStyle w:val="ManualHeading2"/>
        <w:rPr>
          <w:noProof/>
        </w:rPr>
      </w:pPr>
      <w:bookmarkStart w:id="37" w:name="_Toc514938042"/>
      <w:bookmarkStart w:id="38" w:name="_Toc520485043"/>
      <w:r>
        <w:t>2.1.</w:t>
      </w:r>
      <w:r>
        <w:tab/>
      </w:r>
      <w:r>
        <w:rPr>
          <w:noProof/>
        </w:rPr>
        <w:t>Monitoring and reporting rules</w:t>
      </w:r>
      <w:bookmarkEnd w:id="37"/>
      <w:bookmarkEnd w:id="38"/>
      <w:r>
        <w:rPr>
          <w:noProof/>
        </w:rPr>
        <w:t xml:space="preserve"> </w:t>
      </w:r>
    </w:p>
    <w:p>
      <w:pPr>
        <w:pStyle w:val="Text1"/>
        <w:rPr>
          <w:i/>
          <w:noProof/>
          <w:sz w:val="20"/>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Grant recipients must deliver the data collected and the corresponding quality reports as specified in Article 12 of Regulation (EU) 2018/1091.</w:t>
      </w:r>
    </w:p>
    <w:p>
      <w:pPr>
        <w:pStyle w:val="Text1"/>
        <w:pBdr>
          <w:top w:val="single" w:sz="4" w:space="1" w:color="auto"/>
          <w:left w:val="single" w:sz="4" w:space="4" w:color="auto"/>
          <w:bottom w:val="single" w:sz="4" w:space="1" w:color="auto"/>
          <w:right w:val="single" w:sz="4" w:space="4" w:color="auto"/>
        </w:pBdr>
        <w:rPr>
          <w:noProof/>
        </w:rPr>
      </w:pPr>
      <w:r>
        <w:rPr>
          <w:noProof/>
        </w:rPr>
        <w:t>In line with Article 18 of Regulation (EU) 2018/1091, the Commission, after consulting the ESSC, should by 31 December 2024 submit a report on the implementation and achievement of the Regulation's objectives to the European Parliament and the Council.</w:t>
      </w:r>
    </w:p>
    <w:p>
      <w:pPr>
        <w:pStyle w:val="ManualHeading2"/>
        <w:rPr>
          <w:bCs/>
          <w:noProof/>
          <w:szCs w:val="24"/>
        </w:rPr>
      </w:pPr>
      <w:bookmarkStart w:id="39" w:name="_Toc514938045"/>
      <w:bookmarkStart w:id="40" w:name="_Toc520485044"/>
      <w:r>
        <w:t>2.2.</w:t>
      </w:r>
      <w:r>
        <w:tab/>
      </w:r>
      <w:r>
        <w:rPr>
          <w:noProof/>
        </w:rPr>
        <w:t>Management and control system(s)</w:t>
      </w:r>
      <w:bookmarkEnd w:id="39"/>
      <w:bookmarkEnd w:id="40"/>
      <w:r>
        <w:rPr>
          <w:noProof/>
        </w:rPr>
        <w:t xml:space="preserve"> </w:t>
      </w:r>
    </w:p>
    <w:p>
      <w:pPr>
        <w:pStyle w:val="ManualHeading3"/>
        <w:rPr>
          <w:noProof/>
        </w:rPr>
      </w:pPr>
      <w:bookmarkStart w:id="41" w:name="_Toc514938046"/>
      <w:bookmarkStart w:id="42" w:name="_Toc520485045"/>
      <w:r>
        <w:t>2.2.1.</w:t>
      </w:r>
      <w:r>
        <w:tab/>
      </w:r>
      <w:r>
        <w:rPr>
          <w:noProof/>
        </w:rPr>
        <w:t>Justification of the management mode(s), the funding implementation mechanism(s), the payment modalities and the control strategy proposed</w:t>
      </w:r>
      <w:bookmarkEnd w:id="41"/>
      <w:bookmarkEnd w:id="42"/>
    </w:p>
    <w:p>
      <w:pPr>
        <w:pStyle w:val="Text1"/>
        <w:pBdr>
          <w:top w:val="single" w:sz="4" w:space="1" w:color="auto"/>
          <w:left w:val="single" w:sz="4" w:space="4" w:color="auto"/>
          <w:bottom w:val="single" w:sz="4" w:space="1" w:color="auto"/>
          <w:right w:val="single" w:sz="4" w:space="4" w:color="auto"/>
        </w:pBdr>
        <w:rPr>
          <w:noProof/>
        </w:rPr>
      </w:pPr>
      <w:r>
        <w:rPr>
          <w:noProof/>
        </w:rPr>
        <w:t xml:space="preserve">The subsidiarity principle applies as the proposal does not fall within the exclusive competence of the EU. The European Statistical System (ESS) provides an infrastructure for statistical information. The system is designed to meet the needs of multiple users and support the decision-making process in democratic societies. The proposal for this Regulation has been drafted to protect core activities of ESS partners while better ensuring and assuring the quality and comparability of agricultural statistics.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Key criteria for the statistical data include consistency and comparability. Member States cannot achieve the necessary consistency and comparability without a clear European framework, that is to say, EU legislation laying down the common statistical concepts, reporting formats and quality requirements. </w:t>
      </w:r>
    </w:p>
    <w:p>
      <w:pPr>
        <w:pStyle w:val="Text1"/>
        <w:pBdr>
          <w:top w:val="single" w:sz="4" w:space="1" w:color="auto"/>
          <w:left w:val="single" w:sz="4" w:space="4" w:color="auto"/>
          <w:bottom w:val="single" w:sz="4" w:space="1" w:color="auto"/>
          <w:right w:val="single" w:sz="4" w:space="4" w:color="auto"/>
        </w:pBdr>
        <w:rPr>
          <w:noProof/>
        </w:rPr>
      </w:pPr>
      <w:r>
        <w:rPr>
          <w:noProof/>
        </w:rPr>
        <w:t>The objectives cannot be fully achieved by Member States acting alone. Action would be more effective if taken at EU level, based on an EU legal act ensuring the comparability of statistical information in the statistical areas covered by the proposed act. The data collection itself, meanwhile, is best carried out by the Member States.</w:t>
      </w:r>
    </w:p>
    <w:p>
      <w:pPr>
        <w:pStyle w:val="ManualHeading3"/>
        <w:rPr>
          <w:bCs/>
          <w:noProof/>
          <w:szCs w:val="24"/>
        </w:rPr>
      </w:pPr>
      <w:bookmarkStart w:id="43" w:name="_Toc514938047"/>
      <w:bookmarkStart w:id="44" w:name="_Toc520485046"/>
      <w:r>
        <w:t>2.2.2.</w:t>
      </w:r>
      <w:r>
        <w:tab/>
      </w:r>
      <w:r>
        <w:rPr>
          <w:noProof/>
        </w:rPr>
        <w:t>Information concerning the risks identified and the internal control system(s) set up to mitigate them</w:t>
      </w:r>
      <w:bookmarkEnd w:id="43"/>
      <w:bookmarkEnd w:id="44"/>
    </w:p>
    <w:p>
      <w:pPr>
        <w:pStyle w:val="Text1"/>
        <w:pBdr>
          <w:top w:val="single" w:sz="4" w:space="1" w:color="auto"/>
          <w:left w:val="single" w:sz="4" w:space="4" w:color="auto"/>
          <w:bottom w:val="single" w:sz="4" w:space="1" w:color="auto"/>
          <w:right w:val="single" w:sz="4" w:space="4" w:color="auto"/>
        </w:pBdr>
        <w:rPr>
          <w:noProof/>
        </w:rPr>
      </w:pPr>
      <w:r>
        <w:rPr>
          <w:noProof/>
        </w:rPr>
        <w:t>Identified risks include sub-standard data quality and late submission of data.</w:t>
      </w:r>
    </w:p>
    <w:p>
      <w:pPr>
        <w:pStyle w:val="Text1"/>
        <w:pBdr>
          <w:top w:val="single" w:sz="4" w:space="1" w:color="auto"/>
          <w:left w:val="single" w:sz="4" w:space="4" w:color="auto"/>
          <w:bottom w:val="single" w:sz="4" w:space="1" w:color="auto"/>
          <w:right w:val="single" w:sz="4" w:space="4" w:color="auto"/>
        </w:pBdr>
        <w:rPr>
          <w:noProof/>
        </w:rPr>
      </w:pPr>
      <w:r>
        <w:rPr>
          <w:noProof/>
        </w:rPr>
        <w:t>These would be mitigated by sending technical and methodological documentation and guidelines to Member States in advance, automated data checks, monitoring compliance with deadlines, and scrutinising quality reports for each survey.</w:t>
      </w:r>
    </w:p>
    <w:p>
      <w:pPr>
        <w:pStyle w:val="ManualHeading3"/>
        <w:rPr>
          <w:noProof/>
        </w:rPr>
      </w:pPr>
      <w:bookmarkStart w:id="45" w:name="_Toc514938048"/>
      <w:bookmarkStart w:id="46" w:name="_Toc520485047"/>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45"/>
      <w:bookmarkEnd w:id="4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Controls will be carried out by Commission officials as part of their regular duties in order to assess data quality and comparability. The expected risk-of-error level is low, as data collection in agricultural statistics has been carried out in good cooperation with Member States since the 1950s and the systems in place have been modernised in line with the latest technical standards.</w:t>
      </w:r>
    </w:p>
    <w:p>
      <w:pPr>
        <w:pStyle w:val="ManualHeading2"/>
        <w:rPr>
          <w:bCs/>
          <w:noProof/>
          <w:szCs w:val="24"/>
        </w:rPr>
      </w:pPr>
      <w:bookmarkStart w:id="47" w:name="_Toc514938049"/>
      <w:bookmarkStart w:id="48" w:name="_Toc520485048"/>
      <w:r>
        <w:t>2.3.</w:t>
      </w:r>
      <w:r>
        <w:tab/>
      </w:r>
      <w:r>
        <w:rPr>
          <w:noProof/>
        </w:rPr>
        <w:t>Measures to prevent fraud and irregularities</w:t>
      </w:r>
      <w:bookmarkEnd w:id="47"/>
      <w:bookmarkEnd w:id="48"/>
      <w:r>
        <w:rPr>
          <w:noProof/>
        </w:rPr>
        <w:t xml:space="preserve">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rPr>
      </w:pPr>
      <w:r>
        <w:rPr>
          <w:noProof/>
        </w:rPr>
        <w:t>In addition to the regulatory controls, Eurostat will apply an anti-fraud strategy in line with the Commission’s general anti-fraud policy. This will ensure that the fraud risk management approach is geared towards identifying fraud risk areas and adequate responses. Networking groups and specific IT tools dedicated to analysing potential cases of fraud will be set up where necessary.</w:t>
      </w:r>
    </w:p>
    <w:p>
      <w:pPr>
        <w:pStyle w:val="Text1"/>
        <w:pBdr>
          <w:top w:val="single" w:sz="4" w:space="1" w:color="auto"/>
          <w:left w:val="single" w:sz="4" w:space="4" w:color="auto"/>
          <w:bottom w:val="single" w:sz="4" w:space="1" w:color="auto"/>
          <w:right w:val="single" w:sz="4" w:space="4" w:color="auto"/>
        </w:pBdr>
        <w:rPr>
          <w:noProof/>
        </w:rPr>
      </w:pPr>
      <w:r>
        <w:rPr>
          <w:noProof/>
        </w:rPr>
        <w:t>Eurostat has developed a control strategy to accompany Member States' spending on data collection, with measures and tools that are appropriate for the proposed regulation. Reducing complexity, applying cost-effective monitoring procedures as well as conducting risk-based preliminary and final controls should help reduce and prevent fraud. The strategy includes awareness-raising measures and training on fraud prevention.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49" w:name="_Toc514938050"/>
      <w:bookmarkStart w:id="50" w:name="_Toc520485049"/>
      <w:r>
        <w:t>3.</w:t>
      </w:r>
      <w:r>
        <w:tab/>
      </w:r>
      <w:r>
        <w:rPr>
          <w:noProof/>
        </w:rPr>
        <w:t>ESTIMATED FINANCIAL IMPACT OF THE PROPOSAL/INITIATIVE</w:t>
      </w:r>
      <w:bookmarkEnd w:id="49"/>
      <w:bookmarkEnd w:id="50"/>
      <w:r>
        <w:rPr>
          <w:noProof/>
        </w:rPr>
        <w:t xml:space="preserve"> </w:t>
      </w:r>
    </w:p>
    <w:p>
      <w:pPr>
        <w:pStyle w:val="ManualHeading2"/>
        <w:rPr>
          <w:noProof/>
        </w:rPr>
      </w:pPr>
      <w:bookmarkStart w:id="51" w:name="_Toc514938051"/>
      <w:bookmarkStart w:id="52" w:name="_Toc520485050"/>
      <w:r>
        <w:t>3.1.</w:t>
      </w:r>
      <w:r>
        <w:tab/>
      </w:r>
      <w:r>
        <w:rPr>
          <w:noProof/>
        </w:rPr>
        <w:t>Heading(s) of the multiannual financial framework and expenditure budget line(s) affected</w:t>
      </w:r>
      <w:bookmarkEnd w:id="51"/>
      <w:bookmarkEnd w:id="52"/>
      <w:r>
        <w:rPr>
          <w:noProof/>
        </w:rPr>
        <w:t xml:space="preserve"> </w:t>
      </w:r>
    </w:p>
    <w:p>
      <w:pPr>
        <w:pStyle w:val="ListBullet1"/>
        <w:rPr>
          <w:noProof/>
        </w:rPr>
      </w:pPr>
      <w:r>
        <w:rPr>
          <w:noProof/>
        </w:rPr>
        <w:t xml:space="preserve">Existing budget lines </w:t>
      </w:r>
    </w:p>
    <w:p>
      <w:pPr>
        <w:pStyle w:val="Text1"/>
        <w:rPr>
          <w:i/>
          <w:noProof/>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sz w:val="22"/>
              </w:rPr>
              <w:br/>
            </w:r>
          </w:p>
        </w:tc>
        <w:tc>
          <w:tcPr>
            <w:tcW w:w="1080" w:type="dxa"/>
            <w:vAlign w:val="center"/>
          </w:tcPr>
          <w:p>
            <w:pPr>
              <w:jc w:val="center"/>
              <w:rPr>
                <w:noProof/>
              </w:rPr>
            </w:pPr>
            <w:r>
              <w:rPr>
                <w:noProof/>
                <w:sz w:val="18"/>
              </w:rPr>
              <w:t>Diff./Non-diff.</w:t>
            </w:r>
            <w:r>
              <w:rPr>
                <w:rStyle w:val="FootnoteReference"/>
                <w:noProof/>
                <w:sz w:val="18"/>
              </w:rPr>
              <w:footnoteReference w:id="12"/>
            </w:r>
          </w:p>
        </w:tc>
        <w:tc>
          <w:tcPr>
            <w:tcW w:w="956" w:type="dxa"/>
            <w:vAlign w:val="center"/>
          </w:tcPr>
          <w:p>
            <w:pPr>
              <w:jc w:val="center"/>
              <w:rPr>
                <w:noProof/>
              </w:rPr>
            </w:pPr>
            <w:r>
              <w:rPr>
                <w:noProof/>
                <w:sz w:val="18"/>
              </w:rPr>
              <w:t>from EFTA countries</w:t>
            </w:r>
            <w:r>
              <w:rPr>
                <w:rStyle w:val="FootnoteReference"/>
                <w:noProof/>
                <w:sz w:val="18"/>
              </w:rPr>
              <w:footnoteReference w:id="13"/>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sz w:val="18"/>
              </w:rPr>
              <w:footnoteReference w:id="14"/>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r>
              <w:rPr>
                <w:noProof/>
              </w:rPr>
              <w:t>3</w:t>
            </w:r>
          </w:p>
        </w:tc>
        <w:tc>
          <w:tcPr>
            <w:tcW w:w="3960" w:type="dxa"/>
            <w:vAlign w:val="center"/>
          </w:tcPr>
          <w:p>
            <w:pPr>
              <w:spacing w:after="60"/>
              <w:rPr>
                <w:noProof/>
              </w:rPr>
            </w:pPr>
            <w:r>
              <w:rPr>
                <w:noProof/>
              </w:rPr>
              <w:t xml:space="preserve">08.02 06 03 - European Agricultural Guarantee Fund (EAGF) - Operational technical assistance </w:t>
            </w:r>
          </w:p>
        </w:tc>
        <w:tc>
          <w:tcPr>
            <w:tcW w:w="1080" w:type="dxa"/>
            <w:vAlign w:val="center"/>
          </w:tcPr>
          <w:p>
            <w:pPr>
              <w:jc w:val="center"/>
              <w:rPr>
                <w:noProof/>
              </w:rPr>
            </w:pPr>
            <w:r>
              <w:rPr>
                <w:noProof/>
                <w:sz w:val="22"/>
              </w:rPr>
              <w:t>Diff.</w:t>
            </w:r>
          </w:p>
        </w:tc>
        <w:tc>
          <w:tcPr>
            <w:tcW w:w="956" w:type="dxa"/>
            <w:vAlign w:val="center"/>
          </w:tcPr>
          <w:p>
            <w:pPr>
              <w:jc w:val="center"/>
              <w:rPr>
                <w:noProof/>
                <w:sz w:val="20"/>
                <w:szCs w:val="20"/>
              </w:rPr>
            </w:pPr>
            <w:r>
              <w:rPr>
                <w:noProof/>
                <w:sz w:val="20"/>
                <w:szCs w:val="20"/>
              </w:rPr>
              <w:t>NO</w:t>
            </w:r>
          </w:p>
        </w:tc>
        <w:tc>
          <w:tcPr>
            <w:tcW w:w="1080" w:type="dxa"/>
            <w:vAlign w:val="center"/>
          </w:tcPr>
          <w:p>
            <w:pPr>
              <w:jc w:val="center"/>
              <w:rPr>
                <w:noProof/>
                <w:sz w:val="20"/>
                <w:szCs w:val="20"/>
              </w:rPr>
            </w:pPr>
            <w:r>
              <w:rPr>
                <w:noProof/>
                <w:sz w:val="20"/>
                <w:szCs w:val="20"/>
              </w:rPr>
              <w:t>NO</w:t>
            </w:r>
          </w:p>
        </w:tc>
        <w:tc>
          <w:tcPr>
            <w:tcW w:w="956" w:type="dxa"/>
            <w:vAlign w:val="center"/>
          </w:tcPr>
          <w:p>
            <w:pPr>
              <w:jc w:val="center"/>
              <w:rPr>
                <w:noProof/>
                <w:sz w:val="20"/>
                <w:szCs w:val="20"/>
              </w:rPr>
            </w:pPr>
            <w:r>
              <w:rPr>
                <w:noProof/>
                <w:sz w:val="20"/>
                <w:szCs w:val="20"/>
              </w:rPr>
              <w:t>NO</w:t>
            </w:r>
          </w:p>
        </w:tc>
        <w:tc>
          <w:tcPr>
            <w:tcW w:w="1448" w:type="dxa"/>
            <w:vAlign w:val="center"/>
          </w:tcPr>
          <w:p>
            <w:pPr>
              <w:jc w:val="center"/>
              <w:rPr>
                <w:noProof/>
                <w:sz w:val="20"/>
                <w:szCs w:val="20"/>
              </w:rPr>
            </w:pPr>
            <w:r>
              <w:rPr>
                <w:noProof/>
                <w:sz w:val="20"/>
                <w:szCs w:val="20"/>
              </w:rPr>
              <w:t>NO</w:t>
            </w:r>
          </w:p>
        </w:tc>
      </w:tr>
    </w:tbl>
    <w:p>
      <w:pPr>
        <w:pStyle w:val="ListBullet1"/>
        <w:rPr>
          <w:noProof/>
        </w:rPr>
      </w:pPr>
      <w:r>
        <w:rPr>
          <w:noProof/>
        </w:rPr>
        <w:t xml:space="preserve">New budget lines requested </w:t>
      </w:r>
    </w:p>
    <w:p>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sz w:val="22"/>
              </w:rPr>
              <w:br/>
            </w:r>
          </w:p>
        </w:tc>
        <w:tc>
          <w:tcPr>
            <w:tcW w:w="1080" w:type="dxa"/>
            <w:vAlign w:val="center"/>
          </w:tcPr>
          <w:p>
            <w:pPr>
              <w:jc w:val="center"/>
              <w:rPr>
                <w:noProof/>
              </w:rPr>
            </w:pPr>
            <w:r>
              <w:rPr>
                <w:noProof/>
                <w:sz w:val="18"/>
              </w:rPr>
              <w:t>Diff./Non-diff.</w:t>
            </w:r>
          </w:p>
        </w:tc>
        <w:tc>
          <w:tcPr>
            <w:tcW w:w="956" w:type="dxa"/>
            <w:vAlign w:val="center"/>
          </w:tcPr>
          <w:p>
            <w:pPr>
              <w:jc w:val="center"/>
              <w:rPr>
                <w:noProof/>
                <w:sz w:val="18"/>
              </w:rPr>
            </w:pPr>
            <w:r>
              <w:rPr>
                <w:noProof/>
                <w:sz w:val="18"/>
              </w:rPr>
              <w:t>from EFTA countries</w:t>
            </w:r>
          </w:p>
        </w:tc>
        <w:tc>
          <w:tcPr>
            <w:tcW w:w="1080" w:type="dxa"/>
            <w:vAlign w:val="center"/>
          </w:tcPr>
          <w:p>
            <w:pPr>
              <w:jc w:val="center"/>
              <w:rPr>
                <w:noProof/>
                <w:sz w:val="18"/>
              </w:rPr>
            </w:pPr>
            <w:r>
              <w:rPr>
                <w:noProof/>
                <w:sz w:val="18"/>
              </w:rPr>
              <w:t>from candidate countries</w:t>
            </w: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p>
        </w:tc>
        <w:tc>
          <w:tcPr>
            <w:tcW w:w="3960" w:type="dxa"/>
            <w:vAlign w:val="center"/>
          </w:tcPr>
          <w:p>
            <w:pPr>
              <w:spacing w:before="60"/>
              <w:rPr>
                <w:noProof/>
              </w:rPr>
            </w:pPr>
            <w:r>
              <w:rPr>
                <w:noProof/>
                <w:sz w:val="22"/>
              </w:rPr>
              <w:t>[XX.YY.YY.YY]</w:t>
            </w:r>
          </w:p>
          <w:p>
            <w:pPr>
              <w:spacing w:after="60"/>
              <w:rPr>
                <w:noProof/>
              </w:rPr>
            </w:pPr>
          </w:p>
        </w:tc>
        <w:tc>
          <w:tcPr>
            <w:tcW w:w="1080" w:type="dxa"/>
            <w:vAlign w:val="center"/>
          </w:tcPr>
          <w:p>
            <w:pPr>
              <w:jc w:val="center"/>
              <w:rPr>
                <w:noProof/>
              </w:rPr>
            </w:pPr>
          </w:p>
        </w:tc>
        <w:tc>
          <w:tcPr>
            <w:tcW w:w="956" w:type="dxa"/>
            <w:vAlign w:val="center"/>
          </w:tcPr>
          <w:p>
            <w:pPr>
              <w:jc w:val="center"/>
              <w:rPr>
                <w:noProof/>
                <w:sz w:val="20"/>
                <w:szCs w:val="20"/>
              </w:rPr>
            </w:pPr>
            <w:r>
              <w:rPr>
                <w:noProof/>
                <w:sz w:val="20"/>
                <w:szCs w:val="20"/>
              </w:rPr>
              <w:t>YES/NO</w:t>
            </w:r>
          </w:p>
        </w:tc>
        <w:tc>
          <w:tcPr>
            <w:tcW w:w="1080" w:type="dxa"/>
            <w:vAlign w:val="center"/>
          </w:tcPr>
          <w:p>
            <w:pPr>
              <w:jc w:val="center"/>
              <w:rPr>
                <w:noProof/>
                <w:sz w:val="20"/>
                <w:szCs w:val="20"/>
              </w:rPr>
            </w:pPr>
            <w:r>
              <w:rPr>
                <w:noProof/>
                <w:sz w:val="20"/>
                <w:szCs w:val="20"/>
              </w:rPr>
              <w:t>YES/NO</w:t>
            </w:r>
          </w:p>
        </w:tc>
        <w:tc>
          <w:tcPr>
            <w:tcW w:w="956" w:type="dxa"/>
            <w:vAlign w:val="center"/>
          </w:tcPr>
          <w:p>
            <w:pPr>
              <w:jc w:val="center"/>
              <w:rPr>
                <w:noProof/>
                <w:sz w:val="20"/>
                <w:szCs w:val="20"/>
              </w:rPr>
            </w:pPr>
            <w:r>
              <w:rPr>
                <w:noProof/>
                <w:sz w:val="20"/>
                <w:szCs w:val="20"/>
              </w:rPr>
              <w:t>YES/NO</w:t>
            </w:r>
          </w:p>
        </w:tc>
        <w:tc>
          <w:tcPr>
            <w:tcW w:w="1448" w:type="dxa"/>
            <w:vAlign w:val="center"/>
          </w:tcPr>
          <w:p>
            <w:pPr>
              <w:jc w:val="center"/>
              <w:rPr>
                <w:noProof/>
                <w:sz w:val="20"/>
                <w:szCs w:val="20"/>
              </w:rPr>
            </w:pPr>
            <w:r>
              <w:rPr>
                <w:noProof/>
                <w:sz w:val="20"/>
                <w:szCs w:val="20"/>
              </w:rPr>
              <w:t>YES/NO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53" w:name="_Toc514938052"/>
      <w:bookmarkStart w:id="54" w:name="_Toc520485051"/>
      <w:r>
        <w:t>3.2.</w:t>
      </w:r>
      <w:r>
        <w:tab/>
      </w:r>
      <w:r>
        <w:rPr>
          <w:noProof/>
        </w:rPr>
        <w:t>Estimated financial impact of the proposal on appropriations</w:t>
      </w:r>
      <w:bookmarkEnd w:id="53"/>
      <w:bookmarkEnd w:id="54"/>
      <w:r>
        <w:rPr>
          <w:noProof/>
        </w:rPr>
        <w:t xml:space="preserve"> </w:t>
      </w:r>
    </w:p>
    <w:p>
      <w:pPr>
        <w:pStyle w:val="ManualHeading3"/>
        <w:rPr>
          <w:noProof/>
        </w:rPr>
      </w:pPr>
      <w:bookmarkStart w:id="55" w:name="_Toc514938053"/>
      <w:bookmarkStart w:id="56" w:name="_Toc520485052"/>
      <w:r>
        <w:t>3.2.1.</w:t>
      </w:r>
      <w:r>
        <w:tab/>
      </w:r>
      <w:r>
        <w:rPr>
          <w:noProof/>
        </w:rPr>
        <w:t>Summary of estimated impact on operational appropriations</w:t>
      </w:r>
      <w:bookmarkEnd w:id="55"/>
      <w:bookmarkEnd w:id="56"/>
      <w:r>
        <w:rPr>
          <w:noProof/>
        </w:rPr>
        <w:t xml:space="preserve"> </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sym w:font="Wingdings" w:char="F078"/>
      </w:r>
      <w:r>
        <w:rPr>
          <w:noProof/>
        </w:rPr>
        <w:tab/>
        <w:t>The proposal/initiative requires the use of operational appropriations, as explained below:</w:t>
      </w:r>
    </w:p>
    <w:p>
      <w:pPr>
        <w:jc w:val="right"/>
        <w:rPr>
          <w:noProof/>
          <w:sz w:val="18"/>
          <w:szCs w:val="18"/>
        </w:rPr>
      </w:pPr>
      <w:r>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noProof/>
                <w:sz w:val="22"/>
              </w:rPr>
              <w:t>3</w:t>
            </w:r>
          </w:p>
        </w:tc>
        <w:tc>
          <w:tcPr>
            <w:tcW w:w="7817" w:type="dxa"/>
            <w:vAlign w:val="center"/>
          </w:tcPr>
          <w:p>
            <w:pPr>
              <w:spacing w:before="60" w:after="60"/>
              <w:rPr>
                <w:noProof/>
              </w:rPr>
            </w:pPr>
            <w:r>
              <w:rPr>
                <w:noProof/>
              </w:rPr>
              <w:t>08.02 06 03 - European Agricultural Guarantee Fund (EAGF) - Operational technical assistance</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710"/>
        <w:gridCol w:w="1067"/>
      </w:tblGrid>
      <w:tr>
        <w:tc>
          <w:tcPr>
            <w:tcW w:w="3960" w:type="dxa"/>
            <w:vAlign w:val="center"/>
          </w:tcPr>
          <w:p>
            <w:pPr>
              <w:jc w:val="center"/>
              <w:rPr>
                <w:noProof/>
              </w:rPr>
            </w:pPr>
            <w:r>
              <w:rPr>
                <w:noProof/>
                <w:sz w:val="22"/>
              </w:rPr>
              <w:t>DG: AGRI</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2021</w:t>
            </w:r>
            <w:r>
              <w:rPr>
                <w:rStyle w:val="FootnoteReference"/>
                <w:b/>
                <w:noProof/>
                <w:sz w:val="20"/>
              </w:rPr>
              <w:footnoteReference w:id="15"/>
            </w:r>
          </w:p>
        </w:tc>
        <w:tc>
          <w:tcPr>
            <w:tcW w:w="868" w:type="dxa"/>
            <w:vAlign w:val="center"/>
          </w:tcPr>
          <w:p>
            <w:pPr>
              <w:jc w:val="center"/>
              <w:rPr>
                <w:noProof/>
                <w:sz w:val="20"/>
              </w:rPr>
            </w:pPr>
            <w:r>
              <w:rPr>
                <w:noProof/>
                <w:sz w:val="20"/>
              </w:rPr>
              <w:t>Year</w:t>
            </w:r>
            <w:r>
              <w:rPr>
                <w:noProof/>
                <w:sz w:val="22"/>
              </w:rPr>
              <w:br/>
            </w:r>
            <w:r>
              <w:rPr>
                <w:b/>
                <w:noProof/>
                <w:sz w:val="20"/>
              </w:rPr>
              <w:t>2022</w:t>
            </w:r>
          </w:p>
        </w:tc>
        <w:tc>
          <w:tcPr>
            <w:tcW w:w="868" w:type="dxa"/>
            <w:vAlign w:val="center"/>
          </w:tcPr>
          <w:p>
            <w:pPr>
              <w:jc w:val="center"/>
              <w:rPr>
                <w:noProof/>
                <w:sz w:val="20"/>
              </w:rPr>
            </w:pPr>
            <w:r>
              <w:rPr>
                <w:noProof/>
                <w:sz w:val="20"/>
              </w:rPr>
              <w:t>Year</w:t>
            </w:r>
            <w:r>
              <w:rPr>
                <w:noProof/>
                <w:sz w:val="22"/>
              </w:rPr>
              <w:br/>
            </w:r>
            <w:r>
              <w:rPr>
                <w:b/>
                <w:noProof/>
                <w:sz w:val="20"/>
              </w:rPr>
              <w:t>2023</w:t>
            </w:r>
          </w:p>
        </w:tc>
        <w:tc>
          <w:tcPr>
            <w:tcW w:w="868" w:type="dxa"/>
            <w:vAlign w:val="center"/>
          </w:tcPr>
          <w:p>
            <w:pPr>
              <w:jc w:val="center"/>
              <w:rPr>
                <w:noProof/>
                <w:sz w:val="20"/>
              </w:rPr>
            </w:pPr>
            <w:r>
              <w:rPr>
                <w:noProof/>
                <w:sz w:val="20"/>
              </w:rPr>
              <w:t>Year</w:t>
            </w:r>
            <w:r>
              <w:rPr>
                <w:noProof/>
                <w:sz w:val="22"/>
              </w:rPr>
              <w:br/>
            </w:r>
            <w:r>
              <w:rPr>
                <w:b/>
                <w:noProof/>
                <w:sz w:val="20"/>
              </w:rPr>
              <w:t>2024</w:t>
            </w:r>
          </w:p>
        </w:tc>
        <w:tc>
          <w:tcPr>
            <w:tcW w:w="868" w:type="dxa"/>
            <w:vAlign w:val="center"/>
          </w:tcPr>
          <w:p>
            <w:pPr>
              <w:jc w:val="center"/>
              <w:rPr>
                <w:b/>
                <w:noProof/>
                <w:sz w:val="18"/>
              </w:rPr>
            </w:pPr>
            <w:r>
              <w:rPr>
                <w:noProof/>
                <w:sz w:val="20"/>
              </w:rPr>
              <w:t>Year</w:t>
            </w:r>
            <w:r>
              <w:rPr>
                <w:noProof/>
                <w:sz w:val="22"/>
              </w:rPr>
              <w:br/>
            </w:r>
            <w:r>
              <w:rPr>
                <w:b/>
                <w:noProof/>
                <w:sz w:val="20"/>
              </w:rPr>
              <w:t>2025</w:t>
            </w:r>
          </w:p>
        </w:tc>
        <w:tc>
          <w:tcPr>
            <w:tcW w:w="868" w:type="dxa"/>
            <w:vAlign w:val="center"/>
          </w:tcPr>
          <w:p>
            <w:pPr>
              <w:jc w:val="center"/>
              <w:rPr>
                <w:b/>
                <w:noProof/>
                <w:sz w:val="18"/>
              </w:rPr>
            </w:pPr>
            <w:r>
              <w:rPr>
                <w:noProof/>
                <w:sz w:val="20"/>
              </w:rPr>
              <w:t>Year</w:t>
            </w:r>
            <w:r>
              <w:rPr>
                <w:noProof/>
                <w:sz w:val="22"/>
              </w:rPr>
              <w:br/>
            </w:r>
            <w:r>
              <w:rPr>
                <w:b/>
                <w:noProof/>
                <w:sz w:val="20"/>
              </w:rPr>
              <w:t>2026</w:t>
            </w:r>
          </w:p>
        </w:tc>
        <w:tc>
          <w:tcPr>
            <w:tcW w:w="868" w:type="dxa"/>
            <w:vAlign w:val="center"/>
          </w:tcPr>
          <w:p>
            <w:pPr>
              <w:jc w:val="center"/>
              <w:rPr>
                <w:b/>
                <w:noProof/>
                <w:sz w:val="18"/>
              </w:rPr>
            </w:pPr>
            <w:r>
              <w:rPr>
                <w:noProof/>
                <w:sz w:val="20"/>
              </w:rPr>
              <w:t>Year</w:t>
            </w:r>
            <w:r>
              <w:rPr>
                <w:noProof/>
                <w:sz w:val="22"/>
              </w:rPr>
              <w:br/>
            </w:r>
            <w:r>
              <w:rPr>
                <w:b/>
                <w:noProof/>
                <w:sz w:val="20"/>
              </w:rPr>
              <w:t>2027</w:t>
            </w:r>
          </w:p>
        </w:tc>
        <w:tc>
          <w:tcPr>
            <w:tcW w:w="710" w:type="dxa"/>
            <w:vAlign w:val="center"/>
          </w:tcPr>
          <w:p>
            <w:pPr>
              <w:jc w:val="center"/>
              <w:rPr>
                <w:b/>
                <w:i/>
                <w:noProof/>
                <w:sz w:val="20"/>
              </w:rPr>
            </w:pPr>
            <w:r>
              <w:rPr>
                <w:b/>
                <w:i/>
                <w:noProof/>
                <w:sz w:val="20"/>
              </w:rPr>
              <w:t>Post 2027</w:t>
            </w:r>
          </w:p>
        </w:tc>
        <w:tc>
          <w:tcPr>
            <w:tcW w:w="106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710" w:type="dxa"/>
            <w:vAlign w:val="center"/>
          </w:tcPr>
          <w:p>
            <w:pPr>
              <w:rPr>
                <w:b/>
                <w:noProof/>
                <w:sz w:val="20"/>
              </w:rPr>
            </w:pPr>
          </w:p>
        </w:tc>
        <w:tc>
          <w:tcPr>
            <w:tcW w:w="1067" w:type="dxa"/>
            <w:vAlign w:val="center"/>
          </w:tcPr>
          <w:p>
            <w:pPr>
              <w:rPr>
                <w:b/>
                <w:noProof/>
                <w:sz w:val="20"/>
              </w:rPr>
            </w:pPr>
          </w:p>
        </w:tc>
      </w:tr>
      <w:tr>
        <w:trPr>
          <w:trHeight w:val="277"/>
        </w:trPr>
        <w:tc>
          <w:tcPr>
            <w:tcW w:w="3960" w:type="dxa"/>
            <w:vMerge w:val="restart"/>
            <w:vAlign w:val="center"/>
          </w:tcPr>
          <w:p>
            <w:pPr>
              <w:rPr>
                <w:noProof/>
              </w:rPr>
            </w:pPr>
            <w:r>
              <w:rPr>
                <w:noProof/>
              </w:rPr>
              <w:t>08.02 06 03</w:t>
            </w:r>
            <w:r>
              <w:rPr>
                <w:rStyle w:val="FootnoteReference"/>
                <w:noProof/>
              </w:rPr>
              <w:footnoteReference w:id="16"/>
            </w: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710" w:type="dxa"/>
            <w:vAlign w:val="center"/>
          </w:tcPr>
          <w:p>
            <w:pPr>
              <w:spacing w:before="20" w:after="20"/>
              <w:jc w:val="right"/>
              <w:rPr>
                <w:b/>
                <w:noProof/>
                <w:sz w:val="20"/>
              </w:rPr>
            </w:pPr>
          </w:p>
        </w:tc>
        <w:tc>
          <w:tcPr>
            <w:tcW w:w="1067" w:type="dxa"/>
            <w:vAlign w:val="center"/>
          </w:tcPr>
          <w:p>
            <w:pPr>
              <w:spacing w:before="20" w:after="20"/>
              <w:jc w:val="right"/>
              <w:rPr>
                <w:b/>
                <w:noProof/>
                <w:sz w:val="20"/>
              </w:rPr>
            </w:pPr>
            <w:r>
              <w:rPr>
                <w:b/>
                <w:noProof/>
                <w:sz w:val="20"/>
              </w:rPr>
              <w:t>40.000</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9.100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18.200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b/>
                <w:noProof/>
                <w:sz w:val="20"/>
              </w:rPr>
            </w:pPr>
          </w:p>
        </w:tc>
        <w:tc>
          <w:tcPr>
            <w:tcW w:w="710" w:type="dxa"/>
          </w:tcPr>
          <w:p>
            <w:pPr>
              <w:spacing w:before="20" w:after="20"/>
              <w:jc w:val="right"/>
              <w:rPr>
                <w:b/>
                <w:noProof/>
                <w:sz w:val="20"/>
              </w:rPr>
            </w:pPr>
            <w:r>
              <w:rPr>
                <w:b/>
                <w:noProof/>
                <w:sz w:val="20"/>
              </w:rPr>
              <w:t>9.100</w:t>
            </w:r>
          </w:p>
        </w:tc>
        <w:tc>
          <w:tcPr>
            <w:tcW w:w="1067" w:type="dxa"/>
            <w:vAlign w:val="center"/>
          </w:tcPr>
          <w:p>
            <w:pPr>
              <w:spacing w:before="20" w:after="20"/>
              <w:jc w:val="right"/>
              <w:rPr>
                <w:b/>
                <w:noProof/>
                <w:sz w:val="20"/>
              </w:rPr>
            </w:pPr>
            <w:r>
              <w:rPr>
                <w:b/>
                <w:noProof/>
                <w:sz w:val="20"/>
              </w:rPr>
              <w:t>40.000</w:t>
            </w:r>
          </w:p>
        </w:tc>
      </w:tr>
      <w:tr>
        <w:tc>
          <w:tcPr>
            <w:tcW w:w="3960" w:type="dxa"/>
            <w:vMerge w:val="restart"/>
            <w:vAlign w:val="center"/>
          </w:tcPr>
          <w:p>
            <w:pPr>
              <w:rPr>
                <w:noProof/>
              </w:rPr>
            </w:pPr>
            <w:r>
              <w:rPr>
                <w:noProof/>
                <w:sz w:val="20"/>
              </w:rPr>
              <w:t>Budget line</w:t>
            </w: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(1b)</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710" w:type="dxa"/>
            <w:vAlign w:val="center"/>
          </w:tcPr>
          <w:p>
            <w:pPr>
              <w:spacing w:before="20" w:after="20"/>
              <w:jc w:val="right"/>
              <w:rPr>
                <w:b/>
                <w:noProof/>
                <w:sz w:val="20"/>
              </w:rPr>
            </w:pPr>
          </w:p>
        </w:tc>
        <w:tc>
          <w:tcPr>
            <w:tcW w:w="106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(2b)</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710" w:type="dxa"/>
            <w:vAlign w:val="center"/>
          </w:tcPr>
          <w:p>
            <w:pPr>
              <w:spacing w:before="20" w:after="20"/>
              <w:jc w:val="right"/>
              <w:rPr>
                <w:b/>
                <w:noProof/>
                <w:sz w:val="20"/>
              </w:rPr>
            </w:pPr>
          </w:p>
        </w:tc>
        <w:tc>
          <w:tcPr>
            <w:tcW w:w="1067" w:type="dxa"/>
            <w:vAlign w:val="center"/>
          </w:tcPr>
          <w:p>
            <w:pPr>
              <w:spacing w:before="20" w:after="20"/>
              <w:jc w:val="right"/>
              <w:rPr>
                <w:b/>
                <w:noProof/>
                <w:sz w:val="20"/>
              </w:rPr>
            </w:pPr>
          </w:p>
        </w:tc>
      </w:tr>
      <w:tr>
        <w:trPr>
          <w:trHeight w:val="231"/>
        </w:trPr>
        <w:tc>
          <w:tcPr>
            <w:tcW w:w="6054" w:type="dxa"/>
            <w:gridSpan w:val="4"/>
            <w:vAlign w:val="center"/>
          </w:tcPr>
          <w:p>
            <w:pPr>
              <w:spacing w:before="20" w:after="20"/>
              <w:rPr>
                <w:noProof/>
              </w:rPr>
            </w:pPr>
            <w:r>
              <w:rPr>
                <w:noProof/>
                <w:sz w:val="21"/>
              </w:rPr>
              <w:t>Appropriations of an administrative nature financed from the envelope of specific programmes</w:t>
            </w:r>
            <w:r>
              <w:rPr>
                <w:rStyle w:val="FootnoteReference"/>
                <w:noProof/>
                <w:sz w:val="21"/>
              </w:rPr>
              <w:footnoteReference w:id="17"/>
            </w:r>
            <w:r>
              <w:rPr>
                <w:noProof/>
                <w:sz w:val="21"/>
              </w:rPr>
              <w:t xml:space="preserve"> </w:t>
            </w:r>
          </w:p>
          <w:p>
            <w:pPr>
              <w:spacing w:before="0" w:after="0"/>
              <w:rPr>
                <w:noProof/>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710" w:type="dxa"/>
            <w:vAlign w:val="center"/>
          </w:tcPr>
          <w:p>
            <w:pPr>
              <w:rPr>
                <w:b/>
                <w:noProof/>
                <w:sz w:val="20"/>
              </w:rPr>
            </w:pPr>
          </w:p>
        </w:tc>
        <w:tc>
          <w:tcPr>
            <w:tcW w:w="1067" w:type="dxa"/>
            <w:vAlign w:val="center"/>
          </w:tcPr>
          <w:p>
            <w:pPr>
              <w:rPr>
                <w:b/>
                <w:noProof/>
                <w:sz w:val="20"/>
              </w:rPr>
            </w:pPr>
          </w:p>
        </w:tc>
      </w:tr>
      <w:tr>
        <w:trPr>
          <w:trHeight w:val="319"/>
        </w:trPr>
        <w:tc>
          <w:tcPr>
            <w:tcW w:w="3960" w:type="dxa"/>
            <w:vAlign w:val="center"/>
          </w:tcPr>
          <w:p>
            <w:pPr>
              <w:spacing w:before="60" w:after="60"/>
              <w:rPr>
                <w:noProof/>
              </w:rPr>
            </w:pPr>
            <w:r>
              <w:rPr>
                <w:noProof/>
                <w:sz w:val="20"/>
              </w:rPr>
              <w:t>Budget line</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710" w:type="dxa"/>
            <w:vAlign w:val="center"/>
          </w:tcPr>
          <w:p>
            <w:pPr>
              <w:spacing w:before="40" w:after="40"/>
              <w:jc w:val="right"/>
              <w:rPr>
                <w:b/>
                <w:noProof/>
                <w:sz w:val="20"/>
              </w:rPr>
            </w:pPr>
          </w:p>
        </w:tc>
        <w:tc>
          <w:tcPr>
            <w:tcW w:w="1067"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TOTAL appropriations</w:t>
            </w:r>
            <w:r>
              <w:rPr>
                <w:noProof/>
                <w:sz w:val="22"/>
              </w:rPr>
              <w:br/>
            </w:r>
            <w:r>
              <w:rPr>
                <w:b/>
                <w:noProof/>
                <w:sz w:val="22"/>
              </w:rPr>
              <w:t>for DG AGRI</w:t>
            </w:r>
          </w:p>
        </w:tc>
        <w:tc>
          <w:tcPr>
            <w:tcW w:w="1440" w:type="dxa"/>
            <w:vAlign w:val="center"/>
          </w:tcPr>
          <w:p>
            <w:pPr>
              <w:rPr>
                <w:noProof/>
                <w:sz w:val="18"/>
              </w:rPr>
            </w:pPr>
            <w:r>
              <w:rPr>
                <w:noProof/>
                <w:sz w:val="18"/>
              </w:rPr>
              <w:t>Commitments</w:t>
            </w:r>
          </w:p>
        </w:tc>
        <w:tc>
          <w:tcPr>
            <w:tcW w:w="654" w:type="dxa"/>
            <w:gridSpan w:val="2"/>
            <w:vAlign w:val="center"/>
          </w:tcPr>
          <w:p>
            <w:pPr>
              <w:jc w:val="center"/>
              <w:rPr>
                <w:noProof/>
                <w:sz w:val="14"/>
              </w:rPr>
            </w:pPr>
            <w:r>
              <w:rPr>
                <w:noProof/>
                <w:sz w:val="14"/>
              </w:rPr>
              <w:t>=1a+1b +3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710" w:type="dxa"/>
            <w:vAlign w:val="center"/>
          </w:tcPr>
          <w:p>
            <w:pPr>
              <w:spacing w:before="20" w:after="20"/>
              <w:jc w:val="right"/>
              <w:rPr>
                <w:b/>
                <w:noProof/>
                <w:sz w:val="20"/>
              </w:rPr>
            </w:pPr>
          </w:p>
        </w:tc>
        <w:tc>
          <w:tcPr>
            <w:tcW w:w="1067" w:type="dxa"/>
            <w:vAlign w:val="center"/>
          </w:tcPr>
          <w:p>
            <w:pPr>
              <w:spacing w:before="20" w:after="20"/>
              <w:jc w:val="right"/>
              <w:rPr>
                <w:b/>
                <w:noProof/>
                <w:sz w:val="20"/>
              </w:rPr>
            </w:pPr>
            <w:r>
              <w:rPr>
                <w:b/>
                <w:noProof/>
                <w:sz w:val="20"/>
              </w:rPr>
              <w:t>40.000</w:t>
            </w:r>
          </w:p>
        </w:tc>
      </w:tr>
      <w:tr>
        <w:tc>
          <w:tcPr>
            <w:tcW w:w="3960" w:type="dxa"/>
            <w:vMerge/>
          </w:tcPr>
          <w:p>
            <w:pPr>
              <w:rPr>
                <w:noProof/>
                <w:sz w:val="20"/>
              </w:rPr>
            </w:pPr>
          </w:p>
        </w:tc>
        <w:tc>
          <w:tcPr>
            <w:tcW w:w="1440" w:type="dxa"/>
            <w:vAlign w:val="center"/>
          </w:tcPr>
          <w:p>
            <w:pPr>
              <w:rPr>
                <w:noProof/>
                <w:sz w:val="18"/>
              </w:rPr>
            </w:pPr>
            <w:r>
              <w:rPr>
                <w:noProof/>
                <w:sz w:val="18"/>
              </w:rPr>
              <w:t>Payments</w:t>
            </w:r>
          </w:p>
        </w:tc>
        <w:tc>
          <w:tcPr>
            <w:tcW w:w="654" w:type="dxa"/>
            <w:gridSpan w:val="2"/>
            <w:vAlign w:val="center"/>
          </w:tcPr>
          <w:p>
            <w:pPr>
              <w:jc w:val="center"/>
              <w:rPr>
                <w:noProof/>
                <w:sz w:val="14"/>
              </w:rPr>
            </w:pPr>
            <w:r>
              <w:rPr>
                <w:noProof/>
                <w:sz w:val="14"/>
              </w:rPr>
              <w:t>=2a+2b</w:t>
            </w:r>
          </w:p>
          <w:p>
            <w:pPr>
              <w:jc w:val="center"/>
              <w:rPr>
                <w:noProof/>
                <w:sz w:val="14"/>
              </w:rPr>
            </w:pPr>
            <w:r>
              <w:rPr>
                <w:noProof/>
                <w:sz w:val="14"/>
              </w:rPr>
              <w:t>+3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9.100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18.200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b/>
                <w:noProof/>
                <w:sz w:val="20"/>
              </w:rPr>
            </w:pPr>
          </w:p>
        </w:tc>
        <w:tc>
          <w:tcPr>
            <w:tcW w:w="710" w:type="dxa"/>
            <w:vAlign w:val="center"/>
          </w:tcPr>
          <w:p>
            <w:pPr>
              <w:spacing w:before="20" w:after="20"/>
              <w:jc w:val="center"/>
              <w:rPr>
                <w:b/>
                <w:noProof/>
                <w:sz w:val="20"/>
              </w:rPr>
            </w:pPr>
            <w:r>
              <w:rPr>
                <w:b/>
                <w:noProof/>
                <w:sz w:val="20"/>
              </w:rPr>
              <w:t>9.100</w:t>
            </w:r>
          </w:p>
        </w:tc>
        <w:tc>
          <w:tcPr>
            <w:tcW w:w="1067" w:type="dxa"/>
            <w:vAlign w:val="center"/>
          </w:tcPr>
          <w:p>
            <w:pPr>
              <w:spacing w:before="20" w:after="20"/>
              <w:jc w:val="right"/>
              <w:rPr>
                <w:b/>
                <w:noProof/>
                <w:sz w:val="20"/>
              </w:rPr>
            </w:pPr>
            <w:r>
              <w:rPr>
                <w:b/>
                <w:noProof/>
                <w:sz w:val="20"/>
              </w:rPr>
              <w:t>40.000</w:t>
            </w:r>
          </w:p>
        </w:tc>
      </w:tr>
    </w:tbl>
    <w:p>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888"/>
        <w:gridCol w:w="889"/>
      </w:tblGrid>
      <w:tr>
        <w:trPr>
          <w:trHeight w:val="277"/>
        </w:trPr>
        <w:tc>
          <w:tcPr>
            <w:tcW w:w="3960" w:type="dxa"/>
            <w:vMerge w:val="restart"/>
            <w:vAlign w:val="center"/>
          </w:tcPr>
          <w:p>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pPr>
              <w:spacing w:beforeLines="20" w:before="48" w:afterLines="20" w:after="48"/>
              <w:rPr>
                <w:noProof/>
                <w:sz w:val="18"/>
              </w:rPr>
            </w:pPr>
            <w:r>
              <w:rPr>
                <w:noProof/>
                <w:sz w:val="18"/>
              </w:rPr>
              <w:t>Commitments</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8" w:type="dxa"/>
            <w:vAlign w:val="center"/>
          </w:tcPr>
          <w:p>
            <w:pPr>
              <w:spacing w:before="20" w:after="20"/>
              <w:jc w:val="right"/>
              <w:rPr>
                <w:b/>
                <w:noProof/>
                <w:sz w:val="20"/>
              </w:rPr>
            </w:pPr>
          </w:p>
        </w:tc>
        <w:tc>
          <w:tcPr>
            <w:tcW w:w="889" w:type="dxa"/>
            <w:vAlign w:val="center"/>
          </w:tcPr>
          <w:p>
            <w:pPr>
              <w:spacing w:before="20" w:after="20"/>
              <w:jc w:val="right"/>
              <w:rPr>
                <w:b/>
                <w:noProof/>
                <w:sz w:val="20"/>
              </w:rPr>
            </w:pPr>
            <w:r>
              <w:rPr>
                <w:b/>
                <w:noProof/>
                <w:sz w:val="20"/>
              </w:rPr>
              <w:t>40.000</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9.100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18.200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b/>
                <w:noProof/>
                <w:sz w:val="20"/>
              </w:rPr>
            </w:pPr>
          </w:p>
        </w:tc>
        <w:tc>
          <w:tcPr>
            <w:tcW w:w="888" w:type="dxa"/>
            <w:vAlign w:val="center"/>
          </w:tcPr>
          <w:p>
            <w:pPr>
              <w:spacing w:before="20" w:after="20"/>
              <w:jc w:val="right"/>
              <w:rPr>
                <w:b/>
                <w:noProof/>
                <w:sz w:val="20"/>
              </w:rPr>
            </w:pPr>
            <w:r>
              <w:rPr>
                <w:b/>
                <w:noProof/>
                <w:sz w:val="20"/>
              </w:rPr>
              <w:t>9.100</w:t>
            </w:r>
          </w:p>
        </w:tc>
        <w:tc>
          <w:tcPr>
            <w:tcW w:w="889" w:type="dxa"/>
            <w:vAlign w:val="center"/>
          </w:tcPr>
          <w:p>
            <w:pPr>
              <w:spacing w:before="20" w:after="20"/>
              <w:jc w:val="right"/>
              <w:rPr>
                <w:b/>
                <w:noProof/>
                <w:sz w:val="20"/>
              </w:rPr>
            </w:pPr>
            <w:r>
              <w:rPr>
                <w:b/>
                <w:noProof/>
                <w:sz w:val="20"/>
              </w:rPr>
              <w:t>40.000</w:t>
            </w: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8" w:type="dxa"/>
            <w:vAlign w:val="center"/>
          </w:tcPr>
          <w:p>
            <w:pPr>
              <w:spacing w:before="20" w:after="20"/>
              <w:jc w:val="right"/>
              <w:rPr>
                <w:b/>
                <w:noProof/>
                <w:sz w:val="20"/>
              </w:rPr>
            </w:pPr>
          </w:p>
        </w:tc>
        <w:tc>
          <w:tcPr>
            <w:tcW w:w="889"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 xml:space="preserve">TOTAL appropriations </w:t>
            </w:r>
            <w:r>
              <w:rPr>
                <w:noProof/>
                <w:sz w:val="22"/>
              </w:rPr>
              <w:br/>
            </w:r>
            <w:r>
              <w:rPr>
                <w:b/>
                <w:noProof/>
                <w:sz w:val="22"/>
              </w:rPr>
              <w:t xml:space="preserve">under HEADING </w:t>
            </w:r>
            <w:r>
              <w:rPr>
                <w:b/>
                <w:noProof/>
              </w:rPr>
              <w:t>3</w:t>
            </w:r>
            <w:r>
              <w:rPr>
                <w:noProof/>
                <w:sz w:val="22"/>
              </w:rPr>
              <w:br/>
              <w:t>of the multiannual financial framework</w:t>
            </w:r>
          </w:p>
        </w:tc>
        <w:tc>
          <w:tcPr>
            <w:tcW w:w="1440" w:type="dxa"/>
            <w:vAlign w:val="center"/>
          </w:tcPr>
          <w:p>
            <w:pPr>
              <w:rPr>
                <w:noProof/>
                <w:sz w:val="18"/>
              </w:rPr>
            </w:pPr>
            <w:r>
              <w:rPr>
                <w:noProof/>
                <w:sz w:val="18"/>
              </w:rPr>
              <w:t>Commitments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20.000</w:t>
            </w: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8" w:type="dxa"/>
            <w:vAlign w:val="center"/>
          </w:tcPr>
          <w:p>
            <w:pPr>
              <w:spacing w:before="20" w:after="20"/>
              <w:jc w:val="right"/>
              <w:rPr>
                <w:b/>
                <w:noProof/>
                <w:sz w:val="20"/>
              </w:rPr>
            </w:pPr>
          </w:p>
        </w:tc>
        <w:tc>
          <w:tcPr>
            <w:tcW w:w="889" w:type="dxa"/>
            <w:vAlign w:val="center"/>
          </w:tcPr>
          <w:p>
            <w:pPr>
              <w:spacing w:before="20" w:after="20"/>
              <w:jc w:val="right"/>
              <w:rPr>
                <w:b/>
                <w:noProof/>
                <w:sz w:val="20"/>
              </w:rPr>
            </w:pPr>
            <w:r>
              <w:rPr>
                <w:b/>
                <w:noProof/>
                <w:sz w:val="20"/>
              </w:rPr>
              <w:t>40.000</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Payments</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9.100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18.200</w:t>
            </w:r>
          </w:p>
        </w:tc>
        <w:tc>
          <w:tcPr>
            <w:tcW w:w="868" w:type="dxa"/>
            <w:vAlign w:val="center"/>
          </w:tcPr>
          <w:p>
            <w:pPr>
              <w:spacing w:before="20" w:after="20"/>
              <w:jc w:val="right"/>
              <w:rPr>
                <w:noProof/>
                <w:sz w:val="20"/>
              </w:rPr>
            </w:pPr>
            <w:r>
              <w:rPr>
                <w:noProof/>
                <w:sz w:val="20"/>
              </w:rPr>
              <w:t>1.800</w:t>
            </w:r>
          </w:p>
        </w:tc>
        <w:tc>
          <w:tcPr>
            <w:tcW w:w="868" w:type="dxa"/>
            <w:vAlign w:val="center"/>
          </w:tcPr>
          <w:p>
            <w:pPr>
              <w:spacing w:before="20" w:after="20"/>
              <w:jc w:val="right"/>
              <w:rPr>
                <w:b/>
                <w:noProof/>
                <w:sz w:val="20"/>
              </w:rPr>
            </w:pPr>
          </w:p>
        </w:tc>
        <w:tc>
          <w:tcPr>
            <w:tcW w:w="888" w:type="dxa"/>
            <w:vAlign w:val="center"/>
          </w:tcPr>
          <w:p>
            <w:pPr>
              <w:spacing w:before="20" w:after="20"/>
              <w:jc w:val="right"/>
              <w:rPr>
                <w:b/>
                <w:noProof/>
                <w:sz w:val="20"/>
              </w:rPr>
            </w:pPr>
            <w:r>
              <w:rPr>
                <w:b/>
                <w:noProof/>
                <w:sz w:val="20"/>
              </w:rPr>
              <w:t>9.100</w:t>
            </w:r>
          </w:p>
        </w:tc>
        <w:tc>
          <w:tcPr>
            <w:tcW w:w="889" w:type="dxa"/>
            <w:vAlign w:val="center"/>
          </w:tcPr>
          <w:p>
            <w:pPr>
              <w:spacing w:before="20" w:after="20"/>
              <w:jc w:val="right"/>
              <w:rPr>
                <w:b/>
                <w:noProof/>
                <w:sz w:val="20"/>
              </w:rPr>
            </w:pPr>
            <w:r>
              <w:rPr>
                <w:b/>
                <w:noProof/>
                <w:sz w:val="20"/>
              </w:rPr>
              <w:t>40.000</w:t>
            </w:r>
          </w:p>
        </w:tc>
      </w:tr>
    </w:tbl>
    <w:p>
      <w:pPr>
        <w:spacing w:after="40"/>
        <w:rPr>
          <w:b/>
          <w:noProof/>
          <w:sz w:val="22"/>
          <w:u w:val="single"/>
        </w:rPr>
      </w:pPr>
      <w:r>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operational appropriations (all operational headings)</w:t>
            </w:r>
          </w:p>
        </w:tc>
        <w:tc>
          <w:tcPr>
            <w:tcW w:w="1440" w:type="dxa"/>
            <w:tcBorders>
              <w:top w:val="single" w:sz="4" w:space="0" w:color="auto"/>
            </w:tcBorders>
            <w:vAlign w:val="center"/>
          </w:tcPr>
          <w:p>
            <w:pPr>
              <w:spacing w:beforeLines="20" w:before="48" w:afterLines="20" w:after="48"/>
              <w:rPr>
                <w:noProof/>
                <w:sz w:val="18"/>
              </w:rPr>
            </w:pPr>
            <w:r>
              <w:rPr>
                <w:noProof/>
                <w:sz w:val="18"/>
              </w:rPr>
              <w:t>Commitments</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b/>
                <w:noProof/>
                <w:sz w:val="20"/>
              </w:rPr>
            </w:pPr>
          </w:p>
        </w:tc>
        <w:tc>
          <w:tcPr>
            <w:tcW w:w="1777" w:type="dxa"/>
            <w:tcBorders>
              <w:top w:val="single" w:sz="4" w:space="0" w:color="auto"/>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rPr>
            </w:pPr>
            <w:r>
              <w:rPr>
                <w:noProof/>
                <w:sz w:val="21"/>
              </w:rPr>
              <w:t xml:space="preserve"> TOTAL appropriations of an administrative nature financed from the envelope for specific programmes (all operational headings)</w:t>
            </w:r>
          </w:p>
        </w:tc>
        <w:tc>
          <w:tcPr>
            <w:tcW w:w="654" w:type="dxa"/>
            <w:vAlign w:val="center"/>
          </w:tcPr>
          <w:p>
            <w:pPr>
              <w:rPr>
                <w:noProof/>
              </w:rPr>
            </w:pPr>
          </w:p>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 xml:space="preserve">TOTAL appropriations </w:t>
            </w:r>
            <w:r>
              <w:rPr>
                <w:noProof/>
                <w:sz w:val="22"/>
              </w:rPr>
              <w:br/>
            </w:r>
            <w:r>
              <w:rPr>
                <w:b/>
                <w:noProof/>
                <w:sz w:val="22"/>
              </w:rPr>
              <w:t>under HEADINGS 1 to 6</w:t>
            </w:r>
            <w:r>
              <w:rPr>
                <w:noProof/>
                <w:sz w:val="22"/>
              </w:rPr>
              <w:br/>
              <w:t>of the multiannual financial framework</w:t>
            </w:r>
            <w:r>
              <w:rPr>
                <w:noProof/>
                <w:sz w:val="22"/>
              </w:rPr>
              <w:br/>
            </w:r>
            <w:r>
              <w:rPr>
                <w:noProof/>
                <w:sz w:val="20"/>
              </w:rPr>
              <w:t>(Reference amount)</w:t>
            </w:r>
          </w:p>
        </w:tc>
        <w:tc>
          <w:tcPr>
            <w:tcW w:w="1440" w:type="dxa"/>
            <w:vAlign w:val="center"/>
          </w:tcPr>
          <w:p>
            <w:pPr>
              <w:rPr>
                <w:noProof/>
                <w:sz w:val="18"/>
              </w:rPr>
            </w:pPr>
            <w:r>
              <w:rPr>
                <w:noProof/>
                <w:sz w:val="18"/>
              </w:rPr>
              <w:t>Commitments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auto"/>
            </w:tcBorders>
            <w:shd w:val="thinDiagStripe" w:color="C0C0C0" w:fill="auto"/>
          </w:tcPr>
          <w:p>
            <w:pPr>
              <w:rPr>
                <w:noProof/>
                <w:sz w:val="20"/>
              </w:rPr>
            </w:pPr>
          </w:p>
        </w:tc>
        <w:tc>
          <w:tcPr>
            <w:tcW w:w="1440" w:type="dxa"/>
            <w:tcBorders>
              <w:bottom w:val="single" w:sz="4" w:space="0" w:color="auto"/>
            </w:tcBorders>
            <w:vAlign w:val="center"/>
          </w:tcPr>
          <w:p>
            <w:pPr>
              <w:rPr>
                <w:noProof/>
                <w:sz w:val="18"/>
              </w:rPr>
            </w:pPr>
            <w:r>
              <w:rPr>
                <w:noProof/>
                <w:sz w:val="18"/>
              </w:rPr>
              <w:t>Payments</w:t>
            </w:r>
          </w:p>
        </w:tc>
        <w:tc>
          <w:tcPr>
            <w:tcW w:w="654" w:type="dxa"/>
            <w:tcBorders>
              <w:bottom w:val="single" w:sz="4" w:space="0" w:color="auto"/>
            </w:tcBorders>
            <w:vAlign w:val="center"/>
          </w:tcPr>
          <w:p>
            <w:pPr>
              <w:jc w:val="center"/>
              <w:rPr>
                <w:noProof/>
                <w:sz w:val="14"/>
              </w:rPr>
            </w:pPr>
            <w:r>
              <w:rPr>
                <w:noProof/>
                <w:sz w:val="14"/>
              </w:rPr>
              <w:t>=5+ 6</w:t>
            </w: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b/>
                <w:noProof/>
                <w:sz w:val="20"/>
              </w:rPr>
            </w:pPr>
          </w:p>
        </w:tc>
        <w:tc>
          <w:tcPr>
            <w:tcW w:w="1777" w:type="dxa"/>
            <w:tcBorders>
              <w:bottom w:val="single" w:sz="4" w:space="0" w:color="auto"/>
              <w:right w:val="single" w:sz="4" w:space="0" w:color="auto"/>
            </w:tcBorders>
            <w:vAlign w:val="center"/>
          </w:tcPr>
          <w:p>
            <w:pPr>
              <w:spacing w:before="20" w:after="20"/>
              <w:jc w:val="right"/>
              <w:rPr>
                <w:b/>
                <w:noProof/>
                <w:sz w:val="20"/>
              </w:rPr>
            </w:pPr>
          </w:p>
        </w:tc>
      </w:tr>
    </w:tbl>
    <w:p>
      <w:pPr>
        <w:rPr>
          <w:noProof/>
        </w:rPr>
      </w:pPr>
    </w:p>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rPr>
            </w:pPr>
            <w:r>
              <w:rPr>
                <w:noProof/>
                <w:sz w:val="22"/>
              </w:rPr>
              <w:t>‘Administrative expenditure’</w:t>
            </w:r>
          </w:p>
        </w:tc>
      </w:tr>
    </w:tbl>
    <w:p>
      <w:pPr>
        <w:jc w:val="left"/>
        <w:rPr>
          <w:noProof/>
          <w:sz w:val="20"/>
        </w:rPr>
      </w:pPr>
      <w:r>
        <w:rPr>
          <w:noProof/>
        </w:rPr>
        <w:t xml:space="preserve">This section should be filled in using the 'budget data of an administrative nature' to be firstly introduced in the </w:t>
      </w:r>
      <w:hyperlink r:id="rId14" w:history="1">
        <w:r>
          <w:rPr>
            <w:rStyle w:val="Hyperlink"/>
            <w:noProof/>
          </w:rPr>
          <w:t>Annex to the Legislative Financial Statement</w:t>
        </w:r>
      </w:hyperlink>
      <w:r>
        <w:rPr>
          <w:noProof/>
        </w:rPr>
        <w:t xml:space="preserve"> (Annex V to the internal rules), which is uploaded to DECIDE for interservice consultation purposes.</w:t>
      </w:r>
    </w:p>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82"/>
      </w:tblGrid>
      <w:tr>
        <w:tc>
          <w:tcPr>
            <w:tcW w:w="3960" w:type="dxa"/>
            <w:tcBorders>
              <w:top w:val="nil"/>
              <w:left w:val="nil"/>
              <w:right w:val="nil"/>
            </w:tcBorders>
            <w:vAlign w:val="center"/>
          </w:tcPr>
          <w:p>
            <w:pPr>
              <w:jc w:val="center"/>
              <w:rPr>
                <w:noProof/>
              </w:rPr>
            </w:pPr>
          </w:p>
        </w:tc>
        <w:tc>
          <w:tcPr>
            <w:tcW w:w="1560" w:type="dxa"/>
            <w:tcBorders>
              <w:top w:val="nil"/>
              <w:left w:val="nil"/>
              <w:bottom w:val="single" w:sz="4" w:space="0" w:color="auto"/>
              <w:right w:val="nil"/>
            </w:tcBorders>
          </w:tcPr>
          <w:p>
            <w:pPr>
              <w:rPr>
                <w:noProof/>
                <w:sz w:val="20"/>
              </w:rPr>
            </w:pPr>
          </w:p>
        </w:tc>
        <w:tc>
          <w:tcPr>
            <w:tcW w:w="534" w:type="dxa"/>
            <w:tcBorders>
              <w:top w:val="nil"/>
              <w:left w:val="nil"/>
              <w:bottom w:val="single" w:sz="4" w:space="0" w:color="auto"/>
            </w:tcBorders>
          </w:tcPr>
          <w:p>
            <w:pPr>
              <w:jc w:val="center"/>
              <w:rPr>
                <w:noProof/>
                <w:sz w:val="20"/>
              </w:rPr>
            </w:pPr>
          </w:p>
        </w:tc>
        <w:tc>
          <w:tcPr>
            <w:tcW w:w="868" w:type="dxa"/>
            <w:tcBorders>
              <w:bottom w:val="single" w:sz="4" w:space="0" w:color="auto"/>
            </w:tcBorders>
            <w:vAlign w:val="center"/>
          </w:tcPr>
          <w:p>
            <w:pPr>
              <w:jc w:val="center"/>
              <w:rPr>
                <w:noProof/>
                <w:sz w:val="20"/>
              </w:rPr>
            </w:pPr>
            <w:r>
              <w:rPr>
                <w:noProof/>
                <w:sz w:val="20"/>
              </w:rPr>
              <w:t>Year</w:t>
            </w:r>
            <w:r>
              <w:rPr>
                <w:noProof/>
                <w:sz w:val="22"/>
              </w:rPr>
              <w:br/>
            </w:r>
            <w:r>
              <w:rPr>
                <w:b/>
                <w:noProof/>
                <w:sz w:val="20"/>
              </w:rPr>
              <w:t>2021</w:t>
            </w:r>
          </w:p>
        </w:tc>
        <w:tc>
          <w:tcPr>
            <w:tcW w:w="868" w:type="dxa"/>
            <w:tcBorders>
              <w:bottom w:val="single" w:sz="4" w:space="0" w:color="auto"/>
            </w:tcBorders>
            <w:vAlign w:val="center"/>
          </w:tcPr>
          <w:p>
            <w:pPr>
              <w:jc w:val="center"/>
              <w:rPr>
                <w:noProof/>
                <w:sz w:val="20"/>
              </w:rPr>
            </w:pPr>
            <w:r>
              <w:rPr>
                <w:noProof/>
                <w:sz w:val="20"/>
              </w:rPr>
              <w:t>Year</w:t>
            </w:r>
            <w:r>
              <w:rPr>
                <w:noProof/>
                <w:sz w:val="22"/>
              </w:rPr>
              <w:br/>
            </w:r>
            <w:r>
              <w:rPr>
                <w:b/>
                <w:noProof/>
                <w:sz w:val="20"/>
              </w:rPr>
              <w:t>2022</w:t>
            </w:r>
          </w:p>
        </w:tc>
        <w:tc>
          <w:tcPr>
            <w:tcW w:w="868" w:type="dxa"/>
            <w:tcBorders>
              <w:bottom w:val="single" w:sz="4" w:space="0" w:color="auto"/>
            </w:tcBorders>
            <w:vAlign w:val="center"/>
          </w:tcPr>
          <w:p>
            <w:pPr>
              <w:jc w:val="center"/>
              <w:rPr>
                <w:noProof/>
                <w:sz w:val="20"/>
              </w:rPr>
            </w:pPr>
            <w:r>
              <w:rPr>
                <w:noProof/>
                <w:sz w:val="20"/>
              </w:rPr>
              <w:t>Year</w:t>
            </w:r>
            <w:r>
              <w:rPr>
                <w:noProof/>
                <w:sz w:val="22"/>
              </w:rPr>
              <w:br/>
            </w:r>
            <w:r>
              <w:rPr>
                <w:b/>
                <w:noProof/>
                <w:sz w:val="20"/>
              </w:rPr>
              <w:t>2023</w:t>
            </w:r>
          </w:p>
        </w:tc>
        <w:tc>
          <w:tcPr>
            <w:tcW w:w="868" w:type="dxa"/>
            <w:tcBorders>
              <w:bottom w:val="single" w:sz="4" w:space="0" w:color="auto"/>
            </w:tcBorders>
            <w:vAlign w:val="center"/>
          </w:tcPr>
          <w:p>
            <w:pPr>
              <w:jc w:val="center"/>
              <w:rPr>
                <w:noProof/>
                <w:sz w:val="20"/>
              </w:rPr>
            </w:pPr>
            <w:r>
              <w:rPr>
                <w:noProof/>
                <w:sz w:val="20"/>
              </w:rPr>
              <w:t>Year</w:t>
            </w:r>
            <w:r>
              <w:rPr>
                <w:noProof/>
                <w:sz w:val="22"/>
              </w:rPr>
              <w:br/>
            </w:r>
            <w:r>
              <w:rPr>
                <w:b/>
                <w:noProof/>
                <w:sz w:val="20"/>
              </w:rPr>
              <w:t>2024</w:t>
            </w:r>
          </w:p>
        </w:tc>
        <w:tc>
          <w:tcPr>
            <w:tcW w:w="868" w:type="dxa"/>
            <w:tcBorders>
              <w:bottom w:val="single" w:sz="4" w:space="0" w:color="auto"/>
            </w:tcBorders>
            <w:vAlign w:val="center"/>
          </w:tcPr>
          <w:p>
            <w:pPr>
              <w:jc w:val="center"/>
              <w:rPr>
                <w:b/>
                <w:noProof/>
                <w:sz w:val="18"/>
              </w:rPr>
            </w:pPr>
            <w:r>
              <w:rPr>
                <w:noProof/>
                <w:sz w:val="20"/>
              </w:rPr>
              <w:t>Year</w:t>
            </w:r>
            <w:r>
              <w:rPr>
                <w:noProof/>
                <w:sz w:val="22"/>
              </w:rPr>
              <w:br/>
            </w:r>
            <w:r>
              <w:rPr>
                <w:b/>
                <w:noProof/>
                <w:sz w:val="20"/>
              </w:rPr>
              <w:t>2025</w:t>
            </w:r>
          </w:p>
        </w:tc>
        <w:tc>
          <w:tcPr>
            <w:tcW w:w="868" w:type="dxa"/>
            <w:tcBorders>
              <w:bottom w:val="single" w:sz="4" w:space="0" w:color="auto"/>
            </w:tcBorders>
            <w:vAlign w:val="center"/>
          </w:tcPr>
          <w:p>
            <w:pPr>
              <w:jc w:val="center"/>
              <w:rPr>
                <w:b/>
                <w:noProof/>
                <w:sz w:val="18"/>
              </w:rPr>
            </w:pPr>
            <w:r>
              <w:rPr>
                <w:noProof/>
                <w:sz w:val="20"/>
              </w:rPr>
              <w:t>Year</w:t>
            </w:r>
            <w:r>
              <w:rPr>
                <w:noProof/>
                <w:sz w:val="22"/>
              </w:rPr>
              <w:br/>
            </w:r>
            <w:r>
              <w:rPr>
                <w:b/>
                <w:noProof/>
                <w:sz w:val="20"/>
              </w:rPr>
              <w:t>2026</w:t>
            </w:r>
          </w:p>
        </w:tc>
        <w:tc>
          <w:tcPr>
            <w:tcW w:w="868" w:type="dxa"/>
            <w:tcBorders>
              <w:bottom w:val="single" w:sz="4" w:space="0" w:color="auto"/>
            </w:tcBorders>
            <w:vAlign w:val="center"/>
          </w:tcPr>
          <w:p>
            <w:pPr>
              <w:jc w:val="center"/>
              <w:rPr>
                <w:b/>
                <w:noProof/>
                <w:sz w:val="18"/>
              </w:rPr>
            </w:pPr>
            <w:r>
              <w:rPr>
                <w:noProof/>
                <w:sz w:val="20"/>
              </w:rPr>
              <w:t>Year</w:t>
            </w:r>
            <w:r>
              <w:rPr>
                <w:noProof/>
                <w:sz w:val="22"/>
              </w:rPr>
              <w:br/>
            </w:r>
            <w:r>
              <w:rPr>
                <w:b/>
                <w:noProof/>
                <w:sz w:val="20"/>
              </w:rPr>
              <w:t>2027</w:t>
            </w:r>
          </w:p>
        </w:tc>
        <w:tc>
          <w:tcPr>
            <w:tcW w:w="1782" w:type="dxa"/>
            <w:tcBorders>
              <w:bottom w:val="single" w:sz="4" w:space="0" w:color="auto"/>
            </w:tcBorders>
            <w:vAlign w:val="center"/>
          </w:tcPr>
          <w:p>
            <w:pPr>
              <w:jc w:val="center"/>
              <w:rPr>
                <w:b/>
                <w:noProof/>
                <w:sz w:val="20"/>
              </w:rPr>
            </w:pPr>
            <w:r>
              <w:rPr>
                <w:b/>
                <w:noProof/>
                <w:sz w:val="20"/>
              </w:rPr>
              <w:t>TOTAL</w:t>
            </w:r>
          </w:p>
        </w:tc>
      </w:tr>
      <w:tr>
        <w:tc>
          <w:tcPr>
            <w:tcW w:w="3960" w:type="dxa"/>
            <w:vAlign w:val="center"/>
          </w:tcPr>
          <w:p>
            <w:pPr>
              <w:spacing w:before="60" w:after="60"/>
              <w:jc w:val="center"/>
              <w:rPr>
                <w:noProof/>
              </w:rPr>
            </w:pPr>
            <w:r>
              <w:rPr>
                <w:noProof/>
                <w:sz w:val="22"/>
              </w:rPr>
              <w:t>DG: ESTAT</w:t>
            </w:r>
          </w:p>
        </w:tc>
        <w:tc>
          <w:tcPr>
            <w:tcW w:w="9952" w:type="dxa"/>
            <w:gridSpan w:val="10"/>
            <w:tcBorders>
              <w:top w:val="single" w:sz="4" w:space="0" w:color="auto"/>
              <w:bottom w:val="nil"/>
            </w:tcBorders>
            <w:shd w:val="clear" w:color="auto" w:fill="auto"/>
          </w:tcPr>
          <w:p>
            <w:pPr>
              <w:spacing w:before="0" w:after="200" w:line="276" w:lineRule="auto"/>
              <w:jc w:val="left"/>
              <w:rPr>
                <w:noProof/>
              </w:rPr>
            </w:pP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Human resources </w:t>
            </w:r>
          </w:p>
        </w:tc>
        <w:tc>
          <w:tcPr>
            <w:tcW w:w="868" w:type="dxa"/>
            <w:vAlign w:val="center"/>
          </w:tcPr>
          <w:p>
            <w:pPr>
              <w:spacing w:before="20" w:after="20"/>
              <w:jc w:val="right"/>
              <w:rPr>
                <w:noProof/>
                <w:sz w:val="20"/>
              </w:rPr>
            </w:pPr>
            <w:r>
              <w:rPr>
                <w:noProof/>
                <w:color w:val="000000"/>
                <w:sz w:val="20"/>
                <w:szCs w:val="20"/>
              </w:rPr>
              <w:t>0.775</w:t>
            </w:r>
          </w:p>
        </w:tc>
        <w:tc>
          <w:tcPr>
            <w:tcW w:w="868" w:type="dxa"/>
            <w:vAlign w:val="center"/>
          </w:tcPr>
          <w:p>
            <w:pPr>
              <w:spacing w:before="20" w:after="20"/>
              <w:jc w:val="right"/>
              <w:rPr>
                <w:noProof/>
                <w:sz w:val="20"/>
              </w:rPr>
            </w:pPr>
            <w:r>
              <w:rPr>
                <w:noProof/>
                <w:color w:val="000000"/>
                <w:sz w:val="20"/>
                <w:szCs w:val="20"/>
              </w:rPr>
              <w:t>0.775</w:t>
            </w:r>
          </w:p>
        </w:tc>
        <w:tc>
          <w:tcPr>
            <w:tcW w:w="868" w:type="dxa"/>
            <w:vAlign w:val="center"/>
          </w:tcPr>
          <w:p>
            <w:pPr>
              <w:spacing w:before="20" w:after="20"/>
              <w:jc w:val="right"/>
              <w:rPr>
                <w:noProof/>
                <w:sz w:val="20"/>
              </w:rPr>
            </w:pPr>
            <w:r>
              <w:rPr>
                <w:noProof/>
                <w:color w:val="000000"/>
                <w:sz w:val="20"/>
                <w:szCs w:val="20"/>
              </w:rPr>
              <w:t>0.775</w:t>
            </w:r>
          </w:p>
        </w:tc>
        <w:tc>
          <w:tcPr>
            <w:tcW w:w="868" w:type="dxa"/>
            <w:vAlign w:val="center"/>
          </w:tcPr>
          <w:p>
            <w:pPr>
              <w:spacing w:before="20" w:after="20"/>
              <w:jc w:val="right"/>
              <w:rPr>
                <w:noProof/>
                <w:sz w:val="20"/>
              </w:rPr>
            </w:pPr>
            <w:r>
              <w:rPr>
                <w:noProof/>
                <w:color w:val="000000"/>
                <w:sz w:val="20"/>
                <w:szCs w:val="20"/>
              </w:rPr>
              <w:t>0.775</w:t>
            </w:r>
          </w:p>
        </w:tc>
        <w:tc>
          <w:tcPr>
            <w:tcW w:w="868" w:type="dxa"/>
            <w:vAlign w:val="center"/>
          </w:tcPr>
          <w:p>
            <w:pPr>
              <w:spacing w:before="20" w:after="20"/>
              <w:jc w:val="right"/>
              <w:rPr>
                <w:noProof/>
                <w:sz w:val="20"/>
              </w:rPr>
            </w:pPr>
            <w:r>
              <w:rPr>
                <w:noProof/>
                <w:color w:val="000000"/>
                <w:sz w:val="20"/>
                <w:szCs w:val="20"/>
              </w:rPr>
              <w:t>0.775</w:t>
            </w:r>
          </w:p>
        </w:tc>
        <w:tc>
          <w:tcPr>
            <w:tcW w:w="868" w:type="dxa"/>
            <w:vAlign w:val="center"/>
          </w:tcPr>
          <w:p>
            <w:pPr>
              <w:spacing w:before="20" w:after="20"/>
              <w:jc w:val="right"/>
              <w:rPr>
                <w:noProof/>
                <w:sz w:val="20"/>
              </w:rPr>
            </w:pPr>
            <w:r>
              <w:rPr>
                <w:noProof/>
                <w:color w:val="000000"/>
                <w:sz w:val="20"/>
                <w:szCs w:val="20"/>
              </w:rPr>
              <w:t>0.775</w:t>
            </w:r>
          </w:p>
        </w:tc>
        <w:tc>
          <w:tcPr>
            <w:tcW w:w="868" w:type="dxa"/>
            <w:vAlign w:val="center"/>
          </w:tcPr>
          <w:p>
            <w:pPr>
              <w:spacing w:before="20" w:after="20"/>
              <w:jc w:val="right"/>
              <w:rPr>
                <w:b/>
                <w:noProof/>
                <w:sz w:val="20"/>
              </w:rPr>
            </w:pPr>
            <w:r>
              <w:rPr>
                <w:noProof/>
                <w:color w:val="000000"/>
                <w:sz w:val="20"/>
                <w:szCs w:val="20"/>
              </w:rPr>
              <w:t>0.775</w:t>
            </w:r>
          </w:p>
        </w:tc>
        <w:tc>
          <w:tcPr>
            <w:tcW w:w="1782" w:type="dxa"/>
            <w:vAlign w:val="center"/>
          </w:tcPr>
          <w:p>
            <w:pPr>
              <w:spacing w:before="0" w:after="0"/>
              <w:jc w:val="right"/>
              <w:rPr>
                <w:b/>
                <w:bCs/>
                <w:noProof/>
                <w:color w:val="000000"/>
                <w:sz w:val="20"/>
                <w:szCs w:val="20"/>
                <w:lang w:eastAsia="pt-PT"/>
              </w:rPr>
            </w:pPr>
            <w:r>
              <w:rPr>
                <w:b/>
                <w:bCs/>
                <w:noProof/>
                <w:color w:val="000000"/>
                <w:sz w:val="20"/>
                <w:szCs w:val="20"/>
              </w:rPr>
              <w:t>5.426</w:t>
            </w: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pPr>
              <w:spacing w:before="20" w:after="20"/>
              <w:jc w:val="right"/>
              <w:rPr>
                <w:b/>
                <w:noProof/>
                <w:sz w:val="20"/>
              </w:rPr>
            </w:pPr>
            <w:r>
              <w:rPr>
                <w:noProof/>
                <w:color w:val="000000"/>
                <w:sz w:val="20"/>
                <w:szCs w:val="20"/>
              </w:rPr>
              <w:t>0.030</w:t>
            </w:r>
          </w:p>
        </w:tc>
        <w:tc>
          <w:tcPr>
            <w:tcW w:w="868" w:type="dxa"/>
            <w:vAlign w:val="center"/>
          </w:tcPr>
          <w:p>
            <w:pPr>
              <w:spacing w:before="20" w:after="20"/>
              <w:jc w:val="right"/>
              <w:rPr>
                <w:b/>
                <w:noProof/>
                <w:sz w:val="20"/>
              </w:rPr>
            </w:pPr>
            <w:r>
              <w:rPr>
                <w:noProof/>
                <w:color w:val="000000"/>
                <w:sz w:val="20"/>
                <w:szCs w:val="20"/>
              </w:rPr>
              <w:t>0.530</w:t>
            </w:r>
          </w:p>
        </w:tc>
        <w:tc>
          <w:tcPr>
            <w:tcW w:w="868" w:type="dxa"/>
            <w:vAlign w:val="center"/>
          </w:tcPr>
          <w:p>
            <w:pPr>
              <w:spacing w:before="20" w:after="20"/>
              <w:jc w:val="right"/>
              <w:rPr>
                <w:b/>
                <w:noProof/>
                <w:sz w:val="20"/>
              </w:rPr>
            </w:pPr>
            <w:r>
              <w:rPr>
                <w:noProof/>
                <w:color w:val="000000"/>
                <w:sz w:val="20"/>
                <w:szCs w:val="20"/>
              </w:rPr>
              <w:t>0.280</w:t>
            </w:r>
          </w:p>
        </w:tc>
        <w:tc>
          <w:tcPr>
            <w:tcW w:w="868" w:type="dxa"/>
            <w:vAlign w:val="center"/>
          </w:tcPr>
          <w:p>
            <w:pPr>
              <w:spacing w:before="20" w:after="20"/>
              <w:jc w:val="right"/>
              <w:rPr>
                <w:b/>
                <w:noProof/>
                <w:sz w:val="20"/>
              </w:rPr>
            </w:pPr>
            <w:r>
              <w:rPr>
                <w:noProof/>
                <w:color w:val="000000"/>
                <w:sz w:val="20"/>
                <w:szCs w:val="20"/>
              </w:rPr>
              <w:t>0.280</w:t>
            </w:r>
          </w:p>
        </w:tc>
        <w:tc>
          <w:tcPr>
            <w:tcW w:w="868" w:type="dxa"/>
            <w:vAlign w:val="center"/>
          </w:tcPr>
          <w:p>
            <w:pPr>
              <w:spacing w:before="20" w:after="20"/>
              <w:jc w:val="right"/>
              <w:rPr>
                <w:b/>
                <w:noProof/>
                <w:sz w:val="20"/>
              </w:rPr>
            </w:pPr>
            <w:r>
              <w:rPr>
                <w:noProof/>
                <w:color w:val="000000"/>
                <w:sz w:val="20"/>
                <w:szCs w:val="20"/>
              </w:rPr>
              <w:t>0.280</w:t>
            </w:r>
          </w:p>
        </w:tc>
        <w:tc>
          <w:tcPr>
            <w:tcW w:w="868" w:type="dxa"/>
            <w:vAlign w:val="center"/>
          </w:tcPr>
          <w:p>
            <w:pPr>
              <w:spacing w:before="20" w:after="20"/>
              <w:jc w:val="right"/>
              <w:rPr>
                <w:b/>
                <w:noProof/>
                <w:sz w:val="20"/>
              </w:rPr>
            </w:pPr>
            <w:r>
              <w:rPr>
                <w:noProof/>
                <w:color w:val="000000"/>
                <w:sz w:val="20"/>
                <w:szCs w:val="20"/>
              </w:rPr>
              <w:t>0.280</w:t>
            </w:r>
          </w:p>
        </w:tc>
        <w:tc>
          <w:tcPr>
            <w:tcW w:w="868" w:type="dxa"/>
            <w:vAlign w:val="center"/>
          </w:tcPr>
          <w:p>
            <w:pPr>
              <w:spacing w:before="20" w:after="20"/>
              <w:jc w:val="right"/>
              <w:rPr>
                <w:b/>
                <w:noProof/>
                <w:sz w:val="20"/>
              </w:rPr>
            </w:pPr>
            <w:r>
              <w:rPr>
                <w:noProof/>
                <w:color w:val="000000"/>
                <w:sz w:val="20"/>
                <w:szCs w:val="20"/>
              </w:rPr>
              <w:t>0.030</w:t>
            </w:r>
          </w:p>
        </w:tc>
        <w:tc>
          <w:tcPr>
            <w:tcW w:w="1782" w:type="dxa"/>
            <w:vAlign w:val="center"/>
          </w:tcPr>
          <w:p>
            <w:pPr>
              <w:spacing w:before="0" w:after="0"/>
              <w:jc w:val="right"/>
              <w:rPr>
                <w:b/>
                <w:bCs/>
                <w:noProof/>
                <w:color w:val="000000"/>
                <w:sz w:val="20"/>
                <w:szCs w:val="20"/>
                <w:lang w:eastAsia="pt-PT"/>
              </w:rPr>
            </w:pPr>
            <w:r>
              <w:rPr>
                <w:b/>
                <w:bCs/>
                <w:noProof/>
                <w:color w:val="000000"/>
                <w:sz w:val="20"/>
                <w:szCs w:val="20"/>
              </w:rPr>
              <w:t>0.210</w:t>
            </w:r>
          </w:p>
        </w:tc>
      </w:tr>
      <w:tr>
        <w:tc>
          <w:tcPr>
            <w:tcW w:w="3960" w:type="dxa"/>
            <w:vAlign w:val="center"/>
          </w:tcPr>
          <w:p>
            <w:pPr>
              <w:jc w:val="center"/>
              <w:rPr>
                <w:b/>
                <w:noProof/>
              </w:rPr>
            </w:pPr>
            <w:r>
              <w:rPr>
                <w:b/>
                <w:noProof/>
                <w:sz w:val="22"/>
              </w:rPr>
              <w:t>TOTAL DG ESTAT</w:t>
            </w:r>
          </w:p>
        </w:tc>
        <w:tc>
          <w:tcPr>
            <w:tcW w:w="2094" w:type="dxa"/>
            <w:gridSpan w:val="2"/>
            <w:vAlign w:val="center"/>
          </w:tcPr>
          <w:p>
            <w:pPr>
              <w:rPr>
                <w:noProof/>
                <w:sz w:val="14"/>
              </w:rPr>
            </w:pPr>
            <w:r>
              <w:rPr>
                <w:noProof/>
                <w:sz w:val="18"/>
              </w:rPr>
              <w:t xml:space="preserve">Appropriations </w:t>
            </w:r>
          </w:p>
        </w:tc>
        <w:tc>
          <w:tcPr>
            <w:tcW w:w="868" w:type="dxa"/>
            <w:vAlign w:val="center"/>
          </w:tcPr>
          <w:p>
            <w:pPr>
              <w:spacing w:before="60" w:after="60"/>
              <w:jc w:val="right"/>
              <w:rPr>
                <w:noProof/>
                <w:sz w:val="20"/>
              </w:rPr>
            </w:pPr>
            <w:r>
              <w:rPr>
                <w:b/>
                <w:bCs/>
                <w:noProof/>
                <w:color w:val="000000"/>
                <w:sz w:val="20"/>
                <w:szCs w:val="20"/>
              </w:rPr>
              <w:t>0.805</w:t>
            </w:r>
          </w:p>
        </w:tc>
        <w:tc>
          <w:tcPr>
            <w:tcW w:w="868" w:type="dxa"/>
            <w:vAlign w:val="center"/>
          </w:tcPr>
          <w:p>
            <w:pPr>
              <w:spacing w:before="20" w:after="20"/>
              <w:jc w:val="right"/>
              <w:rPr>
                <w:noProof/>
                <w:sz w:val="20"/>
              </w:rPr>
            </w:pPr>
            <w:r>
              <w:rPr>
                <w:b/>
                <w:bCs/>
                <w:noProof/>
                <w:color w:val="000000"/>
                <w:sz w:val="20"/>
                <w:szCs w:val="20"/>
              </w:rPr>
              <w:t>1.305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b/>
                <w:noProof/>
                <w:sz w:val="20"/>
              </w:rPr>
            </w:pPr>
            <w:r>
              <w:rPr>
                <w:b/>
                <w:bCs/>
                <w:noProof/>
                <w:color w:val="000000"/>
                <w:sz w:val="20"/>
                <w:szCs w:val="20"/>
              </w:rPr>
              <w:t>0.805</w:t>
            </w:r>
          </w:p>
        </w:tc>
        <w:tc>
          <w:tcPr>
            <w:tcW w:w="1782" w:type="dxa"/>
            <w:vAlign w:val="center"/>
          </w:tcPr>
          <w:p>
            <w:pPr>
              <w:spacing w:before="0" w:after="0"/>
              <w:jc w:val="right"/>
              <w:rPr>
                <w:b/>
                <w:bCs/>
                <w:noProof/>
                <w:color w:val="000000"/>
                <w:sz w:val="20"/>
                <w:szCs w:val="20"/>
                <w:lang w:eastAsia="pt-PT"/>
              </w:rPr>
            </w:pPr>
            <w:r>
              <w:rPr>
                <w:b/>
                <w:bCs/>
                <w:noProof/>
                <w:color w:val="000000"/>
                <w:sz w:val="20"/>
                <w:szCs w:val="20"/>
              </w:rPr>
              <w:t>5.636</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pPr>
              <w:spacing w:before="40" w:after="40"/>
              <w:rPr>
                <w:noProof/>
              </w:rPr>
            </w:pPr>
            <w:r>
              <w:rPr>
                <w:noProof/>
                <w:sz w:val="18"/>
              </w:rPr>
              <w:t>(Total commitments = Total payments)</w:t>
            </w:r>
          </w:p>
        </w:tc>
        <w:tc>
          <w:tcPr>
            <w:tcW w:w="868" w:type="dxa"/>
            <w:vAlign w:val="center"/>
          </w:tcPr>
          <w:p>
            <w:pPr>
              <w:spacing w:before="20" w:after="20"/>
              <w:jc w:val="right"/>
              <w:rPr>
                <w:noProof/>
                <w:sz w:val="20"/>
              </w:rPr>
            </w:pPr>
            <w:r>
              <w:rPr>
                <w:b/>
                <w:bCs/>
                <w:noProof/>
                <w:color w:val="000000"/>
                <w:sz w:val="20"/>
                <w:szCs w:val="20"/>
              </w:rPr>
              <w:t>0.805</w:t>
            </w:r>
          </w:p>
        </w:tc>
        <w:tc>
          <w:tcPr>
            <w:tcW w:w="868" w:type="dxa"/>
            <w:vAlign w:val="center"/>
          </w:tcPr>
          <w:p>
            <w:pPr>
              <w:spacing w:before="20" w:after="20"/>
              <w:jc w:val="right"/>
              <w:rPr>
                <w:noProof/>
                <w:sz w:val="20"/>
              </w:rPr>
            </w:pPr>
            <w:r>
              <w:rPr>
                <w:b/>
                <w:bCs/>
                <w:noProof/>
                <w:color w:val="000000"/>
                <w:sz w:val="20"/>
                <w:szCs w:val="20"/>
              </w:rPr>
              <w:t>1.305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noProof/>
                <w:sz w:val="20"/>
              </w:rPr>
            </w:pPr>
            <w:r>
              <w:rPr>
                <w:b/>
                <w:bCs/>
                <w:noProof/>
                <w:color w:val="000000"/>
                <w:sz w:val="20"/>
                <w:szCs w:val="20"/>
              </w:rPr>
              <w:t>1.055</w:t>
            </w:r>
          </w:p>
        </w:tc>
        <w:tc>
          <w:tcPr>
            <w:tcW w:w="868" w:type="dxa"/>
            <w:vAlign w:val="center"/>
          </w:tcPr>
          <w:p>
            <w:pPr>
              <w:spacing w:before="20" w:after="20"/>
              <w:jc w:val="right"/>
              <w:rPr>
                <w:b/>
                <w:noProof/>
                <w:sz w:val="20"/>
              </w:rPr>
            </w:pPr>
            <w:r>
              <w:rPr>
                <w:b/>
                <w:bCs/>
                <w:noProof/>
                <w:color w:val="000000"/>
                <w:sz w:val="20"/>
                <w:szCs w:val="20"/>
              </w:rPr>
              <w:t>0.805</w:t>
            </w:r>
          </w:p>
        </w:tc>
        <w:tc>
          <w:tcPr>
            <w:tcW w:w="1777" w:type="dxa"/>
            <w:vAlign w:val="center"/>
          </w:tcPr>
          <w:p>
            <w:pPr>
              <w:spacing w:before="20" w:after="20"/>
              <w:jc w:val="right"/>
              <w:rPr>
                <w:b/>
                <w:noProof/>
                <w:sz w:val="20"/>
              </w:rPr>
            </w:pPr>
            <w:r>
              <w:rPr>
                <w:b/>
                <w:bCs/>
                <w:noProof/>
                <w:color w:val="000000"/>
                <w:sz w:val="20"/>
                <w:szCs w:val="20"/>
              </w:rPr>
              <w:t>5.636</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2021</w:t>
            </w:r>
            <w:r>
              <w:rPr>
                <w:rStyle w:val="FootnoteReference"/>
                <w:b/>
                <w:noProof/>
                <w:sz w:val="20"/>
              </w:rPr>
              <w:footnoteReference w:id="18"/>
            </w:r>
          </w:p>
        </w:tc>
        <w:tc>
          <w:tcPr>
            <w:tcW w:w="868" w:type="dxa"/>
            <w:vAlign w:val="center"/>
          </w:tcPr>
          <w:p>
            <w:pPr>
              <w:jc w:val="center"/>
              <w:rPr>
                <w:noProof/>
                <w:sz w:val="20"/>
              </w:rPr>
            </w:pPr>
            <w:r>
              <w:rPr>
                <w:noProof/>
                <w:sz w:val="20"/>
              </w:rPr>
              <w:t>Year</w:t>
            </w:r>
            <w:r>
              <w:rPr>
                <w:noProof/>
                <w:sz w:val="22"/>
              </w:rPr>
              <w:br/>
            </w:r>
            <w:r>
              <w:rPr>
                <w:b/>
                <w:noProof/>
                <w:sz w:val="20"/>
              </w:rPr>
              <w:t>2022</w:t>
            </w:r>
          </w:p>
        </w:tc>
        <w:tc>
          <w:tcPr>
            <w:tcW w:w="868" w:type="dxa"/>
            <w:vAlign w:val="center"/>
          </w:tcPr>
          <w:p>
            <w:pPr>
              <w:jc w:val="center"/>
              <w:rPr>
                <w:noProof/>
                <w:sz w:val="20"/>
              </w:rPr>
            </w:pPr>
            <w:r>
              <w:rPr>
                <w:noProof/>
                <w:sz w:val="20"/>
              </w:rPr>
              <w:t>Year</w:t>
            </w:r>
            <w:r>
              <w:rPr>
                <w:noProof/>
                <w:sz w:val="22"/>
              </w:rPr>
              <w:br/>
            </w:r>
            <w:r>
              <w:rPr>
                <w:b/>
                <w:noProof/>
                <w:sz w:val="20"/>
              </w:rPr>
              <w:t>2023</w:t>
            </w:r>
          </w:p>
        </w:tc>
        <w:tc>
          <w:tcPr>
            <w:tcW w:w="868" w:type="dxa"/>
            <w:vAlign w:val="center"/>
          </w:tcPr>
          <w:p>
            <w:pPr>
              <w:jc w:val="center"/>
              <w:rPr>
                <w:noProof/>
                <w:sz w:val="20"/>
              </w:rPr>
            </w:pPr>
            <w:r>
              <w:rPr>
                <w:noProof/>
                <w:sz w:val="20"/>
              </w:rPr>
              <w:t>Year</w:t>
            </w:r>
            <w:r>
              <w:rPr>
                <w:noProof/>
                <w:sz w:val="22"/>
              </w:rPr>
              <w:br/>
            </w:r>
            <w:r>
              <w:rPr>
                <w:b/>
                <w:noProof/>
                <w:sz w:val="20"/>
              </w:rPr>
              <w:t>2024</w:t>
            </w:r>
          </w:p>
        </w:tc>
        <w:tc>
          <w:tcPr>
            <w:tcW w:w="868" w:type="dxa"/>
            <w:vAlign w:val="center"/>
          </w:tcPr>
          <w:p>
            <w:pPr>
              <w:jc w:val="center"/>
              <w:rPr>
                <w:b/>
                <w:noProof/>
                <w:sz w:val="18"/>
              </w:rPr>
            </w:pPr>
            <w:r>
              <w:rPr>
                <w:noProof/>
                <w:sz w:val="20"/>
              </w:rPr>
              <w:t>Year</w:t>
            </w:r>
            <w:r>
              <w:rPr>
                <w:noProof/>
                <w:sz w:val="22"/>
              </w:rPr>
              <w:br/>
            </w:r>
            <w:r>
              <w:rPr>
                <w:b/>
                <w:noProof/>
                <w:sz w:val="20"/>
              </w:rPr>
              <w:t>2025</w:t>
            </w:r>
          </w:p>
        </w:tc>
        <w:tc>
          <w:tcPr>
            <w:tcW w:w="868" w:type="dxa"/>
            <w:vAlign w:val="center"/>
          </w:tcPr>
          <w:p>
            <w:pPr>
              <w:jc w:val="center"/>
              <w:rPr>
                <w:b/>
                <w:noProof/>
                <w:sz w:val="18"/>
              </w:rPr>
            </w:pPr>
            <w:r>
              <w:rPr>
                <w:noProof/>
                <w:sz w:val="20"/>
              </w:rPr>
              <w:t>Year</w:t>
            </w:r>
            <w:r>
              <w:rPr>
                <w:noProof/>
                <w:sz w:val="22"/>
              </w:rPr>
              <w:br/>
            </w:r>
            <w:r>
              <w:rPr>
                <w:b/>
                <w:noProof/>
                <w:sz w:val="20"/>
              </w:rPr>
              <w:t>2026</w:t>
            </w:r>
          </w:p>
        </w:tc>
        <w:tc>
          <w:tcPr>
            <w:tcW w:w="868" w:type="dxa"/>
            <w:vAlign w:val="center"/>
          </w:tcPr>
          <w:p>
            <w:pPr>
              <w:jc w:val="center"/>
              <w:rPr>
                <w:b/>
                <w:noProof/>
                <w:sz w:val="18"/>
              </w:rPr>
            </w:pPr>
            <w:r>
              <w:rPr>
                <w:noProof/>
                <w:sz w:val="20"/>
              </w:rPr>
              <w:t>Year</w:t>
            </w:r>
            <w:r>
              <w:rPr>
                <w:noProof/>
                <w:sz w:val="22"/>
              </w:rPr>
              <w:br/>
            </w:r>
            <w:r>
              <w:rPr>
                <w:b/>
                <w:noProof/>
                <w:sz w:val="20"/>
              </w:rPr>
              <w:t>2027</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right"/>
              <w:rPr>
                <w:noProof/>
                <w:sz w:val="20"/>
              </w:rPr>
            </w:pPr>
            <w:r>
              <w:rPr>
                <w:noProof/>
                <w:color w:val="000000"/>
                <w:sz w:val="20"/>
                <w:szCs w:val="20"/>
              </w:rPr>
              <w:t>0.775</w:t>
            </w:r>
          </w:p>
        </w:tc>
        <w:tc>
          <w:tcPr>
            <w:tcW w:w="868" w:type="dxa"/>
            <w:vAlign w:val="center"/>
          </w:tcPr>
          <w:p>
            <w:pPr>
              <w:spacing w:before="60" w:after="60"/>
              <w:jc w:val="right"/>
              <w:rPr>
                <w:noProof/>
                <w:sz w:val="20"/>
              </w:rPr>
            </w:pPr>
            <w:r>
              <w:rPr>
                <w:noProof/>
                <w:color w:val="000000"/>
                <w:sz w:val="20"/>
                <w:szCs w:val="20"/>
              </w:rPr>
              <w:t>0.775</w:t>
            </w:r>
          </w:p>
        </w:tc>
        <w:tc>
          <w:tcPr>
            <w:tcW w:w="868" w:type="dxa"/>
            <w:vAlign w:val="center"/>
          </w:tcPr>
          <w:p>
            <w:pPr>
              <w:spacing w:before="60" w:after="60"/>
              <w:jc w:val="right"/>
              <w:rPr>
                <w:noProof/>
                <w:sz w:val="20"/>
              </w:rPr>
            </w:pPr>
            <w:r>
              <w:rPr>
                <w:noProof/>
                <w:color w:val="000000"/>
                <w:sz w:val="20"/>
                <w:szCs w:val="20"/>
              </w:rPr>
              <w:t>0.775</w:t>
            </w:r>
          </w:p>
        </w:tc>
        <w:tc>
          <w:tcPr>
            <w:tcW w:w="868" w:type="dxa"/>
            <w:vAlign w:val="center"/>
          </w:tcPr>
          <w:p>
            <w:pPr>
              <w:spacing w:before="60" w:after="60"/>
              <w:jc w:val="right"/>
              <w:rPr>
                <w:noProof/>
                <w:sz w:val="20"/>
              </w:rPr>
            </w:pPr>
            <w:r>
              <w:rPr>
                <w:noProof/>
                <w:color w:val="000000"/>
                <w:sz w:val="20"/>
                <w:szCs w:val="20"/>
              </w:rPr>
              <w:t>0.775</w:t>
            </w:r>
          </w:p>
        </w:tc>
        <w:tc>
          <w:tcPr>
            <w:tcW w:w="868" w:type="dxa"/>
            <w:vAlign w:val="center"/>
          </w:tcPr>
          <w:p>
            <w:pPr>
              <w:spacing w:before="60" w:after="60"/>
              <w:jc w:val="right"/>
              <w:rPr>
                <w:noProof/>
                <w:sz w:val="20"/>
              </w:rPr>
            </w:pPr>
            <w:r>
              <w:rPr>
                <w:noProof/>
                <w:color w:val="000000"/>
                <w:sz w:val="20"/>
                <w:szCs w:val="20"/>
              </w:rPr>
              <w:t>0.775</w:t>
            </w:r>
          </w:p>
        </w:tc>
        <w:tc>
          <w:tcPr>
            <w:tcW w:w="868" w:type="dxa"/>
            <w:vAlign w:val="center"/>
          </w:tcPr>
          <w:p>
            <w:pPr>
              <w:spacing w:before="60" w:after="60"/>
              <w:jc w:val="right"/>
              <w:rPr>
                <w:noProof/>
                <w:sz w:val="20"/>
              </w:rPr>
            </w:pPr>
            <w:r>
              <w:rPr>
                <w:noProof/>
                <w:color w:val="000000"/>
                <w:sz w:val="20"/>
                <w:szCs w:val="20"/>
              </w:rPr>
              <w:t>0.775</w:t>
            </w:r>
          </w:p>
        </w:tc>
        <w:tc>
          <w:tcPr>
            <w:tcW w:w="868" w:type="dxa"/>
            <w:vAlign w:val="center"/>
          </w:tcPr>
          <w:p>
            <w:pPr>
              <w:spacing w:before="60" w:after="60"/>
              <w:jc w:val="right"/>
              <w:rPr>
                <w:b/>
                <w:noProof/>
                <w:sz w:val="20"/>
              </w:rPr>
            </w:pPr>
            <w:r>
              <w:rPr>
                <w:noProof/>
                <w:color w:val="000000"/>
                <w:sz w:val="20"/>
                <w:szCs w:val="20"/>
              </w:rPr>
              <w:t>0.775</w:t>
            </w:r>
          </w:p>
        </w:tc>
        <w:tc>
          <w:tcPr>
            <w:tcW w:w="1777" w:type="dxa"/>
            <w:vAlign w:val="center"/>
          </w:tcPr>
          <w:p>
            <w:pPr>
              <w:spacing w:before="60" w:after="60"/>
              <w:jc w:val="right"/>
              <w:rPr>
                <w:b/>
                <w:noProof/>
                <w:sz w:val="20"/>
              </w:rPr>
            </w:pPr>
            <w:r>
              <w:rPr>
                <w:b/>
                <w:bCs/>
                <w:noProof/>
                <w:color w:val="000000"/>
                <w:sz w:val="20"/>
                <w:szCs w:val="20"/>
              </w:rPr>
              <w:t>5.426</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right"/>
              <w:rPr>
                <w:noProof/>
                <w:sz w:val="20"/>
              </w:rPr>
            </w:pPr>
            <w:r>
              <w:rPr>
                <w:noProof/>
                <w:color w:val="000000"/>
                <w:sz w:val="20"/>
                <w:szCs w:val="20"/>
              </w:rPr>
              <w:t>0.030</w:t>
            </w:r>
          </w:p>
        </w:tc>
        <w:tc>
          <w:tcPr>
            <w:tcW w:w="868" w:type="dxa"/>
            <w:vAlign w:val="center"/>
          </w:tcPr>
          <w:p>
            <w:pPr>
              <w:spacing w:before="60" w:after="60"/>
              <w:jc w:val="right"/>
              <w:rPr>
                <w:noProof/>
                <w:sz w:val="20"/>
              </w:rPr>
            </w:pPr>
            <w:r>
              <w:rPr>
                <w:noProof/>
                <w:color w:val="000000"/>
                <w:sz w:val="20"/>
                <w:szCs w:val="20"/>
              </w:rPr>
              <w:t>0.530</w:t>
            </w:r>
          </w:p>
        </w:tc>
        <w:tc>
          <w:tcPr>
            <w:tcW w:w="868" w:type="dxa"/>
            <w:vAlign w:val="center"/>
          </w:tcPr>
          <w:p>
            <w:pPr>
              <w:spacing w:before="60" w:after="60"/>
              <w:jc w:val="right"/>
              <w:rPr>
                <w:noProof/>
                <w:sz w:val="20"/>
              </w:rPr>
            </w:pPr>
            <w:r>
              <w:rPr>
                <w:noProof/>
                <w:color w:val="000000"/>
                <w:sz w:val="20"/>
                <w:szCs w:val="20"/>
              </w:rPr>
              <w:t>0.280</w:t>
            </w:r>
          </w:p>
        </w:tc>
        <w:tc>
          <w:tcPr>
            <w:tcW w:w="868" w:type="dxa"/>
            <w:vAlign w:val="center"/>
          </w:tcPr>
          <w:p>
            <w:pPr>
              <w:spacing w:before="60" w:after="60"/>
              <w:jc w:val="right"/>
              <w:rPr>
                <w:noProof/>
                <w:sz w:val="20"/>
              </w:rPr>
            </w:pPr>
            <w:r>
              <w:rPr>
                <w:noProof/>
                <w:color w:val="000000"/>
                <w:sz w:val="20"/>
                <w:szCs w:val="20"/>
              </w:rPr>
              <w:t>0.280</w:t>
            </w:r>
          </w:p>
        </w:tc>
        <w:tc>
          <w:tcPr>
            <w:tcW w:w="868" w:type="dxa"/>
            <w:vAlign w:val="center"/>
          </w:tcPr>
          <w:p>
            <w:pPr>
              <w:spacing w:before="60" w:after="60"/>
              <w:jc w:val="right"/>
              <w:rPr>
                <w:noProof/>
                <w:sz w:val="20"/>
              </w:rPr>
            </w:pPr>
            <w:r>
              <w:rPr>
                <w:noProof/>
                <w:color w:val="000000"/>
                <w:sz w:val="20"/>
                <w:szCs w:val="20"/>
              </w:rPr>
              <w:t>0.280</w:t>
            </w:r>
          </w:p>
        </w:tc>
        <w:tc>
          <w:tcPr>
            <w:tcW w:w="868" w:type="dxa"/>
            <w:vAlign w:val="center"/>
          </w:tcPr>
          <w:p>
            <w:pPr>
              <w:spacing w:before="60" w:after="60"/>
              <w:jc w:val="right"/>
              <w:rPr>
                <w:noProof/>
                <w:sz w:val="20"/>
              </w:rPr>
            </w:pPr>
            <w:r>
              <w:rPr>
                <w:noProof/>
                <w:color w:val="000000"/>
                <w:sz w:val="20"/>
                <w:szCs w:val="20"/>
              </w:rPr>
              <w:t>0.280</w:t>
            </w:r>
          </w:p>
        </w:tc>
        <w:tc>
          <w:tcPr>
            <w:tcW w:w="868" w:type="dxa"/>
            <w:vAlign w:val="center"/>
          </w:tcPr>
          <w:p>
            <w:pPr>
              <w:spacing w:before="60" w:after="60"/>
              <w:jc w:val="right"/>
              <w:rPr>
                <w:b/>
                <w:noProof/>
                <w:sz w:val="20"/>
              </w:rPr>
            </w:pPr>
            <w:r>
              <w:rPr>
                <w:noProof/>
                <w:color w:val="000000"/>
                <w:sz w:val="20"/>
                <w:szCs w:val="20"/>
              </w:rPr>
              <w:t>0.030</w:t>
            </w:r>
          </w:p>
        </w:tc>
        <w:tc>
          <w:tcPr>
            <w:tcW w:w="1777" w:type="dxa"/>
            <w:vAlign w:val="center"/>
          </w:tcPr>
          <w:p>
            <w:pPr>
              <w:spacing w:before="60" w:after="60"/>
              <w:jc w:val="right"/>
              <w:rPr>
                <w:b/>
                <w:noProof/>
                <w:sz w:val="20"/>
              </w:rPr>
            </w:pPr>
            <w:r>
              <w:rPr>
                <w:b/>
                <w:bCs/>
                <w:noProof/>
                <w:color w:val="000000"/>
                <w:sz w:val="20"/>
                <w:szCs w:val="20"/>
              </w:rPr>
              <w:t>0.210</w:t>
            </w:r>
          </w:p>
        </w:tc>
      </w:tr>
    </w:tbl>
    <w:p>
      <w:pPr>
        <w:rPr>
          <w:noProof/>
        </w:rPr>
      </w:pPr>
    </w:p>
    <w:p>
      <w:pPr>
        <w:pStyle w:val="ManualHeading3"/>
        <w:rPr>
          <w:bCs/>
          <w:noProof/>
          <w:szCs w:val="24"/>
        </w:rPr>
      </w:pPr>
      <w:bookmarkStart w:id="57" w:name="_Toc514938054"/>
      <w:bookmarkStart w:id="58" w:name="_Toc520485053"/>
      <w:r>
        <w:t>3.2.2.</w:t>
      </w:r>
      <w:r>
        <w:tab/>
      </w:r>
      <w:r>
        <w:rPr>
          <w:noProof/>
        </w:rPr>
        <w:t>Estimated output funded with operational appropriations</w:t>
      </w:r>
      <w:bookmarkEnd w:id="57"/>
      <w:bookmarkEnd w:id="58"/>
      <w:r>
        <w:rPr>
          <w:noProof/>
        </w:rPr>
        <w:t xml:space="preserve"> </w:t>
      </w:r>
    </w:p>
    <w:p>
      <w:pPr>
        <w:jc w:val="right"/>
        <w:rPr>
          <w:noProof/>
          <w:sz w:val="20"/>
        </w:rPr>
      </w:pPr>
      <w:r>
        <w:rPr>
          <w:noProof/>
          <w:sz w:val="20"/>
        </w:rPr>
        <w:t>Commitment appropriations in EUR million (to three decimal places)</w:t>
      </w:r>
    </w:p>
    <w:tbl>
      <w:tblPr>
        <w:tblW w:w="13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4"/>
        <w:gridCol w:w="637"/>
        <w:gridCol w:w="414"/>
        <w:gridCol w:w="8"/>
        <w:gridCol w:w="766"/>
        <w:gridCol w:w="12"/>
        <w:gridCol w:w="420"/>
        <w:gridCol w:w="720"/>
        <w:gridCol w:w="60"/>
        <w:gridCol w:w="480"/>
        <w:gridCol w:w="720"/>
        <w:gridCol w:w="951"/>
        <w:gridCol w:w="8"/>
        <w:gridCol w:w="1013"/>
        <w:gridCol w:w="13"/>
      </w:tblGrid>
      <w:tr>
        <w:trPr>
          <w:gridAfter w:val="1"/>
          <w:wAfter w:w="13" w:type="dxa"/>
          <w:jc w:val="center"/>
        </w:trPr>
        <w:tc>
          <w:tcPr>
            <w:tcW w:w="1423" w:type="dxa"/>
            <w:vMerge w:val="restart"/>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Year</w:t>
            </w:r>
            <w:r>
              <w:rPr>
                <w:noProof/>
                <w:sz w:val="22"/>
              </w:rPr>
              <w:br/>
            </w:r>
            <w:r>
              <w:rPr>
                <w:b/>
                <w:noProof/>
                <w:sz w:val="18"/>
              </w:rPr>
              <w:t>2021</w:t>
            </w:r>
          </w:p>
        </w:tc>
        <w:tc>
          <w:tcPr>
            <w:tcW w:w="1260" w:type="dxa"/>
            <w:gridSpan w:val="2"/>
            <w:vAlign w:val="center"/>
          </w:tcPr>
          <w:p>
            <w:pPr>
              <w:ind w:right="-29"/>
              <w:jc w:val="center"/>
              <w:rPr>
                <w:noProof/>
                <w:sz w:val="18"/>
                <w:szCs w:val="18"/>
              </w:rPr>
            </w:pPr>
            <w:r>
              <w:rPr>
                <w:noProof/>
                <w:sz w:val="18"/>
              </w:rPr>
              <w:t>Year</w:t>
            </w:r>
            <w:r>
              <w:rPr>
                <w:noProof/>
                <w:sz w:val="22"/>
              </w:rPr>
              <w:br/>
            </w:r>
            <w:r>
              <w:rPr>
                <w:b/>
                <w:noProof/>
                <w:sz w:val="18"/>
              </w:rPr>
              <w:t>2022</w:t>
            </w:r>
          </w:p>
        </w:tc>
        <w:tc>
          <w:tcPr>
            <w:tcW w:w="1440" w:type="dxa"/>
            <w:gridSpan w:val="2"/>
            <w:vAlign w:val="center"/>
          </w:tcPr>
          <w:p>
            <w:pPr>
              <w:ind w:right="-29"/>
              <w:jc w:val="center"/>
              <w:rPr>
                <w:noProof/>
                <w:sz w:val="18"/>
                <w:szCs w:val="18"/>
              </w:rPr>
            </w:pPr>
            <w:r>
              <w:rPr>
                <w:noProof/>
                <w:sz w:val="18"/>
              </w:rPr>
              <w:t>Year</w:t>
            </w:r>
            <w:r>
              <w:rPr>
                <w:noProof/>
                <w:sz w:val="22"/>
              </w:rPr>
              <w:br/>
            </w:r>
            <w:r>
              <w:rPr>
                <w:b/>
                <w:noProof/>
                <w:sz w:val="18"/>
              </w:rPr>
              <w:t>2023</w:t>
            </w:r>
          </w:p>
        </w:tc>
        <w:tc>
          <w:tcPr>
            <w:tcW w:w="1471" w:type="dxa"/>
            <w:gridSpan w:val="2"/>
            <w:vAlign w:val="center"/>
          </w:tcPr>
          <w:p>
            <w:pPr>
              <w:ind w:right="-29"/>
              <w:jc w:val="center"/>
              <w:rPr>
                <w:noProof/>
                <w:sz w:val="18"/>
                <w:szCs w:val="18"/>
              </w:rPr>
            </w:pPr>
            <w:r>
              <w:rPr>
                <w:noProof/>
                <w:sz w:val="18"/>
              </w:rPr>
              <w:t>Year</w:t>
            </w:r>
            <w:r>
              <w:rPr>
                <w:noProof/>
                <w:sz w:val="22"/>
              </w:rPr>
              <w:br/>
            </w:r>
            <w:r>
              <w:rPr>
                <w:b/>
                <w:noProof/>
                <w:sz w:val="18"/>
              </w:rPr>
              <w:t>2024</w:t>
            </w:r>
          </w:p>
        </w:tc>
        <w:tc>
          <w:tcPr>
            <w:tcW w:w="1200" w:type="dxa"/>
            <w:gridSpan w:val="4"/>
          </w:tcPr>
          <w:p>
            <w:pPr>
              <w:jc w:val="center"/>
              <w:rPr>
                <w:noProof/>
                <w:sz w:val="18"/>
                <w:szCs w:val="18"/>
              </w:rPr>
            </w:pPr>
            <w:r>
              <w:rPr>
                <w:noProof/>
                <w:sz w:val="18"/>
              </w:rPr>
              <w:t>Year</w:t>
            </w:r>
            <w:r>
              <w:rPr>
                <w:noProof/>
                <w:sz w:val="22"/>
              </w:rPr>
              <w:br/>
            </w:r>
            <w:r>
              <w:rPr>
                <w:b/>
                <w:noProof/>
                <w:sz w:val="18"/>
              </w:rPr>
              <w:t>2025</w:t>
            </w:r>
          </w:p>
        </w:tc>
        <w:tc>
          <w:tcPr>
            <w:tcW w:w="1200" w:type="dxa"/>
            <w:gridSpan w:val="3"/>
          </w:tcPr>
          <w:p>
            <w:pPr>
              <w:jc w:val="center"/>
              <w:rPr>
                <w:noProof/>
                <w:sz w:val="18"/>
                <w:szCs w:val="18"/>
              </w:rPr>
            </w:pPr>
            <w:r>
              <w:rPr>
                <w:noProof/>
                <w:sz w:val="18"/>
              </w:rPr>
              <w:t>Year</w:t>
            </w:r>
            <w:r>
              <w:rPr>
                <w:noProof/>
                <w:sz w:val="22"/>
              </w:rPr>
              <w:br/>
            </w:r>
            <w:r>
              <w:rPr>
                <w:b/>
                <w:noProof/>
                <w:sz w:val="18"/>
              </w:rPr>
              <w:t>2026</w:t>
            </w:r>
          </w:p>
        </w:tc>
        <w:tc>
          <w:tcPr>
            <w:tcW w:w="1200" w:type="dxa"/>
            <w:gridSpan w:val="2"/>
          </w:tcPr>
          <w:p>
            <w:pPr>
              <w:jc w:val="center"/>
              <w:rPr>
                <w:i/>
                <w:noProof/>
                <w:sz w:val="18"/>
                <w:szCs w:val="18"/>
              </w:rPr>
            </w:pPr>
            <w:r>
              <w:rPr>
                <w:i/>
                <w:noProof/>
                <w:sz w:val="18"/>
              </w:rPr>
              <w:t>Post</w:t>
            </w:r>
            <w:r>
              <w:rPr>
                <w:i/>
                <w:noProof/>
                <w:sz w:val="22"/>
              </w:rPr>
              <w:br/>
            </w:r>
            <w:r>
              <w:rPr>
                <w:b/>
                <w:i/>
                <w:noProof/>
                <w:sz w:val="18"/>
              </w:rPr>
              <w:t>2027</w:t>
            </w:r>
          </w:p>
        </w:tc>
        <w:tc>
          <w:tcPr>
            <w:tcW w:w="1972" w:type="dxa"/>
            <w:gridSpan w:val="3"/>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401" w:type="dxa"/>
            <w:gridSpan w:val="23"/>
            <w:vAlign w:val="center"/>
          </w:tcPr>
          <w:p>
            <w:pPr>
              <w:spacing w:before="60" w:after="60"/>
              <w:ind w:right="-29"/>
              <w:jc w:val="center"/>
              <w:rPr>
                <w:noProof/>
                <w:sz w:val="18"/>
                <w:szCs w:val="18"/>
              </w:rPr>
            </w:pPr>
            <w:r>
              <w:rPr>
                <w:b/>
                <w:noProof/>
                <w:sz w:val="18"/>
              </w:rPr>
              <w:t>OUTPUTS</w:t>
            </w:r>
          </w:p>
        </w:tc>
      </w:tr>
      <w:tr>
        <w:trPr>
          <w:gridAfter w:val="1"/>
          <w:wAfter w:w="13" w:type="dxa"/>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Type</w:t>
            </w:r>
            <w:r>
              <w:rPr>
                <w:rStyle w:val="FootnoteReference"/>
                <w:noProof/>
                <w:sz w:val="18"/>
              </w:rPr>
              <w:footnoteReference w:id="19"/>
            </w:r>
          </w:p>
          <w:p>
            <w:pPr>
              <w:spacing w:before="0" w:after="0"/>
              <w:jc w:val="center"/>
              <w:rPr>
                <w:noProof/>
                <w:sz w:val="18"/>
                <w:szCs w:val="18"/>
              </w:rPr>
            </w:pPr>
          </w:p>
        </w:tc>
        <w:tc>
          <w:tcPr>
            <w:tcW w:w="701" w:type="dxa"/>
            <w:vAlign w:val="center"/>
          </w:tcPr>
          <w:p>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834"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414"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74" w:type="dxa"/>
            <w:gridSpan w:val="2"/>
            <w:tcBorders>
              <w:left w:val="dashSmallGap" w:sz="4" w:space="0" w:color="auto"/>
            </w:tcBorders>
            <w:shd w:val="pct10" w:color="auto" w:fill="auto"/>
            <w:vAlign w:val="center"/>
          </w:tcPr>
          <w:p>
            <w:pPr>
              <w:jc w:val="center"/>
              <w:rPr>
                <w:noProof/>
                <w:sz w:val="18"/>
                <w:szCs w:val="18"/>
              </w:rPr>
            </w:pPr>
            <w:r>
              <w:rPr>
                <w:noProof/>
                <w:sz w:val="18"/>
              </w:rPr>
              <w:t>Cost</w:t>
            </w:r>
          </w:p>
        </w:tc>
        <w:tc>
          <w:tcPr>
            <w:tcW w:w="432" w:type="dxa"/>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951" w:type="dxa"/>
            <w:tcBorders>
              <w:right w:val="dashSmallGap" w:sz="4" w:space="0" w:color="auto"/>
            </w:tcBorders>
            <w:shd w:val="pct10" w:color="auto" w:fill="auto"/>
            <w:vAlign w:val="center"/>
          </w:tcPr>
          <w:p>
            <w:pPr>
              <w:jc w:val="center"/>
              <w:rPr>
                <w:noProof/>
                <w:sz w:val="18"/>
                <w:szCs w:val="18"/>
              </w:rPr>
            </w:pPr>
            <w:r>
              <w:rPr>
                <w:noProof/>
                <w:sz w:val="18"/>
              </w:rPr>
              <w:t>Total No</w:t>
            </w:r>
          </w:p>
        </w:tc>
        <w:tc>
          <w:tcPr>
            <w:tcW w:w="1021" w:type="dxa"/>
            <w:gridSpan w:val="2"/>
            <w:tcBorders>
              <w:left w:val="dashSmallGap" w:sz="4" w:space="0" w:color="auto"/>
            </w:tcBorders>
            <w:shd w:val="pct10" w:color="auto" w:fill="auto"/>
            <w:vAlign w:val="center"/>
          </w:tcPr>
          <w:p>
            <w:pPr>
              <w:jc w:val="center"/>
              <w:rPr>
                <w:noProof/>
                <w:sz w:val="18"/>
                <w:szCs w:val="18"/>
              </w:rPr>
            </w:pPr>
            <w:r>
              <w:rPr>
                <w:noProof/>
                <w:sz w:val="18"/>
              </w:rPr>
              <w:t>Total cost</w:t>
            </w:r>
          </w:p>
        </w:tc>
      </w:tr>
      <w:tr>
        <w:trPr>
          <w:gridAfter w:val="1"/>
          <w:wAfter w:w="13" w:type="dxa"/>
          <w:jc w:val="center"/>
        </w:trPr>
        <w:tc>
          <w:tcPr>
            <w:tcW w:w="2844" w:type="dxa"/>
            <w:gridSpan w:val="3"/>
            <w:vAlign w:val="center"/>
          </w:tcPr>
          <w:p>
            <w:pPr>
              <w:spacing w:before="60" w:after="60"/>
              <w:ind w:right="-29"/>
              <w:jc w:val="center"/>
              <w:rPr>
                <w:noProof/>
                <w:sz w:val="18"/>
              </w:rPr>
            </w:pPr>
            <w:r>
              <w:rPr>
                <w:noProof/>
                <w:sz w:val="18"/>
              </w:rPr>
              <w:t>SPECIFIC OBJECTIVE No 1</w:t>
            </w:r>
            <w:r>
              <w:rPr>
                <w:rStyle w:val="FootnoteReference"/>
                <w:noProof/>
                <w:sz w:val="18"/>
              </w:rPr>
              <w:footnoteReference w:id="20"/>
            </w:r>
            <w:r>
              <w:rPr>
                <w:noProof/>
                <w:sz w:val="18"/>
              </w:rPr>
              <w:t>: IFS2023</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34" w:type="dxa"/>
            <w:tcBorders>
              <w:top w:val="nil"/>
              <w:left w:val="nil"/>
              <w:bottom w:val="nil"/>
              <w:right w:val="nil"/>
            </w:tcBorders>
          </w:tcPr>
          <w:p>
            <w:pPr>
              <w:spacing w:before="60" w:after="60"/>
              <w:ind w:right="-29"/>
              <w:jc w:val="center"/>
              <w:rPr>
                <w:noProof/>
                <w:sz w:val="18"/>
                <w:szCs w:val="18"/>
              </w:rPr>
            </w:pPr>
          </w:p>
        </w:tc>
        <w:tc>
          <w:tcPr>
            <w:tcW w:w="637" w:type="dxa"/>
            <w:tcBorders>
              <w:top w:val="nil"/>
              <w:left w:val="nil"/>
              <w:bottom w:val="nil"/>
              <w:right w:val="nil"/>
            </w:tcBorders>
          </w:tcPr>
          <w:p>
            <w:pPr>
              <w:spacing w:before="60" w:after="60"/>
              <w:ind w:right="-29"/>
              <w:jc w:val="center"/>
              <w:rPr>
                <w:noProof/>
                <w:sz w:val="18"/>
                <w:szCs w:val="18"/>
              </w:rPr>
            </w:pPr>
          </w:p>
        </w:tc>
        <w:tc>
          <w:tcPr>
            <w:tcW w:w="414" w:type="dxa"/>
            <w:tcBorders>
              <w:top w:val="nil"/>
              <w:left w:val="nil"/>
              <w:bottom w:val="nil"/>
              <w:right w:val="nil"/>
            </w:tcBorders>
          </w:tcPr>
          <w:p>
            <w:pPr>
              <w:spacing w:before="60" w:after="60"/>
              <w:ind w:right="-29"/>
              <w:jc w:val="center"/>
              <w:rPr>
                <w:noProof/>
                <w:sz w:val="18"/>
                <w:szCs w:val="18"/>
              </w:rPr>
            </w:pPr>
          </w:p>
        </w:tc>
        <w:tc>
          <w:tcPr>
            <w:tcW w:w="774" w:type="dxa"/>
            <w:gridSpan w:val="2"/>
            <w:tcBorders>
              <w:top w:val="nil"/>
              <w:left w:val="nil"/>
              <w:bottom w:val="nil"/>
              <w:right w:val="nil"/>
            </w:tcBorders>
          </w:tcPr>
          <w:p>
            <w:pPr>
              <w:spacing w:before="60" w:after="60"/>
              <w:ind w:right="-29"/>
              <w:jc w:val="center"/>
              <w:rPr>
                <w:noProof/>
                <w:sz w:val="18"/>
                <w:szCs w:val="18"/>
              </w:rPr>
            </w:pPr>
          </w:p>
        </w:tc>
        <w:tc>
          <w:tcPr>
            <w:tcW w:w="432" w:type="dxa"/>
            <w:gridSpan w:val="2"/>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gridSpan w:val="2"/>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51" w:type="dxa"/>
            <w:tcBorders>
              <w:top w:val="nil"/>
              <w:left w:val="nil"/>
              <w:bottom w:val="nil"/>
              <w:right w:val="nil"/>
            </w:tcBorders>
          </w:tcPr>
          <w:p>
            <w:pPr>
              <w:spacing w:before="60" w:after="60"/>
              <w:ind w:right="-29"/>
              <w:jc w:val="center"/>
              <w:rPr>
                <w:noProof/>
                <w:sz w:val="18"/>
                <w:szCs w:val="18"/>
              </w:rPr>
            </w:pPr>
          </w:p>
        </w:tc>
        <w:tc>
          <w:tcPr>
            <w:tcW w:w="1021" w:type="dxa"/>
            <w:gridSpan w:val="2"/>
            <w:tcBorders>
              <w:top w:val="nil"/>
              <w:left w:val="nil"/>
              <w:bottom w:val="nil"/>
              <w:right w:val="nil"/>
            </w:tcBorders>
          </w:tcPr>
          <w:p>
            <w:pPr>
              <w:spacing w:before="60" w:after="60"/>
              <w:ind w:right="-29"/>
              <w:jc w:val="center"/>
              <w:rPr>
                <w:noProof/>
                <w:sz w:val="18"/>
                <w:szCs w:val="18"/>
              </w:rPr>
            </w:pPr>
          </w:p>
        </w:tc>
      </w:tr>
      <w:tr>
        <w:trPr>
          <w:gridAfter w:val="1"/>
          <w:wAfter w:w="13" w:type="dxa"/>
          <w:trHeight w:hRule="exact" w:val="369"/>
          <w:jc w:val="center"/>
        </w:trPr>
        <w:tc>
          <w:tcPr>
            <w:tcW w:w="1423" w:type="dxa"/>
          </w:tcPr>
          <w:p>
            <w:pPr>
              <w:ind w:right="-29"/>
              <w:jc w:val="center"/>
              <w:rPr>
                <w:noProof/>
                <w:sz w:val="18"/>
                <w:szCs w:val="18"/>
              </w:rPr>
            </w:pPr>
            <w:r>
              <w:rPr>
                <w:noProof/>
                <w:sz w:val="18"/>
              </w:rPr>
              <w:t>- Output</w:t>
            </w:r>
          </w:p>
        </w:tc>
        <w:tc>
          <w:tcPr>
            <w:tcW w:w="720" w:type="dxa"/>
          </w:tcPr>
          <w:p>
            <w:pPr>
              <w:ind w:right="-29"/>
              <w:jc w:val="center"/>
              <w:rPr>
                <w:noProof/>
                <w:sz w:val="18"/>
                <w:szCs w:val="18"/>
              </w:rPr>
            </w:pPr>
            <w:r>
              <w:rPr>
                <w:noProof/>
                <w:sz w:val="18"/>
                <w:szCs w:val="18"/>
              </w:rPr>
              <w:t>data</w:t>
            </w: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szCs w:val="18"/>
              </w:rPr>
              <w:t>9.100</w:t>
            </w: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834" w:type="dxa"/>
            <w:tcBorders>
              <w:right w:val="dashSmallGap" w:sz="4" w:space="0" w:color="auto"/>
            </w:tcBorders>
          </w:tcPr>
          <w:p>
            <w:pPr>
              <w:ind w:right="-29"/>
              <w:jc w:val="center"/>
              <w:rPr>
                <w:noProof/>
                <w:sz w:val="18"/>
                <w:szCs w:val="18"/>
              </w:rPr>
            </w:pPr>
          </w:p>
        </w:tc>
        <w:tc>
          <w:tcPr>
            <w:tcW w:w="637" w:type="dxa"/>
            <w:tcBorders>
              <w:left w:val="dashSmallGap" w:sz="4" w:space="0" w:color="auto"/>
            </w:tcBorders>
          </w:tcPr>
          <w:p>
            <w:pPr>
              <w:ind w:right="-29"/>
              <w:jc w:val="center"/>
              <w:rPr>
                <w:noProof/>
                <w:sz w:val="18"/>
                <w:szCs w:val="18"/>
              </w:rPr>
            </w:pPr>
          </w:p>
        </w:tc>
        <w:tc>
          <w:tcPr>
            <w:tcW w:w="414" w:type="dxa"/>
            <w:tcBorders>
              <w:right w:val="dashSmallGap" w:sz="4" w:space="0" w:color="auto"/>
            </w:tcBorders>
          </w:tcPr>
          <w:p>
            <w:pPr>
              <w:ind w:right="-29"/>
              <w:jc w:val="center"/>
              <w:rPr>
                <w:noProof/>
                <w:sz w:val="18"/>
                <w:szCs w:val="18"/>
              </w:rPr>
            </w:pPr>
          </w:p>
        </w:tc>
        <w:tc>
          <w:tcPr>
            <w:tcW w:w="774" w:type="dxa"/>
            <w:gridSpan w:val="2"/>
            <w:tcBorders>
              <w:left w:val="dashSmallGap" w:sz="4" w:space="0" w:color="auto"/>
            </w:tcBorders>
          </w:tcPr>
          <w:p>
            <w:pPr>
              <w:ind w:right="-29"/>
              <w:jc w:val="center"/>
              <w:rPr>
                <w:noProof/>
                <w:sz w:val="18"/>
                <w:szCs w:val="18"/>
              </w:rPr>
            </w:pPr>
            <w:r>
              <w:rPr>
                <w:noProof/>
                <w:sz w:val="18"/>
                <w:szCs w:val="18"/>
              </w:rPr>
              <w:t>9.100</w:t>
            </w:r>
          </w:p>
        </w:tc>
        <w:tc>
          <w:tcPr>
            <w:tcW w:w="432" w:type="dxa"/>
            <w:gridSpan w:val="2"/>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gridSpan w:val="2"/>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51" w:type="dxa"/>
          </w:tcPr>
          <w:p>
            <w:pPr>
              <w:ind w:right="-29"/>
              <w:jc w:val="center"/>
              <w:rPr>
                <w:noProof/>
                <w:sz w:val="18"/>
                <w:szCs w:val="18"/>
              </w:rPr>
            </w:pPr>
          </w:p>
        </w:tc>
        <w:tc>
          <w:tcPr>
            <w:tcW w:w="1021" w:type="dxa"/>
            <w:gridSpan w:val="2"/>
          </w:tcPr>
          <w:p>
            <w:pPr>
              <w:ind w:right="-29"/>
              <w:jc w:val="center"/>
              <w:rPr>
                <w:noProof/>
                <w:sz w:val="18"/>
                <w:szCs w:val="18"/>
              </w:rPr>
            </w:pPr>
            <w:r>
              <w:rPr>
                <w:noProof/>
                <w:sz w:val="18"/>
                <w:szCs w:val="18"/>
              </w:rPr>
              <w:t>18.200</w:t>
            </w:r>
          </w:p>
        </w:tc>
      </w:tr>
      <w:tr>
        <w:trPr>
          <w:gridAfter w:val="1"/>
          <w:wAfter w:w="13" w:type="dxa"/>
          <w:trHeight w:hRule="exact" w:val="369"/>
          <w:jc w:val="center"/>
        </w:trPr>
        <w:tc>
          <w:tcPr>
            <w:tcW w:w="1423" w:type="dxa"/>
          </w:tcPr>
          <w:p>
            <w:pPr>
              <w:ind w:right="-29"/>
              <w:jc w:val="center"/>
              <w:rPr>
                <w:noProof/>
                <w:sz w:val="18"/>
                <w:szCs w:val="18"/>
              </w:rPr>
            </w:pPr>
            <w:r>
              <w:rPr>
                <w:noProof/>
                <w:sz w:val="18"/>
              </w:rPr>
              <w:t>- Output</w:t>
            </w:r>
          </w:p>
        </w:tc>
        <w:tc>
          <w:tcPr>
            <w:tcW w:w="720" w:type="dxa"/>
          </w:tcPr>
          <w:p>
            <w:pPr>
              <w:ind w:right="-29"/>
              <w:jc w:val="center"/>
              <w:rPr>
                <w:noProof/>
                <w:sz w:val="18"/>
                <w:szCs w:val="18"/>
              </w:rPr>
            </w:pPr>
            <w:r>
              <w:rPr>
                <w:noProof/>
                <w:sz w:val="18"/>
                <w:szCs w:val="18"/>
              </w:rPr>
              <w:t>other</w:t>
            </w: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szCs w:val="18"/>
              </w:rPr>
              <w:t>1.800</w:t>
            </w:r>
          </w:p>
        </w:tc>
        <w:tc>
          <w:tcPr>
            <w:tcW w:w="834" w:type="dxa"/>
            <w:tcBorders>
              <w:right w:val="dashSmallGap" w:sz="4" w:space="0" w:color="auto"/>
            </w:tcBorders>
          </w:tcPr>
          <w:p>
            <w:pPr>
              <w:ind w:right="-29"/>
              <w:jc w:val="center"/>
              <w:rPr>
                <w:noProof/>
                <w:sz w:val="18"/>
                <w:szCs w:val="18"/>
              </w:rPr>
            </w:pPr>
          </w:p>
        </w:tc>
        <w:tc>
          <w:tcPr>
            <w:tcW w:w="637" w:type="dxa"/>
            <w:tcBorders>
              <w:left w:val="dashSmallGap" w:sz="4" w:space="0" w:color="auto"/>
            </w:tcBorders>
          </w:tcPr>
          <w:p>
            <w:pPr>
              <w:ind w:right="-29"/>
              <w:jc w:val="center"/>
              <w:rPr>
                <w:noProof/>
                <w:sz w:val="18"/>
                <w:szCs w:val="18"/>
              </w:rPr>
            </w:pPr>
          </w:p>
        </w:tc>
        <w:tc>
          <w:tcPr>
            <w:tcW w:w="414" w:type="dxa"/>
            <w:tcBorders>
              <w:right w:val="dashSmallGap" w:sz="4" w:space="0" w:color="auto"/>
            </w:tcBorders>
          </w:tcPr>
          <w:p>
            <w:pPr>
              <w:ind w:right="-29"/>
              <w:jc w:val="center"/>
              <w:rPr>
                <w:noProof/>
                <w:sz w:val="18"/>
                <w:szCs w:val="18"/>
              </w:rPr>
            </w:pPr>
          </w:p>
        </w:tc>
        <w:tc>
          <w:tcPr>
            <w:tcW w:w="774" w:type="dxa"/>
            <w:gridSpan w:val="2"/>
            <w:tcBorders>
              <w:left w:val="dashSmallGap" w:sz="4" w:space="0" w:color="auto"/>
            </w:tcBorders>
          </w:tcPr>
          <w:p>
            <w:pPr>
              <w:ind w:right="-29"/>
              <w:jc w:val="center"/>
              <w:rPr>
                <w:noProof/>
                <w:sz w:val="18"/>
                <w:szCs w:val="18"/>
              </w:rPr>
            </w:pPr>
          </w:p>
        </w:tc>
        <w:tc>
          <w:tcPr>
            <w:tcW w:w="432" w:type="dxa"/>
            <w:gridSpan w:val="2"/>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gridSpan w:val="2"/>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51" w:type="dxa"/>
          </w:tcPr>
          <w:p>
            <w:pPr>
              <w:ind w:right="-29"/>
              <w:jc w:val="center"/>
              <w:rPr>
                <w:noProof/>
                <w:sz w:val="18"/>
                <w:szCs w:val="18"/>
              </w:rPr>
            </w:pPr>
          </w:p>
        </w:tc>
        <w:tc>
          <w:tcPr>
            <w:tcW w:w="1021" w:type="dxa"/>
            <w:gridSpan w:val="2"/>
          </w:tcPr>
          <w:p>
            <w:pPr>
              <w:ind w:right="-29"/>
              <w:jc w:val="center"/>
              <w:rPr>
                <w:noProof/>
                <w:sz w:val="18"/>
                <w:szCs w:val="18"/>
              </w:rPr>
            </w:pPr>
            <w:r>
              <w:rPr>
                <w:noProof/>
                <w:sz w:val="18"/>
                <w:szCs w:val="18"/>
              </w:rPr>
              <w:t>1.800</w:t>
            </w:r>
          </w:p>
        </w:tc>
      </w:tr>
      <w:tr>
        <w:trPr>
          <w:gridAfter w:val="1"/>
          <w:wAfter w:w="13" w:type="dxa"/>
          <w:trHeight w:hRule="exact" w:val="369"/>
          <w:jc w:val="center"/>
        </w:trPr>
        <w:tc>
          <w:tcPr>
            <w:tcW w:w="1423" w:type="dxa"/>
          </w:tcPr>
          <w:p>
            <w:pPr>
              <w:ind w:right="-29"/>
              <w:jc w:val="center"/>
              <w:rPr>
                <w:noProof/>
                <w:sz w:val="18"/>
                <w:szCs w:val="18"/>
              </w:rPr>
            </w:pPr>
            <w:r>
              <w:rPr>
                <w:noProof/>
                <w:sz w:val="18"/>
              </w:rPr>
              <w:t>- Output</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834" w:type="dxa"/>
          </w:tcPr>
          <w:p>
            <w:pPr>
              <w:ind w:right="-29"/>
              <w:jc w:val="center"/>
              <w:rPr>
                <w:noProof/>
                <w:sz w:val="18"/>
                <w:szCs w:val="18"/>
              </w:rPr>
            </w:pPr>
          </w:p>
        </w:tc>
        <w:tc>
          <w:tcPr>
            <w:tcW w:w="637" w:type="dxa"/>
          </w:tcPr>
          <w:p>
            <w:pPr>
              <w:ind w:right="-29"/>
              <w:jc w:val="center"/>
              <w:rPr>
                <w:noProof/>
                <w:sz w:val="18"/>
                <w:szCs w:val="18"/>
              </w:rPr>
            </w:pPr>
          </w:p>
        </w:tc>
        <w:tc>
          <w:tcPr>
            <w:tcW w:w="414" w:type="dxa"/>
          </w:tcPr>
          <w:p>
            <w:pPr>
              <w:ind w:right="-29"/>
              <w:jc w:val="center"/>
              <w:rPr>
                <w:noProof/>
                <w:sz w:val="18"/>
                <w:szCs w:val="18"/>
              </w:rPr>
            </w:pPr>
          </w:p>
        </w:tc>
        <w:tc>
          <w:tcPr>
            <w:tcW w:w="774" w:type="dxa"/>
            <w:gridSpan w:val="2"/>
          </w:tcPr>
          <w:p>
            <w:pPr>
              <w:ind w:right="-29"/>
              <w:jc w:val="center"/>
              <w:rPr>
                <w:noProof/>
                <w:sz w:val="18"/>
                <w:szCs w:val="18"/>
              </w:rPr>
            </w:pPr>
          </w:p>
        </w:tc>
        <w:tc>
          <w:tcPr>
            <w:tcW w:w="432" w:type="dxa"/>
            <w:gridSpan w:val="2"/>
          </w:tcPr>
          <w:p>
            <w:pPr>
              <w:ind w:right="-29"/>
              <w:jc w:val="center"/>
              <w:rPr>
                <w:noProof/>
                <w:sz w:val="18"/>
                <w:szCs w:val="18"/>
              </w:rPr>
            </w:pPr>
          </w:p>
        </w:tc>
        <w:tc>
          <w:tcPr>
            <w:tcW w:w="720" w:type="dxa"/>
          </w:tcPr>
          <w:p>
            <w:pPr>
              <w:ind w:right="-29"/>
              <w:jc w:val="center"/>
              <w:rPr>
                <w:noProof/>
                <w:sz w:val="18"/>
                <w:szCs w:val="18"/>
              </w:rPr>
            </w:pPr>
          </w:p>
        </w:tc>
        <w:tc>
          <w:tcPr>
            <w:tcW w:w="540" w:type="dxa"/>
            <w:gridSpan w:val="2"/>
          </w:tcPr>
          <w:p>
            <w:pPr>
              <w:ind w:right="-29"/>
              <w:jc w:val="center"/>
              <w:rPr>
                <w:noProof/>
                <w:sz w:val="18"/>
                <w:szCs w:val="18"/>
              </w:rPr>
            </w:pPr>
          </w:p>
        </w:tc>
        <w:tc>
          <w:tcPr>
            <w:tcW w:w="720" w:type="dxa"/>
          </w:tcPr>
          <w:p>
            <w:pPr>
              <w:ind w:right="-29"/>
              <w:jc w:val="center"/>
              <w:rPr>
                <w:noProof/>
                <w:sz w:val="18"/>
                <w:szCs w:val="18"/>
              </w:rPr>
            </w:pPr>
          </w:p>
        </w:tc>
        <w:tc>
          <w:tcPr>
            <w:tcW w:w="951" w:type="dxa"/>
          </w:tcPr>
          <w:p>
            <w:pPr>
              <w:ind w:right="-29"/>
              <w:jc w:val="center"/>
              <w:rPr>
                <w:noProof/>
                <w:sz w:val="18"/>
                <w:szCs w:val="18"/>
              </w:rPr>
            </w:pPr>
          </w:p>
        </w:tc>
        <w:tc>
          <w:tcPr>
            <w:tcW w:w="1021" w:type="dxa"/>
            <w:gridSpan w:val="2"/>
          </w:tcPr>
          <w:p>
            <w:pPr>
              <w:ind w:right="-29"/>
              <w:jc w:val="center"/>
              <w:rPr>
                <w:noProof/>
                <w:sz w:val="18"/>
                <w:szCs w:val="18"/>
              </w:rPr>
            </w:pPr>
          </w:p>
        </w:tc>
      </w:tr>
      <w:tr>
        <w:trPr>
          <w:gridAfter w:val="1"/>
          <w:wAfter w:w="13" w:type="dxa"/>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for specific objective No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szCs w:val="18"/>
              </w:rPr>
              <w:t>9.100</w:t>
            </w: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szCs w:val="18"/>
              </w:rPr>
              <w:t>1.800</w:t>
            </w:r>
          </w:p>
        </w:tc>
        <w:tc>
          <w:tcPr>
            <w:tcW w:w="834" w:type="dxa"/>
            <w:tcBorders>
              <w:bottom w:val="single" w:sz="12" w:space="0" w:color="auto"/>
            </w:tcBorders>
          </w:tcPr>
          <w:p>
            <w:pPr>
              <w:ind w:right="-29"/>
              <w:jc w:val="center"/>
              <w:rPr>
                <w:noProof/>
                <w:sz w:val="18"/>
                <w:szCs w:val="18"/>
              </w:rPr>
            </w:pPr>
          </w:p>
        </w:tc>
        <w:tc>
          <w:tcPr>
            <w:tcW w:w="637" w:type="dxa"/>
            <w:tcBorders>
              <w:bottom w:val="single" w:sz="12" w:space="0" w:color="auto"/>
            </w:tcBorders>
          </w:tcPr>
          <w:p>
            <w:pPr>
              <w:ind w:right="-29"/>
              <w:jc w:val="center"/>
              <w:rPr>
                <w:noProof/>
                <w:sz w:val="18"/>
                <w:szCs w:val="18"/>
              </w:rPr>
            </w:pPr>
          </w:p>
        </w:tc>
        <w:tc>
          <w:tcPr>
            <w:tcW w:w="414" w:type="dxa"/>
            <w:tcBorders>
              <w:bottom w:val="single" w:sz="12" w:space="0" w:color="auto"/>
            </w:tcBorders>
          </w:tcPr>
          <w:p>
            <w:pPr>
              <w:ind w:right="-29"/>
              <w:jc w:val="center"/>
              <w:rPr>
                <w:noProof/>
                <w:sz w:val="18"/>
                <w:szCs w:val="18"/>
              </w:rPr>
            </w:pPr>
          </w:p>
        </w:tc>
        <w:tc>
          <w:tcPr>
            <w:tcW w:w="774" w:type="dxa"/>
            <w:gridSpan w:val="2"/>
            <w:tcBorders>
              <w:bottom w:val="single" w:sz="12" w:space="0" w:color="auto"/>
            </w:tcBorders>
          </w:tcPr>
          <w:p>
            <w:pPr>
              <w:ind w:right="-29"/>
              <w:jc w:val="center"/>
              <w:rPr>
                <w:noProof/>
                <w:sz w:val="18"/>
                <w:szCs w:val="18"/>
              </w:rPr>
            </w:pPr>
            <w:r>
              <w:rPr>
                <w:noProof/>
                <w:sz w:val="18"/>
                <w:szCs w:val="18"/>
              </w:rPr>
              <w:t>9.100</w:t>
            </w:r>
          </w:p>
        </w:tc>
        <w:tc>
          <w:tcPr>
            <w:tcW w:w="432" w:type="dxa"/>
            <w:gridSpan w:val="2"/>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gridSpan w:val="2"/>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tcBorders>
              <w:bottom w:val="single" w:sz="12" w:space="0" w:color="auto"/>
            </w:tcBorders>
          </w:tcPr>
          <w:p>
            <w:pPr>
              <w:ind w:right="-29"/>
              <w:jc w:val="center"/>
              <w:rPr>
                <w:noProof/>
                <w:sz w:val="18"/>
                <w:szCs w:val="18"/>
              </w:rPr>
            </w:pPr>
          </w:p>
        </w:tc>
        <w:tc>
          <w:tcPr>
            <w:tcW w:w="1021" w:type="dxa"/>
            <w:gridSpan w:val="2"/>
            <w:tcBorders>
              <w:bottom w:val="single" w:sz="12" w:space="0" w:color="auto"/>
            </w:tcBorders>
          </w:tcPr>
          <w:p>
            <w:pPr>
              <w:ind w:right="-29"/>
              <w:jc w:val="center"/>
              <w:rPr>
                <w:noProof/>
                <w:sz w:val="18"/>
                <w:szCs w:val="18"/>
              </w:rPr>
            </w:pPr>
            <w:r>
              <w:rPr>
                <w:noProof/>
                <w:sz w:val="18"/>
                <w:szCs w:val="18"/>
              </w:rPr>
              <w:t>20.000</w:t>
            </w:r>
          </w:p>
        </w:tc>
      </w:tr>
      <w:tr>
        <w:trPr>
          <w:gridAfter w:val="1"/>
          <w:wAfter w:w="13" w:type="dxa"/>
          <w:jc w:val="center"/>
        </w:trPr>
        <w:tc>
          <w:tcPr>
            <w:tcW w:w="2844" w:type="dxa"/>
            <w:gridSpan w:val="3"/>
            <w:vAlign w:val="center"/>
          </w:tcPr>
          <w:p>
            <w:pPr>
              <w:spacing w:before="60" w:after="60"/>
              <w:ind w:right="-29"/>
              <w:jc w:val="center"/>
              <w:rPr>
                <w:noProof/>
                <w:sz w:val="18"/>
              </w:rPr>
            </w:pPr>
            <w:r>
              <w:rPr>
                <w:noProof/>
                <w:sz w:val="18"/>
              </w:rPr>
              <w:t>SPECIFIC OBJECTIVE No 2:</w:t>
            </w:r>
          </w:p>
          <w:p>
            <w:pPr>
              <w:spacing w:before="60" w:after="60"/>
              <w:ind w:right="-29"/>
              <w:jc w:val="center"/>
              <w:rPr>
                <w:noProof/>
                <w:sz w:val="18"/>
                <w:szCs w:val="18"/>
              </w:rPr>
            </w:pPr>
            <w:r>
              <w:rPr>
                <w:noProof/>
                <w:sz w:val="18"/>
              </w:rPr>
              <w:t>IFS2026</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34" w:type="dxa"/>
            <w:tcBorders>
              <w:top w:val="nil"/>
              <w:left w:val="nil"/>
              <w:bottom w:val="nil"/>
              <w:right w:val="nil"/>
            </w:tcBorders>
          </w:tcPr>
          <w:p>
            <w:pPr>
              <w:spacing w:before="60" w:after="60"/>
              <w:ind w:right="-29"/>
              <w:jc w:val="center"/>
              <w:rPr>
                <w:noProof/>
                <w:sz w:val="18"/>
                <w:szCs w:val="18"/>
              </w:rPr>
            </w:pPr>
          </w:p>
        </w:tc>
        <w:tc>
          <w:tcPr>
            <w:tcW w:w="637" w:type="dxa"/>
            <w:tcBorders>
              <w:top w:val="nil"/>
              <w:left w:val="nil"/>
              <w:bottom w:val="nil"/>
              <w:right w:val="nil"/>
            </w:tcBorders>
          </w:tcPr>
          <w:p>
            <w:pPr>
              <w:spacing w:before="60" w:after="60"/>
              <w:ind w:right="-29"/>
              <w:jc w:val="center"/>
              <w:rPr>
                <w:noProof/>
                <w:sz w:val="18"/>
                <w:szCs w:val="18"/>
              </w:rPr>
            </w:pPr>
          </w:p>
        </w:tc>
        <w:tc>
          <w:tcPr>
            <w:tcW w:w="414" w:type="dxa"/>
            <w:tcBorders>
              <w:top w:val="nil"/>
              <w:left w:val="nil"/>
              <w:bottom w:val="nil"/>
              <w:right w:val="nil"/>
            </w:tcBorders>
          </w:tcPr>
          <w:p>
            <w:pPr>
              <w:spacing w:before="60" w:after="60"/>
              <w:ind w:right="-29"/>
              <w:jc w:val="center"/>
              <w:rPr>
                <w:noProof/>
                <w:sz w:val="18"/>
                <w:szCs w:val="18"/>
              </w:rPr>
            </w:pPr>
          </w:p>
        </w:tc>
        <w:tc>
          <w:tcPr>
            <w:tcW w:w="774" w:type="dxa"/>
            <w:gridSpan w:val="2"/>
            <w:tcBorders>
              <w:top w:val="nil"/>
              <w:left w:val="nil"/>
              <w:bottom w:val="nil"/>
              <w:right w:val="nil"/>
            </w:tcBorders>
          </w:tcPr>
          <w:p>
            <w:pPr>
              <w:spacing w:before="60" w:after="60"/>
              <w:ind w:right="-29"/>
              <w:jc w:val="center"/>
              <w:rPr>
                <w:noProof/>
                <w:sz w:val="18"/>
                <w:szCs w:val="18"/>
              </w:rPr>
            </w:pPr>
          </w:p>
        </w:tc>
        <w:tc>
          <w:tcPr>
            <w:tcW w:w="432" w:type="dxa"/>
            <w:gridSpan w:val="2"/>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gridSpan w:val="2"/>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51" w:type="dxa"/>
            <w:tcBorders>
              <w:top w:val="nil"/>
              <w:left w:val="nil"/>
              <w:bottom w:val="nil"/>
              <w:right w:val="nil"/>
            </w:tcBorders>
          </w:tcPr>
          <w:p>
            <w:pPr>
              <w:spacing w:before="60" w:after="60"/>
              <w:ind w:right="-29"/>
              <w:jc w:val="center"/>
              <w:rPr>
                <w:noProof/>
                <w:sz w:val="18"/>
                <w:szCs w:val="18"/>
              </w:rPr>
            </w:pPr>
          </w:p>
        </w:tc>
        <w:tc>
          <w:tcPr>
            <w:tcW w:w="1021" w:type="dxa"/>
            <w:gridSpan w:val="2"/>
            <w:tcBorders>
              <w:top w:val="nil"/>
              <w:left w:val="nil"/>
              <w:bottom w:val="nil"/>
              <w:right w:val="nil"/>
            </w:tcBorders>
          </w:tcPr>
          <w:p>
            <w:pPr>
              <w:spacing w:before="60" w:after="60"/>
              <w:ind w:right="-29"/>
              <w:jc w:val="center"/>
              <w:rPr>
                <w:noProof/>
                <w:sz w:val="18"/>
                <w:szCs w:val="18"/>
              </w:rPr>
            </w:pPr>
          </w:p>
        </w:tc>
      </w:tr>
      <w:tr>
        <w:trPr>
          <w:gridAfter w:val="1"/>
          <w:wAfter w:w="13" w:type="dxa"/>
          <w:trHeight w:hRule="exact" w:val="369"/>
          <w:jc w:val="center"/>
        </w:trPr>
        <w:tc>
          <w:tcPr>
            <w:tcW w:w="1423" w:type="dxa"/>
          </w:tcPr>
          <w:p>
            <w:pPr>
              <w:ind w:right="-29"/>
              <w:jc w:val="center"/>
              <w:rPr>
                <w:noProof/>
                <w:sz w:val="18"/>
                <w:szCs w:val="18"/>
              </w:rPr>
            </w:pPr>
            <w:r>
              <w:rPr>
                <w:noProof/>
                <w:sz w:val="18"/>
              </w:rPr>
              <w:t>- Output</w:t>
            </w:r>
          </w:p>
        </w:tc>
        <w:tc>
          <w:tcPr>
            <w:tcW w:w="720" w:type="dxa"/>
          </w:tcPr>
          <w:p>
            <w:pPr>
              <w:ind w:right="-29"/>
              <w:jc w:val="center"/>
              <w:rPr>
                <w:noProof/>
                <w:sz w:val="18"/>
                <w:szCs w:val="18"/>
              </w:rPr>
            </w:pPr>
            <w:r>
              <w:rPr>
                <w:noProof/>
                <w:sz w:val="18"/>
                <w:szCs w:val="18"/>
              </w:rPr>
              <w:t>data</w:t>
            </w: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834" w:type="dxa"/>
          </w:tcPr>
          <w:p>
            <w:pPr>
              <w:ind w:right="-29"/>
              <w:jc w:val="center"/>
              <w:rPr>
                <w:noProof/>
                <w:sz w:val="18"/>
                <w:szCs w:val="18"/>
              </w:rPr>
            </w:pPr>
          </w:p>
        </w:tc>
        <w:tc>
          <w:tcPr>
            <w:tcW w:w="637" w:type="dxa"/>
          </w:tcPr>
          <w:p>
            <w:pPr>
              <w:ind w:right="-29"/>
              <w:jc w:val="center"/>
              <w:rPr>
                <w:noProof/>
                <w:sz w:val="18"/>
                <w:szCs w:val="18"/>
              </w:rPr>
            </w:pPr>
          </w:p>
        </w:tc>
        <w:tc>
          <w:tcPr>
            <w:tcW w:w="414" w:type="dxa"/>
          </w:tcPr>
          <w:p>
            <w:pPr>
              <w:ind w:right="-29"/>
              <w:jc w:val="center"/>
              <w:rPr>
                <w:noProof/>
                <w:sz w:val="18"/>
                <w:szCs w:val="18"/>
              </w:rPr>
            </w:pPr>
          </w:p>
        </w:tc>
        <w:tc>
          <w:tcPr>
            <w:tcW w:w="774" w:type="dxa"/>
            <w:gridSpan w:val="2"/>
          </w:tcPr>
          <w:p>
            <w:pPr>
              <w:ind w:right="-29"/>
              <w:jc w:val="center"/>
              <w:rPr>
                <w:noProof/>
                <w:sz w:val="18"/>
                <w:szCs w:val="18"/>
              </w:rPr>
            </w:pPr>
            <w:r>
              <w:rPr>
                <w:noProof/>
                <w:sz w:val="18"/>
                <w:szCs w:val="18"/>
              </w:rPr>
              <w:t>9.100</w:t>
            </w:r>
          </w:p>
        </w:tc>
        <w:tc>
          <w:tcPr>
            <w:tcW w:w="432" w:type="dxa"/>
            <w:gridSpan w:val="2"/>
          </w:tcPr>
          <w:p>
            <w:pPr>
              <w:ind w:right="-29"/>
              <w:jc w:val="center"/>
              <w:rPr>
                <w:noProof/>
                <w:sz w:val="18"/>
                <w:szCs w:val="18"/>
              </w:rPr>
            </w:pPr>
          </w:p>
        </w:tc>
        <w:tc>
          <w:tcPr>
            <w:tcW w:w="720" w:type="dxa"/>
          </w:tcPr>
          <w:p>
            <w:pPr>
              <w:ind w:right="-29"/>
              <w:jc w:val="center"/>
              <w:rPr>
                <w:noProof/>
                <w:sz w:val="18"/>
                <w:szCs w:val="18"/>
              </w:rPr>
            </w:pPr>
          </w:p>
        </w:tc>
        <w:tc>
          <w:tcPr>
            <w:tcW w:w="540" w:type="dxa"/>
            <w:gridSpan w:val="2"/>
          </w:tcPr>
          <w:p>
            <w:pPr>
              <w:ind w:right="-29"/>
              <w:jc w:val="center"/>
              <w:rPr>
                <w:noProof/>
                <w:sz w:val="18"/>
                <w:szCs w:val="18"/>
              </w:rPr>
            </w:pPr>
          </w:p>
        </w:tc>
        <w:tc>
          <w:tcPr>
            <w:tcW w:w="720" w:type="dxa"/>
          </w:tcPr>
          <w:p>
            <w:pPr>
              <w:ind w:right="-29"/>
              <w:jc w:val="center"/>
              <w:rPr>
                <w:noProof/>
                <w:sz w:val="18"/>
                <w:szCs w:val="18"/>
              </w:rPr>
            </w:pPr>
            <w:r>
              <w:rPr>
                <w:noProof/>
                <w:sz w:val="18"/>
                <w:szCs w:val="18"/>
              </w:rPr>
              <w:t>9.100</w:t>
            </w:r>
          </w:p>
        </w:tc>
        <w:tc>
          <w:tcPr>
            <w:tcW w:w="951" w:type="dxa"/>
          </w:tcPr>
          <w:p>
            <w:pPr>
              <w:ind w:right="-29"/>
              <w:jc w:val="center"/>
              <w:rPr>
                <w:noProof/>
                <w:sz w:val="18"/>
                <w:szCs w:val="18"/>
              </w:rPr>
            </w:pPr>
          </w:p>
        </w:tc>
        <w:tc>
          <w:tcPr>
            <w:tcW w:w="1021" w:type="dxa"/>
            <w:gridSpan w:val="2"/>
          </w:tcPr>
          <w:p>
            <w:pPr>
              <w:ind w:right="-29"/>
              <w:jc w:val="center"/>
              <w:rPr>
                <w:noProof/>
                <w:sz w:val="18"/>
                <w:szCs w:val="18"/>
              </w:rPr>
            </w:pPr>
            <w:r>
              <w:rPr>
                <w:noProof/>
                <w:sz w:val="18"/>
                <w:szCs w:val="18"/>
              </w:rPr>
              <w:t>18.200</w:t>
            </w:r>
          </w:p>
        </w:tc>
      </w:tr>
      <w:tr>
        <w:trPr>
          <w:gridAfter w:val="1"/>
          <w:wAfter w:w="13" w:type="dxa"/>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szCs w:val="18"/>
              </w:rPr>
            </w:pPr>
            <w:r>
              <w:rPr>
                <w:noProof/>
                <w:sz w:val="18"/>
                <w:szCs w:val="18"/>
              </w:rPr>
              <w:t>other</w:t>
            </w: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834" w:type="dxa"/>
          </w:tcPr>
          <w:p>
            <w:pPr>
              <w:ind w:right="-29"/>
              <w:jc w:val="center"/>
              <w:rPr>
                <w:noProof/>
                <w:sz w:val="18"/>
                <w:szCs w:val="18"/>
              </w:rPr>
            </w:pPr>
          </w:p>
        </w:tc>
        <w:tc>
          <w:tcPr>
            <w:tcW w:w="637" w:type="dxa"/>
          </w:tcPr>
          <w:p>
            <w:pPr>
              <w:ind w:right="-29"/>
              <w:jc w:val="center"/>
              <w:rPr>
                <w:noProof/>
                <w:sz w:val="18"/>
                <w:szCs w:val="18"/>
              </w:rPr>
            </w:pPr>
          </w:p>
        </w:tc>
        <w:tc>
          <w:tcPr>
            <w:tcW w:w="414" w:type="dxa"/>
          </w:tcPr>
          <w:p>
            <w:pPr>
              <w:ind w:right="-29"/>
              <w:jc w:val="center"/>
              <w:rPr>
                <w:noProof/>
                <w:sz w:val="18"/>
                <w:szCs w:val="18"/>
              </w:rPr>
            </w:pPr>
          </w:p>
        </w:tc>
        <w:tc>
          <w:tcPr>
            <w:tcW w:w="774" w:type="dxa"/>
            <w:gridSpan w:val="2"/>
          </w:tcPr>
          <w:p>
            <w:pPr>
              <w:ind w:right="-29"/>
              <w:jc w:val="center"/>
              <w:rPr>
                <w:noProof/>
                <w:sz w:val="18"/>
                <w:szCs w:val="18"/>
              </w:rPr>
            </w:pPr>
          </w:p>
        </w:tc>
        <w:tc>
          <w:tcPr>
            <w:tcW w:w="432" w:type="dxa"/>
            <w:gridSpan w:val="2"/>
          </w:tcPr>
          <w:p>
            <w:pPr>
              <w:ind w:right="-29"/>
              <w:jc w:val="center"/>
              <w:rPr>
                <w:noProof/>
                <w:sz w:val="18"/>
                <w:szCs w:val="18"/>
              </w:rPr>
            </w:pPr>
          </w:p>
        </w:tc>
        <w:tc>
          <w:tcPr>
            <w:tcW w:w="720" w:type="dxa"/>
          </w:tcPr>
          <w:p>
            <w:pPr>
              <w:ind w:right="-29"/>
              <w:jc w:val="center"/>
              <w:rPr>
                <w:noProof/>
                <w:sz w:val="18"/>
                <w:szCs w:val="18"/>
              </w:rPr>
            </w:pPr>
            <w:r>
              <w:rPr>
                <w:noProof/>
                <w:sz w:val="18"/>
                <w:szCs w:val="18"/>
              </w:rPr>
              <w:t>1.800</w:t>
            </w:r>
          </w:p>
        </w:tc>
        <w:tc>
          <w:tcPr>
            <w:tcW w:w="540" w:type="dxa"/>
            <w:gridSpan w:val="2"/>
          </w:tcPr>
          <w:p>
            <w:pPr>
              <w:ind w:right="-29"/>
              <w:jc w:val="center"/>
              <w:rPr>
                <w:noProof/>
                <w:sz w:val="18"/>
                <w:szCs w:val="18"/>
              </w:rPr>
            </w:pPr>
          </w:p>
        </w:tc>
        <w:tc>
          <w:tcPr>
            <w:tcW w:w="720" w:type="dxa"/>
          </w:tcPr>
          <w:p>
            <w:pPr>
              <w:ind w:right="-29"/>
              <w:jc w:val="center"/>
              <w:rPr>
                <w:noProof/>
                <w:sz w:val="18"/>
                <w:szCs w:val="18"/>
              </w:rPr>
            </w:pPr>
          </w:p>
        </w:tc>
        <w:tc>
          <w:tcPr>
            <w:tcW w:w="951" w:type="dxa"/>
          </w:tcPr>
          <w:p>
            <w:pPr>
              <w:ind w:right="-29"/>
              <w:jc w:val="center"/>
              <w:rPr>
                <w:noProof/>
                <w:sz w:val="18"/>
                <w:szCs w:val="18"/>
              </w:rPr>
            </w:pPr>
          </w:p>
        </w:tc>
        <w:tc>
          <w:tcPr>
            <w:tcW w:w="1021" w:type="dxa"/>
            <w:gridSpan w:val="2"/>
          </w:tcPr>
          <w:p>
            <w:pPr>
              <w:ind w:right="-29"/>
              <w:jc w:val="center"/>
              <w:rPr>
                <w:noProof/>
                <w:sz w:val="18"/>
                <w:szCs w:val="18"/>
              </w:rPr>
            </w:pPr>
            <w:r>
              <w:rPr>
                <w:noProof/>
                <w:sz w:val="18"/>
                <w:szCs w:val="18"/>
              </w:rPr>
              <w:t>1.800</w:t>
            </w: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Subtotal for specific objective No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834" w:type="dxa"/>
            <w:tcBorders>
              <w:bottom w:val="single" w:sz="12" w:space="0" w:color="auto"/>
            </w:tcBorders>
          </w:tcPr>
          <w:p>
            <w:pPr>
              <w:ind w:right="-29"/>
              <w:jc w:val="center"/>
              <w:rPr>
                <w:noProof/>
                <w:sz w:val="18"/>
                <w:szCs w:val="18"/>
              </w:rPr>
            </w:pPr>
          </w:p>
        </w:tc>
        <w:tc>
          <w:tcPr>
            <w:tcW w:w="637" w:type="dxa"/>
            <w:tcBorders>
              <w:bottom w:val="single" w:sz="12" w:space="0" w:color="auto"/>
            </w:tcBorders>
          </w:tcPr>
          <w:p>
            <w:pPr>
              <w:ind w:right="-29"/>
              <w:jc w:val="center"/>
              <w:rPr>
                <w:noProof/>
                <w:sz w:val="18"/>
                <w:szCs w:val="18"/>
              </w:rPr>
            </w:pPr>
          </w:p>
        </w:tc>
        <w:tc>
          <w:tcPr>
            <w:tcW w:w="422" w:type="dxa"/>
            <w:gridSpan w:val="2"/>
            <w:tcBorders>
              <w:bottom w:val="single" w:sz="12" w:space="0" w:color="auto"/>
            </w:tcBorders>
          </w:tcPr>
          <w:p>
            <w:pPr>
              <w:ind w:right="-29"/>
              <w:jc w:val="center"/>
              <w:rPr>
                <w:noProof/>
                <w:sz w:val="18"/>
                <w:szCs w:val="18"/>
              </w:rPr>
            </w:pPr>
          </w:p>
        </w:tc>
        <w:tc>
          <w:tcPr>
            <w:tcW w:w="766" w:type="dxa"/>
            <w:tcBorders>
              <w:bottom w:val="single" w:sz="12" w:space="0" w:color="auto"/>
            </w:tcBorders>
          </w:tcPr>
          <w:p>
            <w:pPr>
              <w:ind w:right="-29"/>
              <w:jc w:val="center"/>
              <w:rPr>
                <w:noProof/>
                <w:sz w:val="18"/>
                <w:szCs w:val="18"/>
              </w:rPr>
            </w:pPr>
            <w:r>
              <w:rPr>
                <w:noProof/>
                <w:sz w:val="18"/>
                <w:szCs w:val="18"/>
              </w:rPr>
              <w:t>9.100</w:t>
            </w:r>
          </w:p>
        </w:tc>
        <w:tc>
          <w:tcPr>
            <w:tcW w:w="432" w:type="dxa"/>
            <w:gridSpan w:val="2"/>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szCs w:val="18"/>
              </w:rPr>
              <w:t>1.800</w:t>
            </w:r>
          </w:p>
        </w:tc>
        <w:tc>
          <w:tcPr>
            <w:tcW w:w="540" w:type="dxa"/>
            <w:gridSpan w:val="2"/>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szCs w:val="18"/>
              </w:rPr>
              <w:t>9.100</w:t>
            </w:r>
          </w:p>
        </w:tc>
        <w:tc>
          <w:tcPr>
            <w:tcW w:w="959" w:type="dxa"/>
            <w:gridSpan w:val="2"/>
            <w:tcBorders>
              <w:bottom w:val="single" w:sz="12" w:space="0" w:color="auto"/>
            </w:tcBorders>
          </w:tcPr>
          <w:p>
            <w:pPr>
              <w:ind w:right="-29"/>
              <w:jc w:val="center"/>
              <w:rPr>
                <w:noProof/>
                <w:sz w:val="18"/>
                <w:szCs w:val="18"/>
              </w:rPr>
            </w:pPr>
          </w:p>
        </w:tc>
        <w:tc>
          <w:tcPr>
            <w:tcW w:w="1021" w:type="dxa"/>
            <w:gridSpan w:val="2"/>
            <w:tcBorders>
              <w:bottom w:val="single" w:sz="12" w:space="0" w:color="auto"/>
            </w:tcBorders>
          </w:tcPr>
          <w:p>
            <w:pPr>
              <w:ind w:right="-29"/>
              <w:jc w:val="center"/>
              <w:rPr>
                <w:noProof/>
                <w:sz w:val="18"/>
                <w:szCs w:val="18"/>
              </w:rPr>
            </w:pPr>
            <w:r>
              <w:rPr>
                <w:noProof/>
                <w:sz w:val="18"/>
                <w:szCs w:val="18"/>
              </w:rPr>
              <w:t>20.000</w:t>
            </w:r>
          </w:p>
        </w:tc>
      </w:tr>
      <w:tr>
        <w:trPr>
          <w:gridAfter w:val="1"/>
          <w:wAfter w:w="13" w:type="dxa"/>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9.100</w:t>
            </w: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1.800</w:t>
            </w:r>
          </w:p>
        </w:tc>
        <w:tc>
          <w:tcPr>
            <w:tcW w:w="834" w:type="dxa"/>
            <w:tcBorders>
              <w:top w:val="single" w:sz="12" w:space="0" w:color="auto"/>
              <w:bottom w:val="single" w:sz="12" w:space="0" w:color="auto"/>
            </w:tcBorders>
          </w:tcPr>
          <w:p>
            <w:pPr>
              <w:spacing w:before="180" w:after="180"/>
              <w:ind w:right="-29"/>
              <w:jc w:val="center"/>
              <w:rPr>
                <w:noProof/>
                <w:sz w:val="18"/>
                <w:szCs w:val="18"/>
              </w:rPr>
            </w:pPr>
          </w:p>
        </w:tc>
        <w:tc>
          <w:tcPr>
            <w:tcW w:w="637" w:type="dxa"/>
            <w:tcBorders>
              <w:top w:val="single" w:sz="12" w:space="0" w:color="auto"/>
              <w:bottom w:val="single" w:sz="12" w:space="0" w:color="auto"/>
            </w:tcBorders>
          </w:tcPr>
          <w:p>
            <w:pPr>
              <w:spacing w:before="180" w:after="180"/>
              <w:ind w:right="-29"/>
              <w:jc w:val="center"/>
              <w:rPr>
                <w:noProof/>
                <w:sz w:val="18"/>
                <w:szCs w:val="18"/>
              </w:rPr>
            </w:pPr>
          </w:p>
        </w:tc>
        <w:tc>
          <w:tcPr>
            <w:tcW w:w="414" w:type="dxa"/>
            <w:tcBorders>
              <w:top w:val="single" w:sz="12" w:space="0" w:color="auto"/>
              <w:bottom w:val="single" w:sz="12" w:space="0" w:color="auto"/>
            </w:tcBorders>
          </w:tcPr>
          <w:p>
            <w:pPr>
              <w:spacing w:before="180" w:after="180"/>
              <w:ind w:right="-29"/>
              <w:jc w:val="center"/>
              <w:rPr>
                <w:noProof/>
                <w:sz w:val="18"/>
                <w:szCs w:val="18"/>
              </w:rPr>
            </w:pPr>
          </w:p>
        </w:tc>
        <w:tc>
          <w:tcPr>
            <w:tcW w:w="774" w:type="dxa"/>
            <w:gridSpan w:val="2"/>
            <w:tcBorders>
              <w:top w:val="single" w:sz="12" w:space="0" w:color="auto"/>
              <w:bottom w:val="single" w:sz="12" w:space="0" w:color="auto"/>
            </w:tcBorders>
          </w:tcPr>
          <w:p>
            <w:pPr>
              <w:spacing w:before="180" w:after="180"/>
              <w:ind w:right="-29"/>
              <w:jc w:val="center"/>
              <w:rPr>
                <w:noProof/>
                <w:sz w:val="18"/>
                <w:szCs w:val="18"/>
              </w:rPr>
            </w:pPr>
            <w:r>
              <w:rPr>
                <w:noProof/>
                <w:sz w:val="18"/>
                <w:szCs w:val="18"/>
              </w:rPr>
              <w:t>18.200</w:t>
            </w:r>
          </w:p>
        </w:tc>
        <w:tc>
          <w:tcPr>
            <w:tcW w:w="432" w:type="dxa"/>
            <w:gridSpan w:val="2"/>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1.800</w:t>
            </w:r>
          </w:p>
        </w:tc>
        <w:tc>
          <w:tcPr>
            <w:tcW w:w="540" w:type="dxa"/>
            <w:gridSpan w:val="2"/>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9.100</w:t>
            </w:r>
          </w:p>
        </w:tc>
        <w:tc>
          <w:tcPr>
            <w:tcW w:w="951" w:type="dxa"/>
            <w:tcBorders>
              <w:top w:val="single" w:sz="12" w:space="0" w:color="auto"/>
              <w:bottom w:val="single" w:sz="12" w:space="0" w:color="auto"/>
            </w:tcBorders>
          </w:tcPr>
          <w:p>
            <w:pPr>
              <w:spacing w:before="180" w:after="180"/>
              <w:ind w:right="-29"/>
              <w:jc w:val="center"/>
              <w:rPr>
                <w:noProof/>
                <w:sz w:val="18"/>
                <w:szCs w:val="18"/>
              </w:rPr>
            </w:pPr>
          </w:p>
        </w:tc>
        <w:tc>
          <w:tcPr>
            <w:tcW w:w="1021" w:type="dxa"/>
            <w:gridSpan w:val="2"/>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szCs w:val="18"/>
              </w:rPr>
              <w:t>40.000</w:t>
            </w:r>
          </w:p>
        </w:tc>
      </w:tr>
    </w:tbl>
    <w:p>
      <w:pPr>
        <w:rPr>
          <w:noProof/>
        </w:rPr>
        <w:sectPr>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p>
    <w:p>
      <w:pPr>
        <w:pStyle w:val="ManualHeading3"/>
        <w:rPr>
          <w:bCs/>
          <w:noProof/>
          <w:szCs w:val="24"/>
        </w:rPr>
      </w:pPr>
      <w:bookmarkStart w:id="59" w:name="_Toc514938055"/>
      <w:bookmarkStart w:id="60" w:name="_Toc520485054"/>
      <w:r>
        <w:t>3.2.3.</w:t>
      </w:r>
      <w:r>
        <w:tab/>
      </w:r>
      <w:r>
        <w:rPr>
          <w:noProof/>
        </w:rPr>
        <w:t>Summary of estimated impact on administrative appropriations</w:t>
      </w:r>
      <w:bookmarkEnd w:id="59"/>
      <w:bookmarkEnd w:id="60"/>
      <w:r>
        <w:rPr>
          <w:noProof/>
        </w:rPr>
        <w:t xml:space="preserve">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sym w:font="Wingdings" w:char="F078"/>
      </w:r>
      <w:r>
        <w:rPr>
          <w:noProof/>
        </w:rPr>
        <w:tab/>
        <w:t>The proposal/initiative requires the use of appropriations of an administrative nature, as explained below:</w:t>
      </w:r>
    </w:p>
    <w:p>
      <w:pPr>
        <w:jc w:val="right"/>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 xml:space="preserve">2021 </w:t>
            </w:r>
            <w:r>
              <w:rPr>
                <w:rStyle w:val="FootnoteReference"/>
                <w:b/>
                <w:noProof/>
                <w:sz w:val="16"/>
              </w:rPr>
              <w:footnoteReference w:id="21"/>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2022</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2023</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2024</w:t>
            </w:r>
          </w:p>
        </w:tc>
        <w:tc>
          <w:tcPr>
            <w:tcW w:w="1080" w:type="dxa"/>
          </w:tcPr>
          <w:p>
            <w:pPr>
              <w:spacing w:line="200" w:lineRule="exact"/>
              <w:jc w:val="center"/>
              <w:rPr>
                <w:b/>
                <w:noProof/>
                <w:sz w:val="16"/>
                <w:szCs w:val="16"/>
              </w:rPr>
            </w:pPr>
            <w:r>
              <w:rPr>
                <w:noProof/>
                <w:sz w:val="16"/>
              </w:rPr>
              <w:t>Year</w:t>
            </w:r>
            <w:r>
              <w:rPr>
                <w:noProof/>
                <w:sz w:val="22"/>
              </w:rPr>
              <w:br/>
            </w:r>
            <w:r>
              <w:rPr>
                <w:b/>
                <w:noProof/>
                <w:sz w:val="16"/>
              </w:rPr>
              <w:t>2025</w:t>
            </w:r>
          </w:p>
        </w:tc>
        <w:tc>
          <w:tcPr>
            <w:tcW w:w="1080" w:type="dxa"/>
          </w:tcPr>
          <w:p>
            <w:pPr>
              <w:spacing w:line="200" w:lineRule="exact"/>
              <w:jc w:val="center"/>
              <w:rPr>
                <w:b/>
                <w:noProof/>
                <w:sz w:val="16"/>
                <w:szCs w:val="16"/>
              </w:rPr>
            </w:pPr>
            <w:r>
              <w:rPr>
                <w:noProof/>
                <w:sz w:val="16"/>
              </w:rPr>
              <w:t>Year</w:t>
            </w:r>
            <w:r>
              <w:rPr>
                <w:noProof/>
                <w:sz w:val="22"/>
              </w:rPr>
              <w:br/>
            </w:r>
            <w:r>
              <w:rPr>
                <w:b/>
                <w:noProof/>
                <w:sz w:val="16"/>
              </w:rPr>
              <w:t>2026</w:t>
            </w:r>
          </w:p>
        </w:tc>
        <w:tc>
          <w:tcPr>
            <w:tcW w:w="1080" w:type="dxa"/>
          </w:tcPr>
          <w:p>
            <w:pPr>
              <w:spacing w:line="200" w:lineRule="exact"/>
              <w:jc w:val="center"/>
              <w:rPr>
                <w:b/>
                <w:noProof/>
                <w:sz w:val="16"/>
                <w:szCs w:val="16"/>
              </w:rPr>
            </w:pPr>
            <w:r>
              <w:rPr>
                <w:noProof/>
                <w:sz w:val="16"/>
              </w:rPr>
              <w:t>Year</w:t>
            </w:r>
            <w:r>
              <w:rPr>
                <w:noProof/>
                <w:sz w:val="22"/>
              </w:rPr>
              <w:br/>
            </w:r>
            <w:r>
              <w:rPr>
                <w:b/>
                <w:noProof/>
                <w:sz w:val="16"/>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c>
          <w:tcPr>
            <w:tcW w:w="1080" w:type="dxa"/>
            <w:vAlign w:val="center"/>
          </w:tcPr>
          <w:p>
            <w:pPr>
              <w:spacing w:before="60" w:after="60" w:line="200" w:lineRule="exact"/>
              <w:jc w:val="right"/>
              <w:rPr>
                <w:b/>
                <w:noProof/>
                <w:sz w:val="16"/>
                <w:szCs w:val="16"/>
              </w:rPr>
            </w:pPr>
            <w:r>
              <w:rPr>
                <w:b/>
                <w:noProof/>
                <w:sz w:val="16"/>
                <w:szCs w:val="16"/>
              </w:rPr>
              <w:t>7</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noProof/>
                <w:color w:val="000000"/>
                <w:sz w:val="20"/>
                <w:szCs w:val="20"/>
              </w:rPr>
              <w:t>0,775</w:t>
            </w:r>
          </w:p>
        </w:tc>
        <w:tc>
          <w:tcPr>
            <w:tcW w:w="1080" w:type="dxa"/>
            <w:vAlign w:val="center"/>
          </w:tcPr>
          <w:p>
            <w:pPr>
              <w:spacing w:before="60" w:after="60" w:line="200" w:lineRule="exact"/>
              <w:jc w:val="right"/>
              <w:rPr>
                <w:noProof/>
                <w:sz w:val="16"/>
                <w:szCs w:val="16"/>
              </w:rPr>
            </w:pPr>
            <w:r>
              <w:rPr>
                <w:noProof/>
                <w:color w:val="000000"/>
                <w:sz w:val="20"/>
                <w:szCs w:val="20"/>
              </w:rPr>
              <w:t>0,775</w:t>
            </w:r>
          </w:p>
        </w:tc>
        <w:tc>
          <w:tcPr>
            <w:tcW w:w="1080" w:type="dxa"/>
            <w:vAlign w:val="center"/>
          </w:tcPr>
          <w:p>
            <w:pPr>
              <w:spacing w:before="60" w:after="60" w:line="200" w:lineRule="exact"/>
              <w:jc w:val="right"/>
              <w:rPr>
                <w:noProof/>
                <w:sz w:val="16"/>
                <w:szCs w:val="16"/>
              </w:rPr>
            </w:pPr>
            <w:r>
              <w:rPr>
                <w:noProof/>
                <w:color w:val="000000"/>
                <w:sz w:val="20"/>
                <w:szCs w:val="20"/>
              </w:rPr>
              <w:t>0,775</w:t>
            </w:r>
          </w:p>
        </w:tc>
        <w:tc>
          <w:tcPr>
            <w:tcW w:w="1080" w:type="dxa"/>
            <w:vAlign w:val="center"/>
          </w:tcPr>
          <w:p>
            <w:pPr>
              <w:spacing w:before="60" w:after="60" w:line="200" w:lineRule="exact"/>
              <w:jc w:val="right"/>
              <w:rPr>
                <w:noProof/>
                <w:sz w:val="16"/>
                <w:szCs w:val="16"/>
              </w:rPr>
            </w:pPr>
            <w:r>
              <w:rPr>
                <w:noProof/>
                <w:color w:val="000000"/>
                <w:sz w:val="20"/>
                <w:szCs w:val="20"/>
              </w:rPr>
              <w:t>0,775</w:t>
            </w:r>
          </w:p>
        </w:tc>
        <w:tc>
          <w:tcPr>
            <w:tcW w:w="1080" w:type="dxa"/>
            <w:vAlign w:val="center"/>
          </w:tcPr>
          <w:p>
            <w:pPr>
              <w:spacing w:before="60" w:after="60" w:line="200" w:lineRule="exact"/>
              <w:jc w:val="right"/>
              <w:rPr>
                <w:noProof/>
                <w:sz w:val="16"/>
                <w:szCs w:val="16"/>
              </w:rPr>
            </w:pPr>
            <w:r>
              <w:rPr>
                <w:noProof/>
                <w:color w:val="000000"/>
                <w:sz w:val="20"/>
                <w:szCs w:val="20"/>
              </w:rPr>
              <w:t>0,775</w:t>
            </w:r>
          </w:p>
        </w:tc>
        <w:tc>
          <w:tcPr>
            <w:tcW w:w="1080" w:type="dxa"/>
            <w:vAlign w:val="center"/>
          </w:tcPr>
          <w:p>
            <w:pPr>
              <w:spacing w:before="60" w:after="60" w:line="200" w:lineRule="exact"/>
              <w:jc w:val="right"/>
              <w:rPr>
                <w:noProof/>
                <w:sz w:val="16"/>
                <w:szCs w:val="16"/>
              </w:rPr>
            </w:pPr>
            <w:r>
              <w:rPr>
                <w:noProof/>
                <w:color w:val="000000"/>
                <w:sz w:val="20"/>
                <w:szCs w:val="20"/>
              </w:rPr>
              <w:t>0,775</w:t>
            </w:r>
          </w:p>
        </w:tc>
        <w:tc>
          <w:tcPr>
            <w:tcW w:w="1080" w:type="dxa"/>
            <w:vAlign w:val="center"/>
          </w:tcPr>
          <w:p>
            <w:pPr>
              <w:spacing w:before="60" w:after="60" w:line="200" w:lineRule="exact"/>
              <w:jc w:val="right"/>
              <w:rPr>
                <w:b/>
                <w:noProof/>
                <w:sz w:val="16"/>
                <w:szCs w:val="16"/>
              </w:rPr>
            </w:pPr>
            <w:r>
              <w:rPr>
                <w:noProof/>
                <w:color w:val="000000"/>
                <w:sz w:val="20"/>
                <w:szCs w:val="20"/>
              </w:rPr>
              <w:t>0,775</w:t>
            </w:r>
          </w:p>
        </w:tc>
        <w:tc>
          <w:tcPr>
            <w:tcW w:w="1080" w:type="dxa"/>
            <w:vAlign w:val="center"/>
          </w:tcPr>
          <w:p>
            <w:pPr>
              <w:spacing w:before="60" w:after="60" w:line="200" w:lineRule="exact"/>
              <w:jc w:val="right"/>
              <w:rPr>
                <w:b/>
                <w:noProof/>
                <w:sz w:val="16"/>
                <w:szCs w:val="16"/>
              </w:rPr>
            </w:pPr>
            <w:r>
              <w:rPr>
                <w:b/>
                <w:bCs/>
                <w:noProof/>
                <w:color w:val="000000"/>
                <w:sz w:val="20"/>
                <w:szCs w:val="20"/>
              </w:rPr>
              <w:t>5,426</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r>
              <w:rPr>
                <w:noProof/>
                <w:color w:val="000000"/>
                <w:sz w:val="20"/>
                <w:szCs w:val="20"/>
              </w:rPr>
              <w:t>0,030</w:t>
            </w:r>
          </w:p>
        </w:tc>
        <w:tc>
          <w:tcPr>
            <w:tcW w:w="1080" w:type="dxa"/>
            <w:vAlign w:val="center"/>
          </w:tcPr>
          <w:p>
            <w:pPr>
              <w:spacing w:before="60" w:after="60" w:line="200" w:lineRule="exact"/>
              <w:jc w:val="right"/>
              <w:rPr>
                <w:noProof/>
                <w:sz w:val="16"/>
                <w:szCs w:val="16"/>
              </w:rPr>
            </w:pPr>
            <w:r>
              <w:rPr>
                <w:noProof/>
                <w:color w:val="000000"/>
                <w:sz w:val="20"/>
                <w:szCs w:val="20"/>
              </w:rPr>
              <w:t>0,530</w:t>
            </w:r>
          </w:p>
        </w:tc>
        <w:tc>
          <w:tcPr>
            <w:tcW w:w="1080" w:type="dxa"/>
            <w:vAlign w:val="center"/>
          </w:tcPr>
          <w:p>
            <w:pPr>
              <w:spacing w:before="60" w:after="60" w:line="200" w:lineRule="exact"/>
              <w:jc w:val="right"/>
              <w:rPr>
                <w:noProof/>
                <w:sz w:val="16"/>
                <w:szCs w:val="16"/>
              </w:rPr>
            </w:pPr>
            <w:r>
              <w:rPr>
                <w:noProof/>
                <w:color w:val="000000"/>
                <w:sz w:val="20"/>
                <w:szCs w:val="20"/>
              </w:rPr>
              <w:t>0,280</w:t>
            </w:r>
          </w:p>
        </w:tc>
        <w:tc>
          <w:tcPr>
            <w:tcW w:w="1080" w:type="dxa"/>
            <w:vAlign w:val="center"/>
          </w:tcPr>
          <w:p>
            <w:pPr>
              <w:spacing w:before="60" w:after="60" w:line="200" w:lineRule="exact"/>
              <w:jc w:val="right"/>
              <w:rPr>
                <w:noProof/>
                <w:sz w:val="16"/>
                <w:szCs w:val="16"/>
              </w:rPr>
            </w:pPr>
            <w:r>
              <w:rPr>
                <w:noProof/>
                <w:color w:val="000000"/>
                <w:sz w:val="20"/>
                <w:szCs w:val="20"/>
              </w:rPr>
              <w:t>0,280</w:t>
            </w:r>
          </w:p>
        </w:tc>
        <w:tc>
          <w:tcPr>
            <w:tcW w:w="1080" w:type="dxa"/>
            <w:vAlign w:val="center"/>
          </w:tcPr>
          <w:p>
            <w:pPr>
              <w:spacing w:before="60" w:after="60" w:line="200" w:lineRule="exact"/>
              <w:jc w:val="right"/>
              <w:rPr>
                <w:noProof/>
                <w:sz w:val="16"/>
                <w:szCs w:val="16"/>
              </w:rPr>
            </w:pPr>
            <w:r>
              <w:rPr>
                <w:noProof/>
                <w:color w:val="000000"/>
                <w:sz w:val="20"/>
                <w:szCs w:val="20"/>
              </w:rPr>
              <w:t>0,280</w:t>
            </w:r>
          </w:p>
        </w:tc>
        <w:tc>
          <w:tcPr>
            <w:tcW w:w="1080" w:type="dxa"/>
            <w:vAlign w:val="center"/>
          </w:tcPr>
          <w:p>
            <w:pPr>
              <w:spacing w:before="60" w:after="60" w:line="200" w:lineRule="exact"/>
              <w:jc w:val="right"/>
              <w:rPr>
                <w:noProof/>
                <w:sz w:val="16"/>
                <w:szCs w:val="16"/>
              </w:rPr>
            </w:pPr>
            <w:r>
              <w:rPr>
                <w:noProof/>
                <w:color w:val="000000"/>
                <w:sz w:val="20"/>
                <w:szCs w:val="20"/>
              </w:rPr>
              <w:t>0,280</w:t>
            </w:r>
          </w:p>
        </w:tc>
        <w:tc>
          <w:tcPr>
            <w:tcW w:w="1080" w:type="dxa"/>
            <w:vAlign w:val="center"/>
          </w:tcPr>
          <w:p>
            <w:pPr>
              <w:spacing w:before="60" w:after="60" w:line="200" w:lineRule="exact"/>
              <w:jc w:val="right"/>
              <w:rPr>
                <w:b/>
                <w:noProof/>
                <w:sz w:val="16"/>
                <w:szCs w:val="16"/>
              </w:rPr>
            </w:pPr>
            <w:r>
              <w:rPr>
                <w:noProof/>
                <w:color w:val="000000"/>
                <w:sz w:val="20"/>
                <w:szCs w:val="20"/>
              </w:rPr>
              <w:t>0,030</w:t>
            </w:r>
          </w:p>
        </w:tc>
        <w:tc>
          <w:tcPr>
            <w:tcW w:w="1080" w:type="dxa"/>
            <w:vAlign w:val="center"/>
          </w:tcPr>
          <w:p>
            <w:pPr>
              <w:spacing w:before="60" w:after="60" w:line="200" w:lineRule="exact"/>
              <w:jc w:val="right"/>
              <w:rPr>
                <w:b/>
                <w:noProof/>
                <w:sz w:val="16"/>
                <w:szCs w:val="16"/>
              </w:rPr>
            </w:pPr>
            <w:r>
              <w:rPr>
                <w:b/>
                <w:bCs/>
                <w:noProof/>
                <w:color w:val="000000"/>
                <w:sz w:val="20"/>
                <w:szCs w:val="20"/>
              </w:rPr>
              <w:t>1,710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r>
              <w:rPr>
                <w:b/>
                <w:bCs/>
                <w:noProof/>
                <w:color w:val="000000"/>
                <w:sz w:val="20"/>
                <w:szCs w:val="20"/>
              </w:rPr>
              <w:t>0,805</w:t>
            </w:r>
          </w:p>
        </w:tc>
        <w:tc>
          <w:tcPr>
            <w:tcW w:w="1080" w:type="dxa"/>
            <w:vAlign w:val="center"/>
          </w:tcPr>
          <w:p>
            <w:pPr>
              <w:spacing w:before="60" w:after="60" w:line="200" w:lineRule="exact"/>
              <w:jc w:val="right"/>
              <w:rPr>
                <w:noProof/>
                <w:sz w:val="16"/>
                <w:szCs w:val="16"/>
              </w:rPr>
            </w:pPr>
            <w:r>
              <w:rPr>
                <w:b/>
                <w:bCs/>
                <w:noProof/>
                <w:color w:val="000000"/>
                <w:sz w:val="20"/>
                <w:szCs w:val="20"/>
              </w:rPr>
              <w:t>1,305</w:t>
            </w:r>
          </w:p>
        </w:tc>
        <w:tc>
          <w:tcPr>
            <w:tcW w:w="1080" w:type="dxa"/>
            <w:vAlign w:val="center"/>
          </w:tcPr>
          <w:p>
            <w:pPr>
              <w:spacing w:before="60" w:after="60" w:line="200" w:lineRule="exact"/>
              <w:jc w:val="right"/>
              <w:rPr>
                <w:noProof/>
                <w:sz w:val="16"/>
                <w:szCs w:val="16"/>
              </w:rPr>
            </w:pPr>
            <w:r>
              <w:rPr>
                <w:b/>
                <w:bCs/>
                <w:noProof/>
                <w:color w:val="000000"/>
                <w:sz w:val="20"/>
                <w:szCs w:val="20"/>
              </w:rPr>
              <w:t>1,055</w:t>
            </w:r>
          </w:p>
        </w:tc>
        <w:tc>
          <w:tcPr>
            <w:tcW w:w="1080" w:type="dxa"/>
            <w:vAlign w:val="center"/>
          </w:tcPr>
          <w:p>
            <w:pPr>
              <w:spacing w:before="60" w:after="60" w:line="200" w:lineRule="exact"/>
              <w:jc w:val="right"/>
              <w:rPr>
                <w:noProof/>
                <w:sz w:val="16"/>
                <w:szCs w:val="16"/>
              </w:rPr>
            </w:pPr>
            <w:r>
              <w:rPr>
                <w:b/>
                <w:bCs/>
                <w:noProof/>
                <w:color w:val="000000"/>
                <w:sz w:val="20"/>
                <w:szCs w:val="20"/>
              </w:rPr>
              <w:t>1,055</w:t>
            </w:r>
          </w:p>
        </w:tc>
        <w:tc>
          <w:tcPr>
            <w:tcW w:w="1080" w:type="dxa"/>
            <w:vAlign w:val="center"/>
          </w:tcPr>
          <w:p>
            <w:pPr>
              <w:spacing w:before="60" w:after="60" w:line="200" w:lineRule="exact"/>
              <w:jc w:val="right"/>
              <w:rPr>
                <w:noProof/>
                <w:sz w:val="16"/>
                <w:szCs w:val="16"/>
              </w:rPr>
            </w:pPr>
            <w:r>
              <w:rPr>
                <w:b/>
                <w:bCs/>
                <w:noProof/>
                <w:color w:val="000000"/>
                <w:sz w:val="20"/>
                <w:szCs w:val="20"/>
              </w:rPr>
              <w:t>1,055</w:t>
            </w:r>
          </w:p>
        </w:tc>
        <w:tc>
          <w:tcPr>
            <w:tcW w:w="1080" w:type="dxa"/>
            <w:vAlign w:val="center"/>
          </w:tcPr>
          <w:p>
            <w:pPr>
              <w:spacing w:before="60" w:after="60" w:line="200" w:lineRule="exact"/>
              <w:jc w:val="right"/>
              <w:rPr>
                <w:noProof/>
                <w:sz w:val="16"/>
                <w:szCs w:val="16"/>
              </w:rPr>
            </w:pPr>
            <w:r>
              <w:rPr>
                <w:b/>
                <w:bCs/>
                <w:noProof/>
                <w:color w:val="000000"/>
                <w:sz w:val="20"/>
                <w:szCs w:val="20"/>
              </w:rPr>
              <w:t>1,055</w:t>
            </w:r>
          </w:p>
        </w:tc>
        <w:tc>
          <w:tcPr>
            <w:tcW w:w="1080" w:type="dxa"/>
            <w:vAlign w:val="center"/>
          </w:tcPr>
          <w:p>
            <w:pPr>
              <w:spacing w:before="60" w:after="60" w:line="200" w:lineRule="exact"/>
              <w:jc w:val="right"/>
              <w:rPr>
                <w:b/>
                <w:noProof/>
                <w:sz w:val="16"/>
                <w:szCs w:val="16"/>
              </w:rPr>
            </w:pPr>
            <w:r>
              <w:rPr>
                <w:b/>
                <w:bCs/>
                <w:noProof/>
                <w:color w:val="000000"/>
                <w:sz w:val="20"/>
                <w:szCs w:val="20"/>
              </w:rPr>
              <w:t>0,805</w:t>
            </w:r>
          </w:p>
        </w:tc>
        <w:tc>
          <w:tcPr>
            <w:tcW w:w="1080" w:type="dxa"/>
            <w:vAlign w:val="center"/>
          </w:tcPr>
          <w:p>
            <w:pPr>
              <w:spacing w:before="60" w:after="60" w:line="200" w:lineRule="exact"/>
              <w:jc w:val="right"/>
              <w:rPr>
                <w:b/>
                <w:noProof/>
                <w:sz w:val="16"/>
                <w:szCs w:val="16"/>
              </w:rPr>
            </w:pPr>
            <w:r>
              <w:rPr>
                <w:b/>
                <w:bCs/>
                <w:noProof/>
                <w:color w:val="000000"/>
                <w:sz w:val="20"/>
                <w:szCs w:val="20"/>
              </w:rPr>
              <w:t>7,136</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Outside HEADING 7</w:t>
            </w:r>
            <w:r>
              <w:rPr>
                <w:rStyle w:val="FootnoteReference"/>
                <w:b/>
                <w:noProof/>
                <w:sz w:val="16"/>
              </w:rPr>
              <w:footnoteReference w:id="22"/>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0,805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1,305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1,055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1,055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1,055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1,055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bCs/>
                <w:noProof/>
                <w:color w:val="000000"/>
                <w:sz w:val="20"/>
                <w:szCs w:val="20"/>
              </w:rPr>
              <w:t>0,805</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bCs/>
                <w:noProof/>
                <w:color w:val="000000"/>
                <w:sz w:val="20"/>
                <w:szCs w:val="20"/>
              </w:rPr>
              <w:t>7,136</w:t>
            </w:r>
          </w:p>
        </w:tc>
      </w:tr>
    </w:tbl>
    <w:p>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rPr>
        <w:sectPr>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p>
    <w:p>
      <w:pPr>
        <w:pStyle w:val="ManualHeading4"/>
        <w:rPr>
          <w:bCs/>
          <w:noProof/>
          <w:szCs w:val="24"/>
        </w:rPr>
      </w:pPr>
      <w:r>
        <w:t>3.2.3.1.</w:t>
      </w:r>
      <w:r>
        <w:tab/>
      </w:r>
      <w:r>
        <w:rPr>
          <w:noProof/>
        </w:rPr>
        <w:t xml:space="preserve">Estimated requirements of human resources </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78"/>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5" w:type="dxa"/>
          <w:trHeight w:val="289"/>
          <w:jc w:val="center"/>
        </w:trPr>
        <w:tc>
          <w:tcPr>
            <w:tcW w:w="4754" w:type="dxa"/>
            <w:gridSpan w:val="2"/>
            <w:shd w:val="clear" w:color="auto" w:fill="auto"/>
          </w:tcPr>
          <w:p>
            <w:pPr>
              <w:pStyle w:val="Text1"/>
              <w:spacing w:before="40" w:after="40"/>
              <w:ind w:left="0"/>
              <w:jc w:val="center"/>
              <w:rPr>
                <w:i/>
                <w:noProof/>
                <w:sz w:val="16"/>
                <w:szCs w:val="16"/>
              </w:rPr>
            </w:pPr>
          </w:p>
        </w:tc>
        <w:tc>
          <w:tcPr>
            <w:tcW w:w="731" w:type="dxa"/>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2021</w:t>
            </w:r>
          </w:p>
        </w:tc>
        <w:tc>
          <w:tcPr>
            <w:tcW w:w="731" w:type="dxa"/>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2022</w:t>
            </w:r>
          </w:p>
        </w:tc>
        <w:tc>
          <w:tcPr>
            <w:tcW w:w="731" w:type="dxa"/>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2023</w:t>
            </w:r>
          </w:p>
        </w:tc>
        <w:tc>
          <w:tcPr>
            <w:tcW w:w="731" w:type="dxa"/>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2024</w:t>
            </w:r>
          </w:p>
        </w:tc>
        <w:tc>
          <w:tcPr>
            <w:tcW w:w="731" w:type="dxa"/>
            <w:shd w:val="clear" w:color="auto" w:fill="auto"/>
          </w:tcPr>
          <w:p>
            <w:pPr>
              <w:jc w:val="center"/>
              <w:rPr>
                <w:b/>
                <w:noProof/>
                <w:sz w:val="16"/>
                <w:szCs w:val="16"/>
              </w:rPr>
            </w:pPr>
            <w:r>
              <w:rPr>
                <w:noProof/>
                <w:sz w:val="16"/>
                <w:szCs w:val="16"/>
              </w:rPr>
              <w:t xml:space="preserve">Year </w:t>
            </w:r>
            <w:r>
              <w:rPr>
                <w:b/>
                <w:noProof/>
                <w:sz w:val="16"/>
                <w:szCs w:val="16"/>
              </w:rPr>
              <w:t>2025</w:t>
            </w:r>
          </w:p>
        </w:tc>
        <w:tc>
          <w:tcPr>
            <w:tcW w:w="731" w:type="dxa"/>
            <w:shd w:val="clear" w:color="auto" w:fill="auto"/>
          </w:tcPr>
          <w:p>
            <w:pPr>
              <w:jc w:val="center"/>
              <w:rPr>
                <w:b/>
                <w:noProof/>
                <w:sz w:val="16"/>
                <w:szCs w:val="16"/>
              </w:rPr>
            </w:pPr>
            <w:r>
              <w:rPr>
                <w:noProof/>
                <w:sz w:val="16"/>
                <w:szCs w:val="16"/>
              </w:rPr>
              <w:t xml:space="preserve">Year </w:t>
            </w:r>
            <w:r>
              <w:rPr>
                <w:b/>
                <w:noProof/>
                <w:sz w:val="16"/>
                <w:szCs w:val="16"/>
              </w:rPr>
              <w:t>2026</w:t>
            </w:r>
          </w:p>
        </w:tc>
        <w:tc>
          <w:tcPr>
            <w:tcW w:w="731" w:type="dxa"/>
            <w:shd w:val="clear" w:color="auto" w:fill="auto"/>
          </w:tcPr>
          <w:p>
            <w:pPr>
              <w:jc w:val="center"/>
              <w:rPr>
                <w:b/>
                <w:noProof/>
                <w:sz w:val="16"/>
                <w:szCs w:val="16"/>
              </w:rPr>
            </w:pPr>
            <w:r>
              <w:rPr>
                <w:noProof/>
                <w:sz w:val="16"/>
                <w:szCs w:val="16"/>
              </w:rPr>
              <w:t xml:space="preserve">Year </w:t>
            </w:r>
            <w:r>
              <w:rPr>
                <w:b/>
                <w:noProof/>
                <w:sz w:val="16"/>
                <w:szCs w:val="16"/>
              </w:rPr>
              <w:t>2027</w:t>
            </w:r>
          </w:p>
        </w:tc>
      </w:tr>
      <w:tr>
        <w:trPr>
          <w:gridBefore w:val="1"/>
          <w:wBefore w:w="15" w:type="dxa"/>
          <w:trHeight w:val="289"/>
          <w:jc w:val="center"/>
        </w:trPr>
        <w:tc>
          <w:tcPr>
            <w:tcW w:w="9871" w:type="dxa"/>
            <w:gridSpan w:val="9"/>
            <w:shd w:val="clear" w:color="auto" w:fill="auto"/>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b/>
                <w:noProof/>
                <w:sz w:val="16"/>
                <w:szCs w:val="16"/>
              </w:rPr>
            </w:pPr>
            <w:r>
              <w:rPr>
                <w:noProof/>
                <w:sz w:val="16"/>
              </w:rPr>
              <w:t>20 01 02 01</w:t>
            </w:r>
            <w:r>
              <w:rPr>
                <w:rFonts w:ascii="Arial Narrow" w:hAnsi="Arial Narrow"/>
                <w:noProof/>
                <w:color w:val="000000"/>
                <w:sz w:val="20"/>
                <w:szCs w:val="20"/>
              </w:rPr>
              <w:t xml:space="preserve"> </w:t>
            </w:r>
            <w:r>
              <w:rPr>
                <w:noProof/>
                <w:sz w:val="16"/>
              </w:rPr>
              <w:t>(Headquarters and Commission’s Representation Offices)</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5.1</w:t>
            </w: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rPr>
            </w:pPr>
            <w:r>
              <w:rPr>
                <w:noProof/>
                <w:sz w:val="16"/>
              </w:rPr>
              <w:t>20 01 02 03 (Delegations)</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01 01 01 01</w:t>
            </w:r>
            <w:r>
              <w:rPr>
                <w:rFonts w:ascii="Arial Narrow" w:hAnsi="Arial Narrow"/>
                <w:noProof/>
                <w:color w:val="000000"/>
                <w:sz w:val="20"/>
                <w:szCs w:val="20"/>
              </w:rPr>
              <w:t xml:space="preserve"> </w:t>
            </w:r>
            <w:r>
              <w:rPr>
                <w:noProof/>
                <w:sz w:val="16"/>
              </w:rPr>
              <w:t xml:space="preserve"> (Indirect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 xml:space="preserve"> 01 01 01 11 (Direct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4"/>
              <w:jc w:val="left"/>
              <w:rPr>
                <w:noProof/>
                <w:sz w:val="16"/>
              </w:rPr>
            </w:pPr>
            <w:r>
              <w:rPr>
                <w:noProof/>
                <w:sz w:val="16"/>
              </w:rPr>
              <w:t>Other budget lines (specify)</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trHeight w:val="248"/>
          <w:jc w:val="center"/>
        </w:trPr>
        <w:tc>
          <w:tcPr>
            <w:tcW w:w="9886" w:type="dxa"/>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23"/>
            </w:r>
          </w:p>
          <w:p>
            <w:pPr>
              <w:pStyle w:val="Text1"/>
              <w:spacing w:before="0" w:after="0"/>
              <w:ind w:left="0"/>
              <w:jc w:val="left"/>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20 02 01</w:t>
            </w:r>
            <w:r>
              <w:rPr>
                <w:rFonts w:ascii="Arial Narrow" w:hAnsi="Arial Narrow"/>
                <w:noProof/>
                <w:color w:val="000000"/>
                <w:sz w:val="20"/>
                <w:szCs w:val="20"/>
              </w:rPr>
              <w:t xml:space="preserve"> </w:t>
            </w:r>
            <w:r>
              <w:rPr>
                <w:noProof/>
                <w:sz w:val="16"/>
              </w:rPr>
              <w:t>(AC, END, INT from the ‘global envelope’)</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rPr>
            </w:pPr>
            <w:r>
              <w:rPr>
                <w:noProof/>
                <w:sz w:val="16"/>
              </w:rPr>
              <w:t>20 02 03 (AC, AL, END, INT and JPD in the delegations)</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2376" w:type="dxa"/>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xx </w:t>
            </w:r>
            <w:r>
              <w:rPr>
                <w:b/>
                <w:noProof/>
                <w:sz w:val="16"/>
                <w:szCs w:val="16"/>
              </w:rPr>
              <w:t xml:space="preserve">yy zz </w:t>
            </w:r>
            <w:r>
              <w:rPr>
                <w:b/>
                <w:i/>
                <w:noProof/>
                <w:sz w:val="16"/>
              </w:rPr>
              <w:t xml:space="preserve"> </w:t>
            </w:r>
            <w:r>
              <w:rPr>
                <w:rStyle w:val="FootnoteReference"/>
                <w:b/>
                <w:i/>
                <w:noProof/>
                <w:sz w:val="16"/>
              </w:rPr>
              <w:footnoteReference w:id="24"/>
            </w:r>
          </w:p>
          <w:p>
            <w:pPr>
              <w:pStyle w:val="Text1"/>
              <w:spacing w:beforeLines="20" w:before="48" w:afterLines="20" w:after="48"/>
              <w:ind w:left="136"/>
              <w:jc w:val="left"/>
              <w:rPr>
                <w:b/>
                <w:noProof/>
                <w:sz w:val="16"/>
                <w:szCs w:val="16"/>
              </w:rPr>
            </w:pPr>
          </w:p>
        </w:tc>
        <w:tc>
          <w:tcPr>
            <w:tcW w:w="2378" w:type="dxa"/>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731" w:type="dxa"/>
            <w:shd w:val="clear" w:color="auto" w:fill="auto"/>
            <w:vAlign w:val="center"/>
          </w:tcPr>
          <w:p>
            <w:pPr>
              <w:pStyle w:val="Text1"/>
              <w:spacing w:beforeLines="20" w:before="48" w:afterLines="20" w:after="48"/>
              <w:ind w:left="0"/>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2376" w:type="dxa"/>
            <w:vMerge/>
            <w:shd w:val="clear" w:color="auto" w:fill="auto"/>
            <w:vAlign w:val="center"/>
          </w:tcPr>
          <w:p>
            <w:pPr>
              <w:pStyle w:val="Text1"/>
              <w:spacing w:beforeLines="20" w:before="48" w:afterLines="20" w:after="48"/>
              <w:ind w:left="136"/>
              <w:jc w:val="left"/>
              <w:rPr>
                <w:b/>
                <w:noProof/>
                <w:sz w:val="16"/>
                <w:szCs w:val="16"/>
              </w:rPr>
            </w:pPr>
          </w:p>
        </w:tc>
        <w:tc>
          <w:tcPr>
            <w:tcW w:w="2378"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731" w:type="dxa"/>
            <w:shd w:val="clear" w:color="auto" w:fill="auto"/>
            <w:vAlign w:val="center"/>
          </w:tcPr>
          <w:p>
            <w:pPr>
              <w:pStyle w:val="Text1"/>
              <w:spacing w:beforeLines="20" w:before="48" w:afterLines="20" w:after="48"/>
              <w:ind w:left="0"/>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01 01 01 02</w:t>
            </w:r>
            <w:r>
              <w:rPr>
                <w:rFonts w:ascii="Arial Narrow" w:hAnsi="Arial Narrow"/>
                <w:noProof/>
                <w:color w:val="000000"/>
                <w:sz w:val="20"/>
                <w:szCs w:val="20"/>
              </w:rPr>
              <w:t xml:space="preserve"> </w:t>
            </w:r>
            <w:r>
              <w:rPr>
                <w:noProof/>
                <w:sz w:val="16"/>
                <w:szCs w:val="16"/>
              </w:rPr>
              <w:t>(AC, END, INT - Indirect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color w:val="FF0000"/>
                <w:sz w:val="16"/>
                <w:szCs w:val="16"/>
              </w:rPr>
            </w:pPr>
            <w:r>
              <w:rPr>
                <w:noProof/>
                <w:sz w:val="16"/>
              </w:rPr>
              <w:t xml:space="preserve"> 01 01 01 12 (AC, END, INT - Direct research)</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shd w:val="clear" w:color="auto" w:fill="auto"/>
            <w:vAlign w:val="center"/>
          </w:tcPr>
          <w:p>
            <w:pPr>
              <w:pStyle w:val="Text1"/>
              <w:spacing w:beforeLines="20" w:before="48" w:afterLines="20" w:after="48"/>
              <w:ind w:left="136"/>
              <w:jc w:val="left"/>
              <w:rPr>
                <w:noProof/>
                <w:sz w:val="16"/>
              </w:rPr>
            </w:pPr>
            <w:r>
              <w:rPr>
                <w:noProof/>
                <w:sz w:val="16"/>
              </w:rPr>
              <w:t>Other budget lines (specify)</w:t>
            </w: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c>
          <w:tcPr>
            <w:tcW w:w="731" w:type="dxa"/>
            <w:shd w:val="clear" w:color="auto" w:fill="auto"/>
            <w:vAlign w:val="center"/>
          </w:tcPr>
          <w:p>
            <w:pPr>
              <w:spacing w:beforeLines="20" w:before="48" w:afterLines="20" w:after="48"/>
              <w:jc w:val="center"/>
              <w:rPr>
                <w:noProof/>
                <w:sz w:val="16"/>
                <w:szCs w:val="16"/>
              </w:rPr>
            </w:pPr>
          </w:p>
        </w:tc>
      </w:tr>
      <w:tr>
        <w:trPr>
          <w:gridBefore w:val="1"/>
          <w:wBefore w:w="15" w:type="dxa"/>
          <w:trHeight w:val="289"/>
          <w:jc w:val="center"/>
        </w:trPr>
        <w:tc>
          <w:tcPr>
            <w:tcW w:w="4754" w:type="dxa"/>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5.1</w:t>
            </w: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pStyle w:val="Text1"/>
              <w:spacing w:line="276" w:lineRule="auto"/>
              <w:ind w:left="4"/>
              <w:rPr>
                <w:noProof/>
              </w:rPr>
            </w:pPr>
            <w:r>
              <w:rPr>
                <w:noProof/>
              </w:rPr>
              <w:t>The human resources required will be met by staff from the DG that are already assigned to the management of the action and/or have been redeployed within the DG, together if necessary with any additional allocation that may be granted to the managing DG under the annual allocation procedure and in the light of budgetary constraints.</w:t>
            </w:r>
          </w:p>
          <w:p>
            <w:pPr>
              <w:pStyle w:val="Text1"/>
              <w:spacing w:line="276" w:lineRule="auto"/>
              <w:ind w:left="4"/>
              <w:rPr>
                <w:noProof/>
              </w:rPr>
            </w:pPr>
            <w:r>
              <w:rPr>
                <w:noProof/>
              </w:rPr>
              <w:t>The tasks to be performed include:</w:t>
            </w:r>
          </w:p>
          <w:p>
            <w:pPr>
              <w:pStyle w:val="Text1"/>
              <w:spacing w:line="276" w:lineRule="auto"/>
              <w:ind w:left="4"/>
              <w:rPr>
                <w:noProof/>
              </w:rPr>
            </w:pPr>
            <w:r>
              <w:rPr>
                <w:noProof/>
              </w:rPr>
              <w:t>- management of grants related to the initiative</w:t>
            </w:r>
          </w:p>
          <w:p>
            <w:pPr>
              <w:pStyle w:val="Text1"/>
              <w:spacing w:line="276" w:lineRule="auto"/>
              <w:ind w:left="4"/>
              <w:rPr>
                <w:noProof/>
              </w:rPr>
            </w:pPr>
            <w:r>
              <w:rPr>
                <w:noProof/>
              </w:rPr>
              <w:t>- validation of data</w:t>
            </w:r>
          </w:p>
          <w:p>
            <w:pPr>
              <w:pStyle w:val="Text1"/>
              <w:spacing w:line="276" w:lineRule="auto"/>
              <w:ind w:left="4"/>
              <w:rPr>
                <w:noProof/>
              </w:rPr>
            </w:pPr>
            <w:r>
              <w:rPr>
                <w:noProof/>
              </w:rPr>
              <w:t>- support and methodological work</w:t>
            </w:r>
          </w:p>
          <w:p>
            <w:pPr>
              <w:pStyle w:val="Text1"/>
              <w:spacing w:line="276" w:lineRule="auto"/>
              <w:ind w:left="4"/>
              <w:rPr>
                <w:noProof/>
              </w:rPr>
            </w:pPr>
            <w:r>
              <w:rPr>
                <w:noProof/>
              </w:rPr>
              <w:t>- analysis of reports</w:t>
            </w:r>
          </w:p>
          <w:p>
            <w:pPr>
              <w:rPr>
                <w:noProof/>
                <w:sz w:val="20"/>
              </w:rPr>
            </w:pPr>
            <w:r>
              <w:rPr>
                <w:noProof/>
              </w:rPr>
              <w:t>- dissemination of data</w:t>
            </w:r>
          </w:p>
        </w:tc>
      </w:tr>
      <w:tr>
        <w:tc>
          <w:tcPr>
            <w:tcW w:w="3240" w:type="dxa"/>
          </w:tcPr>
          <w:p>
            <w:pPr>
              <w:spacing w:before="60" w:after="60"/>
              <w:rPr>
                <w:noProof/>
                <w:sz w:val="20"/>
              </w:rPr>
            </w:pPr>
            <w:r>
              <w:rPr>
                <w:noProof/>
                <w:sz w:val="20"/>
              </w:rPr>
              <w:t>External staff</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rPr>
      </w:pPr>
      <w:bookmarkStart w:id="61" w:name="_Toc514938056"/>
      <w:bookmarkStart w:id="62" w:name="_Toc520485055"/>
      <w:r>
        <w:t>3.2.4.</w:t>
      </w:r>
      <w:r>
        <w:tab/>
      </w:r>
      <w:r>
        <w:rPr>
          <w:noProof/>
        </w:rPr>
        <w:t>Compatibility with the current multiannual financial framework</w:t>
      </w:r>
      <w:bookmarkEnd w:id="61"/>
      <w:bookmarkEnd w:id="62"/>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can be fully financed through redeployment within the relevant heading of the Multiannual Financial Framework (MFF).</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r>
        <w:rPr>
          <w:noProof/>
        </w:rPr>
        <w:t xml:space="preserve"> </w:t>
      </w:r>
      <w:r>
        <w:rPr>
          <w:noProof/>
          <w:sz w:val="20"/>
        </w:rPr>
        <w:t>Please provide an excel table in the case of major reprogramming.</w:t>
      </w:r>
    </w:p>
    <w:p>
      <w:pPr>
        <w:pStyle w:val="ListDash1"/>
        <w:rPr>
          <w:noProof/>
        </w:rPr>
      </w:pPr>
      <w:r>
        <w:rPr>
          <w:noProof/>
        </w:rPr>
        <w:sym w:font="Wingdings" w:char="F0A8"/>
      </w:r>
      <w:r>
        <w:rPr>
          <w:noProof/>
        </w:rPr>
        <w:tab/>
        <w:t>requires use of the unallocated margin under the relevant heading of the MFF and/or use of the special instruments as defined in the MFF Regulation.</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pPr>
        <w:pStyle w:val="ListDash1"/>
        <w:rPr>
          <w:noProof/>
        </w:rPr>
      </w:pPr>
      <w:r>
        <w:rPr>
          <w:noProof/>
        </w:rPr>
        <w:sym w:font="Wingdings" w:char="F0A8"/>
      </w:r>
      <w:r>
        <w:rPr>
          <w:noProof/>
        </w:rPr>
        <w:tab/>
        <w:t>requires a revision of the MFF.</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ManualHeading3"/>
        <w:rPr>
          <w:bCs/>
          <w:noProof/>
          <w:szCs w:val="24"/>
        </w:rPr>
      </w:pPr>
      <w:bookmarkStart w:id="63" w:name="_Toc514938058"/>
      <w:bookmarkStart w:id="64" w:name="_Toc520485056"/>
      <w:r>
        <w:t>3.2.5.</w:t>
      </w:r>
      <w:r>
        <w:tab/>
      </w:r>
      <w:r>
        <w:rPr>
          <w:noProof/>
        </w:rPr>
        <w:t>Third-party contributions</w:t>
      </w:r>
      <w:bookmarkEnd w:id="63"/>
      <w:bookmarkEnd w:id="64"/>
      <w:r>
        <w:rPr>
          <w:noProof/>
        </w:rPr>
        <w:t xml:space="preserve"> </w:t>
      </w:r>
    </w:p>
    <w:p>
      <w:pPr>
        <w:pStyle w:val="Text1"/>
        <w:rPr>
          <w:noProof/>
        </w:rPr>
      </w:pPr>
      <w:r>
        <w:rPr>
          <w:noProof/>
        </w:rPr>
        <w:t>The proposal/initiative:</w:t>
      </w:r>
    </w:p>
    <w:p>
      <w:pPr>
        <w:pStyle w:val="ListDash1"/>
        <w:rPr>
          <w:noProof/>
        </w:rPr>
      </w:pPr>
      <w:r>
        <w:rPr>
          <w:noProof/>
        </w:rPr>
        <w:sym w:font="Wingdings" w:char="F078"/>
      </w:r>
      <w:r>
        <w:rPr>
          <w:noProof/>
        </w:rPr>
        <w:tab/>
        <w:t>does not provide for co-financing by third parties</w:t>
      </w:r>
    </w:p>
    <w:p>
      <w:pPr>
        <w:pStyle w:val="ListDash1"/>
        <w:rPr>
          <w:noProof/>
        </w:rPr>
      </w:pPr>
      <w:r>
        <w:rPr>
          <w:noProof/>
        </w:rPr>
        <w:sym w:font="Wingdings" w:char="F0A8"/>
      </w:r>
      <w:r>
        <w:rPr>
          <w:noProof/>
        </w:rPr>
        <w:tab/>
        <w:t>provides for the co-financing by third parties estimated below:</w:t>
      </w:r>
    </w:p>
    <w:p>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Year</w:t>
            </w:r>
            <w:r>
              <w:rPr>
                <w:noProof/>
                <w:sz w:val="22"/>
              </w:rPr>
              <w:br/>
            </w:r>
            <w:r>
              <w:rPr>
                <w:b/>
                <w:noProof/>
                <w:sz w:val="20"/>
              </w:rPr>
              <w:t>N</w:t>
            </w:r>
            <w:r>
              <w:rPr>
                <w:rStyle w:val="FootnoteReference"/>
                <w:b/>
                <w:noProof/>
                <w:sz w:val="20"/>
              </w:rPr>
              <w:footnoteReference w:id="25"/>
            </w:r>
          </w:p>
        </w:tc>
        <w:tc>
          <w:tcPr>
            <w:tcW w:w="964" w:type="dxa"/>
            <w:vAlign w:val="center"/>
          </w:tcPr>
          <w:p>
            <w:pPr>
              <w:jc w:val="center"/>
              <w:rPr>
                <w:noProof/>
                <w:sz w:val="20"/>
              </w:rPr>
            </w:pPr>
            <w:r>
              <w:rPr>
                <w:noProof/>
                <w:sz w:val="20"/>
              </w:rPr>
              <w:t>Year</w:t>
            </w:r>
            <w:r>
              <w:rPr>
                <w:noProof/>
                <w:sz w:val="22"/>
              </w:rPr>
              <w:br/>
            </w:r>
            <w:r>
              <w:rPr>
                <w:b/>
                <w:noProof/>
                <w:sz w:val="20"/>
              </w:rPr>
              <w:t>N+1</w:t>
            </w:r>
          </w:p>
        </w:tc>
        <w:tc>
          <w:tcPr>
            <w:tcW w:w="964" w:type="dxa"/>
            <w:vAlign w:val="center"/>
          </w:tcPr>
          <w:p>
            <w:pPr>
              <w:jc w:val="center"/>
              <w:rPr>
                <w:noProof/>
                <w:sz w:val="20"/>
              </w:rPr>
            </w:pPr>
            <w:r>
              <w:rPr>
                <w:noProof/>
                <w:sz w:val="20"/>
              </w:rPr>
              <w:t>Year</w:t>
            </w:r>
            <w:r>
              <w:rPr>
                <w:noProof/>
                <w:sz w:val="22"/>
              </w:rPr>
              <w:br/>
            </w:r>
            <w:r>
              <w:rPr>
                <w:b/>
                <w:noProof/>
                <w:sz w:val="20"/>
              </w:rPr>
              <w:t>N+2</w:t>
            </w:r>
          </w:p>
        </w:tc>
        <w:tc>
          <w:tcPr>
            <w:tcW w:w="964" w:type="dxa"/>
            <w:vAlign w:val="center"/>
          </w:tcPr>
          <w:p>
            <w:pPr>
              <w:jc w:val="center"/>
              <w:rPr>
                <w:noProof/>
                <w:sz w:val="20"/>
              </w:rPr>
            </w:pPr>
            <w:r>
              <w:rPr>
                <w:noProof/>
                <w:sz w:val="20"/>
              </w:rPr>
              <w:t>Year</w:t>
            </w:r>
            <w:r>
              <w:rPr>
                <w:noProof/>
                <w:sz w:val="22"/>
              </w:rPr>
              <w:br/>
            </w:r>
            <w:r>
              <w:rPr>
                <w:b/>
                <w:noProof/>
                <w:sz w:val="20"/>
              </w:rPr>
              <w:t>N+3</w:t>
            </w:r>
          </w:p>
        </w:tc>
        <w:tc>
          <w:tcPr>
            <w:tcW w:w="2892" w:type="dxa"/>
            <w:gridSpan w:val="3"/>
            <w:vAlign w:val="center"/>
          </w:tcPr>
          <w:p>
            <w:pPr>
              <w:jc w:val="center"/>
              <w:rPr>
                <w:b/>
                <w:noProof/>
                <w:sz w:val="20"/>
              </w:rPr>
            </w:pPr>
            <w:r>
              <w:rPr>
                <w:noProof/>
                <w:sz w:val="20"/>
              </w:rPr>
              <w:t>Enter as many years as necessary to show the duration of the impact (see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Specify the co-financing body</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appropriations co-financed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bookmarkStart w:id="65" w:name="_Toc514938059"/>
      <w:bookmarkStart w:id="66" w:name="_Toc520485057"/>
      <w:r>
        <w:t>3.3.</w:t>
      </w:r>
      <w:r>
        <w:tab/>
      </w:r>
      <w:r>
        <w:rPr>
          <w:noProof/>
        </w:rPr>
        <w:t>Estimated impact on revenue</w:t>
      </w:r>
      <w:bookmarkEnd w:id="65"/>
      <w:bookmarkEnd w:id="66"/>
      <w:r>
        <w:rPr>
          <w:noProof/>
        </w:rPr>
        <w:t xml:space="preserve"> </w:t>
      </w:r>
    </w:p>
    <w:p>
      <w:pPr>
        <w:pStyle w:val="ListDash1"/>
        <w:rPr>
          <w:noProof/>
        </w:rPr>
      </w:pPr>
      <w:r>
        <w:rPr>
          <w:noProof/>
        </w:rPr>
        <w:sym w:font="Wingdings" w:char="F078"/>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tabs>
          <w:tab w:val="clear" w:pos="2126"/>
          <w:tab w:val="num" w:pos="1843"/>
        </w:tabs>
        <w:rPr>
          <w:noProof/>
        </w:rPr>
      </w:pPr>
      <w:r>
        <w:rPr>
          <w:noProof/>
        </w:rPr>
        <w:sym w:font="Wingdings" w:char="F0A8"/>
      </w:r>
      <w:r>
        <w:rPr>
          <w:noProof/>
        </w:rPr>
        <w:tab/>
        <w:t xml:space="preserve">on own resources </w:t>
      </w:r>
    </w:p>
    <w:p>
      <w:pPr>
        <w:pStyle w:val="ListNumberLevel3"/>
        <w:tabs>
          <w:tab w:val="clear" w:pos="2126"/>
          <w:tab w:val="num" w:pos="1843"/>
        </w:tabs>
        <w:rPr>
          <w:noProof/>
        </w:rPr>
      </w:pPr>
      <w:r>
        <w:rPr>
          <w:noProof/>
        </w:rPr>
        <w:sym w:font="Wingdings" w:char="F0A8"/>
      </w:r>
      <w:r>
        <w:rPr>
          <w:noProof/>
        </w:rPr>
        <w:tab/>
        <w:t>on other revenue</w:t>
      </w:r>
    </w:p>
    <w:p>
      <w:pPr>
        <w:pStyle w:val="ListNumberLevel3"/>
        <w:rPr>
          <w:noProof/>
        </w:rPr>
      </w:pPr>
      <w:r>
        <w:rPr>
          <w:noProof/>
        </w:rPr>
        <w:t xml:space="preserve">please indicate, if the revenue is assigned to expenditure lines </w:t>
      </w:r>
      <w:r>
        <w:rPr>
          <w:noProof/>
        </w:rPr>
        <w:sym w:font="Wingdings" w:char="F0A8"/>
      </w:r>
      <w:r>
        <w:rPr>
          <w:noProof/>
        </w:rPr>
        <w:tab/>
      </w:r>
    </w:p>
    <w:p>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325" w:type="dxa"/>
            <w:vMerge w:val="restart"/>
            <w:vAlign w:val="center"/>
          </w:tcPr>
          <w:p>
            <w:pPr>
              <w:jc w:val="center"/>
              <w:rPr>
                <w:noProof/>
                <w:sz w:val="18"/>
              </w:rPr>
            </w:pPr>
            <w:r>
              <w:rPr>
                <w:noProof/>
                <w:sz w:val="18"/>
              </w:rPr>
              <w:t>Appropriations available for the current financial year</w:t>
            </w:r>
          </w:p>
        </w:tc>
        <w:tc>
          <w:tcPr>
            <w:tcW w:w="7151" w:type="dxa"/>
            <w:gridSpan w:val="7"/>
            <w:vAlign w:val="center"/>
          </w:tcPr>
          <w:p>
            <w:pPr>
              <w:jc w:val="center"/>
              <w:rPr>
                <w:noProof/>
                <w:sz w:val="18"/>
              </w:rPr>
            </w:pPr>
            <w:r>
              <w:rPr>
                <w:noProof/>
                <w:sz w:val="18"/>
              </w:rPr>
              <w:t>Impact of the proposal/initiative</w:t>
            </w:r>
            <w:r>
              <w:rPr>
                <w:rStyle w:val="FootnoteReference"/>
                <w:noProof/>
                <w:sz w:val="18"/>
              </w:rPr>
              <w:footnoteReference w:id="26"/>
            </w:r>
          </w:p>
        </w:tc>
      </w:tr>
      <w:tr>
        <w:trPr>
          <w:trHeight w:val="388"/>
        </w:trPr>
        <w:tc>
          <w:tcPr>
            <w:tcW w:w="2144" w:type="dxa"/>
            <w:vMerge/>
          </w:tcPr>
          <w:p>
            <w:pPr>
              <w:spacing w:before="40" w:after="40"/>
              <w:rPr>
                <w:noProof/>
                <w:sz w:val="18"/>
              </w:rPr>
            </w:pPr>
          </w:p>
        </w:tc>
        <w:tc>
          <w:tcPr>
            <w:tcW w:w="1325" w:type="dxa"/>
            <w:vMerge/>
          </w:tcPr>
          <w:p>
            <w:pPr>
              <w:spacing w:beforeLines="40" w:before="96" w:afterLines="40" w:after="96"/>
              <w:rPr>
                <w:i/>
                <w:noProof/>
                <w:sz w:val="18"/>
              </w:rPr>
            </w:pPr>
          </w:p>
        </w:tc>
        <w:tc>
          <w:tcPr>
            <w:tcW w:w="1031"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325" w:type="dxa"/>
          </w:tcPr>
          <w:p>
            <w:pPr>
              <w:spacing w:beforeLines="40" w:before="96" w:afterLines="40" w:after="96"/>
              <w:jc w:val="center"/>
              <w:rPr>
                <w:i/>
                <w:noProof/>
                <w:sz w:val="18"/>
              </w:rPr>
            </w:pPr>
          </w:p>
        </w:tc>
        <w:tc>
          <w:tcPr>
            <w:tcW w:w="1031"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r>
        <w:rPr>
          <w:noProof/>
        </w:rPr>
        <w:t>Not applicable</w:t>
      </w:r>
    </w:p>
    <w:p>
      <w:pPr>
        <w:pStyle w:val="Text1"/>
        <w:rPr>
          <w:noProof/>
          <w:sz w:val="20"/>
        </w:rPr>
      </w:pPr>
      <w:r>
        <w:rPr>
          <w:noProof/>
          <w:sz w:val="20"/>
        </w:rPr>
        <w:t>Other remarks (e.g. method/formula used for calculating the impact on revenue or any other information).</w:t>
      </w:r>
    </w:p>
    <w:p>
      <w:pPr>
        <w:pStyle w:val="Text1"/>
        <w:pBdr>
          <w:top w:val="single" w:sz="4" w:space="1" w:color="auto"/>
          <w:left w:val="single" w:sz="4" w:space="4" w:color="auto"/>
          <w:bottom w:val="single" w:sz="4" w:space="1" w:color="auto"/>
          <w:right w:val="single" w:sz="4" w:space="4" w:color="auto"/>
        </w:pBdr>
        <w:rPr>
          <w:noProof/>
        </w:rPr>
      </w:pPr>
      <w:r>
        <w:rPr>
          <w:noProof/>
        </w:rPr>
        <w:t>Not applicable</w:t>
      </w:r>
    </w:p>
    <w:p>
      <w:pPr>
        <w:jc w:val="cente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b/>
        </w:rPr>
      </w:pPr>
      <w:r>
        <w:rPr>
          <w:rStyle w:val="FootnoteReference"/>
        </w:rPr>
        <w:footnoteRef/>
      </w:r>
      <w:r>
        <w:tab/>
        <w:t>Regulation (EU) 2018/1091 of the European Parliament and of the Council of 18 July 2018 on integrated farm statistics and repealing Regulations (EC) No 1166/2008 and (EU) No 1337/2011 (</w:t>
      </w:r>
      <w:r>
        <w:rPr>
          <w:rStyle w:val="Emphasis"/>
        </w:rPr>
        <w:t>OJ L 200, 7.8.2018, p. 1).</w:t>
      </w:r>
    </w:p>
  </w:footnote>
  <w:footnote w:id="2">
    <w:p>
      <w:pPr>
        <w:spacing w:after="0"/>
        <w:rPr>
          <w:sz w:val="20"/>
        </w:rPr>
      </w:pPr>
      <w:r>
        <w:rPr>
          <w:rStyle w:val="FootnoteReference"/>
        </w:rPr>
        <w:footnoteRef/>
      </w:r>
      <w:r>
        <w:tab/>
      </w:r>
      <w:r>
        <w:rPr>
          <w:sz w:val="20"/>
        </w:rPr>
        <w:t>Council Regulation (EU, Euratom) 2020/2093 of 17 December 2020 laying down the multiannual financial framework for the years 2021 to 2027 (</w:t>
      </w:r>
      <w:r>
        <w:rPr>
          <w:rStyle w:val="Emphasis"/>
          <w:sz w:val="20"/>
        </w:rPr>
        <w:t>OJ L 433I, 22.12.2020, p. 11).</w:t>
      </w:r>
    </w:p>
  </w:footnote>
  <w:footnote w:id="3">
    <w:p>
      <w:pPr>
        <w:spacing w:after="0"/>
      </w:pPr>
      <w:r>
        <w:rPr>
          <w:rStyle w:val="FootnoteReference"/>
        </w:rPr>
        <w:footnoteRef/>
      </w:r>
      <w:r>
        <w:tab/>
      </w:r>
      <w:r>
        <w:rPr>
          <w:sz w:val="20"/>
        </w:rPr>
        <w:t>Regulation (EU) 2021/690 of the European Parliament and of the Council of 28 April 2021 establishing a programme for the internal market, competitiveness of enterprises, including small and medium-sized enterprises, the area of plants, animals, food and feed, and European statistics (Single Market Programme) and repealing Regulations (EU) No 99/2013, (EU) No 1287/2013, (EU) No 254/2014 and (EU) No 652/2014. (</w:t>
      </w:r>
      <w:r>
        <w:rPr>
          <w:i/>
          <w:sz w:val="20"/>
        </w:rPr>
        <w:t>OJ L 153, 3.5.2021, p. 1</w:t>
      </w:r>
      <w:r>
        <w:rPr>
          <w:sz w:val="20"/>
        </w:rPr>
        <w:t>).</w:t>
      </w:r>
    </w:p>
  </w:footnote>
  <w:footnote w:id="4">
    <w:p>
      <w:pPr>
        <w:pStyle w:val="FootnoteText"/>
        <w:ind w:left="0" w:firstLine="0"/>
      </w:pPr>
      <w:r>
        <w:rPr>
          <w:rStyle w:val="FootnoteReference"/>
        </w:rPr>
        <w:footnoteRef/>
      </w:r>
      <w:r>
        <w:tab/>
        <w:t>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w:t>
      </w:r>
      <w:r>
        <w:rPr>
          <w:i/>
        </w:rPr>
        <w:t>OJ L 87, 31.3.2009, p. 164–173</w:t>
      </w:r>
      <w:r>
        <w:t>).</w:t>
      </w:r>
    </w:p>
  </w:footnote>
  <w:footnote w:id="5">
    <w:p>
      <w:pPr>
        <w:pStyle w:val="FootnoteText"/>
        <w:jc w:val="left"/>
        <w:rPr>
          <w:lang w:val="fr-FR"/>
        </w:rPr>
      </w:pPr>
      <w:r>
        <w:rPr>
          <w:rStyle w:val="FootnoteReference"/>
        </w:rPr>
        <w:footnoteRef/>
      </w:r>
      <w:r>
        <w:rPr>
          <w:lang w:val="fr-FR"/>
        </w:rPr>
        <w:tab/>
        <w:t xml:space="preserve">Eurostat public consultation webpage: http://ec.europa.eu/eurostat/about/opportunities/consultations/eass </w:t>
      </w:r>
    </w:p>
    <w:p>
      <w:pPr>
        <w:pStyle w:val="FootnoteText"/>
      </w:pPr>
      <w:r>
        <w:rPr>
          <w:lang w:val="fr-FR"/>
        </w:rPr>
        <w:tab/>
      </w:r>
      <w:r>
        <w:t>Open public consultation report:</w:t>
      </w:r>
    </w:p>
    <w:p>
      <w:pPr>
        <w:pStyle w:val="FootnoteText"/>
        <w:rPr>
          <w:rStyle w:val="Hyperlink"/>
        </w:rPr>
      </w:pPr>
      <w:r>
        <w:tab/>
      </w:r>
      <w:hyperlink r:id="rId1" w:history="1">
        <w:r>
          <w:rPr>
            <w:rStyle w:val="Hyperlink"/>
          </w:rPr>
          <w:t>http://ec.europa.eu/eurostat/documents/10186/6937766/Agricultural-Statistics-Strategy-2020-Report.docx</w:t>
        </w:r>
      </w:hyperlink>
      <w:r>
        <w:rPr>
          <w:rStyle w:val="Hyperlink"/>
        </w:rPr>
        <w:t>.</w:t>
      </w:r>
    </w:p>
  </w:footnote>
  <w:footnote w:id="6">
    <w:p>
      <w:pPr>
        <w:pStyle w:val="FootnoteText"/>
      </w:pPr>
      <w:r>
        <w:rPr>
          <w:rStyle w:val="FootnoteReference"/>
        </w:rPr>
        <w:footnoteRef/>
      </w:r>
      <w:r>
        <w:tab/>
      </w:r>
      <w:hyperlink r:id="rId2" w:history="1">
        <w:r>
          <w:rPr>
            <w:rStyle w:val="Hyperlink"/>
          </w:rPr>
          <w:t>Impact assessment</w:t>
        </w:r>
      </w:hyperlink>
      <w:r>
        <w:t xml:space="preserve">, </w:t>
      </w:r>
      <w:hyperlink r:id="rId3" w:history="1">
        <w:r>
          <w:rPr>
            <w:rStyle w:val="Hyperlink"/>
          </w:rPr>
          <w:t>Impact assessment summary</w:t>
        </w:r>
      </w:hyperlink>
      <w:r>
        <w:t xml:space="preserve">, </w:t>
      </w:r>
      <w:hyperlink r:id="rId4" w:history="1">
        <w:r>
          <w:rPr>
            <w:rStyle w:val="Hyperlink"/>
          </w:rPr>
          <w:t>Regulatory Scrutiny Board Opinion</w:t>
        </w:r>
      </w:hyperlink>
    </w:p>
  </w:footnote>
  <w:footnote w:id="7">
    <w:p>
      <w:pPr>
        <w:spacing w:after="0"/>
      </w:pPr>
      <w:r>
        <w:rPr>
          <w:rStyle w:val="FootnoteReference"/>
        </w:rPr>
        <w:footnoteRef/>
      </w:r>
      <w:r>
        <w:tab/>
      </w:r>
      <w:r>
        <w:rPr>
          <w:sz w:val="20"/>
        </w:rPr>
        <w:t>Regulation (EU) 2018/1091 of the European Parliament and of the Council of 18 July 2018 on integrated farm statistics and repealing Regulations (EC) No 1166/2008 and (EU) No 1337/2011 (</w:t>
      </w:r>
      <w:r>
        <w:rPr>
          <w:i/>
          <w:iCs/>
          <w:sz w:val="20"/>
        </w:rPr>
        <w:t>OJ L 200, 7.8.2018, p. 1).</w:t>
      </w:r>
    </w:p>
  </w:footnote>
  <w:footnote w:id="8">
    <w:p>
      <w:pPr>
        <w:spacing w:after="0"/>
        <w:rPr>
          <w:sz w:val="20"/>
        </w:rPr>
      </w:pPr>
      <w:r>
        <w:rPr>
          <w:rStyle w:val="FootnoteReference"/>
        </w:rPr>
        <w:footnoteRef/>
      </w:r>
      <w:r>
        <w:tab/>
      </w:r>
      <w:r>
        <w:rPr>
          <w:sz w:val="20"/>
        </w:rPr>
        <w:t>Council Regulation (EU, Euratom) 2020/2093 of 17 December 2020 laying down the multiannual financial framework for the years 2021 to 2027 (</w:t>
      </w:r>
      <w:r>
        <w:rPr>
          <w:rStyle w:val="Emphasis"/>
          <w:sz w:val="20"/>
        </w:rPr>
        <w:t>OJ L 433I, 22.12.2020, p. 11).</w:t>
      </w:r>
    </w:p>
  </w:footnote>
  <w:footnote w:id="9">
    <w:p>
      <w:pPr>
        <w:pStyle w:val="FootnoteText"/>
        <w:ind w:left="284" w:hanging="284"/>
      </w:pPr>
      <w:r>
        <w:rPr>
          <w:rStyle w:val="FootnoteReference"/>
        </w:rPr>
        <w:footnoteRef/>
      </w:r>
      <w:r>
        <w:tab/>
        <w:t>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 164).</w:t>
      </w:r>
    </w:p>
  </w:footnote>
  <w:footnote w:id="10">
    <w:p>
      <w:pPr>
        <w:pStyle w:val="FootnoteText"/>
        <w:rPr>
          <w:szCs w:val="24"/>
        </w:rPr>
      </w:pPr>
      <w:r>
        <w:rPr>
          <w:rStyle w:val="FootnoteReference"/>
        </w:rPr>
        <w:footnoteRef/>
      </w:r>
      <w:r>
        <w:tab/>
        <w:t>As referred to in Article 58(2)(a) or (b) of the Financial Regulation.</w:t>
      </w:r>
    </w:p>
  </w:footnote>
  <w:footnote w:id="11">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5" w:history="1">
        <w:r>
          <w:rPr>
            <w:rStyle w:val="Hyperlink"/>
            <w:szCs w:val="24"/>
          </w:rPr>
          <w:t>https://myintracomm.ec.europa.eu/budgweb/EN/man/budgmanag/Pages/budgmanag.aspx</w:t>
        </w:r>
      </w:hyperlink>
      <w:r>
        <w:rPr>
          <w:szCs w:val="24"/>
        </w:rPr>
        <w:t xml:space="preserve"> </w:t>
      </w:r>
    </w:p>
  </w:footnote>
  <w:footnote w:id="12">
    <w:p>
      <w:pPr>
        <w:pStyle w:val="FootnoteText"/>
        <w:rPr>
          <w:szCs w:val="24"/>
        </w:rPr>
      </w:pPr>
      <w:r>
        <w:rPr>
          <w:rStyle w:val="FootnoteReference"/>
        </w:rPr>
        <w:footnoteRef/>
      </w:r>
      <w:r>
        <w:tab/>
        <w:t>Diff. = Differentiated appropriations / Non-diff. = Non-differentiated appropriations.</w:t>
      </w:r>
    </w:p>
  </w:footnote>
  <w:footnote w:id="13">
    <w:p>
      <w:pPr>
        <w:pStyle w:val="FootnoteText"/>
        <w:rPr>
          <w:szCs w:val="24"/>
        </w:rPr>
      </w:pPr>
      <w:r>
        <w:rPr>
          <w:rStyle w:val="FootnoteReference"/>
        </w:rPr>
        <w:footnoteRef/>
      </w:r>
      <w:r>
        <w:tab/>
        <w:t xml:space="preserve">EFTA: European Free Trade Association. </w:t>
      </w:r>
    </w:p>
  </w:footnote>
  <w:footnote w:id="14">
    <w:p>
      <w:pPr>
        <w:pStyle w:val="FootnoteText"/>
        <w:rPr>
          <w:szCs w:val="24"/>
        </w:rPr>
      </w:pPr>
      <w:r>
        <w:rPr>
          <w:rStyle w:val="FootnoteReference"/>
        </w:rPr>
        <w:footnoteRef/>
      </w:r>
      <w:r>
        <w:tab/>
        <w:t>Candidate countries and, where applicable, potential candidates from the Western Balkans.</w:t>
      </w:r>
    </w:p>
  </w:footnote>
  <w:footnote w:id="15">
    <w:p>
      <w:pPr>
        <w:pStyle w:val="FootnoteText"/>
        <w:rPr>
          <w:sz w:val="18"/>
          <w:szCs w:val="18"/>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years.</w:t>
      </w:r>
    </w:p>
  </w:footnote>
  <w:footnote w:id="16">
    <w:p>
      <w:pPr>
        <w:pStyle w:val="FootnoteText"/>
        <w:rPr>
          <w:sz w:val="18"/>
          <w:szCs w:val="18"/>
        </w:rPr>
      </w:pPr>
      <w:r>
        <w:rPr>
          <w:rStyle w:val="FootnoteReference"/>
        </w:rPr>
        <w:footnoteRef/>
      </w:r>
      <w:r>
        <w:rPr>
          <w:sz w:val="18"/>
          <w:szCs w:val="18"/>
        </w:rPr>
        <w:tab/>
        <w:t>According to the official budget nomenclature.</w:t>
      </w:r>
    </w:p>
  </w:footnote>
  <w:footnote w:id="17">
    <w:p>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18">
    <w:p>
      <w:pPr>
        <w:pStyle w:val="FootnoteText"/>
        <w:rPr>
          <w:szCs w:val="24"/>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years.</w:t>
      </w:r>
    </w:p>
  </w:footnote>
  <w:footnote w:id="19">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20">
    <w:p>
      <w:pPr>
        <w:pStyle w:val="FootnoteText"/>
        <w:rPr>
          <w:szCs w:val="24"/>
        </w:rPr>
      </w:pPr>
      <w:r>
        <w:rPr>
          <w:rStyle w:val="FootnoteReference"/>
        </w:rPr>
        <w:footnoteRef/>
      </w:r>
      <w:r>
        <w:tab/>
        <w:t xml:space="preserve">As described in point 1.4.2. ‘Specific objective(s)…’ </w:t>
      </w:r>
    </w:p>
  </w:footnote>
  <w:footnote w:id="21">
    <w:p>
      <w:pPr>
        <w:pStyle w:val="FootnoteText"/>
        <w:rPr>
          <w:sz w:val="18"/>
          <w:szCs w:val="18"/>
        </w:rPr>
      </w:pPr>
      <w:r>
        <w:rPr>
          <w:rStyle w:val="FootnoteReference"/>
        </w:rPr>
        <w:footnoteRef/>
      </w:r>
      <w:r>
        <w:tab/>
      </w:r>
      <w:r>
        <w:rPr>
          <w:sz w:val="18"/>
          <w:szCs w:val="18"/>
        </w:rPr>
        <w:t>Year N is the year in which implementation of the proposal/initiative starts. Please replace "N" by the expected first year of implementation (for instance: 2021). The same for the following years.</w:t>
      </w:r>
    </w:p>
  </w:footnote>
  <w:footnote w:id="22">
    <w:p>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23">
    <w:p>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24">
    <w:p>
      <w:pPr>
        <w:pStyle w:val="FootnoteText"/>
        <w:rPr>
          <w:szCs w:val="24"/>
        </w:rPr>
      </w:pPr>
      <w:r>
        <w:rPr>
          <w:rStyle w:val="FootnoteReference"/>
        </w:rPr>
        <w:footnoteRef/>
      </w:r>
      <w:r>
        <w:tab/>
        <w:t>Sub-ceiling for external staff covered by operational appropriations (former ‘BA’ lines).</w:t>
      </w:r>
    </w:p>
  </w:footnote>
  <w:footnote w:id="25">
    <w:p>
      <w:pPr>
        <w:pStyle w:val="FootnoteText"/>
      </w:pPr>
      <w:r>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26">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Level2"/>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416EA138"/>
    <w:name w:val="0.6719891"/>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num>
  <w:num w:numId="21">
    <w:abstractNumId w:val="11"/>
  </w:num>
  <w:num w:numId="22">
    <w:abstractNumId w:val="25"/>
  </w:num>
  <w:num w:numId="23">
    <w:abstractNumId w:val="6"/>
  </w:num>
  <w:num w:numId="24">
    <w:abstractNumId w:val="12"/>
  </w:num>
  <w:num w:numId="25">
    <w:abstractNumId w:val="4"/>
  </w:num>
  <w:num w:numId="26">
    <w:abstractNumId w:val="24"/>
  </w:num>
  <w:num w:numId="27">
    <w:abstractNumId w:val="3"/>
  </w:num>
  <w:num w:numId="28">
    <w:abstractNumId w:val="14"/>
  </w:num>
  <w:num w:numId="29">
    <w:abstractNumId w:val="20"/>
  </w:num>
  <w:num w:numId="30">
    <w:abstractNumId w:val="21"/>
  </w:num>
  <w:num w:numId="31">
    <w:abstractNumId w:val="5"/>
  </w:num>
  <w:num w:numId="32">
    <w:abstractNumId w:val="18"/>
  </w:num>
  <w:num w:numId="33">
    <w:abstractNumId w:val="29"/>
  </w:num>
  <w:num w:numId="34">
    <w:abstractNumId w:val="22"/>
  </w:num>
  <w:num w:numId="35">
    <w:abstractNumId w:val="11"/>
  </w:num>
  <w:num w:numId="36">
    <w:abstractNumId w:val="25"/>
  </w:num>
  <w:num w:numId="37">
    <w:abstractNumId w:val="6"/>
  </w:num>
  <w:num w:numId="38">
    <w:abstractNumId w:val="12"/>
  </w:num>
  <w:num w:numId="39">
    <w:abstractNumId w:val="13"/>
  </w:num>
  <w:num w:numId="40">
    <w:abstractNumId w:val="4"/>
  </w:num>
  <w:num w:numId="41">
    <w:abstractNumId w:val="24"/>
  </w:num>
  <w:num w:numId="42">
    <w:abstractNumId w:val="3"/>
  </w:num>
  <w:num w:numId="43">
    <w:abstractNumId w:val="14"/>
  </w:num>
  <w:num w:numId="44">
    <w:abstractNumId w:val="20"/>
  </w:num>
  <w:num w:numId="45">
    <w:abstractNumId w:val="21"/>
  </w:num>
  <w:num w:numId="46">
    <w:abstractNumId w:val="5"/>
  </w:num>
  <w:num w:numId="47">
    <w:abstractNumId w:val="18"/>
  </w:num>
  <w:num w:numId="4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doNotTrackMove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R_RefLast" w:val="0"/>
    <w:docVar w:name="DQCDateTime" w:val="2021-08-05 10:27:02"/>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6"/>
    <w:docVar w:name="DQCStatus" w:val="Green"/>
    <w:docVar w:name="DQCVersion" w:val="3"/>
    <w:docVar w:name="DQCWithWarnings" w:val="0"/>
    <w:docVar w:name="FigNum" w:val="1"/>
    <w:docVar w:name="LW_CORRIGENDUM" w:val="&lt;UNUSED&gt;"/>
    <w:docVar w:name="LW_COVERPAGE_EXISTS" w:val="True"/>
    <w:docVar w:name="LW_COVERPAGE_GUID" w:val="58F3D465-2752-4AE8-BFAB-8DFF2A46ECED"/>
    <w:docVar w:name="LW_COVERPAGE_TYPE" w:val="1"/>
    <w:docVar w:name="LW_CROSSREFERENCE" w:val="&lt;UNUSED&gt;"/>
    <w:docVar w:name="LW_DocType" w:val="COM"/>
    <w:docVar w:name="LW_EMISSION" w:val="12.8.2021"/>
    <w:docVar w:name="LW_EMISSION_ISODATE" w:val="2021-08-12"/>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70"/>
    <w:docVar w:name="LW_REF.II.NEW.CP_YEAR" w:val="2021"/>
    <w:docVar w:name="LW_REF.INST.NEW" w:val="COM"/>
    <w:docVar w:name="LW_REF.INST.NEW_ADOPTED" w:val="final"/>
    <w:docVar w:name="LW_REF.INST.NEW_TEXT" w:val="(2021) 4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8/1091 as regards the Union contribution for the integrated farm statistics under the 2021-2027 financial framework"/>
    <w:docVar w:name="LW_TYPE.DOC.CP" w:val="REGULATION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tabs>
        <w:tab w:val="num" w:pos="1560"/>
      </w:tabs>
      <w:ind w:left="1560" w:hanging="709"/>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uiPriority w:val="20"/>
    <w:qFormat/>
    <w:rPr>
      <w:i/>
      <w:iCs/>
    </w:rPr>
  </w:style>
  <w:style w:type="character" w:customStyle="1" w:styleId="acopre">
    <w:name w:val="acopre"/>
  </w:style>
  <w:style w:type="paragraph" w:customStyle="1" w:styleId="ti-art">
    <w:name w:val="ti-art"/>
    <w:basedOn w:val="Normal"/>
    <w:pPr>
      <w:spacing w:before="100" w:beforeAutospacing="1" w:after="100" w:afterAutospacing="1"/>
      <w:jc w:val="left"/>
    </w:pPr>
    <w:rPr>
      <w:rFonts w:eastAsia="Times New Roman"/>
      <w:szCs w:val="24"/>
      <w:lang w:val="pt-PT" w:eastAsia="pt-PT"/>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link w:val="BodyText"/>
    <w:rPr>
      <w:rFonts w:ascii="Times New Roman" w:eastAsia="Times New Roman" w:hAnsi="Times New Roman"/>
      <w:sz w:val="24"/>
      <w:lang w:val="en-GB" w:eastAsia="en-US"/>
    </w:rPr>
  </w:style>
  <w:style w:type="paragraph" w:styleId="NormalWeb">
    <w:name w:val="Normal (Web)"/>
    <w:basedOn w:val="Normal"/>
    <w:uiPriority w:val="99"/>
    <w:pPr>
      <w:spacing w:before="100" w:beforeAutospacing="1" w:after="100" w:afterAutospacing="1"/>
    </w:pPr>
    <w:rPr>
      <w:rFonts w:ascii="Arial" w:eastAsia="Times New Roman" w:hAnsi="Arial" w:cs="Arial"/>
      <w:sz w:val="20"/>
      <w:szCs w:val="20"/>
      <w:lang w:eastAsia="en-GB"/>
    </w:rPr>
  </w:style>
  <w:style w:type="paragraph" w:customStyle="1" w:styleId="AddressTL">
    <w:name w:val="AddressTL"/>
    <w:basedOn w:val="Normal"/>
    <w:next w:val="Normal"/>
    <w:pPr>
      <w:spacing w:before="0" w:after="720"/>
      <w:jc w:val="left"/>
    </w:pPr>
    <w:rPr>
      <w:rFonts w:eastAsia="Times New Roman"/>
      <w:szCs w:val="20"/>
    </w:rPr>
  </w:style>
  <w:style w:type="character" w:customStyle="1" w:styleId="Text2Char">
    <w:name w:val="Text 2 Char"/>
    <w:rPr>
      <w:rFonts w:ascii="Times New Roman" w:hAnsi="Times New Roman"/>
      <w:sz w:val="24"/>
      <w:szCs w:val="22"/>
      <w:lang w:val="en-GB" w:eastAsia="en-US"/>
    </w:rPr>
  </w:style>
  <w:style w:type="character" w:customStyle="1" w:styleId="Text1Char">
    <w:name w:val="Text 1 Char"/>
    <w:rPr>
      <w:rFonts w:ascii="Times New Roman" w:hAnsi="Times New Roman"/>
      <w:sz w:val="24"/>
      <w:szCs w:val="22"/>
      <w:lang w:val="en-GB" w:eastAsia="en-US"/>
    </w:rPr>
  </w:style>
  <w:style w:type="paragraph" w:customStyle="1" w:styleId="doc-ti">
    <w:name w:val="doc-ti"/>
    <w:basedOn w:val="Normal"/>
    <w:pPr>
      <w:spacing w:before="100" w:beforeAutospacing="1" w:after="100" w:afterAutospacing="1"/>
      <w:jc w:val="left"/>
    </w:pPr>
    <w:rPr>
      <w:rFonts w:eastAsia="Times New Roman"/>
      <w:szCs w:val="24"/>
      <w:lang w:val="pt-PT" w:eastAsia="pt-PT"/>
    </w:rPr>
  </w:style>
  <w:style w:type="paragraph" w:styleId="Revision">
    <w:name w:val="Revision"/>
    <w:hidden/>
    <w:uiPriority w:val="99"/>
    <w:semiHidden/>
    <w:rPr>
      <w:rFonts w:ascii="Times New Roman" w:hAnsi="Times New Roman"/>
      <w:sz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lang w:eastAsia="en-GB"/>
    </w:rPr>
  </w:style>
  <w:style w:type="character" w:customStyle="1" w:styleId="TOCHeadingChar">
    <w:name w:val="TOC Heading Char"/>
    <w:uiPriority w:val="39"/>
    <w:rPr>
      <w:rFonts w:ascii="Times New Roman" w:hAnsi="Times New Roman"/>
      <w:b/>
      <w:sz w:val="28"/>
      <w:szCs w:val="22"/>
      <w:lang w:val="en-GB" w:eastAsia="en-US"/>
    </w:rPr>
  </w:style>
  <w:style w:type="character" w:customStyle="1" w:styleId="FooterCoverPageChar">
    <w:name w:val="Footer Cover Page Char"/>
    <w:link w:val="FooterCoverPage"/>
    <w:rPr>
      <w:rFonts w:ascii="Times New Roman" w:hAnsi="Times New Roman"/>
      <w:sz w:val="24"/>
      <w:szCs w:val="22"/>
      <w:lang w:val="en-GB" w:eastAsia="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link w:val="HeaderCoverPage"/>
    <w:rPr>
      <w:rFonts w:ascii="Times New Roman" w:hAnsi="Times New Roman"/>
      <w:sz w:val="24"/>
      <w:szCs w:val="22"/>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4300">
      <w:bodyDiv w:val="1"/>
      <w:marLeft w:val="0"/>
      <w:marRight w:val="0"/>
      <w:marTop w:val="0"/>
      <w:marBottom w:val="0"/>
      <w:divBdr>
        <w:top w:val="none" w:sz="0" w:space="0" w:color="auto"/>
        <w:left w:val="none" w:sz="0" w:space="0" w:color="auto"/>
        <w:bottom w:val="none" w:sz="0" w:space="0" w:color="auto"/>
        <w:right w:val="none" w:sz="0" w:space="0" w:color="auto"/>
      </w:divBdr>
    </w:div>
    <w:div w:id="1324165709">
      <w:bodyDiv w:val="1"/>
      <w:marLeft w:val="0"/>
      <w:marRight w:val="0"/>
      <w:marTop w:val="0"/>
      <w:marBottom w:val="0"/>
      <w:divBdr>
        <w:top w:val="none" w:sz="0" w:space="0" w:color="auto"/>
        <w:left w:val="none" w:sz="0" w:space="0" w:color="auto"/>
        <w:bottom w:val="none" w:sz="0" w:space="0" w:color="auto"/>
        <w:right w:val="none" w:sz="0" w:space="0" w:color="auto"/>
      </w:divBdr>
    </w:div>
    <w:div w:id="17745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ransparency/regdoc/rep/10102/2016/EN/SWD-2016-430-F1-EN-MAIN-PART-1.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myintracomm.ec.europa.eu/budgweb/EN/leg/internal/Documents/2016-5-legislative-financial-statement-ann-en.docx" TargetMode="Externa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doc/index.cfm;jsessionid=3EAB7C00BF4B14D59E2D411F4A3934A7.cfusion14601?fuseaction=list&amp;n=10&amp;adv=0&amp;coteId=10102&amp;year=2016&amp;number=429&amp;version=F&amp;dateFrom=&amp;dateTo=&amp;serviceId=&amp;documentType=&amp;title=&amp;titleLanguage=&amp;titleSearch=EXACT&amp;sortBy=NUMBER&amp;sortOrder=DESC" TargetMode="External"/><Relationship Id="rId2" Type="http://schemas.openxmlformats.org/officeDocument/2006/relationships/hyperlink" Target="http://ec.europa.eu/transparency/regdoc/index.cfm;jsessionid=3EAB7C00BF4B14D59E2D411F4A3934A7.cfusion14601?fuseaction=list&amp;n=10&amp;adv=0&amp;coteId=10102&amp;year=2016&amp;number=430&amp;version=F&amp;dateFrom=&amp;dateTo=&amp;serviceId=&amp;documentType=&amp;title=&amp;titleLanguage=&amp;titleSearch=EXACT&amp;sortBy=NUMBER&amp;sortOrder=DESC" TargetMode="External"/><Relationship Id="rId1" Type="http://schemas.openxmlformats.org/officeDocument/2006/relationships/hyperlink" Target="http://ec.europa.eu/eurostat/documents/10186/6937766/Agricultural-Statistics-Strategy-2020-Report.docx"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c.europa.eu/smart-regulation/impact/ia_carried_out/docs/ia_2016/sec_2016_0519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AFE4-1546-47DC-86D1-ADC62AD8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25</Pages>
  <Words>7157</Words>
  <Characters>41014</Characters>
  <Application>Microsoft Office Word</Application>
  <DocSecurity>0</DocSecurity>
  <Lines>1708</Lines>
  <Paragraphs>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47326</CharactersWithSpaces>
  <SharedDoc>false</SharedDoc>
  <HLinks>
    <vt:vector size="42" baseType="variant">
      <vt:variant>
        <vt:i4>2031682</vt:i4>
      </vt:variant>
      <vt:variant>
        <vt:i4>3</vt:i4>
      </vt:variant>
      <vt:variant>
        <vt:i4>0</vt:i4>
      </vt:variant>
      <vt:variant>
        <vt:i4>5</vt:i4>
      </vt:variant>
      <vt:variant>
        <vt:lpwstr>https://myintracomm.ec.europa.eu/budgweb/EN/bud/mff/Pages/mff-post-2020.aspx</vt:lpwstr>
      </vt:variant>
      <vt:variant>
        <vt:lpwstr/>
      </vt:variant>
      <vt:variant>
        <vt:i4>4456527</vt:i4>
      </vt:variant>
      <vt:variant>
        <vt:i4>0</vt:i4>
      </vt:variant>
      <vt:variant>
        <vt:i4>0</vt:i4>
      </vt:variant>
      <vt:variant>
        <vt:i4>5</vt:i4>
      </vt:variant>
      <vt:variant>
        <vt:lpwstr>https://ec.europa.eu/transparency/regdoc/rep/10102/2016/EN/SWD-2016-430-F1-EN-MAIN-PART-1.PDF</vt:lpwstr>
      </vt:variant>
      <vt:variant>
        <vt:lpwstr/>
      </vt:variant>
      <vt:variant>
        <vt:i4>3997801</vt:i4>
      </vt:variant>
      <vt:variant>
        <vt:i4>12</vt:i4>
      </vt:variant>
      <vt:variant>
        <vt:i4>0</vt:i4>
      </vt:variant>
      <vt:variant>
        <vt:i4>5</vt:i4>
      </vt:variant>
      <vt:variant>
        <vt:lpwstr>https://myintracomm.ec.europa.eu/budgweb/EN/man/budgmanag/Pages/budgmanag.aspx</vt:lpwstr>
      </vt:variant>
      <vt:variant>
        <vt:lpwstr/>
      </vt:variant>
      <vt:variant>
        <vt:i4>1769556</vt:i4>
      </vt:variant>
      <vt:variant>
        <vt:i4>9</vt:i4>
      </vt:variant>
      <vt:variant>
        <vt:i4>0</vt:i4>
      </vt:variant>
      <vt:variant>
        <vt:i4>5</vt:i4>
      </vt:variant>
      <vt:variant>
        <vt:lpwstr>https://ec.europa.eu/smart-regulation/impact/ia_carried_out/docs/ia_2016/sec_2016_0519_en.pdf</vt:lpwstr>
      </vt:variant>
      <vt:variant>
        <vt:lpwstr/>
      </vt:variant>
      <vt:variant>
        <vt:i4>7995491</vt:i4>
      </vt:variant>
      <vt:variant>
        <vt:i4>6</vt:i4>
      </vt:variant>
      <vt:variant>
        <vt:i4>0</vt:i4>
      </vt:variant>
      <vt:variant>
        <vt:i4>5</vt:i4>
      </vt:variant>
      <vt:variant>
        <vt:lpwstr>http://ec.europa.eu/transparency/regdoc/index.cfm;jsessionid=3EAB7C00BF4B14D59E2D411F4A3934A7.cfusion14601?fuseaction=list&amp;n=10&amp;adv=0&amp;coteId=10102&amp;year=2016&amp;number=429&amp;version=F&amp;dateFrom=&amp;dateTo=&amp;serviceId=&amp;documentType=&amp;title=&amp;titleLanguage=&amp;titleSearch=EXACT&amp;sortBy=NUMBER&amp;sortOrder=DESC</vt:lpwstr>
      </vt:variant>
      <vt:variant>
        <vt:lpwstr/>
      </vt:variant>
      <vt:variant>
        <vt:i4>8061034</vt:i4>
      </vt:variant>
      <vt:variant>
        <vt:i4>3</vt:i4>
      </vt:variant>
      <vt:variant>
        <vt:i4>0</vt:i4>
      </vt:variant>
      <vt:variant>
        <vt:i4>5</vt:i4>
      </vt:variant>
      <vt:variant>
        <vt:lpwstr>http://ec.europa.eu/transparency/regdoc/index.cfm;jsessionid=3EAB7C00BF4B14D59E2D411F4A3934A7.cfusion14601?fuseaction=list&amp;n=10&amp;adv=0&amp;coteId=10102&amp;year=2016&amp;number=430&amp;version=F&amp;dateFrom=&amp;dateTo=&amp;serviceId=&amp;documentType=&amp;title=&amp;titleLanguage=&amp;titleSearch=EXACT&amp;sortBy=NUMBER&amp;sortOrder=DESC</vt:lpwstr>
      </vt:variant>
      <vt:variant>
        <vt:lpwstr/>
      </vt:variant>
      <vt:variant>
        <vt:i4>3407973</vt:i4>
      </vt:variant>
      <vt:variant>
        <vt:i4>0</vt:i4>
      </vt:variant>
      <vt:variant>
        <vt:i4>0</vt:i4>
      </vt:variant>
      <vt:variant>
        <vt:i4>5</vt:i4>
      </vt:variant>
      <vt:variant>
        <vt:lpwstr>http://ec.europa.eu/eurostat/documents/10186/6937766/Agricultural-Statistics-Strategy-2020-Report.docx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36</cp:revision>
  <dcterms:created xsi:type="dcterms:W3CDTF">2021-07-13T12:03:00Z</dcterms:created>
  <dcterms:modified xsi:type="dcterms:W3CDTF">2021-08-05T08:27:00Z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